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473DF">
      <w:pPr>
        <w:widowControl/>
        <w:spacing w:line="360" w:lineRule="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 xml:space="preserve"> </w:t>
      </w:r>
    </w:p>
    <w:p w14:paraId="55EDEF14">
      <w:pPr>
        <w:widowControl/>
        <w:wordWrap w:val="0"/>
        <w:spacing w:line="360" w:lineRule="auto"/>
        <w:rPr>
          <w:rFonts w:hint="eastAsia" w:ascii="宋体" w:hAnsi="宋体" w:eastAsia="宋体" w:cs="宋体"/>
          <w:color w:val="auto"/>
          <w:kern w:val="0"/>
          <w:szCs w:val="21"/>
        </w:rPr>
      </w:pPr>
    </w:p>
    <w:p w14:paraId="23F9AD88">
      <w:pPr>
        <w:widowControl/>
        <w:wordWrap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drawing>
          <wp:anchor distT="0" distB="0" distL="114300" distR="114300" simplePos="0" relativeHeight="251661312" behindDoc="0" locked="0" layoutInCell="1" allowOverlap="1">
            <wp:simplePos x="0" y="0"/>
            <wp:positionH relativeFrom="column">
              <wp:posOffset>241300</wp:posOffset>
            </wp:positionH>
            <wp:positionV relativeFrom="paragraph">
              <wp:posOffset>15875</wp:posOffset>
            </wp:positionV>
            <wp:extent cx="5410200" cy="1200150"/>
            <wp:effectExtent l="0" t="0" r="0" b="0"/>
            <wp:wrapNone/>
            <wp:docPr id="3" name="图片 2" descr="I:\03★工作★（硬盘）\2018年项目-2022年项目-招标\5、2022年项目\（2.28投标入库）南宁轨道地产集团有限责任公司2022-2025年招标代理服务\招标公司-名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03★工作★（硬盘）\2018年项目-2022年项目-招标\5、2022年项目\（2.28投标入库）南宁轨道地产集团有限责任公司2022-2025年招标代理服务\招标公司-名称.png"/>
                    <pic:cNvPicPr>
                      <a:picLocks noChangeAspect="1" noChangeArrowheads="1"/>
                    </pic:cNvPicPr>
                  </pic:nvPicPr>
                  <pic:blipFill>
                    <a:blip r:embed="rId18" cstate="print"/>
                    <a:srcRect r="6451"/>
                    <a:stretch>
                      <a:fillRect/>
                    </a:stretch>
                  </pic:blipFill>
                  <pic:spPr>
                    <a:xfrm>
                      <a:off x="0" y="0"/>
                      <a:ext cx="5410200" cy="1200150"/>
                    </a:xfrm>
                    <a:prstGeom prst="rect">
                      <a:avLst/>
                    </a:prstGeom>
                    <a:noFill/>
                    <a:ln w="9525">
                      <a:noFill/>
                      <a:miter lim="800000"/>
                      <a:headEnd/>
                      <a:tailEnd/>
                    </a:ln>
                  </pic:spPr>
                </pic:pic>
              </a:graphicData>
            </a:graphic>
          </wp:anchor>
        </w:drawing>
      </w:r>
    </w:p>
    <w:p w14:paraId="3C82F706">
      <w:pPr>
        <w:wordWrap w:val="0"/>
        <w:spacing w:line="360" w:lineRule="auto"/>
        <w:rPr>
          <w:rFonts w:hint="eastAsia" w:ascii="宋体" w:hAnsi="宋体" w:eastAsia="宋体" w:cs="宋体"/>
          <w:b/>
          <w:color w:val="auto"/>
          <w:kern w:val="0"/>
          <w:sz w:val="44"/>
          <w:szCs w:val="44"/>
        </w:rPr>
      </w:pPr>
    </w:p>
    <w:p w14:paraId="074B7900">
      <w:pPr>
        <w:wordWrap w:val="0"/>
        <w:spacing w:line="360" w:lineRule="auto"/>
        <w:rPr>
          <w:rFonts w:hint="eastAsia" w:ascii="宋体" w:hAnsi="宋体" w:eastAsia="宋体" w:cs="宋体"/>
          <w:b/>
          <w:color w:val="auto"/>
          <w:kern w:val="0"/>
          <w:sz w:val="44"/>
          <w:szCs w:val="44"/>
        </w:rPr>
      </w:pPr>
    </w:p>
    <w:p w14:paraId="756DA3FA">
      <w:pPr>
        <w:spacing w:line="360" w:lineRule="auto"/>
        <w:jc w:val="center"/>
        <w:rPr>
          <w:rFonts w:hint="eastAsia" w:ascii="宋体" w:hAnsi="宋体" w:eastAsia="宋体" w:cs="宋体"/>
          <w:b/>
          <w:color w:val="auto"/>
          <w:kern w:val="0"/>
          <w:sz w:val="44"/>
          <w:szCs w:val="44"/>
        </w:rPr>
      </w:pPr>
      <w:r>
        <w:rPr>
          <w:rFonts w:hint="eastAsia" w:ascii="宋体" w:hAnsi="宋体" w:eastAsia="宋体" w:cs="宋体"/>
          <w:color w:val="auto"/>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475615</wp:posOffset>
                </wp:positionH>
                <wp:positionV relativeFrom="paragraph">
                  <wp:posOffset>517525</wp:posOffset>
                </wp:positionV>
                <wp:extent cx="5209540" cy="0"/>
                <wp:effectExtent l="0" t="28575" r="10160" b="28575"/>
                <wp:wrapNone/>
                <wp:docPr id="1" name="AutoShape 2"/>
                <wp:cNvGraphicFramePr/>
                <a:graphic xmlns:a="http://schemas.openxmlformats.org/drawingml/2006/main">
                  <a:graphicData uri="http://schemas.microsoft.com/office/word/2010/wordprocessingShape">
                    <wps:wsp>
                      <wps:cNvCnPr>
                        <a:cxnSpLocks noChangeShapeType="1"/>
                      </wps:cNvCnPr>
                      <wps:spPr bwMode="auto">
                        <a:xfrm>
                          <a:off x="0" y="0"/>
                          <a:ext cx="5209540" cy="0"/>
                        </a:xfrm>
                        <a:prstGeom prst="straightConnector1">
                          <a:avLst/>
                        </a:prstGeom>
                        <a:noFill/>
                        <a:ln w="57150" cmpd="thinThick">
                          <a:solidFill>
                            <a:srgbClr val="000000"/>
                          </a:solidFill>
                          <a:round/>
                        </a:ln>
                        <a:effectLst/>
                      </wps:spPr>
                      <wps:bodyPr/>
                    </wps:wsp>
                  </a:graphicData>
                </a:graphic>
              </wp:anchor>
            </w:drawing>
          </mc:Choice>
          <mc:Fallback>
            <w:pict>
              <v:shape id="AutoShape 2" o:spid="_x0000_s1026" o:spt="32" type="#_x0000_t32" style="position:absolute;left:0pt;margin-left:37.45pt;margin-top:40.75pt;height:0pt;width:410.2pt;z-index:251659264;mso-width-relative:page;mso-height-relative:page;" filled="f" stroked="t" coordsize="21600,21600" o:gfxdata="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UDfynVAAAACAEA&#10;AA8AAAAAAAAAAQAgAAAAIgAAAGRycy9kb3ducmV2LnhtbFBLAQIUABQAAAAIAIdO4kCopTO75AEA&#10;ANIDAAAOAAAAAAAAAAEAIAAAACQBAABkcnMvZTJvRG9jLnhtbFBLBQYAAAAABgAGAFkBAAB6BQAA&#10;AAA=&#10;">
                <v:fill on="f" focussize="0,0"/>
                <v:stroke weight="4.5pt" color="#000000" linestyle="thinThick" joinstyle="round"/>
                <v:imagedata o:title=""/>
                <o:lock v:ext="edit" aspectratio="f"/>
              </v:shape>
            </w:pict>
          </mc:Fallback>
        </mc:AlternateContent>
      </w:r>
      <w:r>
        <w:rPr>
          <w:rFonts w:hint="eastAsia" w:ascii="宋体" w:hAnsi="宋体" w:eastAsia="宋体" w:cs="宋体"/>
          <w:b/>
          <w:color w:val="auto"/>
          <w:kern w:val="0"/>
          <w:sz w:val="44"/>
          <w:szCs w:val="44"/>
        </w:rPr>
        <w:t>广西壮族自治区政府采购</w:t>
      </w:r>
    </w:p>
    <w:p w14:paraId="0A38A9C1">
      <w:pPr>
        <w:widowControl/>
        <w:spacing w:before="120" w:line="360" w:lineRule="auto"/>
        <w:jc w:val="center"/>
        <w:rPr>
          <w:rFonts w:hint="eastAsia" w:ascii="宋体" w:hAnsi="宋体" w:eastAsia="宋体" w:cs="宋体"/>
          <w:b/>
          <w:color w:val="auto"/>
          <w:spacing w:val="20"/>
          <w:kern w:val="0"/>
          <w:sz w:val="72"/>
          <w:szCs w:val="72"/>
        </w:rPr>
      </w:pPr>
      <w:r>
        <w:rPr>
          <w:rFonts w:hint="eastAsia" w:ascii="宋体" w:hAnsi="宋体" w:eastAsia="宋体" w:cs="宋体"/>
          <w:b/>
          <w:color w:val="auto"/>
          <w:spacing w:val="20"/>
          <w:kern w:val="0"/>
          <w:sz w:val="72"/>
          <w:szCs w:val="72"/>
        </w:rPr>
        <w:t>公开招标文件</w:t>
      </w:r>
    </w:p>
    <w:p w14:paraId="3AD51560">
      <w:pPr>
        <w:jc w:val="center"/>
        <w:rPr>
          <w:rFonts w:hint="eastAsia" w:ascii="宋体" w:hAnsi="宋体" w:eastAsia="宋体" w:cs="宋体"/>
          <w:b/>
          <w:color w:val="auto"/>
          <w:sz w:val="40"/>
          <w:szCs w:val="32"/>
        </w:rPr>
      </w:pPr>
      <w:r>
        <w:rPr>
          <w:rFonts w:hint="eastAsia" w:ascii="宋体" w:hAnsi="宋体" w:eastAsia="宋体" w:cs="宋体"/>
          <w:b/>
          <w:color w:val="auto"/>
          <w:sz w:val="40"/>
          <w:szCs w:val="32"/>
        </w:rPr>
        <w:t>（货物类）</w:t>
      </w:r>
    </w:p>
    <w:p w14:paraId="1BA1C990">
      <w:pPr>
        <w:tabs>
          <w:tab w:val="left" w:pos="720"/>
        </w:tabs>
        <w:wordWrap w:val="0"/>
        <w:rPr>
          <w:rFonts w:hint="eastAsia" w:ascii="宋体" w:hAnsi="宋体" w:eastAsia="宋体" w:cs="宋体"/>
          <w:b/>
          <w:color w:val="auto"/>
          <w:spacing w:val="4"/>
          <w:w w:val="120"/>
          <w:sz w:val="36"/>
          <w:szCs w:val="36"/>
        </w:rPr>
      </w:pPr>
    </w:p>
    <w:p w14:paraId="28BE49F1">
      <w:pPr>
        <w:jc w:val="center"/>
        <w:rPr>
          <w:rFonts w:hint="eastAsia" w:ascii="宋体" w:hAnsi="宋体" w:eastAsia="宋体" w:cs="宋体"/>
          <w:color w:val="auto"/>
          <w:sz w:val="40"/>
          <w:szCs w:val="32"/>
        </w:rPr>
      </w:pPr>
      <w:r>
        <w:rPr>
          <w:rFonts w:hint="eastAsia" w:ascii="宋体" w:hAnsi="宋体" w:eastAsia="宋体" w:cs="宋体"/>
          <w:color w:val="auto"/>
          <w:sz w:val="40"/>
          <w:szCs w:val="32"/>
        </w:rPr>
        <w:t>（全流程电子</w:t>
      </w:r>
      <w:bookmarkStart w:id="242" w:name="_GoBack"/>
      <w:bookmarkEnd w:id="242"/>
      <w:r>
        <w:rPr>
          <w:rFonts w:hint="eastAsia" w:ascii="宋体" w:hAnsi="宋体" w:eastAsia="宋体" w:cs="宋体"/>
          <w:color w:val="auto"/>
          <w:sz w:val="40"/>
          <w:szCs w:val="32"/>
        </w:rPr>
        <w:t>化采购）</w:t>
      </w:r>
    </w:p>
    <w:p w14:paraId="272777F9">
      <w:pPr>
        <w:pStyle w:val="19"/>
        <w:wordWrap w:val="0"/>
        <w:rPr>
          <w:rFonts w:hint="eastAsia" w:ascii="宋体" w:hAnsi="宋体" w:eastAsia="宋体" w:cs="宋体"/>
          <w:color w:val="auto"/>
        </w:rPr>
      </w:pPr>
    </w:p>
    <w:p w14:paraId="28C7D3D3">
      <w:pPr>
        <w:pStyle w:val="19"/>
        <w:wordWrap w:val="0"/>
        <w:rPr>
          <w:rFonts w:hint="eastAsia" w:ascii="宋体" w:hAnsi="宋体" w:eastAsia="宋体" w:cs="宋体"/>
          <w:color w:val="auto"/>
        </w:rPr>
      </w:pPr>
    </w:p>
    <w:p w14:paraId="303241A2">
      <w:pPr>
        <w:wordWrap w:val="0"/>
        <w:spacing w:before="120" w:line="360" w:lineRule="auto"/>
        <w:ind w:left="958" w:leftChars="456"/>
        <w:rPr>
          <w:rFonts w:hint="eastAsia" w:ascii="宋体" w:hAnsi="宋体" w:eastAsia="宋体" w:cs="宋体"/>
          <w:b/>
          <w:color w:val="auto"/>
          <w:sz w:val="32"/>
          <w:szCs w:val="32"/>
        </w:rPr>
      </w:pPr>
      <w:r>
        <w:rPr>
          <w:rFonts w:hint="eastAsia" w:ascii="宋体" w:hAnsi="宋体" w:eastAsia="宋体" w:cs="宋体"/>
          <w:b/>
          <w:color w:val="auto"/>
          <w:sz w:val="32"/>
          <w:szCs w:val="32"/>
        </w:rPr>
        <w:t>项目名称：河池学院校园大安全二期工程采购</w:t>
      </w:r>
      <w:r>
        <w:rPr>
          <w:rFonts w:hint="eastAsia" w:ascii="宋体" w:hAnsi="宋体" w:eastAsia="宋体" w:cs="宋体"/>
          <w:b/>
          <w:color w:val="auto"/>
          <w:sz w:val="32"/>
          <w:szCs w:val="32"/>
          <w:lang w:eastAsia="zh-CN"/>
        </w:rPr>
        <w:t>（</w:t>
      </w:r>
      <w:r>
        <w:rPr>
          <w:rFonts w:hint="eastAsia" w:ascii="宋体" w:hAnsi="宋体" w:eastAsia="宋体" w:cs="宋体"/>
          <w:b/>
          <w:color w:val="auto"/>
          <w:sz w:val="32"/>
          <w:szCs w:val="32"/>
          <w:lang w:val="en-US" w:eastAsia="zh-CN"/>
        </w:rPr>
        <w:t>重</w:t>
      </w:r>
      <w:r>
        <w:rPr>
          <w:rFonts w:hint="eastAsia" w:ascii="宋体" w:hAnsi="宋体" w:eastAsia="宋体" w:cs="宋体"/>
          <w:b/>
          <w:color w:val="auto"/>
          <w:sz w:val="32"/>
          <w:szCs w:val="32"/>
          <w:lang w:eastAsia="zh-CN"/>
        </w:rPr>
        <w:t>）</w:t>
      </w:r>
    </w:p>
    <w:p w14:paraId="130CA3D8">
      <w:pPr>
        <w:wordWrap w:val="0"/>
        <w:spacing w:before="120" w:line="360" w:lineRule="auto"/>
        <w:ind w:left="958" w:leftChars="456"/>
        <w:rPr>
          <w:rFonts w:hint="eastAsia" w:ascii="宋体" w:hAnsi="宋体" w:eastAsia="宋体" w:cs="宋体"/>
          <w:b/>
          <w:bCs/>
          <w:color w:val="auto"/>
          <w:spacing w:val="40"/>
          <w:sz w:val="32"/>
          <w:szCs w:val="32"/>
        </w:rPr>
      </w:pPr>
      <w:r>
        <w:rPr>
          <w:rFonts w:hint="eastAsia" w:ascii="宋体" w:hAnsi="宋体" w:eastAsia="宋体" w:cs="宋体"/>
          <w:b/>
          <w:color w:val="auto"/>
          <w:sz w:val="32"/>
          <w:szCs w:val="32"/>
        </w:rPr>
        <w:t>项目编号：</w:t>
      </w:r>
      <w:r>
        <w:rPr>
          <w:rFonts w:hint="eastAsia" w:ascii="宋体" w:hAnsi="宋体" w:eastAsia="宋体" w:cs="宋体"/>
          <w:b/>
          <w:color w:val="auto"/>
          <w:sz w:val="32"/>
          <w:szCs w:val="32"/>
          <w:lang w:eastAsia="zh-CN"/>
        </w:rPr>
        <w:t>GXZC2024-G1-006298-JGJD</w:t>
      </w:r>
    </w:p>
    <w:p w14:paraId="66F64D97">
      <w:pPr>
        <w:wordWrap w:val="0"/>
        <w:snapToGrid w:val="0"/>
        <w:spacing w:before="50" w:line="360" w:lineRule="auto"/>
        <w:ind w:firstLine="764" w:firstLineChars="239"/>
        <w:rPr>
          <w:rFonts w:hint="eastAsia" w:ascii="宋体" w:hAnsi="宋体" w:eastAsia="宋体" w:cs="宋体"/>
          <w:color w:val="auto"/>
          <w:sz w:val="32"/>
          <w:szCs w:val="32"/>
        </w:rPr>
      </w:pPr>
    </w:p>
    <w:p w14:paraId="09B519A0">
      <w:pPr>
        <w:wordWrap w:val="0"/>
        <w:snapToGrid w:val="0"/>
        <w:spacing w:before="50" w:line="360" w:lineRule="auto"/>
        <w:ind w:firstLine="764" w:firstLineChars="239"/>
        <w:rPr>
          <w:rFonts w:hint="eastAsia" w:ascii="宋体" w:hAnsi="宋体" w:eastAsia="宋体" w:cs="宋体"/>
          <w:color w:val="auto"/>
          <w:sz w:val="32"/>
          <w:szCs w:val="32"/>
        </w:rPr>
      </w:pPr>
    </w:p>
    <w:p w14:paraId="120B7592">
      <w:pPr>
        <w:wordWrap w:val="0"/>
        <w:snapToGrid w:val="0"/>
        <w:spacing w:before="50" w:line="360" w:lineRule="auto"/>
        <w:ind w:firstLine="717" w:firstLineChars="239"/>
        <w:rPr>
          <w:rFonts w:hint="eastAsia" w:ascii="宋体" w:hAnsi="宋体" w:eastAsia="宋体" w:cs="宋体"/>
          <w:color w:val="auto"/>
          <w:sz w:val="30"/>
          <w:szCs w:val="30"/>
        </w:rPr>
      </w:pPr>
    </w:p>
    <w:p w14:paraId="5CAA221A">
      <w:pPr>
        <w:widowControl/>
        <w:wordWrap w:val="0"/>
        <w:spacing w:line="360" w:lineRule="auto"/>
        <w:ind w:firstLine="964" w:firstLineChars="30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采购人：</w:t>
      </w:r>
      <w:bookmarkStart w:id="0" w:name="OLE_LINK167"/>
      <w:bookmarkStart w:id="1" w:name="OLE_LINK168"/>
      <w:r>
        <w:rPr>
          <w:rFonts w:hint="eastAsia" w:ascii="宋体" w:hAnsi="宋体" w:eastAsia="宋体" w:cs="宋体"/>
          <w:b/>
          <w:color w:val="auto"/>
          <w:kern w:val="0"/>
          <w:sz w:val="32"/>
          <w:szCs w:val="32"/>
        </w:rPr>
        <w:t>河池学院</w:t>
      </w:r>
    </w:p>
    <w:bookmarkEnd w:id="0"/>
    <w:bookmarkEnd w:id="1"/>
    <w:p w14:paraId="05EB24E7">
      <w:pPr>
        <w:widowControl/>
        <w:wordWrap w:val="0"/>
        <w:spacing w:line="600" w:lineRule="auto"/>
        <w:ind w:firstLine="1564" w:firstLineChars="300"/>
        <w:rPr>
          <w:rFonts w:hint="eastAsia" w:ascii="宋体" w:hAnsi="宋体" w:eastAsia="宋体" w:cs="宋体"/>
          <w:b/>
          <w:color w:val="auto"/>
          <w:kern w:val="0"/>
          <w:sz w:val="32"/>
          <w:szCs w:val="32"/>
        </w:rPr>
      </w:pPr>
      <w:r>
        <w:rPr>
          <w:rFonts w:hint="eastAsia" w:ascii="宋体" w:hAnsi="宋体" w:eastAsia="宋体" w:cs="宋体"/>
          <w:b/>
          <w:color w:val="auto"/>
          <w:spacing w:val="100"/>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515620</wp:posOffset>
                </wp:positionH>
                <wp:positionV relativeFrom="paragraph">
                  <wp:posOffset>462280</wp:posOffset>
                </wp:positionV>
                <wp:extent cx="5257800" cy="0"/>
                <wp:effectExtent l="0" t="28575" r="0" b="2857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nThick">
                          <a:solidFill>
                            <a:srgbClr val="000000"/>
                          </a:solidFill>
                          <a:round/>
                        </a:ln>
                        <a:effectLst/>
                      </wps:spPr>
                      <wps:bodyPr/>
                    </wps:wsp>
                  </a:graphicData>
                </a:graphic>
              </wp:anchor>
            </w:drawing>
          </mc:Choice>
          <mc:Fallback>
            <w:pict>
              <v:line id="_x0000_s1026" o:spid="_x0000_s1026" o:spt="20" style="position:absolute;left:0pt;margin-left:40.6pt;margin-top:36.4pt;height:0pt;width:414pt;z-index:251660288;mso-width-relative:page;mso-height-relative:page;" filled="f" stroked="t" coordsize="21600,21600" o:gfxdata="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3ZCxnXAAAACAEAAA8AAAAAAAAAAQAgAAAAIgAAAGRycy9kb3ducmV2LnhtbFBLAQIU&#10;ABQAAAAIAIdO4kDe9JRv9AEAAMoDAAAOAAAAAAAAAAEAIAAAACYBAABkcnMvZTJvRG9jLnhtbFBL&#10;BQYAAAAABgAGAFkBAACMBQAAAAA=&#10;">
                <v:fill on="f" focussize="0,0"/>
                <v:stroke weight="4.5pt" color="#000000" linestyle="thinThick" joinstyle="round"/>
                <v:imagedata o:title=""/>
                <o:lock v:ext="edit" aspectratio="f"/>
              </v:line>
            </w:pict>
          </mc:Fallback>
        </mc:AlternateContent>
      </w:r>
      <w:r>
        <w:rPr>
          <w:rFonts w:hint="eastAsia" w:ascii="宋体" w:hAnsi="宋体" w:eastAsia="宋体" w:cs="宋体"/>
          <w:b/>
          <w:color w:val="auto"/>
          <w:kern w:val="0"/>
          <w:sz w:val="32"/>
          <w:szCs w:val="32"/>
        </w:rPr>
        <w:t>采购代理机构：</w:t>
      </w:r>
      <w:bookmarkStart w:id="2" w:name="OLE_LINK157"/>
      <w:bookmarkStart w:id="3" w:name="OLE_LINK156"/>
      <w:r>
        <w:rPr>
          <w:rFonts w:hint="eastAsia" w:ascii="宋体" w:hAnsi="宋体" w:eastAsia="宋体" w:cs="宋体"/>
          <w:b/>
          <w:color w:val="auto"/>
          <w:kern w:val="0"/>
          <w:sz w:val="32"/>
          <w:szCs w:val="32"/>
        </w:rPr>
        <w:t>广西建设工程机电设备招标中心有限公司</w:t>
      </w:r>
      <w:bookmarkEnd w:id="2"/>
      <w:bookmarkEnd w:id="3"/>
    </w:p>
    <w:p w14:paraId="54236916">
      <w:pPr>
        <w:widowControl/>
        <w:spacing w:line="600" w:lineRule="auto"/>
        <w:jc w:val="center"/>
        <w:rPr>
          <w:rFonts w:hint="eastAsia" w:ascii="宋体" w:hAnsi="宋体" w:eastAsia="宋体" w:cs="宋体"/>
          <w:color w:val="auto"/>
          <w:sz w:val="30"/>
          <w:szCs w:val="72"/>
        </w:rPr>
        <w:sectPr>
          <w:footerReference r:id="rId3" w:type="default"/>
          <w:footerReference r:id="rId4" w:type="even"/>
          <w:pgSz w:w="11906" w:h="16838"/>
          <w:pgMar w:top="1134" w:right="1247" w:bottom="1134" w:left="1247" w:header="851" w:footer="992" w:gutter="113"/>
          <w:pgNumType w:start="0"/>
          <w:cols w:space="720" w:num="1"/>
          <w:titlePg/>
          <w:docGrid w:linePitch="312" w:charSpace="0"/>
        </w:sectPr>
      </w:pPr>
      <w:r>
        <w:rPr>
          <w:rFonts w:hint="eastAsia" w:ascii="宋体" w:hAnsi="宋体" w:eastAsia="宋体" w:cs="宋体"/>
          <w:b/>
          <w:color w:val="auto"/>
          <w:kern w:val="0"/>
          <w:sz w:val="32"/>
          <w:szCs w:val="32"/>
        </w:rPr>
        <w:t>日期：</w:t>
      </w:r>
      <w:r>
        <w:rPr>
          <w:rFonts w:hint="eastAsia" w:ascii="宋体" w:hAnsi="宋体" w:eastAsia="宋体" w:cs="宋体"/>
          <w:b/>
          <w:color w:val="auto"/>
          <w:kern w:val="0"/>
          <w:sz w:val="32"/>
          <w:szCs w:val="32"/>
        </w:rPr>
        <w:t>202</w:t>
      </w:r>
      <w:r>
        <w:rPr>
          <w:rFonts w:hint="eastAsia" w:ascii="宋体" w:hAnsi="宋体" w:eastAsia="宋体" w:cs="宋体"/>
          <w:b/>
          <w:color w:val="auto"/>
          <w:kern w:val="0"/>
          <w:sz w:val="32"/>
          <w:szCs w:val="32"/>
        </w:rPr>
        <w:t>4</w:t>
      </w:r>
      <w:r>
        <w:rPr>
          <w:rFonts w:hint="eastAsia" w:ascii="宋体" w:hAnsi="宋体" w:eastAsia="宋体" w:cs="宋体"/>
          <w:b/>
          <w:color w:val="auto"/>
          <w:kern w:val="0"/>
          <w:sz w:val="32"/>
          <w:szCs w:val="32"/>
        </w:rPr>
        <w:t>年</w:t>
      </w:r>
      <w:r>
        <w:rPr>
          <w:rFonts w:hint="eastAsia" w:ascii="宋体" w:hAnsi="宋体" w:eastAsia="宋体" w:cs="宋体"/>
          <w:b/>
          <w:color w:val="auto"/>
          <w:kern w:val="0"/>
          <w:sz w:val="32"/>
          <w:szCs w:val="32"/>
          <w:lang w:val="en-US" w:eastAsia="zh-CN"/>
        </w:rPr>
        <w:t>12</w:t>
      </w:r>
      <w:r>
        <w:rPr>
          <w:rFonts w:hint="eastAsia" w:ascii="宋体" w:hAnsi="宋体" w:eastAsia="宋体" w:cs="宋体"/>
          <w:b/>
          <w:color w:val="auto"/>
          <w:kern w:val="0"/>
          <w:sz w:val="32"/>
          <w:szCs w:val="32"/>
        </w:rPr>
        <w:t>月</w:t>
      </w:r>
      <w:r>
        <w:rPr>
          <w:rFonts w:hint="eastAsia" w:ascii="宋体" w:hAnsi="宋体" w:eastAsia="宋体" w:cs="宋体"/>
          <w:b/>
          <w:color w:val="auto"/>
          <w:kern w:val="0"/>
          <w:sz w:val="32"/>
          <w:szCs w:val="32"/>
          <w:lang w:val="en-US" w:eastAsia="zh-CN"/>
        </w:rPr>
        <w:t>4</w:t>
      </w:r>
      <w:r>
        <w:rPr>
          <w:rFonts w:hint="eastAsia" w:ascii="宋体" w:hAnsi="宋体" w:eastAsia="宋体" w:cs="宋体"/>
          <w:b/>
          <w:color w:val="auto"/>
          <w:kern w:val="0"/>
          <w:sz w:val="32"/>
          <w:szCs w:val="32"/>
        </w:rPr>
        <w:t>日</w:t>
      </w:r>
    </w:p>
    <w:p w14:paraId="1C2F693F">
      <w:pPr>
        <w:pStyle w:val="17"/>
        <w:wordWrap w:val="0"/>
        <w:jc w:val="both"/>
        <w:rPr>
          <w:rFonts w:hint="eastAsia" w:ascii="宋体" w:hAnsi="宋体" w:eastAsia="宋体" w:cs="宋体"/>
          <w:color w:val="auto"/>
        </w:rPr>
      </w:pPr>
    </w:p>
    <w:p w14:paraId="61E55174">
      <w:pPr>
        <w:spacing w:line="360" w:lineRule="auto"/>
        <w:jc w:val="center"/>
        <w:rPr>
          <w:rFonts w:hint="eastAsia" w:ascii="宋体" w:hAnsi="宋体" w:eastAsia="宋体" w:cs="宋体"/>
          <w:b/>
          <w:color w:val="auto"/>
          <w:sz w:val="40"/>
          <w:szCs w:val="44"/>
        </w:rPr>
      </w:pPr>
      <w:r>
        <w:rPr>
          <w:rFonts w:hint="eastAsia" w:ascii="宋体" w:hAnsi="宋体" w:eastAsia="宋体" w:cs="宋体"/>
          <w:b/>
          <w:color w:val="auto"/>
          <w:sz w:val="40"/>
          <w:szCs w:val="44"/>
        </w:rPr>
        <w:t>目录</w:t>
      </w:r>
    </w:p>
    <w:p w14:paraId="3572B87E">
      <w:pPr>
        <w:pStyle w:val="33"/>
        <w:wordWrap w:val="0"/>
        <w:ind w:firstLine="300"/>
        <w:jc w:val="both"/>
        <w:rPr>
          <w:rFonts w:hint="eastAsia" w:ascii="宋体" w:hAnsi="宋体" w:eastAsia="宋体" w:cs="宋体"/>
          <w:b w:val="0"/>
          <w:bCs w:val="0"/>
          <w:caps w:val="0"/>
          <w:color w:val="auto"/>
          <w:sz w:val="21"/>
          <w:szCs w:val="22"/>
        </w:rPr>
      </w:pPr>
      <w:r>
        <w:rPr>
          <w:rFonts w:hint="eastAsia" w:ascii="宋体" w:hAnsi="宋体" w:eastAsia="宋体" w:cs="宋体"/>
          <w:b w:val="0"/>
          <w:color w:val="auto"/>
        </w:rPr>
        <w:fldChar w:fldCharType="begin"/>
      </w:r>
      <w:r>
        <w:rPr>
          <w:rFonts w:hint="eastAsia" w:ascii="宋体" w:hAnsi="宋体" w:eastAsia="宋体" w:cs="宋体"/>
          <w:b w:val="0"/>
          <w:color w:val="auto"/>
        </w:rPr>
        <w:instrText xml:space="preserve"> TOC \o "1-1" \h \z \u </w:instrText>
      </w:r>
      <w:r>
        <w:rPr>
          <w:rFonts w:hint="eastAsia" w:ascii="宋体" w:hAnsi="宋体" w:eastAsia="宋体" w:cs="宋体"/>
          <w:b w:val="0"/>
          <w:color w:val="auto"/>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"_Toc148453332" </w:instrText>
      </w:r>
      <w:r>
        <w:rPr>
          <w:rFonts w:hint="eastAsia" w:ascii="宋体" w:hAnsi="宋体" w:eastAsia="宋体" w:cs="宋体"/>
          <w:color w:val="auto"/>
        </w:rPr>
        <w:fldChar w:fldCharType="separate"/>
      </w:r>
      <w:r>
        <w:rPr>
          <w:rStyle w:val="57"/>
          <w:rFonts w:hint="eastAsia" w:ascii="宋体" w:hAnsi="宋体" w:eastAsia="宋体" w:cs="宋体"/>
          <w:color w:val="auto"/>
        </w:rPr>
        <w:t>第一章</w:t>
      </w:r>
      <w:r>
        <w:rPr>
          <w:rStyle w:val="57"/>
          <w:rFonts w:hint="eastAsia" w:ascii="宋体" w:hAnsi="宋体" w:eastAsia="宋体" w:cs="宋体"/>
          <w:color w:val="auto"/>
        </w:rPr>
        <w:t xml:space="preserve"> </w:t>
      </w:r>
      <w:r>
        <w:rPr>
          <w:rStyle w:val="57"/>
          <w:rFonts w:hint="eastAsia" w:ascii="宋体" w:hAnsi="宋体" w:eastAsia="宋体" w:cs="宋体"/>
          <w:color w:val="auto"/>
        </w:rPr>
        <w:t>招标公告</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_Toc148453332 \h </w:instrText>
      </w:r>
      <w:r>
        <w:rPr>
          <w:rFonts w:hint="eastAsia" w:ascii="宋体" w:hAnsi="宋体" w:eastAsia="宋体" w:cs="宋体"/>
          <w:color w:val="auto"/>
        </w:rPr>
        <w:fldChar w:fldCharType="separate"/>
      </w:r>
      <w:r>
        <w:rPr>
          <w:rFonts w:hint="eastAsia" w:ascii="宋体" w:hAnsi="宋体" w:eastAsia="宋体" w:cs="宋体"/>
          <w:color w:val="auto"/>
        </w:rPr>
        <w:t>1</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0D1C7C17">
      <w:pPr>
        <w:pStyle w:val="33"/>
        <w:wordWrap w:val="0"/>
        <w:ind w:firstLine="301"/>
        <w:jc w:val="both"/>
        <w:rPr>
          <w:rFonts w:hint="eastAsia" w:ascii="宋体" w:hAnsi="宋体" w:eastAsia="宋体" w:cs="宋体"/>
          <w:b w:val="0"/>
          <w:bCs w:val="0"/>
          <w:caps w:val="0"/>
          <w:color w:val="auto"/>
          <w:sz w:val="21"/>
          <w:szCs w:val="2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"_Toc148453333" </w:instrText>
      </w:r>
      <w:r>
        <w:rPr>
          <w:rFonts w:hint="eastAsia" w:ascii="宋体" w:hAnsi="宋体" w:eastAsia="宋体" w:cs="宋体"/>
          <w:color w:val="auto"/>
        </w:rPr>
        <w:fldChar w:fldCharType="separate"/>
      </w:r>
      <w:r>
        <w:rPr>
          <w:rStyle w:val="57"/>
          <w:rFonts w:hint="eastAsia" w:ascii="宋体" w:hAnsi="宋体" w:eastAsia="宋体" w:cs="宋体"/>
          <w:color w:val="auto"/>
        </w:rPr>
        <w:t>第二章</w:t>
      </w:r>
      <w:r>
        <w:rPr>
          <w:rStyle w:val="57"/>
          <w:rFonts w:hint="eastAsia" w:ascii="宋体" w:hAnsi="宋体" w:eastAsia="宋体" w:cs="宋体"/>
          <w:color w:val="auto"/>
        </w:rPr>
        <w:t xml:space="preserve"> </w:t>
      </w:r>
      <w:r>
        <w:rPr>
          <w:rStyle w:val="57"/>
          <w:rFonts w:hint="eastAsia" w:ascii="宋体" w:hAnsi="宋体" w:eastAsia="宋体" w:cs="宋体"/>
          <w:color w:val="auto"/>
        </w:rPr>
        <w:t>采购需求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_Toc148453333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18D12851">
      <w:pPr>
        <w:pStyle w:val="33"/>
        <w:wordWrap w:val="0"/>
        <w:ind w:firstLine="301"/>
        <w:jc w:val="both"/>
        <w:rPr>
          <w:rFonts w:hint="eastAsia" w:ascii="宋体" w:hAnsi="宋体" w:eastAsia="宋体" w:cs="宋体"/>
          <w:b w:val="0"/>
          <w:bCs w:val="0"/>
          <w:caps w:val="0"/>
          <w:color w:val="auto"/>
          <w:sz w:val="21"/>
          <w:szCs w:val="2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"_Toc148453334" </w:instrText>
      </w:r>
      <w:r>
        <w:rPr>
          <w:rFonts w:hint="eastAsia" w:ascii="宋体" w:hAnsi="宋体" w:eastAsia="宋体" w:cs="宋体"/>
          <w:color w:val="auto"/>
        </w:rPr>
        <w:fldChar w:fldCharType="separate"/>
      </w:r>
      <w:r>
        <w:rPr>
          <w:rStyle w:val="57"/>
          <w:rFonts w:hint="eastAsia" w:ascii="宋体" w:hAnsi="宋体" w:eastAsia="宋体" w:cs="宋体"/>
          <w:color w:val="auto"/>
        </w:rPr>
        <w:t>第三章</w:t>
      </w:r>
      <w:r>
        <w:rPr>
          <w:rStyle w:val="57"/>
          <w:rFonts w:hint="eastAsia" w:ascii="宋体" w:hAnsi="宋体" w:eastAsia="宋体" w:cs="宋体"/>
          <w:color w:val="auto"/>
        </w:rPr>
        <w:t xml:space="preserve"> </w:t>
      </w:r>
      <w:r>
        <w:rPr>
          <w:rStyle w:val="57"/>
          <w:rFonts w:hint="eastAsia" w:ascii="宋体" w:hAnsi="宋体" w:eastAsia="宋体" w:cs="宋体"/>
          <w:color w:val="auto"/>
        </w:rPr>
        <w:t>投标人须知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_Toc148453334 \h </w:instrText>
      </w:r>
      <w:r>
        <w:rPr>
          <w:rFonts w:hint="eastAsia" w:ascii="宋体" w:hAnsi="宋体" w:eastAsia="宋体" w:cs="宋体"/>
          <w:color w:val="auto"/>
        </w:rPr>
        <w:fldChar w:fldCharType="separate"/>
      </w:r>
      <w:r>
        <w:rPr>
          <w:rFonts w:hint="eastAsia" w:ascii="宋体" w:hAnsi="宋体" w:eastAsia="宋体" w:cs="宋体"/>
          <w:color w:val="auto"/>
        </w:rPr>
        <w:t>106</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B047A7A">
      <w:pPr>
        <w:pStyle w:val="33"/>
        <w:wordWrap w:val="0"/>
        <w:ind w:firstLine="301"/>
        <w:jc w:val="both"/>
        <w:rPr>
          <w:rFonts w:hint="eastAsia" w:ascii="宋体" w:hAnsi="宋体" w:eastAsia="宋体" w:cs="宋体"/>
          <w:b w:val="0"/>
          <w:bCs w:val="0"/>
          <w:caps w:val="0"/>
          <w:color w:val="auto"/>
          <w:sz w:val="21"/>
          <w:szCs w:val="2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"_Toc148453335" </w:instrText>
      </w:r>
      <w:r>
        <w:rPr>
          <w:rFonts w:hint="eastAsia" w:ascii="宋体" w:hAnsi="宋体" w:eastAsia="宋体" w:cs="宋体"/>
          <w:color w:val="auto"/>
        </w:rPr>
        <w:fldChar w:fldCharType="separate"/>
      </w:r>
      <w:r>
        <w:rPr>
          <w:rStyle w:val="57"/>
          <w:rFonts w:hint="eastAsia" w:ascii="宋体" w:hAnsi="宋体" w:eastAsia="宋体" w:cs="宋体"/>
          <w:color w:val="auto"/>
        </w:rPr>
        <w:t>第四章</w:t>
      </w:r>
      <w:r>
        <w:rPr>
          <w:rStyle w:val="57"/>
          <w:rFonts w:hint="eastAsia" w:ascii="宋体" w:hAnsi="宋体" w:eastAsia="宋体" w:cs="宋体"/>
          <w:color w:val="auto"/>
        </w:rPr>
        <w:t xml:space="preserve"> </w:t>
      </w:r>
      <w:r>
        <w:rPr>
          <w:rStyle w:val="57"/>
          <w:rFonts w:hint="eastAsia" w:ascii="宋体" w:hAnsi="宋体" w:eastAsia="宋体" w:cs="宋体"/>
          <w:color w:val="auto"/>
        </w:rPr>
        <w:t>评标方法及评标标准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_Toc148453335 \h </w:instrText>
      </w:r>
      <w:r>
        <w:rPr>
          <w:rFonts w:hint="eastAsia" w:ascii="宋体" w:hAnsi="宋体" w:eastAsia="宋体" w:cs="宋体"/>
          <w:color w:val="auto"/>
        </w:rPr>
        <w:fldChar w:fldCharType="separate"/>
      </w:r>
      <w:r>
        <w:rPr>
          <w:rFonts w:hint="eastAsia" w:ascii="宋体" w:hAnsi="宋体" w:eastAsia="宋体" w:cs="宋体"/>
          <w:color w:val="auto"/>
        </w:rPr>
        <w:t>126</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5DB65FF">
      <w:pPr>
        <w:pStyle w:val="33"/>
        <w:wordWrap w:val="0"/>
        <w:ind w:firstLine="301"/>
        <w:jc w:val="both"/>
        <w:rPr>
          <w:rFonts w:hint="eastAsia" w:ascii="宋体" w:hAnsi="宋体" w:eastAsia="宋体" w:cs="宋体"/>
          <w:b w:val="0"/>
          <w:bCs w:val="0"/>
          <w:caps w:val="0"/>
          <w:color w:val="auto"/>
          <w:sz w:val="21"/>
          <w:szCs w:val="2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"_Toc148453336" </w:instrText>
      </w:r>
      <w:r>
        <w:rPr>
          <w:rFonts w:hint="eastAsia" w:ascii="宋体" w:hAnsi="宋体" w:eastAsia="宋体" w:cs="宋体"/>
          <w:color w:val="auto"/>
        </w:rPr>
        <w:fldChar w:fldCharType="separate"/>
      </w:r>
      <w:r>
        <w:rPr>
          <w:rStyle w:val="57"/>
          <w:rFonts w:hint="eastAsia" w:ascii="宋体" w:hAnsi="宋体" w:eastAsia="宋体" w:cs="宋体"/>
          <w:color w:val="auto"/>
        </w:rPr>
        <w:t>第五章</w:t>
      </w:r>
      <w:r>
        <w:rPr>
          <w:rStyle w:val="57"/>
          <w:rFonts w:hint="eastAsia" w:ascii="宋体" w:hAnsi="宋体" w:eastAsia="宋体" w:cs="宋体"/>
          <w:color w:val="auto"/>
        </w:rPr>
        <w:t xml:space="preserve"> </w:t>
      </w:r>
      <w:r>
        <w:rPr>
          <w:rStyle w:val="57"/>
          <w:rFonts w:hint="eastAsia" w:ascii="宋体" w:hAnsi="宋体" w:eastAsia="宋体" w:cs="宋体"/>
          <w:color w:val="auto"/>
        </w:rPr>
        <w:t>拟签订的合同文本</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_Toc148453336 \h </w:instrText>
      </w:r>
      <w:r>
        <w:rPr>
          <w:rFonts w:hint="eastAsia" w:ascii="宋体" w:hAnsi="宋体" w:eastAsia="宋体" w:cs="宋体"/>
          <w:color w:val="auto"/>
        </w:rPr>
        <w:fldChar w:fldCharType="separate"/>
      </w:r>
      <w:r>
        <w:rPr>
          <w:rFonts w:hint="eastAsia" w:ascii="宋体" w:hAnsi="宋体" w:eastAsia="宋体" w:cs="宋体"/>
          <w:color w:val="auto"/>
        </w:rPr>
        <w:t>134</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CE4D303">
      <w:pPr>
        <w:pStyle w:val="33"/>
        <w:wordWrap w:val="0"/>
        <w:ind w:firstLine="301"/>
        <w:jc w:val="both"/>
        <w:rPr>
          <w:rFonts w:hint="eastAsia" w:ascii="宋体" w:hAnsi="宋体" w:eastAsia="宋体" w:cs="宋体"/>
          <w:b w:val="0"/>
          <w:bCs w:val="0"/>
          <w:caps w:val="0"/>
          <w:color w:val="auto"/>
          <w:sz w:val="21"/>
          <w:szCs w:val="22"/>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"_Toc148453337" </w:instrText>
      </w:r>
      <w:r>
        <w:rPr>
          <w:rFonts w:hint="eastAsia" w:ascii="宋体" w:hAnsi="宋体" w:eastAsia="宋体" w:cs="宋体"/>
          <w:color w:val="auto"/>
        </w:rPr>
        <w:fldChar w:fldCharType="separate"/>
      </w:r>
      <w:r>
        <w:rPr>
          <w:rStyle w:val="57"/>
          <w:rFonts w:hint="eastAsia" w:ascii="宋体" w:hAnsi="宋体" w:eastAsia="宋体" w:cs="宋体"/>
          <w:color w:val="auto"/>
        </w:rPr>
        <w:t>第六章</w:t>
      </w:r>
      <w:r>
        <w:rPr>
          <w:rStyle w:val="57"/>
          <w:rFonts w:hint="eastAsia" w:ascii="宋体" w:hAnsi="宋体" w:eastAsia="宋体" w:cs="宋体"/>
          <w:color w:val="auto"/>
        </w:rPr>
        <w:t xml:space="preserve"> </w:t>
      </w:r>
      <w:r>
        <w:rPr>
          <w:rStyle w:val="57"/>
          <w:rFonts w:hint="eastAsia" w:ascii="宋体" w:hAnsi="宋体" w:eastAsia="宋体" w:cs="宋体"/>
          <w:color w:val="auto"/>
        </w:rPr>
        <w:t>投标文件格式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_Toc148453337 \h </w:instrText>
      </w:r>
      <w:r>
        <w:rPr>
          <w:rFonts w:hint="eastAsia" w:ascii="宋体" w:hAnsi="宋体" w:eastAsia="宋体" w:cs="宋体"/>
          <w:color w:val="auto"/>
        </w:rPr>
        <w:fldChar w:fldCharType="separate"/>
      </w:r>
      <w:r>
        <w:rPr>
          <w:rFonts w:hint="eastAsia" w:ascii="宋体" w:hAnsi="宋体" w:eastAsia="宋体" w:cs="宋体"/>
          <w:color w:val="auto"/>
        </w:rPr>
        <w:t>139</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17FD8BA">
      <w:pPr>
        <w:wordWrap w:val="0"/>
        <w:spacing w:before="120" w:beforeLines="50" w:line="480" w:lineRule="exact"/>
        <w:rPr>
          <w:rFonts w:hint="eastAsia" w:ascii="宋体" w:hAnsi="宋体" w:eastAsia="宋体" w:cs="宋体"/>
          <w:b/>
          <w:color w:val="auto"/>
          <w:sz w:val="30"/>
        </w:rPr>
      </w:pPr>
      <w:r>
        <w:rPr>
          <w:rFonts w:hint="eastAsia" w:ascii="宋体" w:hAnsi="宋体" w:eastAsia="宋体" w:cs="宋体"/>
          <w:b/>
          <w:color w:val="auto"/>
          <w:sz w:val="30"/>
        </w:rPr>
        <w:fldChar w:fldCharType="end"/>
      </w:r>
    </w:p>
    <w:p w14:paraId="00AA5215">
      <w:pPr>
        <w:pStyle w:val="2"/>
        <w:wordWrap w:val="0"/>
        <w:jc w:val="both"/>
        <w:rPr>
          <w:rFonts w:hint="eastAsia" w:ascii="宋体" w:hAnsi="宋体" w:eastAsia="宋体" w:cs="宋体"/>
          <w:color w:val="auto"/>
        </w:rPr>
      </w:pPr>
    </w:p>
    <w:p w14:paraId="211BA26F">
      <w:pPr>
        <w:wordWrap w:val="0"/>
        <w:rPr>
          <w:rFonts w:hint="eastAsia" w:ascii="宋体" w:hAnsi="宋体" w:eastAsia="宋体" w:cs="宋体"/>
          <w:color w:val="auto"/>
        </w:rPr>
      </w:pPr>
    </w:p>
    <w:p w14:paraId="6B6E2AA2">
      <w:pPr>
        <w:pStyle w:val="2"/>
        <w:keepNext w:val="0"/>
        <w:keepLines w:val="0"/>
        <w:tabs>
          <w:tab w:val="left" w:pos="0"/>
          <w:tab w:val="left" w:pos="3165"/>
          <w:tab w:val="center" w:pos="4153"/>
        </w:tabs>
        <w:wordWrap w:val="0"/>
        <w:autoSpaceDE w:val="0"/>
        <w:autoSpaceDN w:val="0"/>
        <w:adjustRightInd w:val="0"/>
        <w:spacing w:before="0" w:after="0" w:line="360" w:lineRule="auto"/>
        <w:jc w:val="both"/>
        <w:rPr>
          <w:rFonts w:hint="eastAsia" w:ascii="宋体" w:hAnsi="宋体" w:eastAsia="宋体" w:cs="宋体"/>
          <w:color w:val="auto"/>
        </w:rPr>
        <w:sectPr>
          <w:footerReference r:id="rId8" w:type="first"/>
          <w:headerReference r:id="rId5" w:type="default"/>
          <w:footerReference r:id="rId6" w:type="default"/>
          <w:footerReference r:id="rId7" w:type="even"/>
          <w:pgSz w:w="11906" w:h="16838"/>
          <w:pgMar w:top="1134" w:right="1247" w:bottom="1134" w:left="1247" w:header="737" w:footer="680" w:gutter="113"/>
          <w:pgNumType w:fmt="upperRoman" w:start="1"/>
          <w:cols w:space="720" w:num="1"/>
          <w:titlePg/>
          <w:docGrid w:linePitch="312" w:charSpace="0"/>
        </w:sectPr>
      </w:pPr>
      <w:bookmarkStart w:id="4" w:name="_Toc254970630"/>
      <w:bookmarkStart w:id="5" w:name="_Toc254970489"/>
    </w:p>
    <w:p w14:paraId="139DDE90">
      <w:pPr>
        <w:pStyle w:val="2"/>
        <w:keepNext w:val="0"/>
        <w:keepLines w:val="0"/>
        <w:tabs>
          <w:tab w:val="left" w:pos="0"/>
          <w:tab w:val="left" w:pos="3165"/>
          <w:tab w:val="center" w:pos="4153"/>
        </w:tabs>
        <w:autoSpaceDE w:val="0"/>
        <w:autoSpaceDN w:val="0"/>
        <w:adjustRightInd w:val="0"/>
        <w:spacing w:before="0" w:after="0" w:line="360" w:lineRule="auto"/>
        <w:rPr>
          <w:rFonts w:hint="eastAsia" w:ascii="宋体" w:hAnsi="宋体" w:eastAsia="宋体" w:cs="宋体"/>
          <w:color w:val="auto"/>
        </w:rPr>
      </w:pPr>
      <w:bookmarkStart w:id="6" w:name="_Toc148453332"/>
      <w:r>
        <w:rPr>
          <w:rFonts w:hint="eastAsia" w:ascii="宋体" w:hAnsi="宋体" w:eastAsia="宋体" w:cs="宋体"/>
          <w:color w:val="auto"/>
        </w:rPr>
        <w:t>第一章</w:t>
      </w:r>
      <w:bookmarkEnd w:id="4"/>
      <w:bookmarkEnd w:id="5"/>
      <w:bookmarkStart w:id="7" w:name="_Toc28359001"/>
      <w:bookmarkStart w:id="8" w:name="_Toc35393789"/>
      <w:r>
        <w:rPr>
          <w:rFonts w:hint="eastAsia" w:ascii="宋体" w:hAnsi="宋体" w:eastAsia="宋体" w:cs="宋体"/>
          <w:color w:val="auto"/>
        </w:rPr>
        <w:t xml:space="preserve"> 招标公告</w:t>
      </w:r>
      <w:bookmarkEnd w:id="6"/>
      <w:bookmarkEnd w:id="7"/>
      <w:bookmarkEnd w:id="8"/>
      <w:bookmarkStart w:id="9" w:name="OLE_LINK15"/>
      <w:bookmarkStart w:id="10" w:name="OLE_LINK20"/>
      <w:bookmarkStart w:id="11" w:name="OLE_LINK3"/>
      <w:bookmarkStart w:id="12" w:name="OLE_LINK29"/>
    </w:p>
    <w:p w14:paraId="2A6FED6A">
      <w:pPr>
        <w:pBdr>
          <w:top w:val="single" w:color="auto" w:sz="4" w:space="1"/>
          <w:left w:val="single" w:color="auto" w:sz="4" w:space="4"/>
          <w:bottom w:val="single" w:color="auto" w:sz="4" w:space="1"/>
          <w:right w:val="single" w:color="auto" w:sz="4" w:space="0"/>
        </w:pBdr>
        <w:wordWrap w:val="0"/>
        <w:spacing w:line="400" w:lineRule="exact"/>
        <w:rPr>
          <w:rFonts w:hint="eastAsia" w:ascii="宋体" w:hAnsi="宋体" w:eastAsia="宋体" w:cs="宋体"/>
          <w:b/>
          <w:color w:val="auto"/>
          <w:szCs w:val="21"/>
        </w:rPr>
      </w:pPr>
      <w:r>
        <w:rPr>
          <w:rFonts w:hint="eastAsia" w:ascii="宋体" w:hAnsi="宋体" w:eastAsia="宋体" w:cs="宋体"/>
          <w:b/>
          <w:color w:val="auto"/>
          <w:szCs w:val="21"/>
        </w:rPr>
        <w:t>项目概况</w:t>
      </w:r>
      <w:r>
        <w:rPr>
          <w:rFonts w:hint="eastAsia" w:ascii="宋体" w:hAnsi="宋体" w:eastAsia="宋体" w:cs="宋体"/>
          <w:b/>
          <w:color w:val="auto"/>
          <w:szCs w:val="21"/>
        </w:rPr>
        <w:t>:</w:t>
      </w:r>
    </w:p>
    <w:p w14:paraId="22F3D0B4">
      <w:pPr>
        <w:pBdr>
          <w:top w:val="single" w:color="auto" w:sz="4" w:space="1"/>
          <w:left w:val="single" w:color="auto" w:sz="4" w:space="4"/>
          <w:bottom w:val="single" w:color="auto" w:sz="4" w:space="1"/>
          <w:right w:val="single" w:color="auto" w:sz="4" w:space="0"/>
        </w:pBdr>
        <w:wordWrap w:val="0"/>
        <w:spacing w:line="400" w:lineRule="exact"/>
        <w:ind w:firstLine="420" w:firstLineChars="200"/>
        <w:rPr>
          <w:rFonts w:hint="eastAsia" w:ascii="宋体" w:hAnsi="宋体" w:eastAsia="宋体" w:cs="宋体"/>
          <w:color w:val="auto"/>
          <w:szCs w:val="21"/>
        </w:rPr>
      </w:pPr>
      <w:bookmarkStart w:id="13" w:name="OLE_LINK31"/>
      <w:bookmarkStart w:id="14" w:name="OLE_LINK30"/>
      <w:r>
        <w:rPr>
          <w:rFonts w:hint="eastAsia" w:ascii="宋体" w:hAnsi="宋体" w:eastAsia="宋体" w:cs="宋体"/>
          <w:color w:val="auto"/>
          <w:szCs w:val="21"/>
          <w:u w:val="single"/>
        </w:rPr>
        <w:t>河池学院校园大安全二期工程采购</w:t>
      </w:r>
      <w:r>
        <w:rPr>
          <w:rFonts w:hint="eastAsia" w:ascii="宋体" w:hAnsi="宋体" w:eastAsia="宋体" w:cs="宋体"/>
          <w:color w:val="auto"/>
          <w:szCs w:val="21"/>
          <w:u w:val="single"/>
          <w:lang w:eastAsia="zh-CN"/>
        </w:rPr>
        <w:t>（</w:t>
      </w:r>
      <w:r>
        <w:rPr>
          <w:rFonts w:hint="eastAsia" w:ascii="宋体" w:hAnsi="宋体" w:eastAsia="宋体" w:cs="宋体"/>
          <w:color w:val="auto"/>
          <w:szCs w:val="21"/>
          <w:u w:val="single"/>
          <w:lang w:val="en-US" w:eastAsia="zh-CN"/>
        </w:rPr>
        <w:t>重</w:t>
      </w:r>
      <w:r>
        <w:rPr>
          <w:rFonts w:hint="eastAsia" w:ascii="宋体" w:hAnsi="宋体" w:eastAsia="宋体" w:cs="宋体"/>
          <w:color w:val="auto"/>
          <w:szCs w:val="21"/>
          <w:u w:val="single"/>
          <w:lang w:eastAsia="zh-CN"/>
        </w:rPr>
        <w:t>）</w:t>
      </w:r>
      <w:r>
        <w:rPr>
          <w:rFonts w:hint="eastAsia" w:ascii="宋体" w:hAnsi="宋体" w:eastAsia="宋体" w:cs="宋体"/>
          <w:color w:val="auto"/>
          <w:szCs w:val="21"/>
        </w:rPr>
        <w:t>项目的潜在投标人应在广西政府采购云平台（https://www.gcy.zfcg.gxzf.gov.cn/）获取招标文件，并于</w:t>
      </w:r>
      <w:r>
        <w:rPr>
          <w:rFonts w:hint="eastAsia" w:ascii="宋体" w:hAnsi="宋体" w:eastAsia="宋体" w:cs="宋体"/>
          <w:color w:val="auto"/>
          <w:szCs w:val="21"/>
        </w:rPr>
        <w:t>2024年</w:t>
      </w:r>
      <w:r>
        <w:rPr>
          <w:rFonts w:hint="eastAsia" w:ascii="宋体" w:hAnsi="宋体" w:eastAsia="宋体" w:cs="宋体"/>
          <w:color w:val="auto"/>
          <w:szCs w:val="21"/>
          <w:lang w:val="en-US" w:eastAsia="zh-CN"/>
        </w:rPr>
        <w:t>12</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24</w:t>
      </w:r>
      <w:r>
        <w:rPr>
          <w:rFonts w:hint="eastAsia" w:ascii="宋体" w:hAnsi="宋体" w:eastAsia="宋体" w:cs="宋体"/>
          <w:color w:val="auto"/>
          <w:szCs w:val="21"/>
        </w:rPr>
        <w:t>日上午9点00分</w:t>
      </w:r>
      <w:r>
        <w:rPr>
          <w:rFonts w:hint="eastAsia" w:ascii="宋体" w:hAnsi="宋体" w:eastAsia="宋体" w:cs="宋体"/>
          <w:color w:val="auto"/>
          <w:szCs w:val="21"/>
        </w:rPr>
        <w:t>（北京时间）前递交投标文件。</w:t>
      </w:r>
    </w:p>
    <w:bookmarkEnd w:id="13"/>
    <w:bookmarkEnd w:id="14"/>
    <w:p w14:paraId="7E9A5105">
      <w:pPr>
        <w:wordWrap w:val="0"/>
        <w:spacing w:line="400" w:lineRule="exact"/>
        <w:rPr>
          <w:rFonts w:hint="eastAsia" w:ascii="宋体" w:hAnsi="宋体" w:eastAsia="宋体" w:cs="宋体"/>
          <w:b/>
          <w:bCs/>
          <w:color w:val="auto"/>
          <w:szCs w:val="21"/>
        </w:rPr>
      </w:pPr>
      <w:bookmarkStart w:id="15" w:name="_Toc35393621"/>
      <w:bookmarkStart w:id="16" w:name="_Toc28359002"/>
      <w:bookmarkStart w:id="17" w:name="_Toc28359079"/>
      <w:bookmarkStart w:id="18" w:name="_Toc35393790"/>
      <w:bookmarkStart w:id="19" w:name="_Hlk24379207"/>
      <w:r>
        <w:rPr>
          <w:rFonts w:hint="eastAsia" w:ascii="宋体" w:hAnsi="宋体" w:eastAsia="宋体" w:cs="宋体"/>
          <w:b/>
          <w:bCs/>
          <w:color w:val="auto"/>
          <w:szCs w:val="21"/>
        </w:rPr>
        <w:t>一、项目基本情况</w:t>
      </w:r>
      <w:bookmarkEnd w:id="15"/>
      <w:bookmarkEnd w:id="16"/>
      <w:bookmarkEnd w:id="17"/>
      <w:bookmarkEnd w:id="18"/>
    </w:p>
    <w:p w14:paraId="01231F89">
      <w:pPr>
        <w:wordWrap w:val="0"/>
        <w:spacing w:line="400" w:lineRule="exact"/>
        <w:ind w:firstLine="420" w:firstLineChars="200"/>
        <w:rPr>
          <w:rFonts w:hint="eastAsia" w:ascii="宋体" w:hAnsi="宋体" w:eastAsia="宋体" w:cs="宋体"/>
          <w:color w:val="auto"/>
          <w:szCs w:val="21"/>
        </w:rPr>
      </w:pPr>
      <w:bookmarkStart w:id="20" w:name="OLE_LINK32"/>
      <w:bookmarkStart w:id="21" w:name="OLE_LINK33"/>
      <w:r>
        <w:rPr>
          <w:rFonts w:hint="eastAsia" w:ascii="宋体" w:hAnsi="宋体" w:eastAsia="宋体" w:cs="宋体"/>
          <w:color w:val="auto"/>
          <w:szCs w:val="21"/>
        </w:rPr>
        <w:t>项目编号：</w:t>
      </w:r>
      <w:r>
        <w:rPr>
          <w:rFonts w:hint="eastAsia" w:ascii="宋体" w:hAnsi="宋体" w:eastAsia="宋体" w:cs="宋体"/>
          <w:color w:val="auto"/>
          <w:szCs w:val="21"/>
          <w:lang w:eastAsia="zh-CN"/>
        </w:rPr>
        <w:t>GXZC2024-G1-006298-JGJD</w:t>
      </w:r>
      <w:r>
        <w:rPr>
          <w:rFonts w:hint="eastAsia" w:ascii="宋体" w:hAnsi="宋体" w:eastAsia="宋体" w:cs="宋体"/>
          <w:color w:val="auto"/>
          <w:szCs w:val="21"/>
        </w:rPr>
        <w:t>（采购计划备案文号</w:t>
      </w:r>
      <w:r>
        <w:rPr>
          <w:rFonts w:hint="eastAsia" w:ascii="宋体" w:hAnsi="宋体" w:eastAsia="宋体" w:cs="宋体"/>
          <w:color w:val="auto"/>
          <w:szCs w:val="21"/>
        </w:rPr>
        <w:t>:广西政采[2024]15547号</w:t>
      </w:r>
      <w:r>
        <w:rPr>
          <w:rFonts w:hint="eastAsia" w:ascii="宋体" w:hAnsi="宋体" w:eastAsia="宋体" w:cs="宋体"/>
          <w:color w:val="auto"/>
          <w:szCs w:val="21"/>
          <w:lang w:val="en-US" w:eastAsia="zh-CN"/>
        </w:rPr>
        <w:t>-001、002、003、004、005、006</w:t>
      </w:r>
      <w:r>
        <w:rPr>
          <w:rFonts w:hint="eastAsia" w:ascii="宋体" w:hAnsi="宋体" w:eastAsia="宋体" w:cs="宋体"/>
          <w:color w:val="auto"/>
          <w:szCs w:val="21"/>
        </w:rPr>
        <w:t>）</w:t>
      </w:r>
    </w:p>
    <w:p w14:paraId="3B7D81D8">
      <w:pPr>
        <w:wordWrap w:val="0"/>
        <w:spacing w:line="40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项目名称：</w:t>
      </w:r>
      <w:bookmarkEnd w:id="19"/>
      <w:r>
        <w:rPr>
          <w:rFonts w:hint="eastAsia" w:ascii="宋体" w:hAnsi="宋体" w:eastAsia="宋体" w:cs="宋体"/>
          <w:color w:val="auto"/>
          <w:szCs w:val="21"/>
        </w:rPr>
        <w:t>河池学院校园大安全二期工程采购</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重</w:t>
      </w:r>
      <w:r>
        <w:rPr>
          <w:rFonts w:hint="eastAsia" w:ascii="宋体" w:hAnsi="宋体" w:eastAsia="宋体" w:cs="宋体"/>
          <w:color w:val="auto"/>
          <w:szCs w:val="21"/>
          <w:lang w:eastAsia="zh-CN"/>
        </w:rPr>
        <w:t>）</w:t>
      </w:r>
    </w:p>
    <w:p w14:paraId="58EB025A">
      <w:pPr>
        <w:wordWrap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预算总金额（元）：</w:t>
      </w:r>
      <w:r>
        <w:rPr>
          <w:rFonts w:hint="eastAsia" w:ascii="宋体" w:hAnsi="宋体" w:eastAsia="宋体" w:cs="宋体"/>
          <w:color w:val="auto"/>
          <w:szCs w:val="21"/>
        </w:rPr>
        <w:t>4621407</w:t>
      </w:r>
      <w:r>
        <w:rPr>
          <w:rFonts w:hint="eastAsia" w:ascii="宋体" w:hAnsi="宋体" w:eastAsia="宋体" w:cs="宋体"/>
          <w:color w:val="auto"/>
          <w:szCs w:val="21"/>
        </w:rPr>
        <w:t>.00元</w:t>
      </w:r>
    </w:p>
    <w:bookmarkEnd w:id="20"/>
    <w:bookmarkEnd w:id="21"/>
    <w:p w14:paraId="4AC6158E">
      <w:pPr>
        <w:wordWrap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采购需求：</w:t>
      </w:r>
    </w:p>
    <w:p w14:paraId="2C35C0C7">
      <w:pPr>
        <w:wordWrap w:val="0"/>
        <w:spacing w:line="40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kern w:val="44"/>
          <w:szCs w:val="21"/>
        </w:rPr>
        <w:t>标项名称:</w:t>
      </w:r>
      <w:r>
        <w:rPr>
          <w:rFonts w:hint="eastAsia" w:ascii="宋体" w:hAnsi="宋体" w:eastAsia="宋体" w:cs="宋体"/>
          <w:color w:val="auto"/>
          <w:szCs w:val="21"/>
        </w:rPr>
        <w:t>河池学院校园大安全二期工程采购</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重</w:t>
      </w:r>
      <w:r>
        <w:rPr>
          <w:rFonts w:hint="eastAsia" w:ascii="宋体" w:hAnsi="宋体" w:eastAsia="宋体" w:cs="宋体"/>
          <w:color w:val="auto"/>
          <w:szCs w:val="21"/>
          <w:lang w:eastAsia="zh-CN"/>
        </w:rPr>
        <w:t>）</w:t>
      </w:r>
    </w:p>
    <w:p w14:paraId="2531641E">
      <w:pPr>
        <w:wordWrap w:val="0"/>
        <w:spacing w:line="400" w:lineRule="exact"/>
        <w:ind w:firstLine="420" w:firstLineChars="200"/>
        <w:rPr>
          <w:rFonts w:hint="eastAsia" w:ascii="宋体" w:hAnsi="宋体" w:eastAsia="宋体" w:cs="宋体"/>
          <w:color w:val="auto"/>
          <w:kern w:val="44"/>
          <w:szCs w:val="21"/>
        </w:rPr>
      </w:pPr>
      <w:r>
        <w:rPr>
          <w:rFonts w:hint="eastAsia" w:ascii="宋体" w:hAnsi="宋体" w:eastAsia="宋体" w:cs="宋体"/>
          <w:color w:val="auto"/>
          <w:kern w:val="44"/>
          <w:szCs w:val="21"/>
        </w:rPr>
        <w:t>数量:1</w:t>
      </w:r>
    </w:p>
    <w:p w14:paraId="72DA93DC">
      <w:pPr>
        <w:wordWrap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kern w:val="44"/>
          <w:szCs w:val="21"/>
        </w:rPr>
        <w:t>预算金额（元）:</w:t>
      </w:r>
      <w:r>
        <w:rPr>
          <w:rFonts w:hint="eastAsia" w:ascii="宋体" w:hAnsi="宋体" w:eastAsia="宋体" w:cs="宋体"/>
          <w:color w:val="auto"/>
        </w:rPr>
        <w:t xml:space="preserve"> </w:t>
      </w:r>
      <w:r>
        <w:rPr>
          <w:rFonts w:hint="eastAsia" w:ascii="宋体" w:hAnsi="宋体" w:eastAsia="宋体" w:cs="宋体"/>
          <w:color w:val="auto"/>
          <w:szCs w:val="21"/>
        </w:rPr>
        <w:t>4621407</w:t>
      </w:r>
      <w:r>
        <w:rPr>
          <w:rFonts w:hint="eastAsia" w:ascii="宋体" w:hAnsi="宋体" w:eastAsia="宋体" w:cs="宋体"/>
          <w:color w:val="auto"/>
          <w:szCs w:val="21"/>
        </w:rPr>
        <w:t>.00元</w:t>
      </w:r>
    </w:p>
    <w:p w14:paraId="46674B45">
      <w:pPr>
        <w:wordWrap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kern w:val="44"/>
          <w:szCs w:val="21"/>
        </w:rPr>
        <w:t>简要规格描述或项目基本概况介绍、用途：</w:t>
      </w:r>
      <w:r>
        <w:rPr>
          <w:rFonts w:hint="eastAsia" w:ascii="宋体" w:hAnsi="宋体" w:eastAsia="宋体" w:cs="宋体"/>
          <w:color w:val="auto"/>
          <w:szCs w:val="21"/>
        </w:rPr>
        <w:t>包含高校安全基础平台、物联数智AI模型管理平台、综合安消系统、安全管理模块、运控中心系统、系统对接集成、运动场人脸抓拍摄像机、室外智能结构化摄像机、室内场景人脸抓拍摄像机，如需进一步了解详细内容，详见采购文件。</w:t>
      </w:r>
    </w:p>
    <w:p w14:paraId="03BF62B9">
      <w:pPr>
        <w:wordWrap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kern w:val="44"/>
          <w:szCs w:val="21"/>
        </w:rPr>
        <w:t>最高限价（如有）：</w:t>
      </w:r>
      <w:r>
        <w:rPr>
          <w:rFonts w:hint="eastAsia" w:ascii="宋体" w:hAnsi="宋体" w:eastAsia="宋体" w:cs="宋体"/>
          <w:color w:val="auto"/>
          <w:szCs w:val="21"/>
        </w:rPr>
        <w:t>4621407.00</w:t>
      </w:r>
      <w:r>
        <w:rPr>
          <w:rFonts w:hint="eastAsia" w:ascii="宋体" w:hAnsi="宋体" w:eastAsia="宋体" w:cs="宋体"/>
          <w:color w:val="auto"/>
          <w:szCs w:val="21"/>
        </w:rPr>
        <w:t>.00元</w:t>
      </w:r>
    </w:p>
    <w:p w14:paraId="603AFFB6">
      <w:pPr>
        <w:wordWrap w:val="0"/>
        <w:spacing w:line="400" w:lineRule="exact"/>
        <w:ind w:firstLine="420" w:firstLineChars="200"/>
        <w:rPr>
          <w:rFonts w:hint="eastAsia" w:ascii="宋体" w:hAnsi="宋体" w:eastAsia="宋体" w:cs="宋体"/>
          <w:color w:val="auto"/>
          <w:kern w:val="44"/>
          <w:szCs w:val="21"/>
        </w:rPr>
      </w:pPr>
      <w:r>
        <w:rPr>
          <w:rFonts w:hint="eastAsia" w:ascii="宋体" w:hAnsi="宋体" w:eastAsia="宋体" w:cs="宋体"/>
          <w:color w:val="auto"/>
          <w:kern w:val="44"/>
          <w:szCs w:val="21"/>
        </w:rPr>
        <w:t>合同履约期限：详见采购文件。</w:t>
      </w:r>
    </w:p>
    <w:p w14:paraId="5270E546">
      <w:pPr>
        <w:wordWrap w:val="0"/>
        <w:spacing w:line="400" w:lineRule="exact"/>
        <w:ind w:firstLine="420" w:firstLineChars="200"/>
        <w:rPr>
          <w:rFonts w:hint="eastAsia" w:ascii="宋体" w:hAnsi="宋体" w:eastAsia="宋体" w:cs="宋体"/>
          <w:color w:val="auto"/>
          <w:kern w:val="44"/>
          <w:szCs w:val="21"/>
        </w:rPr>
      </w:pPr>
      <w:r>
        <w:rPr>
          <w:rFonts w:hint="eastAsia" w:ascii="宋体" w:hAnsi="宋体" w:eastAsia="宋体" w:cs="宋体"/>
          <w:color w:val="auto"/>
          <w:kern w:val="44"/>
          <w:szCs w:val="21"/>
        </w:rPr>
        <w:t>本标项不接受联合体投标</w:t>
      </w:r>
    </w:p>
    <w:p w14:paraId="50188772">
      <w:pPr>
        <w:wordWrap w:val="0"/>
        <w:spacing w:line="400" w:lineRule="exact"/>
        <w:rPr>
          <w:rFonts w:hint="eastAsia" w:ascii="宋体" w:hAnsi="宋体" w:eastAsia="宋体" w:cs="宋体"/>
          <w:b/>
          <w:bCs/>
          <w:color w:val="auto"/>
          <w:szCs w:val="21"/>
        </w:rPr>
      </w:pPr>
      <w:bookmarkStart w:id="22" w:name="_Toc28359080"/>
      <w:bookmarkStart w:id="23" w:name="_Toc35393622"/>
      <w:bookmarkStart w:id="24" w:name="_Toc28359003"/>
      <w:bookmarkStart w:id="25" w:name="_Toc35393791"/>
      <w:r>
        <w:rPr>
          <w:rFonts w:hint="eastAsia" w:ascii="宋体" w:hAnsi="宋体" w:eastAsia="宋体" w:cs="宋体"/>
          <w:b/>
          <w:bCs/>
          <w:color w:val="auto"/>
          <w:szCs w:val="21"/>
        </w:rPr>
        <w:t>二、申请人的资格要求：</w:t>
      </w:r>
      <w:bookmarkEnd w:id="22"/>
      <w:bookmarkEnd w:id="23"/>
      <w:bookmarkEnd w:id="24"/>
      <w:bookmarkEnd w:id="25"/>
    </w:p>
    <w:p w14:paraId="5810F229">
      <w:pPr>
        <w:wordWrap w:val="0"/>
        <w:spacing w:line="400" w:lineRule="exact"/>
        <w:ind w:firstLine="420" w:firstLineChars="200"/>
        <w:outlineLvl w:val="2"/>
        <w:rPr>
          <w:rFonts w:hint="eastAsia" w:ascii="宋体" w:hAnsi="宋体" w:eastAsia="宋体" w:cs="宋体"/>
          <w:color w:val="auto"/>
          <w:szCs w:val="21"/>
        </w:rPr>
      </w:pPr>
      <w:bookmarkStart w:id="26" w:name="_Hlk51746371"/>
      <w:bookmarkStart w:id="27" w:name="OLE_LINK173"/>
      <w:bookmarkStart w:id="28" w:name="OLE_LINK174"/>
      <w:r>
        <w:rPr>
          <w:rFonts w:hint="eastAsia" w:ascii="宋体" w:hAnsi="宋体" w:eastAsia="宋体" w:cs="宋体"/>
          <w:color w:val="auto"/>
          <w:szCs w:val="21"/>
        </w:rPr>
        <w:t>1.满足《中华人民共和国政府采购法》第二十二条规定；</w:t>
      </w:r>
      <w:bookmarkStart w:id="29" w:name="_Toc28359004"/>
      <w:bookmarkStart w:id="30" w:name="_Toc28359081"/>
    </w:p>
    <w:p w14:paraId="1D26EF41">
      <w:pPr>
        <w:wordWrap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2.落实政府采购政策需满足的资格要求：</w:t>
      </w:r>
      <w:bookmarkEnd w:id="26"/>
      <w:bookmarkStart w:id="31" w:name="_Toc35393792"/>
      <w:bookmarkStart w:id="32" w:name="_Toc35393623"/>
      <w:r>
        <w:rPr>
          <w:rFonts w:hint="eastAsia" w:ascii="宋体" w:hAnsi="宋体" w:eastAsia="宋体" w:cs="宋体"/>
          <w:color w:val="auto"/>
          <w:szCs w:val="21"/>
        </w:rPr>
        <w:t>非专门面向中小企业采购；</w:t>
      </w:r>
    </w:p>
    <w:p w14:paraId="79B55AB7">
      <w:pPr>
        <w:wordWrap w:val="0"/>
        <w:spacing w:line="400" w:lineRule="exact"/>
        <w:ind w:firstLine="420" w:firstLineChars="200"/>
        <w:outlineLvl w:val="2"/>
        <w:rPr>
          <w:rFonts w:hint="eastAsia" w:ascii="宋体" w:hAnsi="宋体" w:eastAsia="宋体" w:cs="宋体"/>
          <w:color w:val="auto"/>
          <w:szCs w:val="21"/>
        </w:rPr>
      </w:pPr>
      <w:r>
        <w:rPr>
          <w:rFonts w:hint="eastAsia" w:ascii="宋体" w:hAnsi="宋体" w:eastAsia="宋体" w:cs="宋体"/>
          <w:color w:val="auto"/>
          <w:szCs w:val="21"/>
        </w:rPr>
        <w:t>3.本项目的特定资格要求：</w:t>
      </w:r>
      <w:bookmarkEnd w:id="27"/>
      <w:bookmarkEnd w:id="28"/>
      <w:r>
        <w:rPr>
          <w:rFonts w:hint="eastAsia" w:ascii="宋体" w:hAnsi="宋体" w:eastAsia="宋体" w:cs="宋体"/>
          <w:color w:val="auto"/>
          <w:szCs w:val="21"/>
        </w:rPr>
        <w:t>无。</w:t>
      </w:r>
    </w:p>
    <w:p w14:paraId="3D6610F9">
      <w:pPr>
        <w:wordWrap w:val="0"/>
        <w:spacing w:line="400" w:lineRule="exact"/>
        <w:rPr>
          <w:rFonts w:hint="eastAsia" w:ascii="宋体" w:hAnsi="宋体" w:eastAsia="宋体" w:cs="宋体"/>
          <w:b/>
          <w:bCs/>
          <w:color w:val="auto"/>
          <w:szCs w:val="21"/>
        </w:rPr>
      </w:pPr>
      <w:r>
        <w:rPr>
          <w:rFonts w:hint="eastAsia" w:ascii="宋体" w:hAnsi="宋体" w:eastAsia="宋体" w:cs="宋体"/>
          <w:b/>
          <w:bCs/>
          <w:color w:val="auto"/>
          <w:szCs w:val="21"/>
        </w:rPr>
        <w:t>三、获取招标文件</w:t>
      </w:r>
      <w:bookmarkEnd w:id="29"/>
      <w:bookmarkEnd w:id="30"/>
      <w:bookmarkEnd w:id="31"/>
      <w:bookmarkEnd w:id="32"/>
    </w:p>
    <w:p w14:paraId="0FA5E8EA">
      <w:pPr>
        <w:wordWrap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时间：</w:t>
      </w:r>
      <w:r>
        <w:rPr>
          <w:rFonts w:hint="eastAsia" w:ascii="宋体" w:hAnsi="宋体" w:eastAsia="宋体" w:cs="宋体"/>
          <w:color w:val="auto"/>
          <w:szCs w:val="21"/>
        </w:rPr>
        <w:t>2024年</w:t>
      </w:r>
      <w:r>
        <w:rPr>
          <w:rFonts w:hint="eastAsia" w:ascii="宋体" w:hAnsi="宋体" w:eastAsia="宋体" w:cs="宋体"/>
          <w:color w:val="auto"/>
          <w:szCs w:val="21"/>
          <w:lang w:val="en-US" w:eastAsia="zh-CN"/>
        </w:rPr>
        <w:t>12</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4</w:t>
      </w:r>
      <w:r>
        <w:rPr>
          <w:rFonts w:hint="eastAsia" w:ascii="宋体" w:hAnsi="宋体" w:eastAsia="宋体" w:cs="宋体"/>
          <w:color w:val="auto"/>
          <w:szCs w:val="21"/>
        </w:rPr>
        <w:t>日至2024年</w:t>
      </w:r>
      <w:r>
        <w:rPr>
          <w:rFonts w:hint="eastAsia" w:ascii="宋体" w:hAnsi="宋体" w:eastAsia="宋体" w:cs="宋体"/>
          <w:color w:val="auto"/>
          <w:szCs w:val="21"/>
          <w:lang w:val="en-US" w:eastAsia="zh-CN"/>
        </w:rPr>
        <w:t>12</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11</w:t>
      </w:r>
      <w:r>
        <w:rPr>
          <w:rFonts w:hint="eastAsia" w:ascii="宋体" w:hAnsi="宋体" w:eastAsia="宋体" w:cs="宋体"/>
          <w:color w:val="auto"/>
          <w:szCs w:val="21"/>
        </w:rPr>
        <w:t>日</w:t>
      </w:r>
      <w:r>
        <w:rPr>
          <w:rFonts w:hint="eastAsia" w:ascii="宋体" w:hAnsi="宋体" w:eastAsia="宋体" w:cs="宋体"/>
          <w:color w:val="auto"/>
          <w:szCs w:val="21"/>
        </w:rPr>
        <w:t>，每天上午00:00至11:59，下午12:00至</w:t>
      </w:r>
      <w:r>
        <w:rPr>
          <w:rFonts w:hint="eastAsia" w:ascii="宋体" w:hAnsi="宋体" w:eastAsia="宋体" w:cs="宋体"/>
          <w:color w:val="auto"/>
          <w:szCs w:val="21"/>
          <w:lang w:val="en-US" w:eastAsia="zh-CN"/>
        </w:rPr>
        <w:t>18</w:t>
      </w:r>
      <w:r>
        <w:rPr>
          <w:rFonts w:hint="eastAsia" w:ascii="宋体" w:hAnsi="宋体" w:eastAsia="宋体" w:cs="宋体"/>
          <w:color w:val="auto"/>
          <w:szCs w:val="21"/>
        </w:rPr>
        <w:t>:</w:t>
      </w:r>
      <w:r>
        <w:rPr>
          <w:rFonts w:hint="eastAsia" w:ascii="宋体" w:hAnsi="宋体" w:eastAsia="宋体" w:cs="宋体"/>
          <w:color w:val="auto"/>
          <w:szCs w:val="21"/>
          <w:lang w:val="en-US" w:eastAsia="zh-CN"/>
        </w:rPr>
        <w:t>00</w:t>
      </w:r>
      <w:r>
        <w:rPr>
          <w:rFonts w:hint="eastAsia" w:ascii="宋体" w:hAnsi="宋体" w:eastAsia="宋体" w:cs="宋体"/>
          <w:color w:val="auto"/>
          <w:szCs w:val="21"/>
        </w:rPr>
        <w:t>（北京时间，法定节假日除外）</w:t>
      </w:r>
    </w:p>
    <w:p w14:paraId="6AE52548">
      <w:pPr>
        <w:wordWrap w:val="0"/>
        <w:spacing w:line="400" w:lineRule="exact"/>
        <w:ind w:firstLine="420" w:firstLineChars="200"/>
        <w:rPr>
          <w:rFonts w:hint="eastAsia" w:ascii="宋体" w:hAnsi="宋体" w:eastAsia="宋体" w:cs="宋体"/>
          <w:color w:val="auto"/>
          <w:szCs w:val="21"/>
        </w:rPr>
      </w:pPr>
      <w:bookmarkStart w:id="33" w:name="_Toc28359082"/>
      <w:bookmarkStart w:id="34" w:name="_Toc28359005"/>
      <w:bookmarkStart w:id="35" w:name="_Toc35393624"/>
      <w:bookmarkStart w:id="36" w:name="_Toc35393793"/>
      <w:r>
        <w:rPr>
          <w:rFonts w:hint="eastAsia" w:ascii="宋体" w:hAnsi="宋体" w:eastAsia="宋体" w:cs="宋体"/>
          <w:color w:val="auto"/>
          <w:szCs w:val="21"/>
        </w:rPr>
        <w:t>地点：</w:t>
      </w:r>
      <w:r>
        <w:rPr>
          <w:rFonts w:hint="eastAsia" w:ascii="宋体" w:hAnsi="宋体" w:eastAsia="宋体" w:cs="宋体"/>
          <w:color w:val="auto"/>
          <w:szCs w:val="21"/>
        </w:rPr>
        <w:t>广西政府采购云平台（https://www.gcy.zfcg.gxzf.gov.cn/）</w:t>
      </w:r>
    </w:p>
    <w:p w14:paraId="73D437E9">
      <w:pPr>
        <w:wordWrap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方式：</w:t>
      </w:r>
      <w:r>
        <w:rPr>
          <w:rFonts w:hint="eastAsia" w:ascii="宋体" w:hAnsi="宋体" w:eastAsia="宋体" w:cs="宋体"/>
          <w:color w:val="auto"/>
          <w:szCs w:val="21"/>
        </w:rPr>
        <w:t>网上下载。本项目不发放纸质文件，潜在投标人可自行在广西政府采购云平台（https://www.gcy.zfcg.gxzf.gov.cn/）下载招标文件（操作路径：登录广西政府采购云平台-项目采购-获取采购文件-找到本项目-点击“申请获取采购文件”），电子投标文件制作需要基于广西政府采购云平台获取的招标文件编制，未在广西政府采购云平台注册的投标人可在获取公开招标文件前登录广西政府采购云平台（https://www.gcy.zfcg.gxzf.gov.cn/）进行注册。如在操作过程中遇到问题或需技术支持，请致电广西政府采购云平台客服热线：95763</w:t>
      </w:r>
      <w:r>
        <w:rPr>
          <w:rFonts w:hint="eastAsia" w:ascii="宋体" w:hAnsi="宋体" w:eastAsia="宋体" w:cs="宋体"/>
          <w:color w:val="auto"/>
          <w:szCs w:val="21"/>
        </w:rPr>
        <w:t>。</w:t>
      </w:r>
    </w:p>
    <w:p w14:paraId="2F71D01E">
      <w:pPr>
        <w:wordWrap w:val="0"/>
        <w:spacing w:line="400" w:lineRule="exact"/>
        <w:outlineLvl w:val="1"/>
        <w:rPr>
          <w:rFonts w:hint="eastAsia" w:ascii="宋体" w:hAnsi="宋体" w:eastAsia="宋体" w:cs="宋体"/>
          <w:b/>
          <w:bCs/>
          <w:color w:val="auto"/>
          <w:szCs w:val="21"/>
        </w:rPr>
      </w:pPr>
      <w:r>
        <w:rPr>
          <w:rFonts w:hint="eastAsia" w:ascii="宋体" w:hAnsi="宋体" w:eastAsia="宋体" w:cs="宋体"/>
          <w:b/>
          <w:bCs/>
          <w:color w:val="auto"/>
          <w:szCs w:val="21"/>
        </w:rPr>
        <w:t>四、提交投标文件</w:t>
      </w:r>
      <w:bookmarkEnd w:id="33"/>
      <w:bookmarkEnd w:id="34"/>
      <w:r>
        <w:rPr>
          <w:rFonts w:hint="eastAsia" w:ascii="宋体" w:hAnsi="宋体" w:eastAsia="宋体" w:cs="宋体"/>
          <w:b/>
          <w:bCs/>
          <w:color w:val="auto"/>
          <w:szCs w:val="21"/>
        </w:rPr>
        <w:t>截止时间、开标时间和地点</w:t>
      </w:r>
      <w:bookmarkEnd w:id="35"/>
      <w:bookmarkEnd w:id="36"/>
    </w:p>
    <w:p w14:paraId="3C49ED15">
      <w:pPr>
        <w:wordWrap w:val="0"/>
        <w:spacing w:line="400" w:lineRule="exact"/>
        <w:ind w:firstLine="420" w:firstLineChars="200"/>
        <w:rPr>
          <w:rFonts w:hint="eastAsia" w:ascii="宋体" w:hAnsi="宋体" w:eastAsia="宋体" w:cs="宋体"/>
          <w:color w:val="auto"/>
          <w:szCs w:val="21"/>
        </w:rPr>
      </w:pPr>
      <w:bookmarkStart w:id="37" w:name="_Toc35393625"/>
      <w:bookmarkStart w:id="38" w:name="_Toc28359084"/>
      <w:bookmarkStart w:id="39" w:name="_Toc28359007"/>
      <w:bookmarkStart w:id="40" w:name="_Toc35393794"/>
      <w:r>
        <w:rPr>
          <w:rFonts w:hint="eastAsia" w:ascii="宋体" w:hAnsi="宋体" w:eastAsia="宋体" w:cs="宋体"/>
          <w:color w:val="auto"/>
          <w:szCs w:val="21"/>
        </w:rPr>
        <w:t>提交投标文件截止时间：</w:t>
      </w:r>
      <w:r>
        <w:rPr>
          <w:rFonts w:hint="eastAsia" w:ascii="宋体" w:hAnsi="宋体" w:eastAsia="宋体" w:cs="宋体"/>
          <w:color w:val="auto"/>
          <w:szCs w:val="21"/>
          <w:u w:val="single"/>
        </w:rPr>
        <w:t>202</w:t>
      </w:r>
      <w:r>
        <w:rPr>
          <w:rFonts w:hint="eastAsia" w:ascii="宋体" w:hAnsi="宋体" w:eastAsia="宋体" w:cs="宋体"/>
          <w:color w:val="auto"/>
          <w:szCs w:val="21"/>
          <w:u w:val="single"/>
        </w:rPr>
        <w:t>4</w:t>
      </w:r>
      <w:r>
        <w:rPr>
          <w:rFonts w:hint="eastAsia" w:ascii="宋体" w:hAnsi="宋体" w:eastAsia="宋体" w:cs="宋体"/>
          <w:bCs/>
          <w:color w:val="auto"/>
          <w:szCs w:val="21"/>
          <w:u w:val="single"/>
        </w:rPr>
        <w:t>年</w:t>
      </w:r>
      <w:r>
        <w:rPr>
          <w:rFonts w:hint="eastAsia" w:ascii="宋体" w:hAnsi="宋体" w:eastAsia="宋体" w:cs="宋体"/>
          <w:bCs/>
          <w:color w:val="auto"/>
          <w:szCs w:val="21"/>
          <w:u w:val="single"/>
          <w:lang w:val="en-US" w:eastAsia="zh-CN"/>
        </w:rPr>
        <w:t>12</w:t>
      </w:r>
      <w:r>
        <w:rPr>
          <w:rFonts w:hint="eastAsia" w:ascii="宋体" w:hAnsi="宋体" w:eastAsia="宋体" w:cs="宋体"/>
          <w:bCs/>
          <w:color w:val="auto"/>
          <w:szCs w:val="21"/>
          <w:u w:val="single"/>
        </w:rPr>
        <w:t>月</w:t>
      </w:r>
      <w:r>
        <w:rPr>
          <w:rFonts w:hint="eastAsia" w:ascii="宋体" w:hAnsi="宋体" w:eastAsia="宋体" w:cs="宋体"/>
          <w:bCs/>
          <w:color w:val="auto"/>
          <w:szCs w:val="21"/>
          <w:u w:val="single"/>
          <w:lang w:val="en-US" w:eastAsia="zh-CN"/>
        </w:rPr>
        <w:t>24</w:t>
      </w:r>
      <w:r>
        <w:rPr>
          <w:rFonts w:hint="eastAsia" w:ascii="宋体" w:hAnsi="宋体" w:eastAsia="宋体" w:cs="宋体"/>
          <w:bCs/>
          <w:color w:val="auto"/>
          <w:szCs w:val="21"/>
          <w:u w:val="single"/>
        </w:rPr>
        <w:t>日上午</w:t>
      </w:r>
      <w:r>
        <w:rPr>
          <w:rFonts w:hint="eastAsia" w:ascii="宋体" w:hAnsi="宋体" w:eastAsia="宋体" w:cs="宋体"/>
          <w:bCs/>
          <w:color w:val="auto"/>
          <w:szCs w:val="21"/>
          <w:u w:val="single"/>
        </w:rPr>
        <w:t>09</w:t>
      </w:r>
      <w:r>
        <w:rPr>
          <w:rFonts w:hint="eastAsia" w:ascii="宋体" w:hAnsi="宋体" w:eastAsia="宋体" w:cs="宋体"/>
          <w:color w:val="auto"/>
          <w:szCs w:val="21"/>
          <w:u w:val="single"/>
        </w:rPr>
        <w:t>：</w:t>
      </w:r>
      <w:r>
        <w:rPr>
          <w:rFonts w:hint="eastAsia" w:ascii="宋体" w:hAnsi="宋体" w:eastAsia="宋体" w:cs="宋体"/>
          <w:color w:val="auto"/>
          <w:szCs w:val="21"/>
          <w:u w:val="single"/>
        </w:rPr>
        <w:t>00</w:t>
      </w:r>
      <w:r>
        <w:rPr>
          <w:rFonts w:hint="eastAsia" w:ascii="宋体" w:hAnsi="宋体" w:eastAsia="宋体" w:cs="宋体"/>
          <w:color w:val="auto"/>
          <w:szCs w:val="21"/>
        </w:rPr>
        <w:t>（</w:t>
      </w:r>
      <w:r>
        <w:rPr>
          <w:rFonts w:hint="eastAsia" w:ascii="宋体" w:hAnsi="宋体" w:eastAsia="宋体" w:cs="宋体"/>
          <w:color w:val="auto"/>
          <w:szCs w:val="21"/>
        </w:rPr>
        <w:t>北京时间）</w:t>
      </w:r>
    </w:p>
    <w:p w14:paraId="7B1924D4">
      <w:pPr>
        <w:wordWrap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投标地点：通过广西政府采购云平台（https://www.gcy.zfcg.gxzf.gov.cn/）实行在线投标响应</w:t>
      </w:r>
    </w:p>
    <w:p w14:paraId="0EA6CFEE">
      <w:pPr>
        <w:wordWrap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开标时间：</w:t>
      </w:r>
      <w:r>
        <w:rPr>
          <w:rFonts w:hint="eastAsia" w:ascii="宋体" w:hAnsi="宋体" w:eastAsia="宋体" w:cs="宋体"/>
          <w:color w:val="auto"/>
          <w:szCs w:val="21"/>
          <w:u w:val="single"/>
        </w:rPr>
        <w:t>202</w:t>
      </w:r>
      <w:r>
        <w:rPr>
          <w:rFonts w:hint="eastAsia" w:ascii="宋体" w:hAnsi="宋体" w:eastAsia="宋体" w:cs="宋体"/>
          <w:color w:val="auto"/>
          <w:szCs w:val="21"/>
          <w:u w:val="single"/>
        </w:rPr>
        <w:t>4</w:t>
      </w:r>
      <w:r>
        <w:rPr>
          <w:rFonts w:hint="eastAsia" w:ascii="宋体" w:hAnsi="宋体" w:eastAsia="宋体" w:cs="宋体"/>
          <w:bCs/>
          <w:color w:val="auto"/>
          <w:szCs w:val="21"/>
          <w:u w:val="single"/>
        </w:rPr>
        <w:t>年</w:t>
      </w:r>
      <w:r>
        <w:rPr>
          <w:rFonts w:hint="eastAsia" w:ascii="宋体" w:hAnsi="宋体" w:eastAsia="宋体" w:cs="宋体"/>
          <w:bCs/>
          <w:color w:val="auto"/>
          <w:szCs w:val="21"/>
          <w:u w:val="single"/>
          <w:lang w:val="en-US" w:eastAsia="zh-CN"/>
        </w:rPr>
        <w:t>12</w:t>
      </w:r>
      <w:r>
        <w:rPr>
          <w:rFonts w:hint="eastAsia" w:ascii="宋体" w:hAnsi="宋体" w:eastAsia="宋体" w:cs="宋体"/>
          <w:bCs/>
          <w:color w:val="auto"/>
          <w:szCs w:val="21"/>
          <w:u w:val="single"/>
        </w:rPr>
        <w:t>月</w:t>
      </w:r>
      <w:r>
        <w:rPr>
          <w:rFonts w:hint="eastAsia" w:ascii="宋体" w:hAnsi="宋体" w:eastAsia="宋体" w:cs="宋体"/>
          <w:bCs/>
          <w:color w:val="auto"/>
          <w:szCs w:val="21"/>
          <w:u w:val="single"/>
          <w:lang w:val="en-US" w:eastAsia="zh-CN"/>
        </w:rPr>
        <w:t>24</w:t>
      </w:r>
      <w:r>
        <w:rPr>
          <w:rFonts w:hint="eastAsia" w:ascii="宋体" w:hAnsi="宋体" w:eastAsia="宋体" w:cs="宋体"/>
          <w:bCs/>
          <w:color w:val="auto"/>
          <w:szCs w:val="21"/>
          <w:u w:val="single"/>
        </w:rPr>
        <w:t>日上午</w:t>
      </w:r>
      <w:r>
        <w:rPr>
          <w:rFonts w:hint="eastAsia" w:ascii="宋体" w:hAnsi="宋体" w:eastAsia="宋体" w:cs="宋体"/>
          <w:bCs/>
          <w:color w:val="auto"/>
          <w:szCs w:val="21"/>
          <w:u w:val="single"/>
        </w:rPr>
        <w:t>09</w:t>
      </w:r>
      <w:r>
        <w:rPr>
          <w:rFonts w:hint="eastAsia" w:ascii="宋体" w:hAnsi="宋体" w:eastAsia="宋体" w:cs="宋体"/>
          <w:color w:val="auto"/>
          <w:szCs w:val="21"/>
          <w:u w:val="single"/>
        </w:rPr>
        <w:t>：</w:t>
      </w:r>
      <w:r>
        <w:rPr>
          <w:rFonts w:hint="eastAsia" w:ascii="宋体" w:hAnsi="宋体" w:eastAsia="宋体" w:cs="宋体"/>
          <w:color w:val="auto"/>
          <w:szCs w:val="21"/>
          <w:u w:val="single"/>
        </w:rPr>
        <w:t>00</w:t>
      </w:r>
      <w:r>
        <w:rPr>
          <w:rFonts w:hint="eastAsia" w:ascii="宋体" w:hAnsi="宋体" w:eastAsia="宋体" w:cs="宋体"/>
          <w:color w:val="auto"/>
          <w:szCs w:val="21"/>
        </w:rPr>
        <w:t>（北京时间）</w:t>
      </w:r>
    </w:p>
    <w:p w14:paraId="30839B21">
      <w:pPr>
        <w:wordWrap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开标地点：通过广西政府采购云平台（https://www.gcy.zfcg.gxzf.gov.cn/）实行在线开标</w:t>
      </w:r>
    </w:p>
    <w:p w14:paraId="43E30745">
      <w:pPr>
        <w:wordWrap w:val="0"/>
        <w:spacing w:line="400" w:lineRule="exact"/>
        <w:rPr>
          <w:rFonts w:hint="eastAsia" w:ascii="宋体" w:hAnsi="宋体" w:eastAsia="宋体" w:cs="宋体"/>
          <w:color w:val="auto"/>
          <w:kern w:val="0"/>
          <w:szCs w:val="21"/>
        </w:rPr>
      </w:pPr>
      <w:r>
        <w:rPr>
          <w:rFonts w:hint="eastAsia" w:ascii="宋体" w:hAnsi="宋体" w:eastAsia="宋体" w:cs="宋体"/>
          <w:b/>
          <w:bCs/>
          <w:color w:val="auto"/>
          <w:szCs w:val="21"/>
        </w:rPr>
        <w:t>五、公告期限</w:t>
      </w:r>
      <w:bookmarkEnd w:id="37"/>
      <w:bookmarkEnd w:id="38"/>
      <w:bookmarkEnd w:id="39"/>
      <w:bookmarkEnd w:id="40"/>
      <w:r>
        <w:rPr>
          <w:rFonts w:hint="eastAsia" w:ascii="宋体" w:hAnsi="宋体" w:eastAsia="宋体" w:cs="宋体"/>
          <w:b/>
          <w:bCs/>
          <w:color w:val="auto"/>
          <w:szCs w:val="21"/>
        </w:rPr>
        <w:t>：</w:t>
      </w:r>
      <w:r>
        <w:rPr>
          <w:rFonts w:hint="eastAsia" w:ascii="宋体" w:hAnsi="宋体" w:eastAsia="宋体" w:cs="宋体"/>
          <w:color w:val="auto"/>
          <w:kern w:val="0"/>
          <w:szCs w:val="21"/>
        </w:rPr>
        <w:t>自本公告发布之日起</w:t>
      </w:r>
      <w:r>
        <w:rPr>
          <w:rFonts w:hint="eastAsia" w:ascii="宋体" w:hAnsi="宋体" w:eastAsia="宋体" w:cs="宋体"/>
          <w:color w:val="auto"/>
          <w:kern w:val="0"/>
          <w:szCs w:val="21"/>
        </w:rPr>
        <w:t>5个工作日。</w:t>
      </w:r>
    </w:p>
    <w:p w14:paraId="779ACA70">
      <w:pPr>
        <w:wordWrap w:val="0"/>
        <w:spacing w:line="400" w:lineRule="exact"/>
        <w:rPr>
          <w:rFonts w:hint="eastAsia" w:ascii="宋体" w:hAnsi="宋体" w:eastAsia="宋体" w:cs="宋体"/>
          <w:b/>
          <w:bCs/>
          <w:color w:val="auto"/>
          <w:szCs w:val="21"/>
        </w:rPr>
      </w:pPr>
      <w:bookmarkStart w:id="41" w:name="_Toc35393626"/>
      <w:bookmarkStart w:id="42" w:name="_Toc35393795"/>
      <w:r>
        <w:rPr>
          <w:rFonts w:hint="eastAsia" w:ascii="宋体" w:hAnsi="宋体" w:eastAsia="宋体" w:cs="宋体"/>
          <w:b/>
          <w:bCs/>
          <w:color w:val="auto"/>
          <w:szCs w:val="21"/>
        </w:rPr>
        <w:t>六、其他补充事宜</w:t>
      </w:r>
      <w:bookmarkEnd w:id="41"/>
      <w:bookmarkEnd w:id="42"/>
    </w:p>
    <w:p w14:paraId="08552BDE">
      <w:pPr>
        <w:wordWrap w:val="0"/>
        <w:spacing w:line="400" w:lineRule="exact"/>
        <w:ind w:firstLine="420" w:firstLineChars="200"/>
        <w:rPr>
          <w:rFonts w:hint="eastAsia" w:ascii="宋体" w:hAnsi="宋体" w:eastAsia="宋体" w:cs="宋体"/>
          <w:bCs/>
          <w:color w:val="auto"/>
          <w:szCs w:val="21"/>
          <w:u w:val="single"/>
        </w:rPr>
      </w:pPr>
      <w:bookmarkStart w:id="43" w:name="_Hlk37429585"/>
      <w:bookmarkStart w:id="44" w:name="_Hlk37429595"/>
      <w:bookmarkStart w:id="45" w:name="OLE_LINK45"/>
      <w:bookmarkStart w:id="46" w:name="OLE_LINK44"/>
      <w:r>
        <w:rPr>
          <w:rFonts w:hint="eastAsia" w:ascii="宋体" w:hAnsi="宋体" w:eastAsia="宋体" w:cs="宋体"/>
          <w:bCs/>
          <w:color w:val="auto"/>
          <w:szCs w:val="21"/>
        </w:rPr>
        <w:t>1.投标保证金（须足额交纳）：</w:t>
      </w:r>
      <w:r>
        <w:rPr>
          <w:rFonts w:hint="eastAsia" w:ascii="宋体" w:hAnsi="宋体" w:eastAsia="宋体" w:cs="宋体"/>
          <w:color w:val="auto"/>
          <w:szCs w:val="21"/>
        </w:rPr>
        <w:t>35000.00元（交纳注意事项详见投标人须知前附表）</w:t>
      </w:r>
    </w:p>
    <w:p w14:paraId="46809CD2">
      <w:pPr>
        <w:wordWrap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2.公告发布媒体：</w:t>
      </w:r>
      <w:bookmarkEnd w:id="43"/>
      <w:bookmarkEnd w:id="44"/>
      <w:r>
        <w:rPr>
          <w:rFonts w:hint="eastAsia" w:ascii="宋体" w:hAnsi="宋体" w:eastAsia="宋体" w:cs="宋体"/>
          <w:color w:val="auto"/>
          <w:szCs w:val="21"/>
        </w:rPr>
        <w:t>中国政府采购网（www.ccgp.gov.cn）、广西壮族自治区政府采购网（http：//zfcg.gxzf.gov.cn）、</w:t>
      </w:r>
      <w:r>
        <w:rPr>
          <w:rFonts w:hint="eastAsia" w:ascii="宋体" w:hAnsi="宋体" w:eastAsia="宋体" w:cs="宋体"/>
          <w:color w:val="auto"/>
        </w:rPr>
        <w:t>广西阳光采购服务平台</w:t>
      </w:r>
      <w:r>
        <w:rPr>
          <w:rFonts w:hint="eastAsia" w:ascii="宋体" w:hAnsi="宋体" w:eastAsia="宋体" w:cs="宋体"/>
          <w:color w:val="auto"/>
          <w:szCs w:val="21"/>
        </w:rPr>
        <w:t>（https://gxygcg.ejy365.com/）、</w:t>
      </w:r>
      <w:r>
        <w:rPr>
          <w:rFonts w:hint="eastAsia" w:ascii="宋体" w:hAnsi="宋体" w:eastAsia="宋体" w:cs="宋体"/>
          <w:color w:val="auto"/>
          <w:szCs w:val="21"/>
        </w:rPr>
        <w:t>广西招标网（</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"http://www.guangxibid.com.cn" </w:instrText>
      </w:r>
      <w:r>
        <w:rPr>
          <w:rFonts w:hint="eastAsia" w:ascii="宋体" w:hAnsi="宋体" w:eastAsia="宋体" w:cs="宋体"/>
          <w:color w:val="auto"/>
        </w:rPr>
        <w:fldChar w:fldCharType="separate"/>
      </w:r>
      <w:r>
        <w:rPr>
          <w:rFonts w:hint="eastAsia" w:ascii="宋体" w:hAnsi="宋体" w:eastAsia="宋体" w:cs="宋体"/>
          <w:color w:val="auto"/>
          <w:szCs w:val="21"/>
        </w:rPr>
        <w:t>www.guangxibid.com.cn</w:t>
      </w:r>
      <w:r>
        <w:rPr>
          <w:rFonts w:hint="eastAsia" w:ascii="宋体" w:hAnsi="宋体" w:eastAsia="宋体" w:cs="宋体"/>
          <w:color w:val="auto"/>
          <w:szCs w:val="21"/>
        </w:rPr>
        <w:fldChar w:fldCharType="end"/>
      </w:r>
      <w:r>
        <w:rPr>
          <w:rFonts w:hint="eastAsia" w:ascii="宋体" w:hAnsi="宋体" w:eastAsia="宋体" w:cs="宋体"/>
          <w:color w:val="auto"/>
          <w:szCs w:val="21"/>
        </w:rPr>
        <w:t>）。</w:t>
      </w:r>
    </w:p>
    <w:p w14:paraId="4F0CEE78">
      <w:pPr>
        <w:wordWrap w:val="0"/>
        <w:spacing w:line="400" w:lineRule="exact"/>
        <w:ind w:firstLine="424" w:firstLineChars="202"/>
        <w:rPr>
          <w:rFonts w:hint="eastAsia" w:ascii="宋体" w:hAnsi="宋体" w:eastAsia="宋体" w:cs="宋体"/>
          <w:color w:val="auto"/>
          <w:szCs w:val="21"/>
        </w:rPr>
      </w:pPr>
      <w:bookmarkStart w:id="47" w:name="_Hlk37429674"/>
      <w:r>
        <w:rPr>
          <w:rFonts w:hint="eastAsia" w:ascii="宋体" w:hAnsi="宋体" w:eastAsia="宋体" w:cs="宋体"/>
          <w:bCs/>
          <w:color w:val="auto"/>
          <w:szCs w:val="21"/>
        </w:rPr>
        <w:t>3.本项目落实的政府采购政策：</w:t>
      </w:r>
      <w:r>
        <w:rPr>
          <w:rFonts w:hint="eastAsia" w:ascii="宋体" w:hAnsi="宋体" w:eastAsia="宋体" w:cs="宋体"/>
          <w:color w:val="auto"/>
          <w:szCs w:val="21"/>
        </w:rPr>
        <w:t>政府采购促进中小企业发展；政府采购支持采用本国产品的政策；</w:t>
      </w:r>
      <w:r>
        <w:rPr>
          <w:rFonts w:hint="eastAsia" w:ascii="宋体" w:hAnsi="宋体" w:eastAsia="宋体" w:cs="宋体"/>
          <w:color w:val="auto"/>
          <w:kern w:val="0"/>
          <w:szCs w:val="21"/>
        </w:rPr>
        <w:t>强制采购节能产品；优先采购节能产品、环境标志产品</w:t>
      </w:r>
      <w:r>
        <w:rPr>
          <w:rFonts w:hint="eastAsia" w:ascii="宋体" w:hAnsi="宋体" w:eastAsia="宋体" w:cs="宋体"/>
          <w:color w:val="auto"/>
          <w:szCs w:val="21"/>
        </w:rPr>
        <w:t>；</w:t>
      </w:r>
      <w:r>
        <w:rPr>
          <w:rFonts w:hint="eastAsia" w:ascii="宋体" w:hAnsi="宋体" w:eastAsia="宋体" w:cs="宋体"/>
          <w:color w:val="auto"/>
          <w:kern w:val="0"/>
          <w:szCs w:val="21"/>
        </w:rPr>
        <w:t>政府采购促进残疾人就业政策；政府采购支持监狱企业发展。</w:t>
      </w:r>
    </w:p>
    <w:p w14:paraId="3E2544B1">
      <w:pPr>
        <w:wordWrap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w:t>
      </w:r>
      <w:r>
        <w:rPr>
          <w:rFonts w:hint="eastAsia" w:ascii="宋体" w:hAnsi="宋体" w:eastAsia="宋体" w:cs="宋体"/>
          <w:color w:val="auto"/>
          <w:szCs w:val="21"/>
        </w:rPr>
        <w:t>.单位负责人为同一人或者存在直接控股、管理关系的不同</w:t>
      </w:r>
      <w:r>
        <w:rPr>
          <w:rFonts w:hint="eastAsia" w:ascii="宋体" w:hAnsi="宋体" w:eastAsia="宋体" w:cs="宋体"/>
          <w:color w:val="auto"/>
          <w:szCs w:val="21"/>
        </w:rPr>
        <w:t>投标人</w:t>
      </w:r>
      <w:r>
        <w:rPr>
          <w:rFonts w:hint="eastAsia" w:ascii="宋体" w:hAnsi="宋体" w:eastAsia="宋体" w:cs="宋体"/>
          <w:color w:val="auto"/>
          <w:szCs w:val="21"/>
        </w:rPr>
        <w:t>，不得参加同一合同项下的政府采购活动。为本项目提供过整体设计、规范编制或者项目管理、监理、检测等服务的</w:t>
      </w:r>
      <w:r>
        <w:rPr>
          <w:rFonts w:hint="eastAsia" w:ascii="宋体" w:hAnsi="宋体" w:eastAsia="宋体" w:cs="宋体"/>
          <w:color w:val="auto"/>
          <w:szCs w:val="21"/>
        </w:rPr>
        <w:t>投标人</w:t>
      </w:r>
      <w:r>
        <w:rPr>
          <w:rFonts w:hint="eastAsia" w:ascii="宋体" w:hAnsi="宋体" w:eastAsia="宋体" w:cs="宋体"/>
          <w:color w:val="auto"/>
          <w:szCs w:val="21"/>
        </w:rPr>
        <w:t>，不得再参加本项目上述服务以外的其他采购活动</w:t>
      </w:r>
      <w:r>
        <w:rPr>
          <w:rFonts w:hint="eastAsia" w:ascii="宋体" w:hAnsi="宋体" w:eastAsia="宋体" w:cs="宋体"/>
          <w:color w:val="auto"/>
          <w:szCs w:val="21"/>
        </w:rPr>
        <w:t>；</w:t>
      </w:r>
    </w:p>
    <w:p w14:paraId="36C8FEA3">
      <w:pPr>
        <w:wordWrap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w:t>
      </w:r>
      <w:r>
        <w:rPr>
          <w:rFonts w:hint="eastAsia" w:ascii="宋体" w:hAnsi="宋体" w:eastAsia="宋体" w:cs="宋体"/>
          <w:color w:val="auto"/>
          <w:szCs w:val="21"/>
        </w:rPr>
        <w:t xml:space="preserve">对在“信用中国”网站(www.creditchina.gov.cn) </w:t>
      </w:r>
      <w:r>
        <w:rPr>
          <w:rFonts w:hint="eastAsia" w:ascii="宋体" w:hAnsi="宋体" w:eastAsia="宋体" w:cs="宋体"/>
          <w:color w:val="auto"/>
          <w:szCs w:val="21"/>
        </w:rPr>
        <w:t>、中国政府采购网</w:t>
      </w:r>
      <w:r>
        <w:rPr>
          <w:rFonts w:hint="eastAsia" w:ascii="宋体" w:hAnsi="宋体" w:eastAsia="宋体" w:cs="宋体"/>
          <w:color w:val="auto"/>
          <w:szCs w:val="21"/>
        </w:rPr>
        <w:t>(www.ccgp.gov.cn)被列入失信被执行人、重大税收违法失信主体、政府采购严重违法失信行为记录名单及其他不符合《中华人民共和国政府采购法》第二十二条规定条件的</w:t>
      </w:r>
      <w:r>
        <w:rPr>
          <w:rFonts w:hint="eastAsia" w:ascii="宋体" w:hAnsi="宋体" w:eastAsia="宋体" w:cs="宋体"/>
          <w:color w:val="auto"/>
          <w:szCs w:val="21"/>
        </w:rPr>
        <w:t>投标人</w:t>
      </w:r>
      <w:r>
        <w:rPr>
          <w:rFonts w:hint="eastAsia" w:ascii="宋体" w:hAnsi="宋体" w:eastAsia="宋体" w:cs="宋体"/>
          <w:color w:val="auto"/>
          <w:szCs w:val="21"/>
        </w:rPr>
        <w:t>，不得参与政府采购活动。</w:t>
      </w:r>
    </w:p>
    <w:bookmarkEnd w:id="45"/>
    <w:bookmarkEnd w:id="46"/>
    <w:bookmarkEnd w:id="47"/>
    <w:p w14:paraId="57DD7FDE">
      <w:pPr>
        <w:widowControl/>
        <w:wordWrap w:val="0"/>
        <w:spacing w:line="400" w:lineRule="exact"/>
        <w:ind w:firstLine="422" w:firstLineChars="200"/>
        <w:outlineLvl w:val="2"/>
        <w:rPr>
          <w:rFonts w:hint="eastAsia" w:ascii="宋体" w:hAnsi="宋体" w:eastAsia="宋体" w:cs="宋体"/>
          <w:b/>
          <w:bCs/>
          <w:color w:val="auto"/>
          <w:szCs w:val="21"/>
        </w:rPr>
      </w:pPr>
      <w:bookmarkStart w:id="48" w:name="_Toc28359008"/>
      <w:bookmarkStart w:id="49" w:name="_Toc35393796"/>
      <w:bookmarkStart w:id="50" w:name="_Toc35393627"/>
      <w:bookmarkStart w:id="51" w:name="_Toc28359085"/>
      <w:r>
        <w:rPr>
          <w:rFonts w:hint="eastAsia" w:ascii="宋体" w:hAnsi="宋体" w:eastAsia="宋体" w:cs="宋体"/>
          <w:b/>
          <w:bCs/>
          <w:color w:val="auto"/>
          <w:kern w:val="0"/>
          <w:szCs w:val="21"/>
        </w:rPr>
        <w:t>6</w:t>
      </w:r>
      <w:r>
        <w:rPr>
          <w:rFonts w:hint="eastAsia" w:ascii="宋体" w:hAnsi="宋体" w:eastAsia="宋体" w:cs="宋体"/>
          <w:b/>
          <w:bCs/>
          <w:color w:val="auto"/>
          <w:kern w:val="0"/>
          <w:szCs w:val="21"/>
        </w:rPr>
        <w:t>.</w:t>
      </w:r>
      <w:r>
        <w:rPr>
          <w:rFonts w:hint="eastAsia" w:ascii="宋体" w:hAnsi="宋体" w:eastAsia="宋体" w:cs="宋体"/>
          <w:b/>
          <w:bCs/>
          <w:color w:val="auto"/>
          <w:kern w:val="0"/>
          <w:szCs w:val="21"/>
        </w:rPr>
        <w:t>投标人</w:t>
      </w:r>
      <w:r>
        <w:rPr>
          <w:rFonts w:hint="eastAsia" w:ascii="宋体" w:hAnsi="宋体" w:eastAsia="宋体" w:cs="宋体"/>
          <w:b/>
          <w:bCs/>
          <w:color w:val="auto"/>
          <w:szCs w:val="21"/>
        </w:rPr>
        <w:t>投标注意事项</w:t>
      </w:r>
    </w:p>
    <w:p w14:paraId="677F3A84">
      <w:pPr>
        <w:widowControl/>
        <w:wordWrap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1）本项目为全流程电子化采购项目，</w:t>
      </w:r>
      <w:r>
        <w:rPr>
          <w:rFonts w:hint="eastAsia" w:ascii="宋体" w:hAnsi="宋体" w:eastAsia="宋体" w:cs="宋体"/>
          <w:color w:val="auto"/>
          <w:szCs w:val="21"/>
        </w:rPr>
        <w:t>通过广西政府采购云平台（https://www.gcy.zfcg.gxzf.gov.cn/）实行在线电子投标，供应商应先安装广西政府采购云平台新版客户端（新版客户端下载路径：广西政府采购网（访问地址http://zfcg.gxzf.gov.cn/）—办事服务—下载专区），并按照本项目招标文件和广西政府采购云平台的要求编制、加密后在投标截止时间前通过网络上传至广西政府采购云平台，投标人在广西政府采购云平台提交电子版投标文件时，请填写参加远程开标活动经办人联系方式。</w:t>
      </w:r>
    </w:p>
    <w:p w14:paraId="16F4D61D">
      <w:pPr>
        <w:widowControl/>
        <w:wordWrap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2）</w:t>
      </w:r>
      <w:r>
        <w:rPr>
          <w:rFonts w:hint="eastAsia" w:ascii="宋体" w:hAnsi="宋体" w:eastAsia="宋体" w:cs="宋体"/>
          <w:color w:val="auto"/>
          <w:szCs w:val="21"/>
        </w:rPr>
        <w:t>未进行网上注册并办理数字证书（CA认证）的供应商将无法参与本项目政府采购活动，潜在投标人应当在投标截止时间前，完成电子交易平台上的CA数字证书办理及投标文件的提交。</w:t>
      </w:r>
    </w:p>
    <w:p w14:paraId="49C6C930">
      <w:pPr>
        <w:wordWrap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w:t>
      </w:r>
      <w:r>
        <w:rPr>
          <w:rFonts w:hint="eastAsia" w:ascii="宋体" w:hAnsi="宋体" w:eastAsia="宋体" w:cs="宋体"/>
          <w:color w:val="auto"/>
          <w:kern w:val="0"/>
          <w:szCs w:val="21"/>
        </w:rPr>
        <w:t>3）</w:t>
      </w:r>
      <w:r>
        <w:rPr>
          <w:rFonts w:hint="eastAsia" w:ascii="宋体" w:hAnsi="宋体" w:eastAsia="宋体" w:cs="宋体"/>
          <w:color w:val="auto"/>
          <w:kern w:val="0"/>
          <w:szCs w:val="21"/>
        </w:rPr>
        <w:t>为确保网上操作合法、有效和安全，请投标人确保在电子投标过程中能够对相关数据电文进行加密和使用电子签章，妥善保管CA数字证书并使用有效的CA数字证书参与整个招标活动</w:t>
      </w:r>
      <w:r>
        <w:rPr>
          <w:rFonts w:hint="eastAsia" w:ascii="宋体" w:hAnsi="宋体" w:eastAsia="宋体" w:cs="宋体"/>
          <w:color w:val="auto"/>
          <w:kern w:val="0"/>
          <w:szCs w:val="21"/>
        </w:rPr>
        <w:t>。</w:t>
      </w:r>
    </w:p>
    <w:p w14:paraId="6A21082F">
      <w:pPr>
        <w:wordWrap w:val="0"/>
        <w:spacing w:line="400" w:lineRule="exact"/>
        <w:ind w:firstLine="420" w:firstLineChars="200"/>
        <w:rPr>
          <w:rFonts w:hint="eastAsia" w:ascii="宋体" w:hAnsi="宋体" w:eastAsia="宋体" w:cs="宋体"/>
          <w:bCs/>
          <w:color w:val="auto"/>
          <w:szCs w:val="21"/>
        </w:rPr>
      </w:pPr>
      <w:r>
        <w:rPr>
          <w:rFonts w:hint="eastAsia" w:ascii="宋体" w:hAnsi="宋体" w:eastAsia="宋体" w:cs="宋体"/>
          <w:color w:val="auto"/>
          <w:szCs w:val="21"/>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r>
        <w:rPr>
          <w:rFonts w:hint="eastAsia" w:ascii="宋体" w:hAnsi="宋体" w:eastAsia="宋体" w:cs="宋体"/>
          <w:bCs/>
          <w:color w:val="auto"/>
          <w:szCs w:val="21"/>
        </w:rPr>
        <w:t>。</w:t>
      </w:r>
    </w:p>
    <w:p w14:paraId="1043D36F">
      <w:pPr>
        <w:wordWrap w:val="0"/>
        <w:spacing w:line="400" w:lineRule="exact"/>
        <w:ind w:firstLine="420" w:firstLineChars="200"/>
        <w:rPr>
          <w:rFonts w:hint="eastAsia" w:ascii="宋体" w:hAnsi="宋体" w:eastAsia="宋体" w:cs="宋体"/>
          <w:color w:val="auto"/>
          <w:kern w:val="0"/>
          <w:szCs w:val="21"/>
          <w:lang w:val="zh-TW" w:bidi="zh-TW"/>
        </w:rPr>
      </w:pPr>
      <w:r>
        <w:rPr>
          <w:rFonts w:hint="eastAsia" w:ascii="宋体" w:hAnsi="宋体" w:eastAsia="宋体" w:cs="宋体"/>
          <w:color w:val="auto"/>
          <w:kern w:val="0"/>
          <w:szCs w:val="21"/>
          <w:lang w:val="zh-TW" w:eastAsia="zh-TW" w:bidi="zh-TW"/>
        </w:rPr>
        <w:t>（</w:t>
      </w:r>
      <w:r>
        <w:rPr>
          <w:rFonts w:hint="eastAsia" w:ascii="宋体" w:hAnsi="宋体" w:eastAsia="宋体" w:cs="宋体"/>
          <w:color w:val="auto"/>
          <w:kern w:val="0"/>
          <w:szCs w:val="21"/>
          <w:lang w:val="zh-TW" w:eastAsia="zh-TW" w:bidi="zh-TW"/>
        </w:rPr>
        <w:t>4</w:t>
      </w:r>
      <w:r>
        <w:rPr>
          <w:rFonts w:hint="eastAsia" w:ascii="宋体" w:hAnsi="宋体" w:eastAsia="宋体" w:cs="宋体"/>
          <w:color w:val="auto"/>
          <w:kern w:val="0"/>
          <w:szCs w:val="21"/>
          <w:lang w:val="zh-TW" w:eastAsia="zh-TW" w:bidi="zh-TW"/>
        </w:rPr>
        <w:t>）</w:t>
      </w:r>
      <w:r>
        <w:rPr>
          <w:rFonts w:hint="eastAsia" w:ascii="宋体" w:hAnsi="宋体" w:eastAsia="宋体" w:cs="宋体"/>
          <w:bCs/>
          <w:color w:val="auto"/>
          <w:szCs w:val="21"/>
        </w:rPr>
        <w:t>投标人</w:t>
      </w:r>
      <w:r>
        <w:rPr>
          <w:rFonts w:hint="eastAsia" w:ascii="宋体" w:hAnsi="宋体" w:eastAsia="宋体" w:cs="宋体"/>
          <w:color w:val="auto"/>
          <w:kern w:val="0"/>
          <w:szCs w:val="21"/>
          <w:lang w:val="zh-TW" w:eastAsia="zh-TW" w:bidi="zh-TW"/>
        </w:rPr>
        <w:t>需要在具备有摄像头及语音功能且互联网网络状况良好的电脑登录</w:t>
      </w:r>
      <w:r>
        <w:rPr>
          <w:rFonts w:hint="eastAsia" w:ascii="宋体" w:hAnsi="宋体" w:eastAsia="宋体" w:cs="宋体"/>
          <w:color w:val="auto"/>
          <w:kern w:val="0"/>
          <w:szCs w:val="21"/>
          <w:lang w:val="zh-TW" w:bidi="zh-TW"/>
        </w:rPr>
        <w:t>广西政府采购云</w:t>
      </w:r>
      <w:r>
        <w:rPr>
          <w:rFonts w:hint="eastAsia" w:ascii="宋体" w:hAnsi="宋体" w:eastAsia="宋体" w:cs="宋体"/>
          <w:color w:val="auto"/>
          <w:kern w:val="0"/>
          <w:szCs w:val="21"/>
          <w:lang w:val="zh-TW" w:eastAsia="zh-TW" w:bidi="zh-TW"/>
        </w:rPr>
        <w:t>平台远程开标大厅参与本次开标，否则后果自负。</w:t>
      </w:r>
    </w:p>
    <w:p w14:paraId="1513136E">
      <w:pPr>
        <w:widowControl/>
        <w:wordWrap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eastAsia="zh-TW"/>
        </w:rPr>
        <w:t>（5）各供应商通过新平台参与政府采购项目投标需下载使用新版客户端，新版客户端下载路径：广西政府采购网（访问地址http://zfcg.gxzf.gov.cn/）—办事服务—下载专区。</w:t>
      </w:r>
      <w:r>
        <w:rPr>
          <w:rFonts w:hint="eastAsia" w:ascii="宋体" w:hAnsi="宋体" w:eastAsia="宋体" w:cs="宋体"/>
          <w:color w:val="auto"/>
          <w:szCs w:val="21"/>
        </w:rPr>
        <w:t>原在政采云平台注册的临时供应商需在新平台启用后重新注册登记。</w:t>
      </w:r>
    </w:p>
    <w:p w14:paraId="17DD2F17">
      <w:pPr>
        <w:widowControl/>
        <w:wordWrap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（6）新平台与政采云平台操作流程一致，首次登录新平台账号密码与政采云账号密码一致，新旧平台数据相互独立，后续修改新平台密码不会影响政采云平台密码。</w:t>
      </w:r>
    </w:p>
    <w:p w14:paraId="1B644DD0">
      <w:pPr>
        <w:wordWrap w:val="0"/>
        <w:spacing w:line="400" w:lineRule="exact"/>
        <w:rPr>
          <w:rFonts w:hint="eastAsia" w:ascii="宋体" w:hAnsi="宋体" w:eastAsia="宋体" w:cs="宋体"/>
          <w:b/>
          <w:bCs/>
          <w:color w:val="auto"/>
          <w:szCs w:val="21"/>
        </w:rPr>
      </w:pPr>
      <w:r>
        <w:rPr>
          <w:rFonts w:hint="eastAsia" w:ascii="宋体" w:hAnsi="宋体" w:eastAsia="宋体" w:cs="宋体"/>
          <w:b/>
          <w:bCs/>
          <w:color w:val="auto"/>
          <w:szCs w:val="21"/>
        </w:rPr>
        <w:t>七、对本次招标提出询问，请按</w:t>
      </w:r>
      <w:r>
        <w:rPr>
          <w:rFonts w:hint="eastAsia" w:ascii="宋体" w:hAnsi="宋体" w:eastAsia="宋体" w:cs="宋体"/>
          <w:b/>
          <w:bCs/>
          <w:color w:val="auto"/>
          <w:szCs w:val="21"/>
        </w:rPr>
        <w:t>以下方式</w:t>
      </w:r>
      <w:r>
        <w:rPr>
          <w:rFonts w:hint="eastAsia" w:ascii="宋体" w:hAnsi="宋体" w:eastAsia="宋体" w:cs="宋体"/>
          <w:b/>
          <w:bCs/>
          <w:color w:val="auto"/>
          <w:szCs w:val="21"/>
        </w:rPr>
        <w:t>联系。</w:t>
      </w:r>
      <w:bookmarkEnd w:id="48"/>
      <w:bookmarkEnd w:id="49"/>
      <w:bookmarkEnd w:id="50"/>
      <w:bookmarkEnd w:id="51"/>
    </w:p>
    <w:p w14:paraId="7209F0D6">
      <w:pPr>
        <w:wordWrap w:val="0"/>
        <w:spacing w:line="400" w:lineRule="exact"/>
        <w:ind w:firstLine="420" w:firstLineChars="200"/>
        <w:outlineLvl w:val="2"/>
        <w:rPr>
          <w:rFonts w:hint="eastAsia" w:ascii="宋体" w:hAnsi="宋体" w:eastAsia="宋体" w:cs="宋体"/>
          <w:color w:val="auto"/>
          <w:szCs w:val="21"/>
        </w:rPr>
      </w:pPr>
      <w:r>
        <w:rPr>
          <w:rFonts w:hint="eastAsia" w:ascii="宋体" w:hAnsi="宋体" w:eastAsia="宋体" w:cs="宋体"/>
          <w:color w:val="auto"/>
          <w:szCs w:val="21"/>
        </w:rPr>
        <w:t>1.采购人信息：</w:t>
      </w:r>
    </w:p>
    <w:p w14:paraId="02693E80">
      <w:pPr>
        <w:wordWrap w:val="0"/>
        <w:spacing w:line="400" w:lineRule="exact"/>
        <w:ind w:firstLine="420" w:firstLineChars="200"/>
        <w:rPr>
          <w:rFonts w:hint="eastAsia" w:ascii="宋体" w:hAnsi="宋体" w:eastAsia="宋体" w:cs="宋体"/>
          <w:color w:val="auto"/>
          <w:kern w:val="0"/>
          <w:szCs w:val="21"/>
          <w:lang w:bidi="zh-TW"/>
        </w:rPr>
      </w:pPr>
      <w:r>
        <w:rPr>
          <w:rFonts w:hint="eastAsia" w:ascii="宋体" w:hAnsi="宋体" w:eastAsia="宋体" w:cs="宋体"/>
          <w:color w:val="auto"/>
          <w:kern w:val="0"/>
          <w:szCs w:val="21"/>
          <w:lang w:bidi="zh-TW"/>
        </w:rPr>
        <w:t>名称：河池学院</w:t>
      </w:r>
    </w:p>
    <w:p w14:paraId="1A8F789D">
      <w:pPr>
        <w:wordWrap w:val="0"/>
        <w:spacing w:line="400" w:lineRule="exact"/>
        <w:ind w:firstLine="420" w:firstLineChars="200"/>
        <w:rPr>
          <w:rFonts w:hint="eastAsia" w:ascii="宋体" w:hAnsi="宋体" w:eastAsia="宋体" w:cs="宋体"/>
          <w:color w:val="auto"/>
          <w:kern w:val="0"/>
          <w:szCs w:val="21"/>
          <w:lang w:bidi="zh-TW"/>
        </w:rPr>
      </w:pPr>
      <w:r>
        <w:rPr>
          <w:rFonts w:hint="eastAsia" w:ascii="宋体" w:hAnsi="宋体" w:eastAsia="宋体" w:cs="宋体"/>
          <w:color w:val="auto"/>
          <w:kern w:val="0"/>
          <w:szCs w:val="21"/>
          <w:lang w:bidi="zh-TW"/>
        </w:rPr>
        <w:t>地址：广西河池市宜州区龙江路42号</w:t>
      </w:r>
    </w:p>
    <w:p w14:paraId="0D12D6CA">
      <w:pPr>
        <w:wordWrap w:val="0"/>
        <w:spacing w:line="400" w:lineRule="exact"/>
        <w:ind w:firstLine="420" w:firstLineChars="200"/>
        <w:rPr>
          <w:rFonts w:hint="eastAsia" w:ascii="宋体" w:hAnsi="宋体" w:eastAsia="宋体" w:cs="宋体"/>
          <w:color w:val="auto"/>
          <w:kern w:val="0"/>
          <w:szCs w:val="21"/>
          <w:lang w:bidi="zh-TW"/>
        </w:rPr>
      </w:pPr>
      <w:r>
        <w:rPr>
          <w:rFonts w:hint="eastAsia" w:ascii="宋体" w:hAnsi="宋体" w:eastAsia="宋体" w:cs="宋体"/>
          <w:color w:val="auto"/>
          <w:kern w:val="0"/>
          <w:szCs w:val="21"/>
          <w:lang w:bidi="zh-TW"/>
        </w:rPr>
        <w:t xml:space="preserve">项目联系人：彭老师     联系方式：0778-3147831 </w:t>
      </w:r>
    </w:p>
    <w:p w14:paraId="26C6ACE5">
      <w:pPr>
        <w:wordWrap w:val="0"/>
        <w:spacing w:line="400" w:lineRule="exact"/>
        <w:ind w:firstLine="420" w:firstLineChars="200"/>
        <w:outlineLvl w:val="2"/>
        <w:rPr>
          <w:rFonts w:hint="eastAsia" w:ascii="宋体" w:hAnsi="宋体" w:eastAsia="宋体" w:cs="宋体"/>
          <w:color w:val="auto"/>
          <w:szCs w:val="21"/>
        </w:rPr>
      </w:pPr>
      <w:r>
        <w:rPr>
          <w:rFonts w:hint="eastAsia" w:ascii="宋体" w:hAnsi="宋体" w:eastAsia="宋体" w:cs="宋体"/>
          <w:color w:val="auto"/>
          <w:szCs w:val="21"/>
        </w:rPr>
        <w:t>2.采购代理机构信息：</w:t>
      </w:r>
    </w:p>
    <w:p w14:paraId="2EE398CC">
      <w:pPr>
        <w:wordWrap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名称：广西建设工程机电设备招标中心有限公司</w:t>
      </w:r>
    </w:p>
    <w:p w14:paraId="06BEF391">
      <w:pPr>
        <w:wordWrap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地址：广西南宁市青秀区枫林路18号宏桂大厦裙楼三层</w:t>
      </w:r>
    </w:p>
    <w:p w14:paraId="279902EE">
      <w:pPr>
        <w:wordWrap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联系人： 刘雅婷、李宇宁</w:t>
      </w:r>
    </w:p>
    <w:p w14:paraId="3412384F">
      <w:pPr>
        <w:wordWrap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联系电话：</w:t>
      </w:r>
      <w:r>
        <w:rPr>
          <w:rFonts w:hint="eastAsia" w:ascii="宋体" w:hAnsi="宋体" w:eastAsia="宋体" w:cs="宋体"/>
          <w:color w:val="auto"/>
          <w:szCs w:val="21"/>
        </w:rPr>
        <w:t>0771-2821389</w:t>
      </w:r>
    </w:p>
    <w:p w14:paraId="3A06EBFE">
      <w:pPr>
        <w:pStyle w:val="47"/>
        <w:wordWrap w:val="0"/>
        <w:spacing w:line="400" w:lineRule="exact"/>
        <w:rPr>
          <w:rFonts w:hint="eastAsia" w:ascii="宋体" w:hAnsi="宋体" w:eastAsia="宋体" w:cs="宋体"/>
          <w:color w:val="auto"/>
        </w:rPr>
      </w:pPr>
    </w:p>
    <w:p w14:paraId="36983914">
      <w:pPr>
        <w:wordWrap w:val="0"/>
        <w:spacing w:line="400" w:lineRule="exact"/>
        <w:ind w:firstLine="3765" w:firstLineChars="1793"/>
        <w:rPr>
          <w:rFonts w:hint="eastAsia" w:ascii="宋体" w:hAnsi="宋体" w:eastAsia="宋体" w:cs="宋体"/>
          <w:color w:val="auto"/>
          <w:szCs w:val="21"/>
        </w:rPr>
      </w:pPr>
      <w:r>
        <w:rPr>
          <w:rFonts w:hint="eastAsia" w:ascii="宋体" w:hAnsi="宋体" w:eastAsia="宋体" w:cs="宋体"/>
          <w:color w:val="auto"/>
          <w:szCs w:val="21"/>
        </w:rPr>
        <w:t>采购代理机构：广西建设工程机电设备招标中心有限公司</w:t>
      </w:r>
    </w:p>
    <w:p w14:paraId="08D28AE3">
      <w:pPr>
        <w:wordWrap w:val="0"/>
        <w:spacing w:line="400" w:lineRule="exact"/>
        <w:ind w:firstLine="5460" w:firstLineChars="2600"/>
        <w:rPr>
          <w:rFonts w:hint="eastAsia" w:ascii="宋体" w:hAnsi="宋体" w:eastAsia="宋体" w:cs="宋体"/>
          <w:color w:val="auto"/>
          <w:szCs w:val="21"/>
        </w:rPr>
      </w:pPr>
      <w:r>
        <w:rPr>
          <w:rFonts w:hint="eastAsia" w:ascii="宋体" w:hAnsi="宋体" w:eastAsia="宋体" w:cs="宋体"/>
          <w:color w:val="auto"/>
          <w:szCs w:val="21"/>
        </w:rPr>
        <w:t>日期：</w:t>
      </w:r>
      <w:r>
        <w:rPr>
          <w:rFonts w:hint="eastAsia" w:ascii="宋体" w:hAnsi="宋体" w:eastAsia="宋体" w:cs="宋体"/>
          <w:color w:val="auto"/>
          <w:szCs w:val="21"/>
        </w:rPr>
        <w:t>202</w:t>
      </w:r>
      <w:r>
        <w:rPr>
          <w:rFonts w:hint="eastAsia" w:ascii="宋体" w:hAnsi="宋体" w:eastAsia="宋体" w:cs="宋体"/>
          <w:color w:val="auto"/>
          <w:szCs w:val="21"/>
        </w:rPr>
        <w:t>4</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12</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4</w:t>
      </w:r>
      <w:r>
        <w:rPr>
          <w:rFonts w:hint="eastAsia" w:ascii="宋体" w:hAnsi="宋体" w:eastAsia="宋体" w:cs="宋体"/>
          <w:color w:val="auto"/>
          <w:szCs w:val="21"/>
        </w:rPr>
        <w:t>日</w:t>
      </w:r>
    </w:p>
    <w:bookmarkEnd w:id="9"/>
    <w:bookmarkEnd w:id="10"/>
    <w:p w14:paraId="1026D90B">
      <w:pPr>
        <w:pStyle w:val="2"/>
        <w:keepNext w:val="0"/>
        <w:keepLines w:val="0"/>
        <w:tabs>
          <w:tab w:val="left" w:pos="0"/>
          <w:tab w:val="left" w:pos="3165"/>
          <w:tab w:val="center" w:pos="4153"/>
        </w:tabs>
        <w:autoSpaceDE w:val="0"/>
        <w:autoSpaceDN w:val="0"/>
        <w:adjustRightInd w:val="0"/>
        <w:spacing w:before="0" w:after="0" w:line="440" w:lineRule="exact"/>
        <w:ind w:firstLine="200"/>
        <w:rPr>
          <w:rFonts w:hint="eastAsia" w:ascii="宋体" w:hAnsi="宋体" w:eastAsia="宋体" w:cs="宋体"/>
          <w:color w:val="auto"/>
          <w:sz w:val="44"/>
        </w:rPr>
      </w:pPr>
      <w:r>
        <w:rPr>
          <w:rFonts w:hint="eastAsia" w:ascii="宋体" w:hAnsi="宋体" w:eastAsia="宋体" w:cs="宋体"/>
          <w:color w:val="auto"/>
        </w:rPr>
        <w:br w:type="page"/>
      </w:r>
      <w:bookmarkEnd w:id="11"/>
      <w:bookmarkStart w:id="52" w:name="_Toc148453333"/>
      <w:r>
        <w:rPr>
          <w:rFonts w:hint="eastAsia" w:ascii="宋体" w:hAnsi="宋体" w:eastAsia="宋体" w:cs="宋体"/>
          <w:color w:val="auto"/>
        </w:rPr>
        <w:t>第二章 采购需求</w:t>
      </w:r>
      <w:bookmarkEnd w:id="52"/>
    </w:p>
    <w:p w14:paraId="3D6145C6">
      <w:pPr>
        <w:wordWrap w:val="0"/>
        <w:spacing w:line="440" w:lineRule="exact"/>
        <w:rPr>
          <w:rFonts w:hint="eastAsia" w:ascii="宋体" w:hAnsi="宋体" w:eastAsia="宋体" w:cs="宋体"/>
          <w:color w:val="auto"/>
          <w:szCs w:val="21"/>
        </w:rPr>
      </w:pPr>
      <w:bookmarkStart w:id="53" w:name="_Toc254970490"/>
      <w:bookmarkStart w:id="54" w:name="_Toc254970631"/>
      <w:bookmarkStart w:id="55" w:name="OLE_LINK22"/>
      <w:bookmarkStart w:id="56" w:name="OLE_LINK21"/>
      <w:r>
        <w:rPr>
          <w:rFonts w:hint="eastAsia" w:ascii="宋体" w:hAnsi="宋体" w:eastAsia="宋体" w:cs="宋体"/>
          <w:color w:val="auto"/>
          <w:szCs w:val="21"/>
        </w:rPr>
        <w:t>说明：</w:t>
      </w:r>
    </w:p>
    <w:p w14:paraId="57BEA168">
      <w:pPr>
        <w:wordWrap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rPr>
        <w:t xml:space="preserve">1. </w:t>
      </w:r>
      <w:r>
        <w:rPr>
          <w:rFonts w:hint="eastAsia" w:ascii="宋体" w:hAnsi="宋体" w:eastAsia="宋体" w:cs="宋体"/>
          <w:color w:val="auto"/>
        </w:rPr>
        <w:t>为落实政府采购政策需满足的要求：</w:t>
      </w:r>
    </w:p>
    <w:p w14:paraId="474302E0">
      <w:pPr>
        <w:wordWrap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1）本招标文件所称中小企业必须符合《政府采购促进中小企业发展管理办法》（财库〔2020〕46号）的规定。</w:t>
      </w:r>
    </w:p>
    <w:p w14:paraId="70D21B05">
      <w:pPr>
        <w:wordWrap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2）</w:t>
      </w:r>
      <w:r>
        <w:rPr>
          <w:rFonts w:hint="eastAsia" w:ascii="宋体" w:hAnsi="宋体" w:eastAsia="宋体" w:cs="宋体"/>
          <w:color w:val="auto"/>
          <w:szCs w:val="21"/>
        </w:rPr>
        <w:t>服务项目中伴随货物的，</w:t>
      </w:r>
      <w:r>
        <w:rPr>
          <w:rFonts w:hint="eastAsia" w:ascii="宋体" w:hAnsi="宋体" w:eastAsia="宋体" w:cs="宋体"/>
          <w:color w:val="auto"/>
          <w:szCs w:val="21"/>
        </w:rPr>
        <w:t>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电子签章），</w:t>
      </w:r>
      <w:r>
        <w:rPr>
          <w:rFonts w:hint="eastAsia" w:ascii="宋体" w:hAnsi="宋体" w:eastAsia="宋体" w:cs="宋体"/>
          <w:b/>
          <w:bCs/>
          <w:color w:val="auto"/>
          <w:szCs w:val="21"/>
        </w:rPr>
        <w:t>否则按无效投标处理</w:t>
      </w:r>
      <w:r>
        <w:rPr>
          <w:rFonts w:hint="eastAsia" w:ascii="宋体" w:hAnsi="宋体" w:eastAsia="宋体" w:cs="宋体"/>
          <w:color w:val="auto"/>
          <w:szCs w:val="21"/>
        </w:rPr>
        <w:t>。如本项目包含的货物属于品目清单内非标注“★”的产品时，应优先采购，具体详见“第四章评标方法及评标标准”。</w:t>
      </w:r>
    </w:p>
    <w:p w14:paraId="4763923E">
      <w:pPr>
        <w:tabs>
          <w:tab w:val="left" w:pos="1620"/>
        </w:tabs>
        <w:wordWrap w:val="0"/>
        <w:spacing w:line="44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2.“实质性要求”是指招标文件中已经指明不满足则投标无效的条款，或者不能负偏离的条款，或者采购需求中带“</w:t>
      </w:r>
      <w:r>
        <w:rPr>
          <w:rFonts w:hint="eastAsia" w:ascii="宋体" w:hAnsi="宋体" w:eastAsia="宋体" w:cs="宋体"/>
          <w:color w:val="auto"/>
          <w:szCs w:val="21"/>
        </w:rPr>
        <w:t>▲</w:t>
      </w:r>
      <w:r>
        <w:rPr>
          <w:rFonts w:hint="eastAsia" w:ascii="宋体" w:hAnsi="宋体" w:eastAsia="宋体" w:cs="宋体"/>
          <w:color w:val="auto"/>
          <w:kern w:val="0"/>
          <w:szCs w:val="21"/>
        </w:rPr>
        <w:t>”的条款。</w:t>
      </w:r>
      <w:r>
        <w:rPr>
          <w:rFonts w:hint="eastAsia" w:ascii="宋体" w:hAnsi="宋体" w:eastAsia="宋体" w:cs="宋体"/>
          <w:color w:val="auto"/>
          <w:kern w:val="0"/>
          <w:szCs w:val="21"/>
        </w:rPr>
        <w:t>带“</w:t>
      </w:r>
      <w:r>
        <w:rPr>
          <w:rFonts w:hint="eastAsia" w:ascii="宋体" w:hAnsi="宋体" w:eastAsia="宋体" w:cs="宋体"/>
          <w:color w:val="auto"/>
          <w:kern w:val="0"/>
          <w:szCs w:val="21"/>
        </w:rPr>
        <w:t>●</w:t>
      </w:r>
      <w:r>
        <w:rPr>
          <w:rFonts w:hint="eastAsia" w:ascii="宋体" w:hAnsi="宋体" w:eastAsia="宋体" w:cs="宋体"/>
          <w:color w:val="auto"/>
          <w:kern w:val="0"/>
          <w:szCs w:val="21"/>
        </w:rPr>
        <w:t>”的为重要参数，参数及功能的实现佐证将作为评分因素。</w:t>
      </w:r>
    </w:p>
    <w:p w14:paraId="51EE1F14">
      <w:pPr>
        <w:tabs>
          <w:tab w:val="left" w:pos="1620"/>
        </w:tabs>
        <w:wordWrap w:val="0"/>
        <w:spacing w:line="44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w:t>
      </w:r>
      <w:bookmarkStart w:id="57" w:name="_Hlk54774389"/>
      <w:r>
        <w:rPr>
          <w:rFonts w:hint="eastAsia" w:ascii="宋体" w:hAnsi="宋体" w:eastAsia="宋体" w:cs="宋体"/>
          <w:color w:val="auto"/>
          <w:kern w:val="0"/>
          <w:szCs w:val="21"/>
        </w:rPr>
        <w:t>服务项目中伴随货物的，</w:t>
      </w:r>
      <w:bookmarkEnd w:id="57"/>
      <w:r>
        <w:rPr>
          <w:rFonts w:hint="eastAsia" w:ascii="宋体" w:hAnsi="宋体" w:eastAsia="宋体" w:cs="宋体"/>
          <w:color w:val="auto"/>
          <w:kern w:val="0"/>
          <w:szCs w:val="21"/>
        </w:rPr>
        <w:t>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372B11D7">
      <w:pPr>
        <w:tabs>
          <w:tab w:val="left" w:pos="1620"/>
        </w:tabs>
        <w:wordWrap w:val="0"/>
        <w:spacing w:line="440" w:lineRule="exact"/>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4.投标人应根据自身实际情况如实响应招标文件，不得仅将招标文件内容简单复制粘贴作为投标响应，还应当提供相关证明材料，</w:t>
      </w:r>
      <w:r>
        <w:rPr>
          <w:rFonts w:hint="eastAsia" w:ascii="宋体" w:hAnsi="宋体" w:eastAsia="宋体" w:cs="宋体"/>
          <w:b/>
          <w:color w:val="auto"/>
          <w:kern w:val="0"/>
          <w:szCs w:val="21"/>
        </w:rPr>
        <w:t>否则将作无效响应处理</w:t>
      </w:r>
      <w:r>
        <w:rPr>
          <w:rFonts w:hint="eastAsia" w:ascii="宋体" w:hAnsi="宋体" w:eastAsia="宋体" w:cs="宋体"/>
          <w:bCs/>
          <w:color w:val="auto"/>
          <w:kern w:val="0"/>
          <w:szCs w:val="21"/>
        </w:rPr>
        <w:t>（定制采购项目不适用本条款）。对于重要技术条款或技术参数应当在投标文件中提供技术支持资料，技术支持资料以招标文件中规定的形式为准，</w:t>
      </w:r>
      <w:r>
        <w:rPr>
          <w:rFonts w:hint="eastAsia" w:ascii="宋体" w:hAnsi="宋体" w:eastAsia="宋体" w:cs="宋体"/>
          <w:b/>
          <w:color w:val="auto"/>
          <w:kern w:val="0"/>
          <w:szCs w:val="21"/>
        </w:rPr>
        <w:t>否则将视为无效技术支持资料</w:t>
      </w:r>
      <w:r>
        <w:rPr>
          <w:rFonts w:hint="eastAsia" w:ascii="宋体" w:hAnsi="宋体" w:eastAsia="宋体" w:cs="宋体"/>
          <w:bCs/>
          <w:color w:val="auto"/>
          <w:kern w:val="0"/>
          <w:szCs w:val="21"/>
        </w:rPr>
        <w:t>。</w:t>
      </w:r>
    </w:p>
    <w:p w14:paraId="0A583B34">
      <w:pPr>
        <w:tabs>
          <w:tab w:val="left" w:pos="1620"/>
        </w:tabs>
        <w:wordWrap w:val="0"/>
        <w:spacing w:line="44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5.投标人必须自行为其投标产品侵犯他人的知识产权或者专利成果的行为承担相应法律责任。</w:t>
      </w:r>
    </w:p>
    <w:p w14:paraId="75E3E20D">
      <w:pPr>
        <w:tabs>
          <w:tab w:val="left" w:pos="1620"/>
        </w:tabs>
        <w:wordWrap w:val="0"/>
        <w:spacing w:line="44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6.本货物需求一览表中内容如与第五章“合同条款及格式”相关条款不一致的，以本表为准。</w:t>
      </w:r>
    </w:p>
    <w:p w14:paraId="4263F459">
      <w:pPr>
        <w:wordWrap w:val="0"/>
        <w:spacing w:line="440" w:lineRule="exact"/>
        <w:ind w:firstLine="422" w:firstLineChars="200"/>
        <w:rPr>
          <w:rFonts w:hint="eastAsia" w:ascii="宋体" w:hAnsi="宋体" w:eastAsia="宋体" w:cs="宋体"/>
          <w:color w:val="auto"/>
        </w:rPr>
      </w:pPr>
      <w:r>
        <w:rPr>
          <w:rFonts w:hint="eastAsia" w:ascii="宋体" w:hAnsi="宋体" w:eastAsia="宋体" w:cs="宋体"/>
          <w:b/>
          <w:color w:val="auto"/>
          <w:szCs w:val="21"/>
        </w:rPr>
        <w:t>7.</w:t>
      </w:r>
      <w:r>
        <w:rPr>
          <w:rFonts w:hint="eastAsia" w:ascii="宋体" w:hAnsi="宋体" w:eastAsia="宋体" w:cs="宋体"/>
          <w:b/>
          <w:color w:val="auto"/>
          <w:szCs w:val="21"/>
          <w:u w:val="single"/>
        </w:rPr>
        <w:t>本项目采购需求表中要求提供的文件材料或承诺书，请在《技术要求偏离表》或《商务要求偏离表》中应答时，注明相关文件材料或承诺书放置的页码。</w:t>
      </w:r>
    </w:p>
    <w:p w14:paraId="0FA1DC44">
      <w:pPr>
        <w:tabs>
          <w:tab w:val="left" w:pos="1620"/>
        </w:tabs>
        <w:wordWrap w:val="0"/>
        <w:spacing w:line="44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8</w:t>
      </w:r>
      <w:r>
        <w:rPr>
          <w:rFonts w:hint="eastAsia" w:ascii="宋体" w:hAnsi="宋体" w:eastAsia="宋体" w:cs="宋体"/>
          <w:color w:val="auto"/>
          <w:szCs w:val="21"/>
        </w:rPr>
        <w:t>.项目标的所属行业为：</w:t>
      </w:r>
      <w:r>
        <w:rPr>
          <w:rFonts w:hint="eastAsia" w:ascii="宋体" w:hAnsi="宋体" w:eastAsia="宋体" w:cs="宋体"/>
          <w:color w:val="auto"/>
          <w:szCs w:val="21"/>
          <w:u w:val="single"/>
        </w:rPr>
        <w:t>详见需求表</w:t>
      </w:r>
      <w:r>
        <w:rPr>
          <w:rFonts w:hint="eastAsia" w:ascii="宋体" w:hAnsi="宋体" w:eastAsia="宋体" w:cs="宋体"/>
          <w:color w:val="auto"/>
          <w:szCs w:val="21"/>
          <w:u w:val="single"/>
        </w:rPr>
        <w:t>；</w:t>
      </w:r>
      <w:bookmarkStart w:id="58" w:name="OLE_LINK154"/>
      <w:bookmarkStart w:id="59" w:name="OLE_LINK148"/>
    </w:p>
    <w:p w14:paraId="4F8BDFB0">
      <w:pPr>
        <w:pStyle w:val="66"/>
        <w:wordWrap w:val="0"/>
        <w:spacing w:before="120" w:after="120"/>
        <w:ind w:firstLine="420"/>
        <w:rPr>
          <w:rFonts w:hint="eastAsia" w:ascii="宋体" w:hAnsi="宋体" w:eastAsia="宋体" w:cs="宋体"/>
          <w:color w:val="auto"/>
          <w:sz w:val="21"/>
          <w:szCs w:val="21"/>
        </w:rPr>
      </w:pPr>
      <w:r>
        <w:rPr>
          <w:rFonts w:hint="eastAsia" w:ascii="宋体" w:hAnsi="宋体" w:eastAsia="宋体" w:cs="宋体"/>
          <w:color w:val="auto"/>
          <w:sz w:val="21"/>
          <w:szCs w:val="21"/>
        </w:rPr>
        <w:t>9.项目需求一览表：</w:t>
      </w:r>
    </w:p>
    <w:p w14:paraId="44114B9D">
      <w:pPr>
        <w:pStyle w:val="19"/>
        <w:wordWrap w:val="0"/>
        <w:rPr>
          <w:rFonts w:hint="eastAsia" w:ascii="宋体" w:hAnsi="宋体" w:eastAsia="宋体" w:cs="宋体"/>
          <w:b/>
          <w:color w:val="auto"/>
          <w:szCs w:val="21"/>
        </w:rPr>
      </w:pPr>
      <w:r>
        <w:rPr>
          <w:rFonts w:hint="eastAsia" w:ascii="宋体" w:hAnsi="宋体" w:eastAsia="宋体" w:cs="宋体"/>
          <w:color w:val="auto"/>
        </w:rPr>
        <w:br w:type="page"/>
      </w:r>
    </w:p>
    <w:tbl>
      <w:tblPr>
        <w:tblStyle w:val="49"/>
        <w:tblW w:w="5334" w:type="pct"/>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218"/>
        <w:gridCol w:w="976"/>
        <w:gridCol w:w="3980"/>
        <w:gridCol w:w="582"/>
        <w:gridCol w:w="435"/>
        <w:gridCol w:w="1159"/>
        <w:gridCol w:w="1168"/>
      </w:tblGrid>
      <w:tr w14:paraId="4E81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000" w:type="pct"/>
            <w:gridSpan w:val="8"/>
            <w:tcBorders>
              <w:top w:val="single" w:color="auto" w:sz="4" w:space="0"/>
              <w:left w:val="single" w:color="auto" w:sz="4" w:space="0"/>
              <w:right w:val="single" w:color="auto" w:sz="4" w:space="0"/>
            </w:tcBorders>
            <w:vAlign w:val="center"/>
          </w:tcPr>
          <w:p w14:paraId="439BE3DD">
            <w:pPr>
              <w:spacing w:line="40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一、项目需求</w:t>
            </w:r>
          </w:p>
        </w:tc>
      </w:tr>
      <w:tr w14:paraId="636C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668E965B">
            <w:pPr>
              <w:spacing w:line="400" w:lineRule="exact"/>
              <w:jc w:val="center"/>
              <w:rPr>
                <w:rFonts w:hint="eastAsia" w:ascii="宋体" w:hAnsi="宋体" w:eastAsia="宋体" w:cs="宋体"/>
                <w:b/>
                <w:bCs/>
                <w:color w:val="auto"/>
                <w:sz w:val="21"/>
                <w:szCs w:val="21"/>
              </w:rPr>
            </w:pPr>
            <w:bookmarkStart w:id="60" w:name="_Hlk175486786"/>
            <w:r>
              <w:rPr>
                <w:rFonts w:hint="eastAsia" w:ascii="宋体" w:hAnsi="宋体" w:eastAsia="宋体" w:cs="宋体"/>
                <w:b/>
                <w:bCs/>
                <w:color w:val="auto"/>
                <w:sz w:val="21"/>
                <w:szCs w:val="21"/>
              </w:rPr>
              <w:t>序号</w:t>
            </w:r>
          </w:p>
        </w:tc>
        <w:tc>
          <w:tcPr>
            <w:tcW w:w="599" w:type="pct"/>
            <w:vAlign w:val="center"/>
          </w:tcPr>
          <w:p w14:paraId="072B167A">
            <w:pPr>
              <w:widowControl/>
              <w:wordWrap w:val="0"/>
              <w:spacing w:line="400" w:lineRule="exact"/>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设备名称/项目名称</w:t>
            </w:r>
          </w:p>
        </w:tc>
        <w:tc>
          <w:tcPr>
            <w:tcW w:w="2441" w:type="pct"/>
            <w:gridSpan w:val="2"/>
            <w:vAlign w:val="center"/>
          </w:tcPr>
          <w:p w14:paraId="1B09EBA3">
            <w:pPr>
              <w:wordWrap w:val="0"/>
              <w:spacing w:line="40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详细技术参数及功能（配置、售后服务等）要求</w:t>
            </w:r>
          </w:p>
        </w:tc>
        <w:tc>
          <w:tcPr>
            <w:tcW w:w="286" w:type="pct"/>
            <w:vAlign w:val="center"/>
          </w:tcPr>
          <w:p w14:paraId="66A19139">
            <w:pPr>
              <w:wordWrap w:val="0"/>
              <w:spacing w:line="40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214" w:type="pct"/>
            <w:vAlign w:val="center"/>
          </w:tcPr>
          <w:p w14:paraId="5F4D1CB5">
            <w:pPr>
              <w:wordWrap w:val="0"/>
              <w:spacing w:line="40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570" w:type="pct"/>
            <w:vAlign w:val="center"/>
          </w:tcPr>
          <w:p w14:paraId="03DDF64C">
            <w:pPr>
              <w:spacing w:line="40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单价</w:t>
            </w:r>
          </w:p>
          <w:p w14:paraId="2C534643">
            <w:pPr>
              <w:spacing w:line="40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（万元）</w:t>
            </w:r>
          </w:p>
        </w:tc>
        <w:tc>
          <w:tcPr>
            <w:tcW w:w="575" w:type="pct"/>
            <w:vAlign w:val="center"/>
          </w:tcPr>
          <w:p w14:paraId="11BB5182">
            <w:pPr>
              <w:spacing w:line="40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合计金额</w:t>
            </w:r>
          </w:p>
          <w:p w14:paraId="5A32A18C">
            <w:pPr>
              <w:spacing w:line="40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（万元）</w:t>
            </w:r>
          </w:p>
        </w:tc>
      </w:tr>
      <w:tr w14:paraId="3E01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4D44F4AC">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99" w:type="pct"/>
            <w:vAlign w:val="center"/>
          </w:tcPr>
          <w:p w14:paraId="696B55E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高校安全基础平台</w:t>
            </w:r>
          </w:p>
        </w:tc>
        <w:tc>
          <w:tcPr>
            <w:tcW w:w="2441" w:type="pct"/>
            <w:gridSpan w:val="2"/>
            <w:vAlign w:val="center"/>
          </w:tcPr>
          <w:p w14:paraId="55CC776E">
            <w:pPr>
              <w:widowControl/>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提供智慧校园业务应用依赖的基础资源信息及基础服务能力，包括系统人员管理、场地管理、设备网络管理、事件联动、低代码引擎、工作台等。包含≥1000路视频监控、视频人员布控检索、视频级联、≥100路入侵报警、≥100路紧急报警、≥100个门禁点、巡更巡查、智慧消防等功能授权；</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一、人员管理模块</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1、支持系统内的组织、人员、车辆、用户、角色、认证、区域等的配置和管理；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●2、支持虚拟团队管理，可进行团队规则配置，规则包括人员属性（性别/岗位）、是否允许人员关联多个团队 。</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3、支持教职工管理、学生管理、家长管理功能，支持对职工管理、学生管理、家长管理模块中的组织进行添加、编辑、删除、导入、导出、移动操作。</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4、支持设置组织关联负责人、关联区域、关联场地，支持展示组织人数。</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5、岗位管理支持配置系统菜单权限和应用菜单权限，职位管理支持查看系统菜单权限和应用菜单权限。</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6、支持自动创建用户功能，开启该功能后，批量导入人员可自动创建用户，默认用户名为学工号/家长编号。</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●7、支持按组织或虚拟团队进行添加、编辑、删除、下发权限、清除权限规则，内容包括权限规则名称、权限有效期、计划模板、人员组织、是否包含下级组织（包含/不包含）、权限场景。</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二、场地管理模块</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1、支持添加校区，支持场地（园区等）、子场地（楼栋、房间等）管理。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2、支持按校区名称查询校区信息，支持列表展示校区信息，包括：校区名称、园区类型、所属安保区域、责任人、操作（查看详情、编辑、删除）。</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3、支持导出全部或选中校区信息，导出字段包括：校区名称、园区类型、所属安保区域、责任人。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4、支持批量添加园区、楼栋、房间，支持按房间名称、房间类型、负责人、别名对房间进行查询。</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5、支持自定义界面显示列项，可对自定义列项进行勾选设置或拖动排序，其中房间名称、场地路径、房间类型为默认。</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6、支持场地关联门禁设备（门禁控制器、智能锁等），支持按门禁点名称、设备类型、设备名称、设备编号、设备IP查询门禁设备并添加至场地进行关联。</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7、支持列表展示场地关联门禁设备信息，包括：门禁点名称、通道号、设备名称、设备编号、设备IP、设备类型、场地路径、所属房间、进出口设置。</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三、设备网络管理模块</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1、支持对监控点、编码设备的在线状态进行设备巡检，并以统计图方式展示巡检结果。</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2、支持对历史录像的完整率进行监控，统计项包括录像完整数、录像丢失数、巡检失败数、未检测数、监控点总数；支持以统计图展现指定区域的录像完整情况。</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3、支持报表展示视频质量统计、录像完整率统计、区域运维考核结果统计，支持设备巡检计划配置，包括计划名称、巡检类型、采集对象、巡检时间、巡检频率、状态，并以列表形式展现。</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4、支持门禁设备部件状态监测，支持门禁设备离线与异常状态监测，支持智能锁工作状态及无线智能锁剩余电量监测。</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5、支持查看消防设备与传感器的实时状态信息，支持消防设备状态数据统计，支持设备分析和设备故障类型（频繁误报、频繁故障、频繁离线、频繁信号弱、低电量、临期/过期）统计。</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bidi="ar"/>
              </w:rPr>
              <w:t>6、支持开启自动发现，可通过交换机设备IP、协议信息发现获取网络中的资源，支持重新发现，支持查看拓扑页面中的资源告警和线路告警，支持对拓扑图进行编辑操作，包括拓扑布局修改、拓扑节点搜索、拓扑线编辑。</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7、支持对发现的资源进行区域绑定，支持对告警进行处理，支持查看监控点到服务器之间的网络连接和流量情况。</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四、事件联动模块</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支持多种事件类型配置联动规则，事件源包含：通用视频事件、入侵报警事件、IO事件、门禁事件、停车场事件、可视对讲事件、园区卡口事件、行车监控事件、梯控事件、人脸事件、消防事件、热成像事件、行为事件；可配置的联动包括：实时预览界面弹出、录像、抓图、IO输出、短信、语音播报等。</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2、支持自定义事件等级管理，要求支持报警预案功能，报警发生时按照预案应对处理。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3、支持一定时间段内重复报警自动合并，时长规则可配，支持对报警事件进行情况确认，并输入确认意见；已确认的报警事件支持补充确认意见。</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▲4、支持在事件检索界面批量确认报警事件并输入确认意见，支持报警事件分流管理，当处理人超时未处理报警事件时可自动转其他用户处理。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5、支持指定事件处理用户，处理人处理阶段可通过移动端进行处理过程的文字、图片、视频上报，并由审批人确认审批。</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6、支持在事件处置页面按事件状态分类展示，事件状态包括处理中、待审批、已审批、待办、全部，支持配置事件审批用户，仅有审批权限的用户可进行事件处理结果审批。</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五、低代码引擎模块</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1、具备低代码表单引擎，支持在Web端通过拖、拉、拽的方式自定义表单应用。</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2、具备低代码流程引擎，支持在Web端通过拖、拉、拽的方式自定义业务流程。</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3、具备低代码报表引擎，支持在Web端通过拖、拉、拽的方式自定义统计数据报表。</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4、具备低代码界面编排引擎，支持在Web端通过拖、拉、拽的方式自定义编排各类工作台、web应用、数据看板。</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5、具备低代码门户引擎，支持在Web端通过拖、拉、拽的方式自定义门户界面。</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六、工作台模块</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1、支持在工作台页面管理页面添加、编辑、删除、导入工作台模板。</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●2、支持配置工作台模板，可在可视化界面上自定义样式、布局、小部件等，支持在部件管理页面导入小部件至相关页面，支持编辑工作台，可设置页面欢迎语、导入常用功能应用。</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支持展示校园总览数据、报警事件统计、设备运维统计、通知公告（展示已发布的通知公告）、待办列表（展示当前用户待办事项列表）、今日报警（展示今日告警事件列表）、消息列表（展示系统消息列表）。</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4、报警事件统计支持展示今日报警事件总数、已处理数、未处理数、处理率，支持展示6点到22点每隔两小时的事件处理趋势。</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5、设备运维统计支持展示校园安防设备、消防设备、监控设备的总数量、在线、离线数量统计结果。</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▲七、移动APP/H5页面（支持自有移动端集成，须与企业微信端集成）</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1、具有质量审核按钮，采集方式可设置为接口导入、自动采集和平台添加，评分可采用本地质量评分。高于设置的最低评分值的上传人脸图片可按特征模型注册入库。</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2、具有隐私声明按钮，可设置开启或关闭，移动端采集人脸照片时。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3、支持配置H5采集时是否只允许拍照采集（关闭时，H5采集人脸照片和身份证可以选择上传图库、拍照，开启后只能拍照），支持配置H5采集时采集结果的配置提示。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4、具有二维码生成配置页面，可生成二维码。可通过扫描二维码输入学工号及密码登录人脸采集页面；进入界面具有用户告知界面。</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5、支持查看监控点、实时预览、录像回放，支持查看最近浏览过的监控点，可直接选择实时预览和录像回放。</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6、支持实时事件展示，支持实时展示触发的事件信息，支持关闭和开启接受实时报警消息；支持查询园区车辆事件信息。</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7、支持待办消息板块，支持平台模块的待办、消息提醒功能，支持公告列表板块，支持查看平台公告。</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8、支持视频预览、录像回放、云台控制，支持H5预览平台视频，可查看摄像机定时抓拍的图片信息。</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9、支持门禁点资源查看和检索，支持手机APP端反控门禁点开门、关门、常开、常闭，且支持查看门禁点状态。</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10、支持查看巡更任务并处理，按照巡更点巡更，支持查看巡更记录及现场拍摄的照片和视频。</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11、支持出入校管理功能，进入首页，根据老师、学生权限展示不同界面，支持通过移动端发起请假申请，支持查看已提交的请假申请和入校申请。</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12、支持老师审批负责组织内人员提交的请假申请和入校申请，支持接收消息推送，包括提交请假单和入校申请单的审批结果等。</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13、支持访客功能，提供对应H5被访人中心、管理者中心，支持访问人访客应用（登录、查看、预约），支持被访人/审批人访客应用：支持查看我的信息、访客邀约、访客审批、邀约审批、邀约记录；支持预约/邀约审批；支持查看邀约记录。</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14、支持宿舍查寝管理、系统设备管理、设备单据、校园巡查。</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15、支持安全检查、巡检任务、问题处理、任务记录、问题记录。</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16、支持人脸采集、非编人员管理、人车查询；支持移动端人员信息查询，支持移动端车辆信息查询。</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17、支持实时接收报警消息，支持关闭和开启接受实时报警消息，支持在处理事件时，上传照片或录像。</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18、支持工单中心功能，支持校园保修，提报维修处置流程；支持校园报事，形成案事件库；支持安全隐患随手拍上报；支持建议提交；支持设备设施类维护记录。</w:t>
            </w:r>
          </w:p>
        </w:tc>
        <w:tc>
          <w:tcPr>
            <w:tcW w:w="286" w:type="pct"/>
            <w:vAlign w:val="center"/>
          </w:tcPr>
          <w:p w14:paraId="200EAD5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6E1D08D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c>
          <w:tcPr>
            <w:tcW w:w="570" w:type="pct"/>
            <w:vAlign w:val="center"/>
          </w:tcPr>
          <w:p w14:paraId="6AEA2F2C">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6.35</w:t>
            </w:r>
          </w:p>
        </w:tc>
        <w:tc>
          <w:tcPr>
            <w:tcW w:w="575" w:type="pct"/>
            <w:vAlign w:val="center"/>
          </w:tcPr>
          <w:p w14:paraId="35209502">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6.35</w:t>
            </w:r>
          </w:p>
        </w:tc>
      </w:tr>
      <w:tr w14:paraId="194B3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5245D5CB">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599" w:type="pct"/>
            <w:vAlign w:val="center"/>
          </w:tcPr>
          <w:p w14:paraId="5C27C168">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物联数智AI模型管理平台</w:t>
            </w:r>
          </w:p>
        </w:tc>
        <w:tc>
          <w:tcPr>
            <w:tcW w:w="2441" w:type="pct"/>
            <w:gridSpan w:val="2"/>
            <w:vAlign w:val="center"/>
          </w:tcPr>
          <w:p w14:paraId="7C33ABDD">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1、支持模型下发记录的查看，包括模型名称、模型版本、设备类型、设备名称、下发状态、描述、下发时间，支持模板管理功能，可新增、删除和修改抓图计划模板。</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2、支持实时报警数据查看，可根据抓拍点位查看实时报警数据，支持对报警结果进行人工研判，支持图片下载导出。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3、支持历史报警数据查看，可根据抓拍点位和时间段查询历史报警数据，支持查看人工研判信息，支持图片下载导出。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支持模型库管理，支持AI模型文件的添加、修改、删除和查看，支持本地或者远程方式获取模型文件，支持按照设备类型（IPC、NVR）对模型文件进行区分，并显示模型关联的标签信息，支持通过规则配置，可智能检测事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5、提供高层建筑高空抛物行为监管能力，能对高空抛物行为进行实时监测管控，记录物体坠落轨迹以及造成的侵害情况，对侵权对象进行追溯，实现事件完整溯源。</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支持高空抛物行为回溯，可查看多点位录像回放，支持查看高空抛物物体掉落动线，支持对高空抛物行为相关的视频、图片资料进行下载保存。支持三台高空抛物相机在不同距离架设的条件下，支持对≥100米层高建筑物进行高空抛物行为监测能力。</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支持下发定时抓图任务，定时抓图任务参数包含抓图计划模板、抓图间隔、分析通道；支持选择启用或停用分析任务，支持接入高空抛物设备，实现对普通监控点取流进行分析并上报高空抛物事件；支持抓拍图片和视频存储位置独立配置，支持接收高空抛物事件置信阈值配置。</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8、查看物体掉落轨迹和物体落地影响情况，确认高空抛物行为事发位置，明确具体侵权对象。可对高空抛物视频监控画面进行隐私遮掩，防止室内隐私视频泄漏。</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9、支持AI模型参数配置，包括资源池、模型来源、自动下发开启/关闭、素材自动上传开启/关闭、事件下发记录等参数配置。</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10、高空抛物监测区位（监控点分组）即为高空抛物监控位置区域，因建筑物高低及监控点位安装距离位置限制，每个监控位置区域支持设置≥3个高空抛物监控点形成一个高空抛物监测区位（监控点分组）。</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支持下发轮巡视频任务，轮巡视频任务参数包括：检测帧率、轮巡间隔、报警间隔、分析通道，支持分析任务配置管理功能，支持下发实时视频任务，实时视频任务参数包括：检测帧率、报警间隔、分析通道。</w:t>
            </w:r>
          </w:p>
        </w:tc>
        <w:tc>
          <w:tcPr>
            <w:tcW w:w="286" w:type="pct"/>
            <w:vAlign w:val="center"/>
          </w:tcPr>
          <w:p w14:paraId="65552B81">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0F72D53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c>
          <w:tcPr>
            <w:tcW w:w="570" w:type="pct"/>
            <w:vAlign w:val="center"/>
          </w:tcPr>
          <w:p w14:paraId="4369B721">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1.75</w:t>
            </w:r>
          </w:p>
        </w:tc>
        <w:tc>
          <w:tcPr>
            <w:tcW w:w="575" w:type="pct"/>
            <w:vAlign w:val="center"/>
          </w:tcPr>
          <w:p w14:paraId="49A35045">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1.75</w:t>
            </w:r>
          </w:p>
        </w:tc>
      </w:tr>
      <w:tr w14:paraId="29FC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7525CB8C">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w:t>
            </w:r>
          </w:p>
        </w:tc>
        <w:tc>
          <w:tcPr>
            <w:tcW w:w="599" w:type="pct"/>
            <w:vAlign w:val="center"/>
          </w:tcPr>
          <w:p w14:paraId="45FEB74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综合安消系统</w:t>
            </w:r>
          </w:p>
        </w:tc>
        <w:tc>
          <w:tcPr>
            <w:tcW w:w="2441" w:type="pct"/>
            <w:gridSpan w:val="2"/>
            <w:vAlign w:val="center"/>
          </w:tcPr>
          <w:p w14:paraId="57CA6E6B">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1、支持BS客户端、CS客户端、移动客户端（Android、iOS）视频预览，支持多浏览器实时预览。</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2、支持监控点的批量迁移，系统支持国标协议上下级平台级联，支持流媒体集群配置。</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3、支持在视频预览、录像回放、即时回放、录像剪辑、手动录像和录像下载时叠加水印。</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4、支持通过C/S客户端和WEB浏览器进行录像的下载，支持本地备份，支持移动端预览、回放、监控点收藏等功能。</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5、支持在视频预览、录像回放、即时回放、录像剪辑、手动录像和录像下载时叠加水印。</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6、支持对当前预览的窗格和监控点画面进行视图保存，用于后续预览该视图，支持图片实施监控及历史查询。</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支持人员检索、车辆检索，支持同行人查询，支持将检索的目标加入收藏夹，可在地图上查询展示人车混合动线。支持快捷开启二次搜索或者跳转到1v1比对、人车档案管理。支持将前端结构化、中心结构化、门禁数据、访客数据等进行一次检索，融合为一条动线展示。支持融合动线回放，回放时显示部分点位动线以调整动线图，调整回放速度。</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支持基于校内人员重点目标库/校内车辆重点目标库的以图搜图；支持支持生成重点目标时间轴轨迹，或者基于GIS生成地图轨迹；地图轨迹支持三维地图或静态地图，支持手机端的车辆检索应用，支持拍照识别车牌并检索车主信息。</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9、支持人车档案统计数据概览，包括档案整体数量统计，近7天人员档案生成趋势，近7天车辆档案生成趋势。</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10、人员布控应用以人脸识别技术为核心，通过前端视频和后端比对分析设备，对人脸进行抓拍、分析，实现人脸自动识别，提供人员布控服务能力。</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11、支持上下级域注册管理能力，实现平台数据级联，支持资源同步能力，支持级联视频点位实时预览、录像回放、录像下载、语音对讲能力。</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12、支持下级平台推送到本级平台视频点位路数控制能力，通过级联点位授权路数控制。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13、支持基于视频通用标准协议（GB/T28181-2011,GB/T28181-2016）与外域平台互联互通，实现上级平台对下级平台视频资源点位的操作控制。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14、支持对视频图像火灾报警监测、可燃气体监测、电气火灾监测、消防水系统监测、灭火器监测、充电桩监测。</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15、支持重点人员、陌生人、高频人员信息管理能力，支持重点人员识别计划、陌生人识别计划、高频人员识别计划管理能力，实现人员实时布控，支持重点人员、陌生人、高频人员识别记录管理及轨迹追踪能力。</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16、支持手机端H5车辆检索，支持按照时间段、监控点、车辆信息（车牌号、车主姓名、车辆类型、车辆颜色、车牌类型和车牌颜色）发起检索，并以卡片形式展示检索结果，含车辆照片、车牌号、车主姓名、所在部门、联系电话、车牌类型和车辆类型。</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17、支持手机端H5人员模糊检索，支持按照人员姓名、编号、所在部门等信息，或者人员特征进行模糊匹配检索，支持用户拍照选择目标发起以图搜图，检索结果有聚档时展示聚档的人员列表，无聚档时展示人员详情。</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18、支持手机端H5人员检索，支持按照时间段、监控点或门禁、人员特征等发起检索。检索结果以卡片形式展示人员照片、人员姓名、所在部门、人员编号、联系电话、证件号码和相似度。</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19、支持手机端H5车辆模糊检索，支持按照车牌号、车主姓名、车牌类型、车牌颜色、车辆类型、车辆颜色、车辆品牌等搜索条件发起模糊匹配检索，并以卡片形式展示检索结果，含车辆照片、车牌号、车主姓名、所在部门、联系电话、车牌类型和车辆类型。</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20、支持对消控室进行排班管理，包括管理班次、上下班时间、人员，支持以默认模板（两班倒或三班倒）的方式进行排班，支持用户自定义单位内的排班模式，支持对防火巡查、防火检查自动生成报表记录。</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21、支持客户端及移动客户端支持对报警信息进行分级处理，并支持自定义配置分级推送时间和分级推送人员，客户端支持查看报警详情信息，包括视频预览、录像回放、抓图、地图信息。</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22、支持展示火灾报警设备、视频图像预警设备、电气火灾设备、可燃气体设备、消防用水设备、充电桩设备、数据网管设备等消防设备的监测数据。</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23、支持处理误报警时，显示当前设备近七天已发生过的误报次数，对于多次发生误报的设备可进行转隐患处理。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24、消防APP支持扫描二维码展示巡查点的详细信息，例如巡查点的名称、状态、巡查员、位置、巡查时间，以及所属部件的状态。</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25、消防APP手机靠近NFC卡，支持展示巡查点的详细信息，例如巡查点的名称、状态、巡查员、位置、巡查时间，以及所属部件的状态，支持手机点击一键上报，将消防隐患上报上去，支持手动输入+扫一扫添加隐患信息，支持上传隐患联动图片。</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26、支持消防APP，支持展示今日概况，包括今日报警、未处理报警；今日隐患、未处理隐患；分别点进各个模块，跳转到对应模块功能中；新的报警支持展示新的3条未处理告警，点击报警，可以进入报警详情，点击查看全部，展示所有的报警。</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27、消防APP支持跳转，模块分别为报警管理、预览回放、状态监测、隐患管理、防火巡查、防火检查、岗位自查、消控值班、扑救力量、制度职责、智能研判、消防设备管理。</w:t>
            </w:r>
          </w:p>
        </w:tc>
        <w:tc>
          <w:tcPr>
            <w:tcW w:w="286" w:type="pct"/>
            <w:vAlign w:val="center"/>
          </w:tcPr>
          <w:p w14:paraId="0BFAE53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33389A31">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c>
          <w:tcPr>
            <w:tcW w:w="570" w:type="pct"/>
            <w:vAlign w:val="center"/>
          </w:tcPr>
          <w:p w14:paraId="1D802584">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9.30</w:t>
            </w:r>
          </w:p>
        </w:tc>
        <w:tc>
          <w:tcPr>
            <w:tcW w:w="575" w:type="pct"/>
            <w:vAlign w:val="center"/>
          </w:tcPr>
          <w:p w14:paraId="582BF904">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9.30</w:t>
            </w:r>
          </w:p>
        </w:tc>
      </w:tr>
      <w:tr w14:paraId="516A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6825E2D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w:t>
            </w:r>
          </w:p>
        </w:tc>
        <w:tc>
          <w:tcPr>
            <w:tcW w:w="599" w:type="pct"/>
            <w:vAlign w:val="center"/>
          </w:tcPr>
          <w:p w14:paraId="107D6BD1">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安全管理模块</w:t>
            </w:r>
          </w:p>
        </w:tc>
        <w:tc>
          <w:tcPr>
            <w:tcW w:w="2441" w:type="pct"/>
            <w:gridSpan w:val="2"/>
            <w:vAlign w:val="center"/>
          </w:tcPr>
          <w:p w14:paraId="369DEC7F">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一、学生安全模块</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1、包含楼栋宿舍安全管理，学生信息管理，安全管理规则配置，安全管理点配置等管理模块，可进行人脸考勤。学校通过设置多种管理规则，对于学生宿舍进行多指标的管理，并展现各类统计数据。</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2、支持在web端和手机APP端展示辅导员角度的数据概览，支持用户手动刷新。</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3、支持通过手机端查看监控点实时视频和录像，并显示最近预览列表，通过手机端查看考勤结果，支持按考勤时间段、考勤规则、考勤状态、姓名、学工号、所属组织、宿舍楼栋查询学生的考勤状态。</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二、系统设备管理模块</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1、包括设备录入，厂商管理，设备维修、报废流程管理。支持系统设备管理，包括设备的添加、删除、导入、导出、编辑。</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●2、支持配置设备到期提醒，支持导出设备二维码，支持统计设备数量、品牌、型号、状态、设备维修情况，支持手机APP端按权限查看设备信息和设备状态，支持web端和手机APP端按权限生成和处理维修单。</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3、支持以饼状图展示状态统计，包括设备状态和到期状态，支持展示设备维修率和维修周期，并可查看详情。</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4、支持按设备大类、设备状态、到期状态等条件查询已添加到平台的设备，支持维修单、报废单的新增、编辑、撤销、审批、处理、确认、查询、导出。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5、支持填写维修结果，并上传相关图片，支持按申请时间、审批时间、流程状态、设备编号、设备名称等条件查询维修单，支持查看维修单详情和流转处理信息。</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三、校园安全巡查（巡检引擎）模块</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可满足各类巡更、点检、视频巡检、消防检查等应用场景，提供了巡检业务的通用、灵活的全场景巡检框架，通过现场巡检、远程巡检、AI自动巡检三大类巡检执行方式，驱动不同行业、不同场景巡检工作的执行，支持对巡检产生的数据进行灵活的流程处理和多终端统计展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2、通过协助用户建立标准、有效的巡检管理系统，为管理者提供全流程记录、全过程监管、规范化的巡检流程、个性化的巡检模板和丰富的工作汇报素材；最终实现管理提质增效。</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支持管理系统中某个对象类型的巡检项，支持编辑巡检项名称及关联巡检方法，支持添加、修改、删除、查询巡检计划，可自定义巡检计划内容，包括：计划模板名称、巡检区域、巡检方式（自动巡检、远程巡检、现场巡检）、巡检项、问题处理流程及巡检对象等，支持添加临时任务，支持选择线上/线下巡检方式。</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四、园区安全卡口模块</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1、提供园区内道路上行驶车辆的抓拍识别，包含车牌号码、车牌类型、车牌颜色、车辆类型、车辆颜色、车辆品牌等属性识别，并提供车辆布控能力和车辆行驶轨迹信息。</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2、支持车辆超速、逆行、压线、违停等违规行为检测抓拍和违规数据统计。</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3、当车辆违规后，将违规信息发布至LED屏，违规次数超过阈值后在园区停车场出入口禁止通行。</w:t>
            </w:r>
          </w:p>
        </w:tc>
        <w:tc>
          <w:tcPr>
            <w:tcW w:w="286" w:type="pct"/>
            <w:vAlign w:val="center"/>
          </w:tcPr>
          <w:p w14:paraId="6386871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3AFA98F0">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c>
          <w:tcPr>
            <w:tcW w:w="570" w:type="pct"/>
            <w:vAlign w:val="center"/>
          </w:tcPr>
          <w:p w14:paraId="3AC9FF8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11.00</w:t>
            </w:r>
          </w:p>
        </w:tc>
        <w:tc>
          <w:tcPr>
            <w:tcW w:w="575" w:type="pct"/>
            <w:vAlign w:val="center"/>
          </w:tcPr>
          <w:p w14:paraId="725C13A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11.00</w:t>
            </w:r>
          </w:p>
        </w:tc>
      </w:tr>
      <w:tr w14:paraId="584E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75161722">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w:t>
            </w:r>
          </w:p>
        </w:tc>
        <w:tc>
          <w:tcPr>
            <w:tcW w:w="599" w:type="pct"/>
            <w:vAlign w:val="center"/>
          </w:tcPr>
          <w:p w14:paraId="6B82664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运控中心系统</w:t>
            </w:r>
          </w:p>
        </w:tc>
        <w:tc>
          <w:tcPr>
            <w:tcW w:w="2441" w:type="pct"/>
            <w:gridSpan w:val="2"/>
            <w:vAlign w:val="center"/>
          </w:tcPr>
          <w:p w14:paraId="049B174D">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一、事件中心模块</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1、提供统一的事件中心，包括事件的汇聚、转换、处理、统计、可视化展示，实现事件的全生命周期管理。结合预案、工单保障事件流程的有序、高效、闭环， 实现跨部门、跨区域、跨系统的协同工作，快速响应突发事件，保障园区高效运营，提高事件整体的处理水平。</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支持事件处理配置，支持配置事件等级、事件确认方式、关联标签、关联预案、关联工单；支持设置是否启用事件处理流程；支持预览事件处理流程图，支持事件转换为工单，并针对工单处理流程进行业务闭环。</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支持配置智能感知事件，包括：视频事件、门禁事件、停车场事件、人脸事件、测温事件、动环事件、消防事件、入侵报警事件等，支持手动上报事件，上报内容包括：事件类型、发生区域、事件源、事件图片。</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二、工单中心模块</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1、汇聚所有工单（事件转工单、报修事件、投诉建议、设备维修等），提供表单和工作流程自定义能力。多渠道（APP、微信、API）问题统一记录，工单一键自动流转，实现跨部门高效协作。</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支持申请、派发、签收、处理、验收/评价的工单闭环流程，支持展示服务质量评价，包括：评分率、满意度、解决完成率，支持展示服务过程评价，包括：接收平均消耗时长、签收平均消耗时长、处理平均消耗时长，可选择更多查看各工单子类的服务统计详情。</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3、支持展示工单待办总数，可分为待分配、待签收、待验收，支持展示待办的不同工单类型的数量统计，可选择更多查看详细列表，支持展示待办工单停留时间最长的TOP10。</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三、人员检索模块</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1、以人脸识别、视频结构化技术为核心，通过前端视频和后端比对分析设备，对人脸、人体进行抓拍、分析，提供智能检索服务能力。</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2、支持人员精确检索；支持以图搜图能力；支持融合轨迹：展示人员轨迹或人车轨迹。将前端结构化、中心结构化、门禁数据进行一次检索，融合为一条轨迹展示。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3、支持1V1比对：通过1V1对比的功能，可以快速计算选中图片的相似程度，返回相似度评分，用以判断图片是否同一人等场景。</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支持按人员特征、以图搜图、门禁记录模糊检索系统中人员通行记录；支持同时查询多个后端设备的记录，支持按门禁设备、姓名、人员编号、部门进行人员检索，支持生成重点目标时间轴轨迹，或者基于GIS生成地图轨迹。</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支持事件合并：针对人员合并抓拍记录及门禁事件记录，支持访客检索扩展，通过姓名搜索支持关键词联想，联想结果可能包含平台上的人员和访客，如为访客则展示访客标签，可对该访客进行访客数据范围内的检索查询。</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四、车辆检索模块</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1、通过前端视频和后端比对分析设备，对车辆进行抓拍、分析，提供智能检索服务能力，实现车辆检索和轨迹。</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2、支持车辆精确检索；支持以图搜图能力；支持融合轨迹：展示车辆轨迹或人车轨迹。</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五、人车智能聚档模块</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▲1、支持人员和车辆档案的统计：包括档案总数、档案分类统计、近七天档案生成趋势、月度档案趋势统计等，支持搜索人车档案。</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支持人员聚档功能，相同人员的抓拍事件汇聚到同一人员下展示，支持陌生人聚档，支持车辆聚档功能，相同车牌的抓拍事件汇聚到同一车辆下展示。支持启用人员自动聚档功能，设置对象（人脸分组）、范围（设备）、人脸最低相似度阈值，支持陌生人档案自动清除功能，设置清除时间间隔、人员频次清除阈值等参数。</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3、支持将搜索到的抓拍事件按照同一人员（陌生人和在库人员）/车牌聚档展示，将搜索到的抓拍事件按照同一车牌聚档展示。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为充分利用现有资源避免资源浪费，要求必须与现有系统（品牌：华为IVS3800）无缝对接，充分利用一期已经建设的设备与资源平台，将一期系统的实时抓拍数据汇总存储至本平台上，实现统一的人员、车辆等主体智能归档，建立人员、车辆等主体档案，并在统一的界面上实现人员、车辆等主体信息检索、主体踪迹跟踪等功能。（投标时提供功能实现证明材料或兼容实现方案并加盖投人公章或CA公章）。</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▲六、界面编排引擎模块</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 总览概览：基于界面编排引擎预置1个总览+多维度专题子看板，生成校园数据驾驶舱。总览看板助力学校管理者宏观了解学校园区的运行状态数据信息，将园区的访客数据、车辆车位数据、告警统计、运维统计、天气情况等数据通过数据看板的形式展示出来，总览看板中央区域还支持展示校园图片、宣传视频、校园基本情况等数据。</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安防管控专题看板：基于界面编排引擎开发1个总览+多维度专题子看板，生成校园数据驾驶舱。安防管控专题看板重点展示学校园区安防管理相关数据，将今日安防告警统计、本月区域告警排行、近七天告警趋势、安防设备运维情况、重点区域视频预览、实时告警等数据通过数据看板的形式展示出来。</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人员态势专题看板：基于界面编排引擎预置1个总览+多维度专题子看板，生成校园数据驾驶舱。人员态势专题看板重点展示学校园区人员管理相关数据，将园区今日访客数据、内部人员进入趋势以及近七天访客来访趋势、内部人员进入趋势、内部人员结构等通过数据看板的形式展示出来。</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车辆态势专题看板：基于界面编排引擎预置1个总览+多维度专题子看板，生成校园数据驾驶舱。车辆态势专题看板重点展示学校园区车辆管理相关数据，将今日车辆入场出场情况、实时过车数据、车辆车位情况、外来车辆属地分布、停车场近七天/当天使用率、近三十天违章数据、车流量趋势等通过数据看板的形式展示出来。</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消防专题看板：基于界面编排引擎预置1个总览+多维度专题子看板，生成校园数据驾驶舱。消防专题看板重点展示校园消防管理相关数据，将消防设备告警/隐患数据、排名情况、消防设备在离线情况、各类型设备统计、消控室视频等在数据看板上展示出来。</w:t>
            </w:r>
          </w:p>
        </w:tc>
        <w:tc>
          <w:tcPr>
            <w:tcW w:w="286" w:type="pct"/>
            <w:vAlign w:val="center"/>
          </w:tcPr>
          <w:p w14:paraId="4CD9A68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54D6AD2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c>
          <w:tcPr>
            <w:tcW w:w="570" w:type="pct"/>
            <w:vAlign w:val="center"/>
          </w:tcPr>
          <w:p w14:paraId="4ABCE99C">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9.9500</w:t>
            </w:r>
          </w:p>
        </w:tc>
        <w:tc>
          <w:tcPr>
            <w:tcW w:w="575" w:type="pct"/>
            <w:vAlign w:val="center"/>
          </w:tcPr>
          <w:p w14:paraId="4C5AF3F7">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9.9500</w:t>
            </w:r>
          </w:p>
        </w:tc>
      </w:tr>
      <w:tr w14:paraId="1079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4B05ADE1">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w:t>
            </w:r>
          </w:p>
        </w:tc>
        <w:tc>
          <w:tcPr>
            <w:tcW w:w="599" w:type="pct"/>
            <w:vAlign w:val="center"/>
          </w:tcPr>
          <w:p w14:paraId="33EC7884">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系统对接集成</w:t>
            </w:r>
          </w:p>
        </w:tc>
        <w:tc>
          <w:tcPr>
            <w:tcW w:w="2441" w:type="pct"/>
            <w:gridSpan w:val="2"/>
            <w:vAlign w:val="center"/>
          </w:tcPr>
          <w:p w14:paraId="11D82963">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一、门禁对接定制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▲1、支持对接与现有已建人脸门禁管理系统（山东威尔），实现与一期组织、人员等基础信息的同步，实现不同厂家门禁设备事件进行统一管理。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2、获取不同品牌、型号设备上报的设备、记录、权限等数据，进行汇总统一展示。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3、定制提供门禁点列表查询、门禁点事件被动查询、门禁点事件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4、定制主动门禁设备在线状态查询、门禁点权限下发记录查询等页面功能展示以及API接口。</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▲二、华为（</w:t>
            </w:r>
            <w:r>
              <w:rPr>
                <w:rFonts w:hint="eastAsia" w:ascii="宋体" w:hAnsi="宋体" w:eastAsia="宋体" w:cs="宋体"/>
                <w:color w:val="auto"/>
                <w:sz w:val="21"/>
                <w:szCs w:val="21"/>
              </w:rPr>
              <w:t>型号IVS3800</w:t>
            </w:r>
            <w:r>
              <w:rPr>
                <w:rFonts w:hint="eastAsia" w:ascii="宋体" w:hAnsi="宋体" w:eastAsia="宋体" w:cs="宋体"/>
                <w:color w:val="auto"/>
                <w:kern w:val="0"/>
                <w:sz w:val="21"/>
                <w:szCs w:val="21"/>
                <w:lang w:bidi="ar"/>
              </w:rPr>
              <w:t>）摄像机平台接入定制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1、为充分现有资源，需对接现有已建的监控项目系统设备。在实现监控等基础功能统一管理调度的基础上必须实现抓拍数据的统一存储及AI分析预警推送。</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2、在硬件层面上，根据厂家提供SDK开发驱动，通过统一物联中台将原监控厂家提供的可视域事件能力、云台事件能力、视频设备远程获取能力等能力接入新建平台。</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3、通过智能应用服务器，实现已建摄像机视频流的人脸结构化分析和数据提取。</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4、支持整合人员检索、车辆检索，支持同行人查询，支持将检索的目标加入收藏夹，可在地图上查询展示人车混合动线。支持快捷开启二次搜索或者跳转到1v1比对、人车档案管理。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5、系统支持将前端采集、中心结构化、门禁数据、访客数据等进行一次检索，融合为一条动线展示。支持融合轨迹回放，回放时显示部分点位轨迹以调整动线图，调整回放速度。</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6、系统支持多品牌设备接入，支持海康SDK、大华SDK、华为SDK品牌设备接入管理，支持相关智能事件接收及上报；</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▲三、集成规范</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本项目作为河池学院智慧校园的有机组成部分，在建设、运行过程中必须满足学校信息化建设的相关标准及规范，在项目的招标参数、建设合同上应有以下内容。具体内容如下：</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代码标准。系统平台中的涉及国标或行标数据必须遵循国家标准(GB)代码、教育部标准(JB)和高教行业标准（HB）等的最新标准编码规范进行编码；系统平台中的各种校定标准数据必须遵循河池学院信息标准编码规范进行编码；软件内部和对外接口中所使用的代码表、编码规则必须符合学校给定的标准代码和编码规则；没有制定编码规范的，应按相关标准制定编码规范并报学校数据标准制定专家咨询小组审核通过后使用。</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 保密义务。需要与学校签订《河池学院信息化系统项目实施网络安全与保密承诺书》，对系统、业务、用户的数据和信息等内容具有保密的义务。</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数据归属。软件运行时生成的数据所有权及管理权归采购人所有。项目交付时，软件底层数据库的数据访问权限、数据库系统管理权必须提供给采购人技术部门。如数据有加密等情况，则必须同时提供解密算法和解密秘钥。</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4、系统集成。系统部署后，需与学校数据共享交换平台、统一身份认证平台和学校服务门户等集成，集成要求如下：</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 身份认证。系统须使用河池学院统一身份认证平台进行校内人员的认证登录，实现单点登录。需具备身份认证的深度集成，用于将系统内页面iframe至学校服务门户中。认证登录应根据需要覆盖PC端、手机APP、企业微信等。</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 交换途径。系统与校内各系统数据交换时，必须通过学校共享数据库、中间件库进行数据交换，原则上不得单独针对各系统进行接口开发。对外接口的字段定义必须符合学校给定的数据标准，由中标公司负责完成从系统内到接口之间的数据映射、转换并保证其正确性、有效性。当软件发生升级、调整时，必须同步进行映射转换规则的更新，并提交相关文档。</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 流程与消息集成。应在实施前提供与网上办事大厅对接的服务项目清单，提供与网上办事大厅对接的接口，清单由学校现代教育技术中心确定。实现与智慧校园一网通办平台、统一消息中心等的数据集成、流程集成、消息集成等，不产生二次费用。与网上办事大厅对接方式应具有双向接口对接模式、单向接口对接模式等，可参考《关于加快推进政务服务专业业务办理系统与广西数字政务一体化平台对接的通知（桂数广办发〔2020〕27号）》要求。</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 界面适配。系统须能安全、有效适配移动端设备，须与学校的企业微信、钉钉、移动校园APP等集成。</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数据接口。软件必须提供用于数据采集和数据交换的对外接口。接口通过库表、API等方式提供，其数据内容、更新周期由学校提出，校方可永久免费使用该接口，无附加条件。软件竣工交付时，必须同时提供完整、正确、规范的数据字典和代码表，当软件发生升级、调整时，必须提供更新的版本。</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6、系统安全。</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 须严格按照国家网络信息安全等级保护制度要求和标准实施本项目，符合学校网络安全及系统等级保护二级或以上的相关技术规范和要求，若不满足，中标人升级优化（所有费用已含在投标报价中），直至满足为止，否则不予验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 系统在根据相关规定进行网络安全等级保护测评时，中标人应义务配合学校完成系统定级、信息填报、系统测评、安全整改等工作。</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 系统必须满足《河池学院信息系统安全准入要求》要求，包括但不限于以下内容：</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 系统的用户密码不能明文传输、存储。对于身份信息、单位职务、财务信息、健康信息、通讯信息等敏感信息原则上禁止在数据库中明文存放。</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 系统应符合国家、学校的个人信息保护相关法律、法规、规范和规定。</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 Windows和Linux系统应按学校提供的安全配置基线进行系统配置。</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 系统日志应满足180天存储要求，日志记录的粒度要满足计算机等级保护制度需要。</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 应提供系统安全配置报告、系统应急处理指南等文档。</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 通过有相关资质的网络安全检测机构或设备进行信息系统上线安全评估，检验合格的系统才能上线运行。</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 系统必须保证为正常上线系统，版本须更新为最新。禁止采用失去技术升级的系统（如Windows NT、Windows2003 等）；禁止采用含有已知漏洞的组件、应用程序、框架（如：Struts 2.5- Struts 2.5.10）、应用程序服务器、web 服务器、数据库服务器和平台定义，以上系统必须按安全基线要求执行安全配置，禁止默认安装。所有的软件应该保持及时更新。如采用 struts2 的系统原则上不允许对校外提供服务。</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 从本机关闭不需要的端口（如：关闭 windows netbios 等服务），设置本机防火墙如 iptable 对于访问的源地址进行限制，同时相关服务设置类似 host.allow,host.deny 等策略。</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 数据库和应用系统如在同一台服务器，须采用本机回路进行访问，如前端及数据库分为不同服务器，须设置本机防火墙访问规则，禁止非前端服务器访问数据库网络端口。</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 使用最低权限的数据库用户作为 web 应用所需，禁止具有不必要的额外权限。</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 保证系统服务正常与上线系统一致，无各种调试、报错信息（如：断点，printf 等调试信息）及注释信息，系统需删除系统默认安装的各种例程、文档及管理程序。</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12) 对用户输入进行严格有效过滤防止sql 注入、xss 跨站脚本、命令执行、crsf 跨站请求伪造等，建议采用白名单过滤策略。</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13) 禁止在 HTTP 请求中以明文或可逆编码（如 base64、url 编码等）的形式传递 SQL 语句到后端程序代入执行，禁止由 Web 前端直接生成和传递 SQL 语句到数据库进行执行， 数据库查询必须采用预编译和参数结构化查询。如果程序确实需要将 SQL 语句作为内容（非可执行代码的形式，如毕业设计、代码样例等）到后台，请在项目上线交付前书面说明相应的功能代码及位置。</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14) 控制上传点，对于上传文件类型进行严格控制（禁止用js 进行控制），上传文件类型采用白名单限制，同时上传目录不能有执行权限，原则上不允许有未经登陆验证的上传点。</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15) 设置有效的身份认证、会话管理及访问控制机制，防止越权、平行权限及提权等（禁止利用 js 进行控制及验证）。</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16) 密码复杂度要求：系统必须有密码复杂度检查模块：设置有效的验证码或者滑动 等手段防止暴力破解，密码使用“字母+数字+特殊符号，大小写区分，长度不少于 8 个字符”形式高强度密码；密码不要与个人用户名、邮箱用户名、手机号码相同，密码中不要有类似 abcd1234、11223344、helloname、1q2w3e4r 等常见键盘、英文单词、简单拼音组合密码。禁止在数据库中明文存放用户密码，需进行带 salt 的哈希之后入库。对于多次错误登陆进行封堵。如果长期不登陆默认账号应停用处理。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17) 系统中禁止暴露配置信息（如数据库连接信息），源码备份文件，.git,.svn 仓库等；代严禁在 github 等公布代码。</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18) 须按照标准端口配置http 或 https 服务，严禁自行设置服务端口不报告。</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19) 系统的开发商和应用系统的个人开发者，对于因为程序代码、框架技术以及使用的中间件而产生的应用系统漏洞或 bug 等程序错误终身负责维护。</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20) 禁止使用默认的SSH、RDP端口，须按安全配置基线要求更新端口，并采用白名单限制除堡垒机、运维网段IP的访问权限。严禁非经授权在服务器上安装teamviewer、向日葵、anydesk等远程控制软件，经批准使用的应在使用完毕后卸载。</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7、实施费用。系统集成涉及系统架构和开发工作量以及费用由系统承建商负责。</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8、质量保证。</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 项目在实施过程中，应与现代教育技术中心保持沟通，项目建设小组应包含现代教育技术中心指派的技术人员；</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 项目在上线前，应按现代教育技术中心要求提交项目实施材料清单进行备案；</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 项目验收前应先通过系统实施材料审核、系统上线前网络安全审查等；验收小组应包括现代教育技术中心指派的系统开发技术员和网络安全管理人员。</w:t>
            </w:r>
          </w:p>
        </w:tc>
        <w:tc>
          <w:tcPr>
            <w:tcW w:w="286" w:type="pct"/>
            <w:vAlign w:val="center"/>
          </w:tcPr>
          <w:p w14:paraId="2CB86EB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3A7D3635">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项</w:t>
            </w:r>
          </w:p>
        </w:tc>
        <w:tc>
          <w:tcPr>
            <w:tcW w:w="570" w:type="pct"/>
            <w:vAlign w:val="center"/>
          </w:tcPr>
          <w:p w14:paraId="70955828">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10.0000</w:t>
            </w:r>
          </w:p>
        </w:tc>
        <w:tc>
          <w:tcPr>
            <w:tcW w:w="575" w:type="pct"/>
            <w:vAlign w:val="center"/>
          </w:tcPr>
          <w:p w14:paraId="2C63EC9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10.0000</w:t>
            </w:r>
          </w:p>
        </w:tc>
      </w:tr>
      <w:tr w14:paraId="52E4E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189C3B3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w:t>
            </w:r>
          </w:p>
        </w:tc>
        <w:tc>
          <w:tcPr>
            <w:tcW w:w="599" w:type="pct"/>
            <w:vAlign w:val="center"/>
          </w:tcPr>
          <w:p w14:paraId="3C99A1E6">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运动场人脸抓拍摄像机</w:t>
            </w:r>
          </w:p>
        </w:tc>
        <w:tc>
          <w:tcPr>
            <w:tcW w:w="2441" w:type="pct"/>
            <w:gridSpan w:val="2"/>
            <w:vAlign w:val="center"/>
          </w:tcPr>
          <w:p w14:paraId="6CE4CF5E">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▲1、≥400万像素，具有不小于1/2.7"靶面尺寸，支持通过设备自身提取目标特征，形成深层可供学习的人脸图像。</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2、最低照度彩色≤0.005 lux，黑白≤0.001 lx，最大亮度鉴别等级不低于11级。</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3、支持H.264、H.265、MJPEG视频编码格式，且具有High Profile编码能力。</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内置≥1颗CPU、GPU、NPU三合一芯片，≥2个麦克风、≥1个扬声器，≥4颗混合补光灯，设备内置鳞镜式补光灯，灯珠朝向与设备照射方向不同，灯杯为半弧形网格鳞片状，补光灯开启后正面不可见补光灯灯珠，补光灯开启后，灯光应均匀无波纹、圆环状、麻点状、条纹状和不规则亮斑，光圈大小F1.0±5%。</w:t>
            </w:r>
            <w:r>
              <w:rPr>
                <w:rFonts w:hint="eastAsia" w:ascii="宋体" w:hAnsi="宋体" w:eastAsia="宋体" w:cs="宋体"/>
                <w:color w:val="auto"/>
                <w:kern w:val="0"/>
                <w:sz w:val="21"/>
                <w:szCs w:val="21"/>
                <w:highlight w:val="yellow"/>
                <w:lang w:bidi="ar"/>
              </w:rPr>
              <w:br w:type="textWrapping"/>
            </w:r>
            <w:r>
              <w:rPr>
                <w:rFonts w:hint="eastAsia" w:ascii="宋体" w:hAnsi="宋体" w:eastAsia="宋体" w:cs="宋体"/>
                <w:color w:val="auto"/>
                <w:kern w:val="0"/>
                <w:sz w:val="21"/>
                <w:szCs w:val="21"/>
                <w:lang w:bidi="ar"/>
              </w:rPr>
              <w:t>5、支持人脸抓拍模式、道路监控模式、智能事件等智能资源模式的切换。</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6、支持对运动人脸进行检测、抓拍、评分、筛选，输出最优的人脸，支持人脸去误报、快速抓拍人脸，具有快速抓拍和最佳抓拍两种模式，可同时检测≥30张人脸，支持人脸去重。</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可通过IE浏览器或客户端设置≥8个多边形人数统计区域，区域名称可自定义，可分别设置不同区域的报警类型、报警时间间隔、报警延迟时间、报警持续次数、是否OSD叠加人员数量以及布防时间段，报警类型可设置为人员密度报警、人数异常报警、停留时间异常报警，每个人数统计区域可设置≥3种报警类型。</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8、支持车牌识别并抓拍，车型/车品牌/车身颜色/车牌颜色识别。</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9、支持≥1路音频输入，≥1路音频输出，≥1路报警输入，≥1路报警输出，≥1个RJ45自适应以太网口，内置SD卡槽，支持≥256GB内存卡。</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10、支持≥120dB宽动态，支持透雾，电子防抖，并具有多种白平衡模式。</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11、支持检测正向或逆向行驶的车辆以及行人和非机动车，自动对车辆牌照进行识别，可抓拍无车牌的车辆图片。</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12、具有抓拍报警统计、报警质量统计、设备重启和布防动态报警数据感知与记录功能，具有停留时间检测报警功能，可设置报警时间，当检测区域内的人员停留时长大于设定值时，可触发报警功能，包括报警上传中心、发送邮件、抓图上传FTP/SD卡/NAS，录像或报警输出，可同时检测不低于160人，停留时长可设置≥3600s。</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13、支持对存储卡进行读写锁定，锁定后的存储卡在移动终端需要密码才能访问。</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14、支持三级用户权限管理，支持授权的用户和密码，支持IP地址过滤。</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15、支持越界侦测，区域入侵侦测，进入/离开区域侦测，徘徊侦测，人员聚集侦测，快速运动侦测，停车侦测，物品遗留/拿取侦测，场景变更侦测，音频陡升/陡降侦测，音频有无侦测，虚焦侦测。</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16、支持不低于IP67防护等级，具有良好的环境适应性，可在-30℃~+60 ℃环境下正常工作。</w:t>
            </w:r>
          </w:p>
        </w:tc>
        <w:tc>
          <w:tcPr>
            <w:tcW w:w="286" w:type="pct"/>
            <w:vAlign w:val="center"/>
          </w:tcPr>
          <w:p w14:paraId="20F428A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w:t>
            </w:r>
          </w:p>
        </w:tc>
        <w:tc>
          <w:tcPr>
            <w:tcW w:w="214" w:type="pct"/>
            <w:vAlign w:val="center"/>
          </w:tcPr>
          <w:p w14:paraId="51C98BD4">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3C061E14">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0.081</w:t>
            </w:r>
          </w:p>
        </w:tc>
        <w:tc>
          <w:tcPr>
            <w:tcW w:w="575" w:type="pct"/>
            <w:vAlign w:val="center"/>
          </w:tcPr>
          <w:p w14:paraId="51BCCBD7">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0.648</w:t>
            </w:r>
          </w:p>
        </w:tc>
      </w:tr>
      <w:tr w14:paraId="7464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3304D97D">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w:t>
            </w:r>
          </w:p>
        </w:tc>
        <w:tc>
          <w:tcPr>
            <w:tcW w:w="599" w:type="pct"/>
            <w:vAlign w:val="center"/>
          </w:tcPr>
          <w:p w14:paraId="5C18519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室外智能结构化摄像机</w:t>
            </w:r>
          </w:p>
        </w:tc>
        <w:tc>
          <w:tcPr>
            <w:tcW w:w="2441" w:type="pct"/>
            <w:gridSpan w:val="2"/>
            <w:vAlign w:val="center"/>
          </w:tcPr>
          <w:p w14:paraId="2BFF3579">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▲1、智能筒型摄像机，传感器类型：不低于1/2.7" Progressive Scan CMOS，最低照度彩色≤0.005 lux，最小焦距不大于7m，最大焦距不低于35 mm，；</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2、宽动态≥120 dB ；</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支持电动变焦，内置≥2个麦克风、≥1个扬声器，具备≥4颗补光灯，灯杯为鳞片状，补光灯开启后，正面不可见补光灯灯珠，当补光灯打开时，补光亮度应均匀，无明显波纹状、圆环状、麻点状、条纹状及不规则亮斑；</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4、补光距离：红外普通监控≥80 m，人脸抓拍/识别≥10 m；白光普通监控≥50 m，人脸抓拍/识别≥7 m ；</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5、最大图像尺寸≥2560 × 1440</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6、支持视频压缩标准：H.265/H.264/MJPEG ；</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7、支持≥1路音频输入，≥1路音频输出，≥1路报警输入，≥1路报警输出，≥1个RJ45自适应以太网口，内置SD卡槽，支持≥256GB内存卡；</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8、采用深度学习算法，以海量图片及视频资源为路基，通过机器自身提取目标特征，形成深层可供学习的人脸图像。极大的提升了目标人脸的检出率；</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9、支持智能资源模式切换：人脸抓拍、道路监控、Smart事件；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10、需具备智能分析抗干扰功能，当篮球、小狗、树摇晃等情况经过检测区域时，不会触发报警；</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11、支持三级用户权限管理，支持授权的用户和密码，支持IP地址过滤。</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12、支持越界侦测，区域入侵侦测，进入/离开区域侦测，徘徊侦测，人员聚集侦测，快速运动侦测，停车侦测，物品遗留/拿取侦测，场景变更侦测，音频陡升/陡降侦测，音频有无侦测，虚焦侦测。</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13、支持数据感知功能，可同时支持10路客户端和5路web端事件布防，设备在布防时间段内主动上传感知数据，断网重连后，报警信息与报警图片可继续上传，支持数据感知功能，可同时支持3路web监听通道，设备响应web端发送的查询请求，并返回对应的感知数据；断网重连后，报警信息可继续上传；</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14、支持不低于IP66防护等级，具有良好的环境适应性，可在-30℃~+60 ℃环境下正常工作。</w:t>
            </w:r>
          </w:p>
        </w:tc>
        <w:tc>
          <w:tcPr>
            <w:tcW w:w="286" w:type="pct"/>
            <w:vAlign w:val="center"/>
          </w:tcPr>
          <w:p w14:paraId="78B32318">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80</w:t>
            </w:r>
          </w:p>
        </w:tc>
        <w:tc>
          <w:tcPr>
            <w:tcW w:w="214" w:type="pct"/>
            <w:vAlign w:val="center"/>
          </w:tcPr>
          <w:p w14:paraId="0B563C25">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064E04A1">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0.1365</w:t>
            </w:r>
          </w:p>
        </w:tc>
        <w:tc>
          <w:tcPr>
            <w:tcW w:w="575" w:type="pct"/>
            <w:vAlign w:val="center"/>
          </w:tcPr>
          <w:p w14:paraId="7A1435E7">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10.92</w:t>
            </w:r>
          </w:p>
        </w:tc>
      </w:tr>
      <w:tr w14:paraId="68D8E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5CE1B93B">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w:t>
            </w:r>
          </w:p>
        </w:tc>
        <w:tc>
          <w:tcPr>
            <w:tcW w:w="599" w:type="pct"/>
            <w:vAlign w:val="center"/>
          </w:tcPr>
          <w:p w14:paraId="5A8BFA81">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室内场景人脸抓拍摄像机</w:t>
            </w:r>
          </w:p>
        </w:tc>
        <w:tc>
          <w:tcPr>
            <w:tcW w:w="2441" w:type="pct"/>
            <w:gridSpan w:val="2"/>
            <w:vAlign w:val="center"/>
          </w:tcPr>
          <w:p w14:paraId="4715FA2F">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▲1、≥400万像素，具有不小于1/2.7"靶面尺寸，支持通过设备自身提取目标特征，采用深度学习算法，以海量图片及视频资源为路基，通过机器自身提取目标特征，形成深层可供学习的图像。</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2、最低照度彩色≤0.005 lux，黑白≤0.001 lx，最大亮度鉴别等级不低于11级。</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3、支持防补光过曝开启和关闭，开启下支持自动和手动，手动支持根据距离等级控制补光灯亮度。</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内置≥1颗CPU、GPU、NPU三合一芯片，≥2个麦克风、≥1个扬声器，≥4颗混合补光灯，设备内置鳞镜式补光灯，灯珠朝向与设备照射方向不同，灯杯为半弧形网格鳞片状，补光灯开启后正面不可见补光灯灯珠，补光灯开启后，灯光应均匀无波纹、圆环状、麻点状、条纹状和不规则亮斑，光圈大小F1.0±5%。（投标人须在投标文件中提供相关证明材料：可以是产品功能界面截图或第三方检测机构出具的检测报告复印件，并加盖投标人公章或CA签章。）</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5、支持人脸抓拍模式、道路监控模式、智能事件等智能资源模式的切换。</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6、支持对运动人脸进行检测、抓拍、评分、筛选，输出最优的人脸，支持人脸去误报、快速抓拍人脸，具有快速抓拍和最佳抓拍两种模式，可同时检测≥30张人脸，支持人脸去重。</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可通过IE浏览器或客户端设置≥8个多边形人数统计区域，区域名称可自定义，可分别设置不同区域的报警类型、报警时间间隔、报警延迟时间、报警持续次数、是否OSD叠加人员数量以及布防时间段，报警类型可设置为人员密度报警、人数异常报警、停留时间异常报警，每个人数统计区域可设置≥3种报警类型。（投标人须在投标文件中提供相关证明材料：可以是产品功能界面截图或第三方检测机构出具的检测报告复印件，并加盖投标人公章或CA签章。）</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8、支持分辨率不小于2560×1440@25fps，分辨力不小于1500TVL。</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9、支持≥1路音频输入，≥1路音频输出，≥1路报警输入，≥1路报警输出，≥1个RJ45自适应以太网口，内置SD卡槽，支持≥256GB内存卡。</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10、支持H.264、H.265、MJPEG视频编码格式，且具有High Profile编码能力。</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11、支持三码流技术，同时≥20路取流，支持断网续传功能保证录像不丢失，支持三级用户权限管理，支持授权的用户和密码，支持IP地址过滤。</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12、具有抓拍报警统计、报警质量统计、设备重启和布防动态报警数据感知与记录功能，具有停留时间检测报警功能，可设置报警时间，当检测区域内的人员停留时长大于设定值时，可触发报警功能，包括报警上传中心、发送邮件、抓图上传FTP/SD卡/NAS，录像或报警输出，可同时检测不低于160人，停留时长可设置≥3600s。（投标人须在投标文件中提供相关证明材料：可以是产品功能界面截图或第三方检测机构出具的检测报告复印件，并加盖投标人公章或CA签章。）</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13、支持对存储卡进行读写锁定，锁定后的存储卡在移动终端需要密码才能访问。</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14、具有耀光抑制功能，耀光区域≤1%；支持白光补光距离≥30m，红外补光距离≥50m。</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15、支持越界侦测，区域入侵侦测，进入/离开区域侦测，徘徊侦测，人员聚集侦测，快速运动侦测，停车侦测，物品遗留/拿取侦测，场景变更侦测，音频陡升/陡降侦测，音频有无侦测，虚焦侦测。</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16、支持不低于IP67防护等级，具有良好的环境适应性，可在-30℃~+60 ℃环境下正常工作。</w:t>
            </w:r>
          </w:p>
        </w:tc>
        <w:tc>
          <w:tcPr>
            <w:tcW w:w="286" w:type="pct"/>
            <w:vAlign w:val="center"/>
          </w:tcPr>
          <w:p w14:paraId="312BB651">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210</w:t>
            </w:r>
          </w:p>
        </w:tc>
        <w:tc>
          <w:tcPr>
            <w:tcW w:w="214" w:type="pct"/>
            <w:vAlign w:val="center"/>
          </w:tcPr>
          <w:p w14:paraId="74FE01B6">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4F949D7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0.075</w:t>
            </w:r>
          </w:p>
        </w:tc>
        <w:tc>
          <w:tcPr>
            <w:tcW w:w="575" w:type="pct"/>
            <w:vAlign w:val="center"/>
          </w:tcPr>
          <w:p w14:paraId="136A1CA0">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15.75</w:t>
            </w:r>
          </w:p>
        </w:tc>
      </w:tr>
      <w:tr w14:paraId="6087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65487646">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10</w:t>
            </w:r>
          </w:p>
        </w:tc>
        <w:tc>
          <w:tcPr>
            <w:tcW w:w="599" w:type="pct"/>
            <w:vAlign w:val="center"/>
          </w:tcPr>
          <w:p w14:paraId="27EE5411">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周界双目摄像机</w:t>
            </w:r>
          </w:p>
        </w:tc>
        <w:tc>
          <w:tcPr>
            <w:tcW w:w="2441" w:type="pct"/>
            <w:gridSpan w:val="2"/>
            <w:vAlign w:val="center"/>
          </w:tcPr>
          <w:p w14:paraId="7D1BD495">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 AI多摄双目智能摄像机，通道1：不低于1/1.8" Progressive Scan CMOS，通道2：不低于1/2.7" Progressive Scan CMOS；</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2、设备支持双镜头，通道1分辨率不低于2560*1440，通道2分辨率不低于1920*1080，设备通道1水平视场角不小于41°、通道2水平视场角不小于85°；</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3、通道1：最低照度彩色≤0.0005 lux；通道2：最低照度彩色≤0.0005 lux；</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4、宽动态≥120 dB ；</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 xml:space="preserve">●5、内置1个GPU芯片、2个麦克风、1个扬声器，设备内置4颗补光灯，灯珠朝向和补光照射方向不应相同，补光灯开启后，正面不可见补光灯灯珠，补光灯开启，补光亮度均匀，无波纹、圆环状、麻点状、条纹状及不规则亮斑； </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6、通道1，普通监控≥30 m，人脸抓拍/识别≥5 m；通道2，普通监控≥30 m；</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7、最大图像尺寸，通道1≥2560 × 1440，通道2≥1920 × 1080；</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8、支持H.264、H.265、MJPEG视频编码格式，且具有High Profile编码能力；</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 具有≥1个RS485接口、≥1个报警输入接口、≥1个报警输出接口、≥1个音频输入接口、≥1个音频输出接口；</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10、支持多种智能资源模式切换：通道一和通道二智能可同时开启；通道一：人脸抓拍（默认）、Smart事件、普通监控；通道二：Smart事件（默认）、普通监控；</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11、支持双通道深度学习声光警戒功能，远距离警戒可达到60 m；</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12、支持三码流技术，支持同时20路取流。</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13、支持三级用户权限管理，支持授权的用户和密码，支持IP地址过滤。</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 xml:space="preserve">●14、通道1和通道2智能可同时开启；可通过IE浏览器或客户端将通道1的智能资源分配为人脸抓拍、smart事件、普通监控；通道2分配为smart事件、普通监控； </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15、支持人脸图像增强现实功能，设备可动态跟踪出现在画面中的人脸，并对人脸区域进行增强显示。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16、不低于IP67防尘防水等级。</w:t>
            </w:r>
          </w:p>
        </w:tc>
        <w:tc>
          <w:tcPr>
            <w:tcW w:w="286" w:type="pct"/>
            <w:vAlign w:val="center"/>
          </w:tcPr>
          <w:p w14:paraId="2FB7521D">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17</w:t>
            </w:r>
          </w:p>
        </w:tc>
        <w:tc>
          <w:tcPr>
            <w:tcW w:w="214" w:type="pct"/>
            <w:vAlign w:val="center"/>
          </w:tcPr>
          <w:p w14:paraId="26D5F14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789653A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0.11</w:t>
            </w:r>
          </w:p>
        </w:tc>
        <w:tc>
          <w:tcPr>
            <w:tcW w:w="575" w:type="pct"/>
            <w:vAlign w:val="center"/>
          </w:tcPr>
          <w:p w14:paraId="3A155C6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1.87</w:t>
            </w:r>
          </w:p>
        </w:tc>
      </w:tr>
      <w:tr w14:paraId="4EA6D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54985655">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11</w:t>
            </w:r>
          </w:p>
        </w:tc>
        <w:tc>
          <w:tcPr>
            <w:tcW w:w="599" w:type="pct"/>
            <w:vAlign w:val="center"/>
          </w:tcPr>
          <w:p w14:paraId="7334D59D">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智能全结构化摄像机</w:t>
            </w:r>
          </w:p>
        </w:tc>
        <w:tc>
          <w:tcPr>
            <w:tcW w:w="2441" w:type="pct"/>
            <w:gridSpan w:val="2"/>
            <w:vAlign w:val="center"/>
          </w:tcPr>
          <w:p w14:paraId="4CF3E6F7">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1、支持双通道镜头，其中细节通道≥1个镜头，像素≥400万，电动变焦焦距8～32 mm；全景通道≥2个镜头，拼接像素≥600万，定焦焦距约4mm。</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2、支持最低照度：彩色≤0.0005 lx，黑白≤0.0001 lx；在分辨率1920×1080@25fps，延时不大于70ms。</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●3、具有≥3个镜头，内置≥3颗CMOS图像传感器，≥6颗混合补光灯（每颗由红外灯、白光灯组成），内置≥2个麦克风、≥1个扬声器，可实现设备与客户端之间的双向语音对讲。</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●4、设备内置双CPU，可分别运行1个Linux操作系统，双操作系统可并行运行，独立完成任务调度，可分别对不同采集通道的数据进行视音频编解码、智能分析等，并进行流媒体数据交互，监控多通道场景。</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5、同一静止场景相同图像质量下，设备在H.265编码方式时，开启智能编码功能和不开启智能编码相比，码率节约≥80%。</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6、具有耀光抑制功能，耀光区域≤1%，支持对镜头前盖玻璃加热，去除玻璃上的冰状和水</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状附着物。</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7、在IE 浏览器下，可通过扫描预览界面上的二维码获取设备资料；支持通过IE浏览器设置登录超时时间，当登录后无操作时长达到设置阈值后，设备自动退出并重新进入登录界面。</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●8、支持全景通道和细节通道2路视频采集通道，全景通道由左右2路独立的采集通道拼接而成，全景通道水平视场角≥180°，垂直视场角≥70°，全景通道的2个图像传感器间的采集同步误差不大于1ms。</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9、支持检出两眼瞳距20像素点以上的人脸图片，支持侧脸过滤功能，可过滤上下、左右角度达到预设值的人脸，支持人脸比对，比对准确率不低于99%。</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10、支持检测区域内不低于150个移动目标（机动车、非机动车及行人）检测、框选跟踪、筛选、抓拍，可将人脸人体、车辆与车牌关联显示。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在IE浏览器下，具有设备重启和布防动态报警数据感知与记录功能，布防动态报警数据包括异常掉线、历史布防、实时布防3种类型，可记录报警的开始时间、结束时间、布防类型、报警链路地址、端口、链路续传。</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12、细节通道支持主码流≥2688×1520@25fps、子码流≥704×480@25fps、第三码流≥1920×1080@25fps、第四码流≥704×480@25fps、第五码流≥704×480@25fps；全景通道支持主码流≥3632×1632@20fps，子码流≥1200×536@20fps。</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13、支持全结构化：a)抓拍人体：支持运动方向、上衣颜色、下装颜色、性别、戴眼镜、背包、拎东西、戴帽子、戴口罩、上衣类型、下装类型、发型、骑行状态、载人状态、骑车类型等属性识别；b)抓拍人脸：支持性别、年龄、年龄段、戴眼镜、戴口罩、表情、戴帽子等属性识别；c)抓拍非机动车：支持上衣颜色、下装颜色、性别、戴眼镜、年龄段、背包、拎东西、戴帽子、上衣类型、下装类型、戴口罩、发型、非机动车类型，帽子款式等属性识别；d)抓拍机动车：支持车牌号码、车牌类型、车辆类型、车身颜色、车辆品牌等属性识别。</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14、支持数据感知功能，可同时支持≥10路客户端和≥5路web端事件布防，设备在布防时间段内主动上传感知数据，断网重连后，报警信息与报警图片可继续上传，可同时支持≥3路web监听通道，设备响应web端发送的查询请求，并返回对应的感知数据，断网重连后，报警信息可继续上传。</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15、支持固件安全检验功能，摄像机uboot应采用加密存储，通过离线烧写存储器方式写入的uboot执行程序，不能被硬件微引导程序加载执行。</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16、支持防护等级≥IP67，支持POE供电，支持DC12 V±20%，支持防反接保护。</w:t>
            </w:r>
          </w:p>
        </w:tc>
        <w:tc>
          <w:tcPr>
            <w:tcW w:w="286" w:type="pct"/>
            <w:vAlign w:val="center"/>
          </w:tcPr>
          <w:p w14:paraId="43F0602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88</w:t>
            </w:r>
          </w:p>
        </w:tc>
        <w:tc>
          <w:tcPr>
            <w:tcW w:w="214" w:type="pct"/>
            <w:vAlign w:val="center"/>
          </w:tcPr>
          <w:p w14:paraId="77A6A55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4F22ED20">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0.39</w:t>
            </w:r>
          </w:p>
        </w:tc>
        <w:tc>
          <w:tcPr>
            <w:tcW w:w="575" w:type="pct"/>
            <w:vAlign w:val="center"/>
          </w:tcPr>
          <w:p w14:paraId="09EFC6B6">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34.32</w:t>
            </w:r>
          </w:p>
        </w:tc>
      </w:tr>
      <w:tr w14:paraId="61E0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72B97347">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12</w:t>
            </w:r>
          </w:p>
        </w:tc>
        <w:tc>
          <w:tcPr>
            <w:tcW w:w="599" w:type="pct"/>
            <w:vAlign w:val="center"/>
          </w:tcPr>
          <w:p w14:paraId="4F88623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危化品摄像机</w:t>
            </w:r>
          </w:p>
        </w:tc>
        <w:tc>
          <w:tcPr>
            <w:tcW w:w="2441" w:type="pct"/>
            <w:gridSpan w:val="2"/>
            <w:vAlign w:val="center"/>
          </w:tcPr>
          <w:p w14:paraId="3E2D3997">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1、可见光+热成像双传感器融合一体化设计；</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2、可见光：最大图像尺寸 2560 × 1440，传感器类型 1/2.7" CMOS，可见光镜头≥ 4 mm；</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3、热成像：氧化钒（VOx）微测辐射热计，最大图像尺寸 160 × 120，像元尺寸≥ 17 μm，热成像镜头 ≥3 mm；</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4、伪彩模式 支持白热、黑热、融合1、彩虹、融合2、铁红1、铁红2等15种模式；</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5、测温范围 0 °C~400 °C；</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6、测温精度 ±2℃或读数的±2%（取最大值）（距离摄像机0.3~3.3米范围内）；</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7、NETD（噪声等效温差） ≤50 mK(@25 °C,F#1.0)；</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8、支持火焰检测，覆盖范围50m（0.1㎡火盘）；</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9、支持二合一复核模式，实现高精度火焰检测；</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10、支持烟雾检测；</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11、支持温度异常（高温，温升）检测；</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12、支持本地报警指示灯、内置扬声器高分贝报警；</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13、支持远程消音；</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14、支持双向语音对讲；</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15、支持区域入侵侦测、越界侦测、烟火检测；</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16、支持一键恢复, 防闪烁, 心跳, 镜像, 密码保护, 视频遮盖, IP地址过滤；</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17、支持microSD/SDHC/SDXC卡(128 G)断网本地存储，断网本地录像存储及断网续传；</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18、补光灯类型为白光补光，最远补光距离 30米；</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报警接口 2路报警输入(Alarm in), 2路报警输出(Alarm out, 最大支持DC 30 V/2 A或AC 125 V/0.5 A)</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19、支持≥2路报警输入、≥2路报警输出，≥1路内置麦克风、≥1路内置扬声器、≥1路音频输入、≥1 路音频输出、≥1个RJ45 10 M/100 M自适应以太网口</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20、报警指示灯 红色：报警； 绿色：正常运行； 黄色：故障</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21、使用环境 -20~60°C，防护等级 ≥IP66；</w:t>
            </w:r>
          </w:p>
        </w:tc>
        <w:tc>
          <w:tcPr>
            <w:tcW w:w="286" w:type="pct"/>
            <w:vAlign w:val="center"/>
          </w:tcPr>
          <w:p w14:paraId="68072C9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w:t>
            </w:r>
          </w:p>
        </w:tc>
        <w:tc>
          <w:tcPr>
            <w:tcW w:w="214" w:type="pct"/>
            <w:vAlign w:val="center"/>
          </w:tcPr>
          <w:p w14:paraId="7647B6A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3836741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0.375</w:t>
            </w:r>
          </w:p>
        </w:tc>
        <w:tc>
          <w:tcPr>
            <w:tcW w:w="575" w:type="pct"/>
            <w:vAlign w:val="center"/>
          </w:tcPr>
          <w:p w14:paraId="1C1161C4">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5.25</w:t>
            </w:r>
          </w:p>
        </w:tc>
      </w:tr>
      <w:tr w14:paraId="5D1E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77A51DA0">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13</w:t>
            </w:r>
          </w:p>
        </w:tc>
        <w:tc>
          <w:tcPr>
            <w:tcW w:w="599" w:type="pct"/>
            <w:vAlign w:val="center"/>
          </w:tcPr>
          <w:p w14:paraId="146E8A4C">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雷达视频一体机</w:t>
            </w:r>
          </w:p>
        </w:tc>
        <w:tc>
          <w:tcPr>
            <w:tcW w:w="2441" w:type="pct"/>
            <w:gridSpan w:val="2"/>
            <w:vAlign w:val="center"/>
          </w:tcPr>
          <w:p w14:paraId="6FBC5328">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1、雷达视频园区测速一体机，焦距≥16mm，分辨率≥2688×1520。</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2、高精度毫米波雷达与400W低照度深度学习智能相机从结构、场景、采集方式到数据信息等多方面深层次融合应用。</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3、支持机动车测速，卡口图片抓拍。</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4、支持联动屏幕，实时显示车牌号、车速值。</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5、测速距离最大100米，车牌识别距离最大22米。</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6、支持宽动态，并具有多种白平衡模式，适合各种场景需求。</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7、雷达、视频和抓拍一体化设备，安装调试方便，正装最大支持四车道园区测速。</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8、支持基于视频的车牌、车辆特征识别，包括：车型、车辆主品牌、子品牌、车身颜色。</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9、空间分辨率高，穿透力强，不受光照、可见度、恶劣气候等自然条件的影响，数据检测更精准。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10、雷达性能特点：空间分辨率高、穿透能力强，支持全天候环境下工作，不受雨、雾、大风、灰尘、光照等影响</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 xml:space="preserve">11、测速范围：-250km/h~250km/h  </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 xml:space="preserve">12、作用距离：20m ~100m  </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13、串口：≥1个RS-485接口</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14、图片格式支持JPEG；</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15、支持卡口抓拍、车牌识别、车型识别、车身颜色识别、车辆特征检测；</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16、网络接口：≥2个RJ45 100M /1000M自适应以太网口，报警输出：≥1路继电器开关</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17、最小照度：彩色≤0.01Lux、黑白≤0.001Lux</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18、图像设置支持饱和度，亮度，对比度，白平衡，增益通过软件可调；</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19、支持心跳、密码保护、NTP校时；</w:t>
            </w:r>
          </w:p>
        </w:tc>
        <w:tc>
          <w:tcPr>
            <w:tcW w:w="286" w:type="pct"/>
            <w:vAlign w:val="center"/>
          </w:tcPr>
          <w:p w14:paraId="26CF25A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214" w:type="pct"/>
            <w:vAlign w:val="center"/>
          </w:tcPr>
          <w:p w14:paraId="73E48F3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22584F56">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1.3500</w:t>
            </w:r>
          </w:p>
        </w:tc>
        <w:tc>
          <w:tcPr>
            <w:tcW w:w="575" w:type="pct"/>
            <w:vAlign w:val="center"/>
          </w:tcPr>
          <w:p w14:paraId="30E85C00">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2.7000</w:t>
            </w:r>
          </w:p>
        </w:tc>
      </w:tr>
      <w:tr w14:paraId="15B67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6E0833A9">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14</w:t>
            </w:r>
          </w:p>
        </w:tc>
        <w:tc>
          <w:tcPr>
            <w:tcW w:w="599" w:type="pct"/>
            <w:vAlign w:val="center"/>
          </w:tcPr>
          <w:p w14:paraId="4BB2DDAB">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LED常亮灯</w:t>
            </w:r>
          </w:p>
        </w:tc>
        <w:tc>
          <w:tcPr>
            <w:tcW w:w="2441" w:type="pct"/>
            <w:gridSpan w:val="2"/>
            <w:vAlign w:val="center"/>
          </w:tcPr>
          <w:p w14:paraId="27EECBF4">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1、16颗LED常亮灯</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2、光源类型：原装进口大功率LED，三车道补光</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3、可通过RS485实现可调亮度</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4、LED灯珠数量：16颗</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5、发光角度：40°</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6、最佳补光距离：16米-25米</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7、触发方式：光敏控制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8、防护等级：IP66</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9、外形尺寸：128mm(D)×216mm(H)×159mm(W)</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10、整体重量：2.72Kg</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11、功率：最大功率35W(实际功率与控制方式有关)</w:t>
            </w:r>
          </w:p>
        </w:tc>
        <w:tc>
          <w:tcPr>
            <w:tcW w:w="286" w:type="pct"/>
            <w:vAlign w:val="center"/>
          </w:tcPr>
          <w:p w14:paraId="0F131986">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w:t>
            </w:r>
          </w:p>
        </w:tc>
        <w:tc>
          <w:tcPr>
            <w:tcW w:w="214" w:type="pct"/>
            <w:vAlign w:val="center"/>
          </w:tcPr>
          <w:p w14:paraId="6AC6E0E6">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w:t>
            </w:r>
          </w:p>
        </w:tc>
        <w:tc>
          <w:tcPr>
            <w:tcW w:w="570" w:type="pct"/>
            <w:vAlign w:val="center"/>
          </w:tcPr>
          <w:p w14:paraId="6AAED2BC">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0.1275</w:t>
            </w:r>
          </w:p>
        </w:tc>
        <w:tc>
          <w:tcPr>
            <w:tcW w:w="575" w:type="pct"/>
            <w:vAlign w:val="center"/>
          </w:tcPr>
          <w:p w14:paraId="4FD767D0">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0.5100</w:t>
            </w:r>
          </w:p>
        </w:tc>
      </w:tr>
      <w:tr w14:paraId="227F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141404CF">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15</w:t>
            </w:r>
          </w:p>
        </w:tc>
        <w:tc>
          <w:tcPr>
            <w:tcW w:w="599" w:type="pct"/>
            <w:vAlign w:val="center"/>
          </w:tcPr>
          <w:p w14:paraId="5F09245B">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边缘分析终端</w:t>
            </w:r>
          </w:p>
        </w:tc>
        <w:tc>
          <w:tcPr>
            <w:tcW w:w="2441" w:type="pct"/>
            <w:gridSpan w:val="2"/>
            <w:vAlign w:val="center"/>
          </w:tcPr>
          <w:p w14:paraId="7CC4A8DF">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1、嵌入式操作系统，内置1块2T硬盘；</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2、双网卡，具备≥4个100M以太网接口及≥2个1000M以太网接口</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3、≥2个1000M SFP光纤接口；</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4、坚固紧凑无风扇设计，体积小巧，适合在路边机柜及抱杆机柜使用，单面接口设计，更便于施工操作；</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5、最大支持2TB硬盘存储，图片与录像可设置配额；</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6、支持对通行车辆的信息（记录和图片、录像）存储；</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7、可配置多种字符叠加、图片合成模式；</w:t>
            </w:r>
          </w:p>
        </w:tc>
        <w:tc>
          <w:tcPr>
            <w:tcW w:w="286" w:type="pct"/>
            <w:vAlign w:val="center"/>
          </w:tcPr>
          <w:p w14:paraId="1F8F6FD8">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214" w:type="pct"/>
            <w:vAlign w:val="center"/>
          </w:tcPr>
          <w:p w14:paraId="5CC27C9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2C33C0B8">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0.456</w:t>
            </w:r>
          </w:p>
        </w:tc>
        <w:tc>
          <w:tcPr>
            <w:tcW w:w="575" w:type="pct"/>
            <w:vAlign w:val="center"/>
          </w:tcPr>
          <w:p w14:paraId="58752E54">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0.912</w:t>
            </w:r>
          </w:p>
        </w:tc>
      </w:tr>
      <w:tr w14:paraId="7326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076FEEE0">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16</w:t>
            </w:r>
          </w:p>
        </w:tc>
        <w:tc>
          <w:tcPr>
            <w:tcW w:w="599" w:type="pct"/>
            <w:vAlign w:val="center"/>
          </w:tcPr>
          <w:p w14:paraId="6C2BB77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抱杆机柜</w:t>
            </w:r>
          </w:p>
        </w:tc>
        <w:tc>
          <w:tcPr>
            <w:tcW w:w="2441" w:type="pct"/>
            <w:gridSpan w:val="2"/>
            <w:vAlign w:val="center"/>
          </w:tcPr>
          <w:p w14:paraId="642AB4AF">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1、尺寸540mm（宽）x579mm（高）x358mm（深）(含帽檐)</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2、内含双路220V电源防雷，双路10A空气开关一个， 3芯插座一个</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3、机柜采用1.0厚度热度锌板制作</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4、机柜采用抱杆安装方式，具有防虫、防鼠功效</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5、结构：整体结构采用拼焊结构，牢固、钢性好、牢固可靠</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6、防护等级IP55，保护内部设备不受外界恶劣环境的干扰</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机柜采用主体焊接、部分拼装的结构，保证了防护</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7、采用的是专用户外柜锁，具有良好的防水、防盗性</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8、环境适应性好，能最大限度地降低设备对环境的要求接地系统安全可靠</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9、机柜底部进出线缆，有效实现防水、防尘</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10、工作温度：温度-30℃~70℃，工作湿度：湿度5%~95%@40℃，无凝结，防护等级不低于IP55</w:t>
            </w:r>
          </w:p>
        </w:tc>
        <w:tc>
          <w:tcPr>
            <w:tcW w:w="286" w:type="pct"/>
            <w:vAlign w:val="center"/>
          </w:tcPr>
          <w:p w14:paraId="55629708">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214" w:type="pct"/>
            <w:vAlign w:val="center"/>
          </w:tcPr>
          <w:p w14:paraId="4248F89B">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04761EF7">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0.1215</w:t>
            </w:r>
          </w:p>
        </w:tc>
        <w:tc>
          <w:tcPr>
            <w:tcW w:w="575" w:type="pct"/>
            <w:vAlign w:val="center"/>
          </w:tcPr>
          <w:p w14:paraId="428E963D">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0.243</w:t>
            </w:r>
          </w:p>
        </w:tc>
      </w:tr>
      <w:tr w14:paraId="4A46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25D4A4A8">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17</w:t>
            </w:r>
          </w:p>
        </w:tc>
        <w:tc>
          <w:tcPr>
            <w:tcW w:w="599" w:type="pct"/>
            <w:vAlign w:val="center"/>
          </w:tcPr>
          <w:p w14:paraId="69BD92C7">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测速提示牌</w:t>
            </w:r>
          </w:p>
        </w:tc>
        <w:tc>
          <w:tcPr>
            <w:tcW w:w="2441" w:type="pct"/>
            <w:gridSpan w:val="2"/>
            <w:vAlign w:val="center"/>
          </w:tcPr>
          <w:p w14:paraId="28B4BCA7">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一、基础模块：</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 xml:space="preserve">1、支持园区测速提示牌，车速显示，车牌显示，包含：测速牌、抱箍（直径：114mm） </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2、产品尺寸：1120mm*1800mm*100mm</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3、外壳材质：铝板折边、表面喷塑贴反光膜</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4、工作电压：AC 220V±44V，50Hz</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 xml:space="preserve">5、总功率：≤25W </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6、通讯接口：RJ45</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7、测速显示数值：红199～1；绿199～1</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8、LED中心亮度：红&gt;5000 cd/㎡；黄&gt;5000 cd/㎡ ；绿&gt;5000 cd/㎡</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9、LED波长：红:628nm±1nm；黄:590nm±1nm；绿:505nm±1nm</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10、LED直径：Φ5</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11、单管电流：≤20mA</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12、LED寿命：≥100000小时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13、反光膜等级：3级</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 xml:space="preserve">14、反光膜寿命：≥10年  </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15、可视距离：≥500m</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16、可视角度：&gt;30°</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17、工作温度：-40℃ ~ +80℃</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18、相对湿度：≤95%</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19、保存环境：0~50℃，40~60%RH</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20、防护等级：≥IP53</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21、安装方式：立杆安装</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二、车牌显示单元：</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1、像素：96*32</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2、像素组成：1R1G</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3、点间距：≥10mm；</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4、单元尺寸：960mm*320mm</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5、文字内容；可显示红、黄、绿三种颜色的任意文字</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6、模组亮度：4500-5000cd/㎡</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7、水平可视角度：110°±10°</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8、垂直可视角度：60°±10°</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9、最佳观看距离：10-100m</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10、平均无故障时间：≥10000小时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11、使用寿命：≥100000小时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12、盲点率：小于万分之一，出厂无盲点</w:t>
            </w:r>
          </w:p>
        </w:tc>
        <w:tc>
          <w:tcPr>
            <w:tcW w:w="286" w:type="pct"/>
            <w:vAlign w:val="center"/>
          </w:tcPr>
          <w:p w14:paraId="38B61CC6">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214" w:type="pct"/>
            <w:vAlign w:val="center"/>
          </w:tcPr>
          <w:p w14:paraId="3D7AA40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c>
          <w:tcPr>
            <w:tcW w:w="570" w:type="pct"/>
            <w:vAlign w:val="center"/>
          </w:tcPr>
          <w:p w14:paraId="24F49BE8">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1.15</w:t>
            </w:r>
          </w:p>
        </w:tc>
        <w:tc>
          <w:tcPr>
            <w:tcW w:w="575" w:type="pct"/>
            <w:vAlign w:val="center"/>
          </w:tcPr>
          <w:p w14:paraId="570DDF8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2.30</w:t>
            </w:r>
          </w:p>
        </w:tc>
      </w:tr>
      <w:tr w14:paraId="1624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052BBF02">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18</w:t>
            </w:r>
          </w:p>
        </w:tc>
        <w:tc>
          <w:tcPr>
            <w:tcW w:w="599" w:type="pct"/>
            <w:vAlign w:val="center"/>
          </w:tcPr>
          <w:p w14:paraId="7A4B6080">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安装杆件</w:t>
            </w:r>
          </w:p>
        </w:tc>
        <w:tc>
          <w:tcPr>
            <w:tcW w:w="2441" w:type="pct"/>
            <w:gridSpan w:val="2"/>
            <w:vAlign w:val="center"/>
          </w:tcPr>
          <w:p w14:paraId="38C21838">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1、尺寸：安装杆件直径范围 60-300mm； </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 xml:space="preserve">2、默认周长范围：340~950mm; </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 xml:space="preserve">3、钢带数目：3； </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4、材料：SUS304</w:t>
            </w:r>
          </w:p>
        </w:tc>
        <w:tc>
          <w:tcPr>
            <w:tcW w:w="286" w:type="pct"/>
            <w:vAlign w:val="center"/>
          </w:tcPr>
          <w:p w14:paraId="0927F0CB">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w:t>
            </w:r>
          </w:p>
        </w:tc>
        <w:tc>
          <w:tcPr>
            <w:tcW w:w="214" w:type="pct"/>
            <w:vAlign w:val="center"/>
          </w:tcPr>
          <w:p w14:paraId="5C4D440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个</w:t>
            </w:r>
          </w:p>
        </w:tc>
        <w:tc>
          <w:tcPr>
            <w:tcW w:w="570" w:type="pct"/>
            <w:vAlign w:val="center"/>
          </w:tcPr>
          <w:p w14:paraId="1B38C2A7">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0.0185</w:t>
            </w:r>
          </w:p>
        </w:tc>
        <w:tc>
          <w:tcPr>
            <w:tcW w:w="575" w:type="pct"/>
            <w:vAlign w:val="center"/>
          </w:tcPr>
          <w:p w14:paraId="6B9033EB">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0.185</w:t>
            </w:r>
          </w:p>
        </w:tc>
      </w:tr>
      <w:tr w14:paraId="4856C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16549155">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19</w:t>
            </w:r>
          </w:p>
        </w:tc>
        <w:tc>
          <w:tcPr>
            <w:tcW w:w="599" w:type="pct"/>
            <w:vAlign w:val="center"/>
          </w:tcPr>
          <w:p w14:paraId="45581796">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违停枪球一体机</w:t>
            </w:r>
          </w:p>
        </w:tc>
        <w:tc>
          <w:tcPr>
            <w:tcW w:w="2441" w:type="pct"/>
            <w:gridSpan w:val="2"/>
            <w:vAlign w:val="center"/>
          </w:tcPr>
          <w:p w14:paraId="5F8DA7B0">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1、800万+400万臻全彩枪球，支持≥25倍光学变倍，内置≥2颗GPU芯片，全景内置≥2个镜头，细节内置≥1个镜头。</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●2、全景摄像机内置≥4颗补光灯，细节摄像机内置≥10颗红外补光灯和≥1颗白光灯，全景通道水平视场角90°，垂直视场角50°，全景通道可进行垂直旋转，旋转范围不低于10°可调。</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3、支持最低照度彩色≤0.0002lx，黑白≤0.0001 lx，补光灯距离：全景通道≥30米，细节通道≥250米。</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4、支持硬件微引导程序、uboot、OS、应用软件逐级校验功能，非法篡改的uboot、OS、应用软件固件包，不能通过命令行、浏览器、客户端方式进行升级。</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5、摄像机具备AR标签管理功能，可对监控区域的常规点位、卡口点位、人脸点位、重点道路等进行标签标注，最多可添加500个标签。</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6、支持人脸人体车辆同时抓拍，人脸人体关联输出，并实现对人脸、人体、车辆结构化属性特征信息提取。</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摄像机具备AR标签抖动漂移功能，当设备云台明显抖动、转动、或进行镜头变倍时，标签应跟随标定的目标物移动，并在画面中与目标物保持相对静止，摄像机具备AR标签联动查看功能，选中标签并将标签置于屏幕中心位置进行显示，可通过点击视频画面中的标签查看标签内容并对标签关联的摄像机视频进行预览，并可通过点击摄像机预览窗口进行放大窗口操作。</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●8、设备进行违法停车检测时，镜头倍率为1倍情况下，白天有效检测距离最大为150米，其他倍率下，白天有效检测距离最大为300米，白天违法停车捕获率、捕获有效率均不小于98%。</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设备可在预览画面及抓拍图片中叠加人员和车辆的移动轨迹，轨迹颜色支持红色、黄色、蓝色、绿色、及紫色，轨迹末尾具有一个方向箭头，指向目标离开的方向，细节通道抓拍图片大小不大于500KB，全景通道可进行垂直旋转，旋转范围≥10°可调。</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10、开启混合目标检测模式后，设备可同时对行人、非机动车、机动车进行检测、跟踪、抓拍，可支持人脸与人体，车牌与车辆的关联显示。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具备声音警戒功能，可设置11种警戒音、提示音、自定义语音，报警次数1～50次可设；可通过区域入侵侦测、越界侦测、进入区域侦测、离开区域侦测等报警事件，联动声音报警，具备闪光灯警戒功能，可设置闪光灯闪烁时间（1-300），闪烁频率（高、中、低、常亮），亮度（1-100），当监控画面中有目标触发区域入侵侦测、越界侦测、进入区域侦测、离开区域侦测等报警时，可联动白光灯闪烁进行报警。</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12、设备支持违法取证图片单张上传或者多张合成上传，合成图片的数量（1~6张可选）可配置。</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13、支持7路报警输入接口，2路报警输出接口，支持1路音频输入和输出接口。</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14、支持数据感知功能，可同时支持3路web监听通道，设备响应web端发送的查询请求，并返回对应的感知数据；断网重连后，报警信息可继续上传。</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15、防护等级≥IP67，6000V 防雷、防浪涌、防突波，符合GB/T17626.2/3/4/5/6四级标准。</w:t>
            </w:r>
          </w:p>
        </w:tc>
        <w:tc>
          <w:tcPr>
            <w:tcW w:w="286" w:type="pct"/>
            <w:vAlign w:val="center"/>
          </w:tcPr>
          <w:p w14:paraId="5866EEB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7FE1C6C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13931B95">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0.837</w:t>
            </w:r>
          </w:p>
        </w:tc>
        <w:tc>
          <w:tcPr>
            <w:tcW w:w="575" w:type="pct"/>
            <w:vAlign w:val="center"/>
          </w:tcPr>
          <w:p w14:paraId="0D95D69C">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0.837</w:t>
            </w:r>
          </w:p>
        </w:tc>
      </w:tr>
      <w:tr w14:paraId="779D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448F7B93">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20</w:t>
            </w:r>
          </w:p>
        </w:tc>
        <w:tc>
          <w:tcPr>
            <w:tcW w:w="599" w:type="pct"/>
            <w:vAlign w:val="center"/>
          </w:tcPr>
          <w:p w14:paraId="4F8484A0">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智慧音柱</w:t>
            </w:r>
          </w:p>
        </w:tc>
        <w:tc>
          <w:tcPr>
            <w:tcW w:w="2441" w:type="pct"/>
            <w:gridSpan w:val="2"/>
            <w:vAlign w:val="center"/>
          </w:tcPr>
          <w:p w14:paraId="29E0E03E">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1、30W低功耗室外智慧音柱，待机功耗低至0.16W，高效节能；</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智能静音功能，在待机时整机完全静音无底噪无电流声；完美解决噪声困扰，智能优先级处理，设备支持1路线路输入和3路开关量触发，并支持多信号源优先级；优先级顺序：线路输入＞触发1＞触发2＞触发3；灵活适配多种场景；</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3、高保真音质好，音色干净，高音清晰明亮；</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4、内部功放具备过热、过压、短路等保护功能；</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5、有源音柱外观设计精巧，机身采用纯铝合金打造;</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6、防水性能强，可以直接在户外使用；</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7、该产品内置8 M音频存储空间，可以通过外置USB接口擦除拷贝6首音乐，通过拨码开关选择预设音乐信号，通过触发播放预设语音节目；</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预录语音：1、你好，垃圾请分类入桶（女声）；2、观赏草坪，请勿踩踏（女声）；3、机动车道，行人请勿进入；4、进入施工现场，请戴好安全帽，注意安全；5、警戒区域，请尽快离开；6、您已进入监控区域，你的行为将被实时记录，请注意言行举止；</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9、额定功率：30W；</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 xml:space="preserve"> 10、总谐波失真：THD≤10%；</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 xml:space="preserve"> 11、灵敏度：92 db(±3db) ；</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 xml:space="preserve">12、设备接口：线路输入接口*1，开关量触发接口*3，USB接口*1； </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13、重量：净重≈2.42Kg；毛重≈2.75Kg；</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 xml:space="preserve"> 14、通用功能：拨码开关*1，音量调节*2（线路输入音量调节和开关量触发音量调节）；</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 xml:space="preserve"> 15、功耗：待机功耗：0.16W；工作最大功耗：32W；</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 xml:space="preserve"> 16、工作湿度：≤90%（无凝结）≥IP66。</w:t>
            </w:r>
          </w:p>
        </w:tc>
        <w:tc>
          <w:tcPr>
            <w:tcW w:w="286" w:type="pct"/>
            <w:vAlign w:val="center"/>
          </w:tcPr>
          <w:p w14:paraId="33077680">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w:t>
            </w:r>
          </w:p>
        </w:tc>
        <w:tc>
          <w:tcPr>
            <w:tcW w:w="214" w:type="pct"/>
            <w:vAlign w:val="center"/>
          </w:tcPr>
          <w:p w14:paraId="4059ED62">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54F49D1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0.063</w:t>
            </w:r>
          </w:p>
        </w:tc>
        <w:tc>
          <w:tcPr>
            <w:tcW w:w="575" w:type="pct"/>
            <w:vAlign w:val="center"/>
          </w:tcPr>
          <w:p w14:paraId="473C83E8">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0.252</w:t>
            </w:r>
          </w:p>
        </w:tc>
      </w:tr>
      <w:tr w14:paraId="69FE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62D57169">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21</w:t>
            </w:r>
          </w:p>
        </w:tc>
        <w:tc>
          <w:tcPr>
            <w:tcW w:w="599" w:type="pct"/>
            <w:vAlign w:val="center"/>
          </w:tcPr>
          <w:p w14:paraId="316CA8D4">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百兆交换机</w:t>
            </w:r>
          </w:p>
        </w:tc>
        <w:tc>
          <w:tcPr>
            <w:tcW w:w="2441" w:type="pct"/>
            <w:gridSpan w:val="2"/>
            <w:vAlign w:val="center"/>
          </w:tcPr>
          <w:p w14:paraId="3095A522">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1、电口≥8个，1G SFP光口≥2个；</w:t>
            </w:r>
          </w:p>
          <w:p w14:paraId="77ECD434">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2、交换机交换容量：≥256Gbps，包转发率：≥27Mpps；</w:t>
            </w:r>
          </w:p>
          <w:p w14:paraId="5395BA56">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3、支持二层广播，配置静态IP地址，DHCPOption43方式，DNS域名上线；</w:t>
            </w:r>
          </w:p>
          <w:p w14:paraId="321A615D">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4、支持M-LAG技术，跨设备链路聚合，配对的设备有独立的控制平面；</w:t>
            </w:r>
          </w:p>
          <w:p w14:paraId="39160ABF">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5、支持通过APP进行远程管理，并且可以修改交换机网络配置；</w:t>
            </w:r>
          </w:p>
          <w:p w14:paraId="1DA712B0">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6、支持终端类型库，基于指纹自动识别PC、路由器、摄像头设备、无线AP等；</w:t>
            </w:r>
          </w:p>
          <w:p w14:paraId="2D84A07D">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7、支持可视化查看IP冲突次数，终端获取IP地址失败次数，并统计最近发生时间；</w:t>
            </w:r>
          </w:p>
          <w:p w14:paraId="540D97E0">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8、支持安全防护，提供图表展示端口扫描攻击、DDos攻击、IP冲突等攻击次数；</w:t>
            </w:r>
          </w:p>
          <w:p w14:paraId="28885C9F">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9、为了确保内部网络数据不会外泄，需支持交换机在网络控制平台管理下实现禁止通过内网PC端进行私接随身Wi-Fi共享；</w:t>
            </w:r>
          </w:p>
          <w:p w14:paraId="1255F6FD">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10、为了保障网络安全性，需支持交换机在网络控制平台管理下创建东西向安全策略，实现全网安全风险拦截。</w:t>
            </w:r>
          </w:p>
        </w:tc>
        <w:tc>
          <w:tcPr>
            <w:tcW w:w="286" w:type="pct"/>
            <w:vAlign w:val="center"/>
          </w:tcPr>
          <w:p w14:paraId="06F0F65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65283F4D">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54114DE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0.0175</w:t>
            </w:r>
          </w:p>
        </w:tc>
        <w:tc>
          <w:tcPr>
            <w:tcW w:w="575" w:type="pct"/>
            <w:vAlign w:val="center"/>
          </w:tcPr>
          <w:p w14:paraId="36E77EF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0.0175</w:t>
            </w:r>
          </w:p>
        </w:tc>
      </w:tr>
      <w:tr w14:paraId="0C1FA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5097E0ED">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22</w:t>
            </w:r>
          </w:p>
        </w:tc>
        <w:tc>
          <w:tcPr>
            <w:tcW w:w="599" w:type="pct"/>
            <w:vAlign w:val="center"/>
          </w:tcPr>
          <w:p w14:paraId="6D9CBA90">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高空抛物专用摄像机（低楼层）</w:t>
            </w:r>
          </w:p>
        </w:tc>
        <w:tc>
          <w:tcPr>
            <w:tcW w:w="2441" w:type="pct"/>
            <w:gridSpan w:val="2"/>
            <w:vAlign w:val="center"/>
          </w:tcPr>
          <w:p w14:paraId="30AE17AE">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1、具有≥400万像素CMOS传感器，靶面尺寸≥1/1.8"，内置GPU芯片，光圈大小为F1.0±5%，支持2.8-12mm/8-32mm的镜头可选。</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2、支持最低照度彩色≤0.0005lx，支持宽动态≥120 dB，信噪比≥62dB，支持H.264、H.265、MJPEG视频编码格式，且具有High Profile编码能力。</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3、支持主码流分辨率≥2560×1440@25fps，子码流≥704x576@25fps，分辨率≥2560×1440@25fps时，分辨力应≥1400TVL。</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●4、支持镜头疏水功能，镜头前盖玻璃有利于玻璃表面的小水珠自动聚集并易于滑落，设备镜头四周均自带遮阳罩，可屏蔽从镜头视场角范围之外入射的杂光。</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5、支持天气显示功能，可在视频画面中叠加天气、温度、湿度信息，可通过提示框提示用户关闭窗户。</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支持雨水感知功能，内置水量传感器，预览页面可显示≥4级雨量，支持蓄水功能，内置冷凝模块、蓄水箱和喷水模块，可将空气中的水分分离并储存在蓄水箱中，逆光观察，水中无肉眼可见杂质，支持镜头清洁功能，可将蓄水箱中的水，从≥4个喷水孔将水喷射在镜头玻璃上，并驱动雨刷清洁镜头玻璃上的覆盖物。</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7、可同时支持≥3路web监听通道，设备响应web端发送的查询请求，并返回对应的感知数据，断网重连后，报警信息可继续上传。</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支持雨刷控制功能，内置雨刷，支持手动、自动、定时、关闭≥4种控制模式，自动模式下设备可自动检测镜头前盖是否有雨水，当检测到雨水时，可自动开启雨刮刮擦镜头，并可根据雨水量的等级调整刮擦的速度。</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9、支持智能事件分析功能，当视频画面中出现烟雾或起火、阳台上堆放可见物品或花盆、人员向上攀爬，可触发报警。</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10、支持镜头前盖玻璃加热功能，内置温度传感器，当温度低于设定阈值时，可开启加热片，对镜头前盖玻璃进行加热，去除玻璃上的水、冰、雪、雾类附着物，可根据环境温度自动调整加热功率。</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11、镜头前盖采用增强透光玻璃，透过率不小于97%。</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12、支持在IE 浏览器下，可通过扫描预览界面上的二维码获取设备资料。</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13、在IE 浏览器下，重启事件记录可包括正常重启和异常重启≥2种类型，正常重启可记录重启的时间、服务类型、用户名、IP/域名信息，异常重启可记录重启时间、异常类型信息。</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14、支持高空抛物检测抗扰功能，高空抛物检测功能开启后，当出现非从高处落向低处的物体（飞鸟、大楼玻璃映射的飞机影像、高空晾晒的衣物被褥、人员），设备不产生报警提示信息。</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15、支持高空抛物检测功能，当视频画面中出现物品自上而下掉落时，可在视频画面中叠加物品下落轨迹，同时下落的不同物品，下落轨迹的颜色不同，可显示掉落物品所属楼层并叠加在视频画面上。</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16、支持硬件微引导程序OTP写入保护机制，uboot的FLASH存储空间应采用防篡改功能，若非法修改FLASH中的内容，可提示异常报错，uboot无法正常启动。</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17、支持防护等级≥IP67，电压在DC12V±20%范围内变化时，可正常工作。</w:t>
            </w:r>
          </w:p>
        </w:tc>
        <w:tc>
          <w:tcPr>
            <w:tcW w:w="286" w:type="pct"/>
            <w:vAlign w:val="center"/>
          </w:tcPr>
          <w:p w14:paraId="21CF414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214" w:type="pct"/>
            <w:vAlign w:val="center"/>
          </w:tcPr>
          <w:p w14:paraId="2709380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27B77DEC">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0.33</w:t>
            </w:r>
          </w:p>
        </w:tc>
        <w:tc>
          <w:tcPr>
            <w:tcW w:w="575" w:type="pct"/>
            <w:vAlign w:val="center"/>
          </w:tcPr>
          <w:p w14:paraId="4566999B">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0.66</w:t>
            </w:r>
          </w:p>
        </w:tc>
      </w:tr>
      <w:tr w14:paraId="0949B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350DAF76">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23</w:t>
            </w:r>
          </w:p>
        </w:tc>
        <w:tc>
          <w:tcPr>
            <w:tcW w:w="599" w:type="pct"/>
            <w:vAlign w:val="center"/>
          </w:tcPr>
          <w:p w14:paraId="6911139D">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高空抛物专用摄像机（中高楼层）</w:t>
            </w:r>
          </w:p>
        </w:tc>
        <w:tc>
          <w:tcPr>
            <w:tcW w:w="2441" w:type="pct"/>
            <w:gridSpan w:val="2"/>
            <w:vAlign w:val="center"/>
          </w:tcPr>
          <w:p w14:paraId="4F2A4E64">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1、具有≥400万像素CMOS传感器，靶面尺寸≥1/1.8"，内置GPU芯片，光圈大小为F1.0±5%，支持2.8-12mm/8-32mm的镜头可选。</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2、支持最低照度彩色≤0.0005lx，支持宽动态≥120 dB，信噪比≥62dB，支持H.264、H.265、MJPEG视频编码格式，且具有High Profile编码能力。</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3、支持主码流分辨率≥2560×1440@25fps，子码流≥704x576@25fps，分辨率≥2560×1440@25fps时，分辨力应≥1400TVL。</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4、支持镜头疏水功能，镜头前盖玻璃有利于玻璃表面的小水珠自动聚集并易于滑落，设备镜头四周均自带遮阳罩，可屏蔽从镜头视场角范围之外入射的杂光。</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5、支持天气显示功能，可在视频画面中叠加天气、温度、湿度信息，可通过提示框提示用户关闭窗户。</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支持雨水感知功能，内置水量传感器，预览页面可显示≥4级雨量，支持蓄水功能，内置冷凝模块、蓄水箱和喷水模块，可将空气中的水分分离并储存在蓄水箱中，逆光观察，水中无肉眼可见杂质，支持镜头清洁功能，可将蓄水箱中的水，从≥4个喷水孔将水喷射在镜头玻璃上，并驱动雨刷清洁镜头玻璃上的覆盖物。</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7、可同时支持≥3路web监听通道，设备响应web端发送的查询请求，并返回对应的感知数据，断网重连后，报警信息可继续上传。</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支持雨刷控制功能，内置雨刷，支持手动、自动、定时、关闭≥4种控制模式，自动模式下设备可自动检测镜头前盖是否有雨水，当检测到雨水时，可自动开启雨刮刮擦镜头，并可根据雨水量的等级调整刮擦的速度。</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9、支持智能事件分析功能，当视频画面中出现烟雾或起火、阳台上堆放可见物品或花盆、人员向上攀爬，可触发报警。</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10、支持镜头前盖玻璃加热功能，内置温度传感器，当温度低于设定阈值时，可开启加热片，对镜头前盖玻璃进行加热，去除玻璃上的水、冰、雪、雾类附着物，可根据环境温度自动调整加热功率。</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11、镜头前盖采用增强透光玻璃，透过率不小于97%。</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12、支持在IE 浏览器下，可通过扫描预览界面上的二维码获取设备资料。</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13、在IE 浏览器下，重启事件记录可包括正常重启和异常重启≥2种类型，正常重启可记录重启的时间、服务类型、用户名、IP/域名信息，异常重启可记录重启时间、异常类型信息。</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14、支持高空抛物检测抗扰功能，高空抛物检测功能开启后，当出现非从高处落向低处的物体（飞鸟、大楼玻璃映射的飞机影像、高空晾晒的衣物被褥、人员），设备不产生报警提示信息。</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15、支持高空抛物检测功能，当视频画面中出现物品自上而下掉落时，可在视频画面中叠加物品下落轨迹，同时下落的不同物品，下落轨迹的颜色不同，可显示掉落物品所属楼层并叠加在视频画面上。</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16、支持硬件微引导程序OTP写入保护机制，uboot的FLASH存储空间应采用防篡改功能，若非法修改FLASH中的内容，可提示异常报错，uboot无法正常启动。</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17、支持防护等级≥IP67，电压在DC12V±20%范围内变化时，可正常工作。</w:t>
            </w:r>
          </w:p>
        </w:tc>
        <w:tc>
          <w:tcPr>
            <w:tcW w:w="286" w:type="pct"/>
            <w:vAlign w:val="center"/>
          </w:tcPr>
          <w:p w14:paraId="250E42CC">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214" w:type="pct"/>
            <w:vAlign w:val="center"/>
          </w:tcPr>
          <w:p w14:paraId="2F25583D">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46B6E49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0.33</w:t>
            </w:r>
          </w:p>
        </w:tc>
        <w:tc>
          <w:tcPr>
            <w:tcW w:w="575" w:type="pct"/>
            <w:vAlign w:val="center"/>
          </w:tcPr>
          <w:p w14:paraId="716D4DAC">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0.66</w:t>
            </w:r>
          </w:p>
        </w:tc>
      </w:tr>
      <w:tr w14:paraId="6129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6CC75AA1">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24</w:t>
            </w:r>
          </w:p>
        </w:tc>
        <w:tc>
          <w:tcPr>
            <w:tcW w:w="599" w:type="pct"/>
            <w:vAlign w:val="center"/>
          </w:tcPr>
          <w:p w14:paraId="36ECD6F6">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磁盘阵列存储</w:t>
            </w:r>
          </w:p>
        </w:tc>
        <w:tc>
          <w:tcPr>
            <w:tcW w:w="2441" w:type="pct"/>
            <w:gridSpan w:val="2"/>
            <w:vAlign w:val="center"/>
          </w:tcPr>
          <w:p w14:paraId="36FF7A9A">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1、支持≥1颗64位多核处理器，≥4GB内存，内存支持扩展到≥64GB，标配≥48块8T企业级SATA硬盘。</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2、支持≥48盘位，接入带宽≥1536Mbps，≥2个千兆网口，支持冗余电源，机箱具备防尘滤网和双立柱。</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支持纠删码技术，多台存储设备组建网络RAID，设置为负载均衡，任意1-4个存储设备故障，数据应不丢失，存储服务不中断，单台或多台存储设备组建网络RAID，允许每组RAID中任意1-12个磁盘发生故障，数据不丢失，存储服务不中断，允许每组RAID中任意≥18块硬盘发生故障，业务不中断。</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支持延时摄影功能，可将长时间录制的视频图像合成为短视频，并支持延时摄影视频预览及下载，设备支持版本回退功能，在当前版本出现故障或操作失误后，可进行回退到历史版本，回退后录像正常回放，且历史录像完整。（投标人须在投标文件中提供相关证明材料：可以是产品功能界面截图或第三方检测机构出具的检测报告复印件，并加盖投标人公章或CA签章。）</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5、支持不低于1536Mbps图片转发，支持不低于1536Mbps图片并发输入，同时不低于1536Mbps图片并发输出。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6、应能接入并存储≥3072Mbps视频图像，同时转发≥3072Mbps的视频图像，同时下载≥3072Mbps的视频图像，同时回放≥600Mbps的视频图像。</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7、在转发模式下，可进行≥4096路2Mbps视频码流转发，在总带宽不变的情况下，接入、转发、回放间的性能值可自由调整。</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存储业务模块可存放在不同容器中，业务之间互相隔离，一个业务模块发生故障时，不影响其它业务模块，当一个业务模块异常，系统可自动重启业务模块并恢复原有业务，可配置3～6个容器；更换系统盘并配置好信息后，再次开机无需人工介入，可自动恢复业务，历史数据不应丢失。（投标人须在投标文件中提供相关证明材料：可以是产品功能界面截图或第三方检测机构出具的检测报告复印件，并加盖投标人公章或CA签章。）</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9、支持硬盘热插拔设备在读写数据时，热插拔设备内的任意块硬盘，设备正常运行不宕机，硬盘不损坏，数据不丢失，业务不中断。</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可对视音频、图片、结构化数据、对象等文件进行混合存储，并可通过http和https方式下载，支持视音频、图片、智能数据流进行混合直存，无须存储服务器和图片服务器的参与，平台服务器宕机时，存储业务正常。</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支持查看硬盘体检报告、硬盘深度体检和磁盘档案，支持下载单个硬盘或批量硬盘的报告，支持按时间显示硬盘的坏扇区、温度、振动变化趋势的曲线图，可通过硬盘深度体检查看硬盘原始数据读取错误率、上电时间、上电时长计数、意外断电计数、重映射扇区数、磁盘振动等多种硬盘相关健康值，支持硬盘体检报告打印输出，支持查看硬盘体检的历史记录、硬盘健康状态，并对硬盘健康状态进行分级分类，包括健康（良好、正常）、亚健康（警告、即将损坏）、故障（错误、损坏）等。（投标人须在投标文件中提供相关证明材料：可以是产品功能界面截图或第三方检测机构出具的检测报告复印件，并加盖投标人公章或CA签章。）</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12、支持配备独立元数据系统、支持元数据系统组成RAID和网络RAID（N+M配置，且M≥8），一组RAID故障时其业务可自动切换至其他网络RAID组。</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13、支持磁盘故障重构，可根据业务需要配置重构速度，支持低速、中速、高速和全速四种重构速度配置，可通过客户端软件显示重构速度；可根据自身业务量自动调节重构速度，当设备空间资源达到预设值时，可自动提高重构速度，当空间资源低于预设值时，可自动降低重构速度。</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14、支持红灯/蓝灯报警，可根据故障紧急程度分级报警，不同级别闪烁不同颜色保养灯，保养灯闪烁时长、频率可设；设备具有多个系统镜像，当主用系统出现故障时，备用系统可接替主用系统工作，且支持通过任一备用系统对原主用系统进行修复。（投标人须在投标文件中提供相关证明材料：可以是产品功能界面截图或第三方检测机构出具的检测报告复印件，并加盖投标人公章或CA签章。）</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15、支持网络中断后重新恢复，可续存断网期间存储在前端设备中的录像文件，并可通过IE浏览器设置自动回传和手动回传，支持≥256路4Mbps的录像回传。</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16、可在KVM虚拟化环境下进行U盘等硬件热插拔，可对虚机镜像进行异常监控，可在无独立显卡情况下，使用主板CPU集成显卡为虚拟机提供视频图像显示能力。</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17、支持容器镜像管理，包括容器镜像启动/暂停、业务升级/回退、上传/删除，支持添加新业务，支持修改容器镜像IP地址、业务参数，支持查看容器镜像中业务信息。</w:t>
            </w:r>
          </w:p>
        </w:tc>
        <w:tc>
          <w:tcPr>
            <w:tcW w:w="286" w:type="pct"/>
            <w:vAlign w:val="center"/>
          </w:tcPr>
          <w:p w14:paraId="020F3A9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214" w:type="pct"/>
            <w:vAlign w:val="center"/>
          </w:tcPr>
          <w:p w14:paraId="1D487C9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00E17C3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14.80</w:t>
            </w:r>
          </w:p>
        </w:tc>
        <w:tc>
          <w:tcPr>
            <w:tcW w:w="575" w:type="pct"/>
            <w:vAlign w:val="center"/>
          </w:tcPr>
          <w:p w14:paraId="6567FB8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29.60</w:t>
            </w:r>
          </w:p>
        </w:tc>
      </w:tr>
      <w:tr w14:paraId="4022C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16D09D71">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25</w:t>
            </w:r>
          </w:p>
        </w:tc>
        <w:tc>
          <w:tcPr>
            <w:tcW w:w="599" w:type="pct"/>
            <w:vAlign w:val="center"/>
          </w:tcPr>
          <w:p w14:paraId="5C34C2A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AI融合巡检超脑</w:t>
            </w:r>
          </w:p>
        </w:tc>
        <w:tc>
          <w:tcPr>
            <w:tcW w:w="2441" w:type="pct"/>
            <w:gridSpan w:val="2"/>
            <w:vAlign w:val="center"/>
          </w:tcPr>
          <w:p w14:paraId="6F1D63C0">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1、3U标准机架式16盘位边缘智能服务器 ，内置4颗智能GPU芯片，支持硬盘热插拔；</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2、支持≥2个HDMI、≥1个VGA，双异源输出，支持双4K输出；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3、内置≥16块8TB硬盘（总容量128TB）；</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4、支持≥4个10M/100M/1000Mbps网口、≥2个USB2.0接口、≥2个USB3.0接口、≥1个eSATA接口；</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5、支持≥16路报警输入、≥8路报警输出；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6、输入带宽不低于400Mbps，输出带宽不低于400Mbps，支持不少于64路H.264、H.265格式高清码流接入；</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7、解码能力最大支持20×1080P；</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8、RAID模式：RAID0、RAID1、RAID5、RAID6、RAID10，支持全局热备盘</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（仅支持监控级AI盘或企业级硬盘启用RAID）；</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9、支持5合1 AI融合巡检，集成人、车、行为、事件、AIOP 5大类多种算法于一体；</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●10、支持离线模型（本地）和在线模型（平台下发）两种模型导入方式，支持将导入模型与设备引擎绑定并进行配置，支持手动对不同的模型进行切换。</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11、支持人脸抓拍+人脸比对（64个名单库+50万张库容），分析模式：实时视频分析；</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12、支持人数统计：倾斜客流统计+区域人数统计（64人以内），分析模式：实时视频分析</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13、支持安全帽反光衣：安全帽（颜色：红黄蓝白橙）+反光衣（颜色：绿橙），可选增加人脸比对编排；分析模式：实时视频分析、轮巡视频分析、中心视频分析；</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14、支持安全穿着功能：支持接入普通IPC，支持对设置的检测区域内是否穿着保安服、反光服，进行自动侦测，支持物品滞留功能：支持接入普通IPC，支持对设置的检测区域内的物品滞留（钱包、100元纸币）进行自动侦测。</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15、支持机动车识别：车牌识别（含车牌颜色）+车辆属性识别（含车辆颜色、车辆主子品牌、车辆类型）（主要针对加油站），分析模式：实时视频分析；</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16、支持非机动车识别：电瓶车+自行车，分析模式：实时视频分析、轮巡视频分析、定时抓图分析、图片导入分析、中心视频分析；</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17、支持街面行为分析：人员倒地+人员聚集+快速移动（奔跑）+剧烈运动（打架），分析模式：实时视频分析、轮巡视频分析；</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18、支持岗位行为分析：在离岗+睡岗（趴睡）+玩手机+人数异常+人员滞留，分析模式：实时视频分析、轮巡视频分析、定时抓图分析、图片导入分析、中心视频分析；</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19、支持周界防范：区域入侵+越界侦测+进入区域侦测+离开区域侦测，分析模式：实时视频分析；</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20、支持抽烟打电话：抽烟+打电话识别（主要场景企业园区、加油站，支持二次检测），分析模式：实时视频分析、轮巡视频分析、定时抓图分析、图片导入分析、中心视频分析；</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21、支持街道事件：垃圾管理（垃圾满溢、打包垃圾、晾晒垃圾）+摊位管理（占道经营、店外经营、游摊小贩）+街面管理（乱堆物料、经营撑伞、违规广告、沿街晾晒）+车辆管理（机动车/非机动车乱停乱放），分析模式：定时抓图分析；</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22、支持烟雾、火焰功能：支持接入普通IPC，支持对设置的检测区域内的烟雾、火焰进行自动侦测，并触发报警联动，火点检测功能：接入普通IPC，支持火点识别，并根据设定条件触发报警联动，可设置最多16个多边形检测区域或者跨越警戒线检测。</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23、通道占用（室内消防通道占用），分析模式：实时视频分析、轮巡视频分析、定时抓图分析、中心视频分析。</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24、支持检测、分类、检测+分类、语义分割、实例分割、图像比对、算法编排等AI模型加载运行，分析模式：实时视频分析、轮巡视频分析、定时抓图分析、中心视频分析；</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25、支持定时抓图任务布控计划配置、可进行周一至周日全天计划配置、可配置某天计划并复制到其余日期、每天最多可配置8个时间段，支持一键删除所有计划</w:t>
            </w:r>
          </w:p>
        </w:tc>
        <w:tc>
          <w:tcPr>
            <w:tcW w:w="286" w:type="pct"/>
            <w:vAlign w:val="center"/>
          </w:tcPr>
          <w:p w14:paraId="5588B515">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7897DC0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74E15DAC">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7.0000</w:t>
            </w:r>
          </w:p>
        </w:tc>
        <w:tc>
          <w:tcPr>
            <w:tcW w:w="575" w:type="pct"/>
            <w:vAlign w:val="center"/>
          </w:tcPr>
          <w:p w14:paraId="04D37B0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7.0000</w:t>
            </w:r>
          </w:p>
        </w:tc>
      </w:tr>
      <w:tr w14:paraId="36B07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116E041D">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26</w:t>
            </w:r>
          </w:p>
        </w:tc>
        <w:tc>
          <w:tcPr>
            <w:tcW w:w="599" w:type="pct"/>
            <w:vAlign w:val="center"/>
          </w:tcPr>
          <w:p w14:paraId="44A07BF7">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高空抛物超脑</w:t>
            </w:r>
          </w:p>
        </w:tc>
        <w:tc>
          <w:tcPr>
            <w:tcW w:w="2441" w:type="pct"/>
            <w:gridSpan w:val="2"/>
            <w:vAlign w:val="center"/>
          </w:tcPr>
          <w:p w14:paraId="5BC08BBE">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1、支持≥32路H.264、H.265格式高清码流接入，≥9个SATA接口，支持硬盘热插拔。</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2、具有≥2个HDMI接口、≥2个VGA接口、≥2个RJ45 千兆网络接口、≥2个USB2.0接口、≥2个USB3.0接口、≥1个eSata接口、≥1路音频输入接口、≥1路音频输出接口、≥16路报警输入接口、≥9路报警输出接口。</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3、可接入 1T、2T、3T、4T、6T、8T、10T、12TB容量的 SATA接口硬盘。</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4、支持最大接入带宽≥320Mbps，最大存储带宽≥320Mbps，最大转发带宽≥320Mbps，支持≥4通道输出，包括HDMI1、HDMI2、VGA1、VGA2，各输出口均支持显示系统主菜单，且每路均可分别进行预览、回放、配置等操作。</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5、支持后智能高空抛物检测，支持高空抛物轨迹展示、抛物事件录像和图片快速检索溯源，高空抛物性能≥16路视频流（4MP），支持后智能音频关键字识别(普通话)；支持按关键字进行事件检索与回放。</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6、支持≥12路实时视频结构化分析，支持≥16路视频流人脸识别，支持≥32路图片流人脸识别，人脸库建模成功率不低于 99.99%。</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支持接入≥32路高空抛物行为检测摄像机，支持在预览界面实时展示高空抛物事件轨迹并弹窗回放轨迹信息，可实现高空抛物检测区域的隐私保护，自动过滤屏蔽区域内的抛物目标，支持设置≥6个隐私遮蔽区域；可手动预标定楼层，报警后自动匹配画面中疑似抛物的楼层信息。</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8、可通过老化模式将硬盘划分为重要录像和普通录像两个存储区，可设置重要录像和普通录像两个存储区的容量配额比例，系统可自动计算并显示重要录像和普通录像的保存期限。</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9、支持用户名与IP地址或MAC地址绑定，绑定后只允许固定IP或MAC地址的固定用户名在固定PC端进行登录操作。</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10、安全日志支持通过日志服务器进行双备份，日志传输过程支持TLS协议传输加密。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●11、支持音频设备与视频设备独立管理，支持网络拾音器的接入、校时，最大支持≥32路音频设备管理，支持音视频动态调整组合分配功能，可将任一路音频与任一路视频组合成复合流编码。</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12、具有存储安全保障策略功能，当存储压力过高或硬盘出现性能不足时，可优先录像业务存储。</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13、支持目标抓拍、比对报警，支持以图搜图、按姓名检索、按属性检索，支持≥32个名单库，总库容≥10万张。</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14、RAID模式支持RAID0、RAID1、RAID5、RAID6、RAID10，支持全局热备盘。</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●15、支持报警事件、异常事件计数提醒功能，以图标形式在监控界面上提醒用户，异常事件包括硬盘满、硬盘错误、网络断开、IP 冲突、非法访问、视频信号丢失、录像/抓图异常、IP通道冲突、热备异常、子码流分辨率/码率超限、配件板异常、硬盘高温异常、硬盘低温异常、硬盘坏块异常、硬盘撞击异常、硬盘严重故障异常、无码流异常等。</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16、支持本地预览权限的配置，设置权限后的通道只有登录后才会出现预览画面，支持远程预览加密，只有输入密钥才能解开视频，支持码流AES加密设置。</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17、支持自动维护功能，可根据设置时间点启用系统自动维护流程，包括自检、重启、取流、录像、恢复系统运行。</w:t>
            </w:r>
          </w:p>
        </w:tc>
        <w:tc>
          <w:tcPr>
            <w:tcW w:w="286" w:type="pct"/>
            <w:vAlign w:val="center"/>
          </w:tcPr>
          <w:p w14:paraId="04BDF02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05B228B7">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1ED0983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1.9500</w:t>
            </w:r>
          </w:p>
        </w:tc>
        <w:tc>
          <w:tcPr>
            <w:tcW w:w="575" w:type="pct"/>
            <w:vAlign w:val="center"/>
          </w:tcPr>
          <w:p w14:paraId="436C8ED6">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1.9500</w:t>
            </w:r>
          </w:p>
        </w:tc>
      </w:tr>
      <w:tr w14:paraId="43FEB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29CD20CE">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27</w:t>
            </w:r>
          </w:p>
        </w:tc>
        <w:tc>
          <w:tcPr>
            <w:tcW w:w="599" w:type="pct"/>
            <w:vAlign w:val="center"/>
          </w:tcPr>
          <w:p w14:paraId="3D70553B">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智能分析服务系统</w:t>
            </w:r>
          </w:p>
        </w:tc>
        <w:tc>
          <w:tcPr>
            <w:tcW w:w="2441" w:type="pct"/>
            <w:gridSpan w:val="2"/>
            <w:vAlign w:val="center"/>
          </w:tcPr>
          <w:p w14:paraId="19827C79">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1、内置智能行为分析算法，集智能解析、存储、应用于一体,支持集群功能，支持人脸、人体、车辆识别，人脸、人体、车辆检索，人脸、人体、车辆图片和视频结构化分析等智能应用功能。</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2、处理器性能不低于：1颗高性能CPU（24核，48线程，2.2GHZ），≥3张高性能智能卡，具有≥4个USB接口，≥2个千兆网口，≥1个VGA接口，支持800W 1+1冗余电源。</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3、内存大小：内存≥128GB DDR4，硬盘容量：内置≥2块240GB SSD（系统盘），≥3块480GB SSD（数据存储）、≥7块 8TB SATA盘（图片存储），支持不少于100GB的录像上传及存储分析。</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支持视频流的人脸、人体、车辆分析、AI开放平台算法分析，支持图片流的人脸、人体、车辆分析、AI开放平台算法分析，支持识别≥48×48~6400万像素人脸图片，支持识别不低于10MB人脸图片，支持比对两眼瞳距不小于8像素点的人脸图片，支持比对水平转动不超过60度，俯仰角不超过45度的人脸图片。</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支持≥300万人脸静态库；支持≥300万人脸名单库比对报警，支持≥128个名单库；支持≥4000万抓拍库热数据+≥4000万抓拍库冷数据，热数据支持秒级检索，冷数据支持分钟级检索；支持≥1000条车牌布控；支持≥8000万条图片、结构化属性、模型存储；支持≥5台设备集群部署。</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支持在web界面对档案的总数、新增档案数、实名档案及陌生人档案的数据信息进行图形化展示、轨迹展示，支持按照实名及陌生人档案进行分类查询，支持将解析后的人脸图片与名单库内的人员进行比对，对于相似度大于阈值的人脸图片，自动聚类至已有实名人员档案中，档案信息包括姓名、性别等档案属性。</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支持视频/图片/录像人脸分析、比对、聚类，支持≥120路1080P视频人脸分析、比对、聚类，支持≥384张/秒人脸图片分析、比对、聚类，支持≥96路1080P人体车辆视频分析，支持≥240张/秒人体车辆图片分析，支持≥192张/秒AI开放平台算法图片分析，支持≥48路AI开放平台算法视频分析，支持≥96张/秒的身份OCR图片分析。</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8、支持管理License 授权控制，可限制云存储系统的授权时间、最大接入计划数量、存储节点数量、存储容量、资源池数量等；支持账户冻结、有效期、有效时间段及MAC 地址绑定等安全属性的设定；支持对用户（组）设定各设备节点的访问权限以及各业务功能的应用权限。</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9、支持导入录像分析（人脸录像可同步开启布控）；支持结构化布控（人体，二轮车，三轮车）并进行报警,支持名单报警、一人一档、轨迹分析、以人搜人、车辆布控等应用。</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10、支持对人脸图片在人脸被遮挡住半边脸的情况下，可正确检测人脸，检出率不小于99%，支持对录像文件不低于40倍加速进行活动目标智能分析。</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支持将解析后的人脸图片与名单库内的人员进行比对，对于相似度小于阈值的人脸图片，自动入库至路人库，并生成具有人员ID的档案，当该人员下次被抓拍到时，抓拍图片能够聚类到该人员已有的档案中。</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12、支持通过人员姓名和照片进行档案信息查询，档案能够以人像缩略图方式展示，点击档案可查看详情；支持按照时间、监控点、人员档案进行人流总量统计、按性别统计、按人员年龄段统计，支持统计数据按照日、周、月、年报表导出，按照折线、柱状、饼状图展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13、支持对人脸图片识别人脸性别/人脸年龄段/是否戴眼镜/是否戴口罩，检出率不低于99%，人脸性别识别准确率不低于99%，支持对人脸图片识别人脸是否微笑,检出率不低于99%。</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14、支持设备间灾备，可保证图片在主备中URL一致，实现图片无缝提取；支持当磁盘或设备故障时，支持智能数据恢复，对标明重要的特定文件中的数据优先恢复。</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15、云存储支持单机EC方案，即支持以任一存储节点为单位独立设置N+M数据保护，支持多硬盘时，业务不中断，数据不丢失，同时可根据实时接入业务进行负载均衡；支持对人脸智能结构化数据进行实时缓存备份和全量备份存储。</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16、支持AI开放平台算法类型：物体检测、图像单标签分类、混合（物体检测和图像单标签分类）、视频行为分析、图像文字识别，支持导入AI开放平台算法，支持算法管理，支持上传、删除、查询操作，单卡支持接入≥15路视频流进行AI开放平台算法智能分析；单卡支持接入≥64张/秒图片进行AI开放平台算法智能分析。</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17、支持web界面进行多台设备集群管理，存储及分析性能的线性扩展；且可对集群中的资源使用情况、健康状况进行监测。</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19、支持人员检索、车辆检索，支持同行人查询，支持将检索的目标加入收藏夹，可在地图上查询展示人车混合动线。支持快捷开启二次搜索或者跳转到1v1比对、人车档案管理。支持将前端结构化、中心结构化、门禁数据、访客数据等进行一次检索，融合为一条动线展示。支持融合动线回放，回放时显示部分点位动线以调整动线图，调整回放速度。</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20、地图动线支持三维地图及静态地图，支持手机端的车辆检索应用，支持拍照识别车牌并检索车主信息；支持人车档案统计数据概览，包括档案整体数量统计，近7天人员档案生成趋势，近7天车辆档案生成趋势。</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21、支持人员聚档功能，相同人员的抓拍事件汇聚到同一人员下展示，支持陌生人聚档，支持车辆聚档功能，相同车牌的抓拍事件汇聚到同一车辆下展示。支持启用人员自动聚档功能，设置对象（人脸分组）、范围（设备）、人脸最低相似度阈值。支持陌生人档案自动清除功能，设置清除时间间隔、人员频次清除阈值等参数。</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22、支持手机端H5人员模糊检索。支持按照人员姓名、编号、所在部门等信息，或者人员特征进行模糊匹配检索。支持用户拍照选择目标发起以图搜图，检索结果有聚档时展示聚档的人员列表，无聚档时展示人员详情。</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23、支持手机端H5人员检索。支持按照时间段、监控点或门禁、人员特征等发起检索。检索结果以卡片形式展示人员照片、人员姓名、所在部门、人员编号、联系电话、证件号码和相似度。</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24、支持手机端H5车辆模糊检索。支持按照车牌号、车主姓名、车牌类型、车牌颜色、车辆类型、车辆颜色、车辆品牌等搜索条件发起模糊匹配检索，并以卡片形式展示检索结果，含车辆照片、车牌号、车主姓名、所在部门、联系电话、车牌类型和车辆类型。</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25、支持手机端H5车辆检索。支持按照时间段、监控点、车辆信息（车牌号、车主姓名、车辆类型、车辆颜色、车牌类型和车牌颜色）发起检索，并以卡片形式展示检索结果，含车辆照片、车牌号、车主姓名、所在部门、联系电话、车牌类型和车辆类型。</w:t>
            </w:r>
          </w:p>
        </w:tc>
        <w:tc>
          <w:tcPr>
            <w:tcW w:w="286" w:type="pct"/>
            <w:vAlign w:val="center"/>
          </w:tcPr>
          <w:p w14:paraId="3DEDDEBC">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214" w:type="pct"/>
            <w:vAlign w:val="center"/>
          </w:tcPr>
          <w:p w14:paraId="6986B5A6">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c>
          <w:tcPr>
            <w:tcW w:w="570" w:type="pct"/>
            <w:vAlign w:val="center"/>
          </w:tcPr>
          <w:p w14:paraId="6FF39BF6">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34.4000</w:t>
            </w:r>
          </w:p>
        </w:tc>
        <w:tc>
          <w:tcPr>
            <w:tcW w:w="575" w:type="pct"/>
            <w:vAlign w:val="center"/>
          </w:tcPr>
          <w:p w14:paraId="6FB31377">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68.8000</w:t>
            </w:r>
          </w:p>
        </w:tc>
      </w:tr>
      <w:tr w14:paraId="418D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1E33C436">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28</w:t>
            </w:r>
          </w:p>
        </w:tc>
        <w:tc>
          <w:tcPr>
            <w:tcW w:w="599" w:type="pct"/>
            <w:vAlign w:val="center"/>
          </w:tcPr>
          <w:p w14:paraId="42FB1665">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汇聚交换机</w:t>
            </w:r>
          </w:p>
        </w:tc>
        <w:tc>
          <w:tcPr>
            <w:tcW w:w="2441" w:type="pct"/>
            <w:gridSpan w:val="2"/>
            <w:vAlign w:val="center"/>
          </w:tcPr>
          <w:p w14:paraId="3597052C">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1、24口千兆全网管二层交换机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2、机架式</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3、24个千兆光口，8个复用的千兆电口,4个万兆SFP+光口，可配置双电源，支持通过console口管理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4、交换容量：336Gbps/3.36Tbps</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5、包转发率：108Mpps/126Mpps</w:t>
            </w:r>
          </w:p>
        </w:tc>
        <w:tc>
          <w:tcPr>
            <w:tcW w:w="286" w:type="pct"/>
            <w:vAlign w:val="center"/>
          </w:tcPr>
          <w:p w14:paraId="7DAE32B6">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w:t>
            </w:r>
          </w:p>
        </w:tc>
        <w:tc>
          <w:tcPr>
            <w:tcW w:w="214" w:type="pct"/>
            <w:vAlign w:val="center"/>
          </w:tcPr>
          <w:p w14:paraId="1EDC6622">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0846DD21">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0.4600</w:t>
            </w:r>
          </w:p>
        </w:tc>
        <w:tc>
          <w:tcPr>
            <w:tcW w:w="575" w:type="pct"/>
            <w:vAlign w:val="center"/>
          </w:tcPr>
          <w:p w14:paraId="219DE600">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2.3000</w:t>
            </w:r>
          </w:p>
        </w:tc>
      </w:tr>
      <w:tr w14:paraId="212A2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6496E5A9">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29</w:t>
            </w:r>
          </w:p>
        </w:tc>
        <w:tc>
          <w:tcPr>
            <w:tcW w:w="599" w:type="pct"/>
            <w:vAlign w:val="center"/>
          </w:tcPr>
          <w:p w14:paraId="0BF57504">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24口POE交换机</w:t>
            </w:r>
          </w:p>
        </w:tc>
        <w:tc>
          <w:tcPr>
            <w:tcW w:w="2441" w:type="pct"/>
            <w:gridSpan w:val="2"/>
            <w:vAlign w:val="center"/>
          </w:tcPr>
          <w:p w14:paraId="6296CE27">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1、轻网管提供24个千兆PoE电口、2个千兆光口</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2、支持IEEE 802.3at/af标准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3、支持IEEE 802.3、IEEE 802.3u、IEEE 802.3x、IEEE 802.3ab、IEEE 802.3z标准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4、支持管理平台管理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5、支持手机APP管理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6、支持安防网络拓扑管理、链路聚合、端口管理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7、交换容量：56 Gbps，包转发率：41.67Mpps</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8、整机最大POE供电功率：370 W</w:t>
            </w:r>
          </w:p>
        </w:tc>
        <w:tc>
          <w:tcPr>
            <w:tcW w:w="286" w:type="pct"/>
            <w:vAlign w:val="center"/>
          </w:tcPr>
          <w:p w14:paraId="4E6F94B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23</w:t>
            </w:r>
          </w:p>
        </w:tc>
        <w:tc>
          <w:tcPr>
            <w:tcW w:w="214" w:type="pct"/>
            <w:vAlign w:val="center"/>
          </w:tcPr>
          <w:p w14:paraId="29AA306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011021DC">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0.2000</w:t>
            </w:r>
          </w:p>
        </w:tc>
        <w:tc>
          <w:tcPr>
            <w:tcW w:w="575" w:type="pct"/>
            <w:vAlign w:val="center"/>
          </w:tcPr>
          <w:p w14:paraId="62EFB61C">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4.6000</w:t>
            </w:r>
          </w:p>
        </w:tc>
      </w:tr>
      <w:tr w14:paraId="0D207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69C2D06A">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30</w:t>
            </w:r>
          </w:p>
        </w:tc>
        <w:tc>
          <w:tcPr>
            <w:tcW w:w="599" w:type="pct"/>
            <w:vAlign w:val="center"/>
          </w:tcPr>
          <w:p w14:paraId="71C256E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8口POE交换机</w:t>
            </w:r>
          </w:p>
        </w:tc>
        <w:tc>
          <w:tcPr>
            <w:tcW w:w="2441" w:type="pct"/>
            <w:gridSpan w:val="2"/>
            <w:vAlign w:val="center"/>
          </w:tcPr>
          <w:p w14:paraId="478D11C5">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1、支持IEEE 802.3at/af标准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2、端口最大供电功率：30 W</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3、整机最大供电功率：110 W</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4、支持PoE</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5、支持6 KV防浪涌（PoE口）</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6、支持IEEE 802.3、IEEE 802.3u、IEEE 802.3x、IEEE 802.3ab、IEEE 802.3z标准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7、支持管理平台管理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8、支持手机APP管理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9、支持安防网络拓扑管理、链路聚合、端口管理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10、支持远程升级</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11、交换容量：20 Gbps，包转发率：14.88 Mpps</w:t>
            </w:r>
          </w:p>
        </w:tc>
        <w:tc>
          <w:tcPr>
            <w:tcW w:w="286" w:type="pct"/>
            <w:vAlign w:val="center"/>
          </w:tcPr>
          <w:p w14:paraId="09EF866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58</w:t>
            </w:r>
          </w:p>
        </w:tc>
        <w:tc>
          <w:tcPr>
            <w:tcW w:w="214" w:type="pct"/>
            <w:vAlign w:val="center"/>
          </w:tcPr>
          <w:p w14:paraId="45044DCD">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51297B47">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0.0800</w:t>
            </w:r>
          </w:p>
        </w:tc>
        <w:tc>
          <w:tcPr>
            <w:tcW w:w="575" w:type="pct"/>
            <w:vAlign w:val="center"/>
          </w:tcPr>
          <w:p w14:paraId="3F6B296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4.6400</w:t>
            </w:r>
          </w:p>
        </w:tc>
      </w:tr>
      <w:tr w14:paraId="3BCA4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31F868C6">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31</w:t>
            </w:r>
          </w:p>
        </w:tc>
        <w:tc>
          <w:tcPr>
            <w:tcW w:w="599" w:type="pct"/>
            <w:vAlign w:val="center"/>
          </w:tcPr>
          <w:p w14:paraId="21D8320C">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二合一防雷器</w:t>
            </w:r>
          </w:p>
        </w:tc>
        <w:tc>
          <w:tcPr>
            <w:tcW w:w="2441" w:type="pct"/>
            <w:gridSpan w:val="2"/>
            <w:vAlign w:val="center"/>
          </w:tcPr>
          <w:p w14:paraId="7E04C016">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二合一防雷器，额定电压12V，最大工作电流4A。</w:t>
            </w:r>
          </w:p>
        </w:tc>
        <w:tc>
          <w:tcPr>
            <w:tcW w:w="286" w:type="pct"/>
            <w:vAlign w:val="center"/>
          </w:tcPr>
          <w:p w14:paraId="174A0202">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200</w:t>
            </w:r>
          </w:p>
        </w:tc>
        <w:tc>
          <w:tcPr>
            <w:tcW w:w="214" w:type="pct"/>
            <w:vAlign w:val="center"/>
          </w:tcPr>
          <w:p w14:paraId="0D3BBD81">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个</w:t>
            </w:r>
          </w:p>
        </w:tc>
        <w:tc>
          <w:tcPr>
            <w:tcW w:w="570" w:type="pct"/>
            <w:vAlign w:val="center"/>
          </w:tcPr>
          <w:p w14:paraId="47E1A8D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0.0055</w:t>
            </w:r>
          </w:p>
        </w:tc>
        <w:tc>
          <w:tcPr>
            <w:tcW w:w="575" w:type="pct"/>
            <w:vAlign w:val="center"/>
          </w:tcPr>
          <w:p w14:paraId="371856E4">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1.1000</w:t>
            </w:r>
          </w:p>
        </w:tc>
      </w:tr>
      <w:tr w14:paraId="42885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5A274363">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32</w:t>
            </w:r>
          </w:p>
        </w:tc>
        <w:tc>
          <w:tcPr>
            <w:tcW w:w="599" w:type="pct"/>
            <w:vAlign w:val="center"/>
          </w:tcPr>
          <w:p w14:paraId="2F510708">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事件管理及消息预警中心模块</w:t>
            </w:r>
          </w:p>
        </w:tc>
        <w:tc>
          <w:tcPr>
            <w:tcW w:w="2441" w:type="pct"/>
            <w:gridSpan w:val="2"/>
          </w:tcPr>
          <w:p w14:paraId="52877E1E">
            <w:pPr>
              <w:widowControl/>
              <w:wordWrap w:val="0"/>
              <w:spacing w:line="400" w:lineRule="exact"/>
              <w:textAlignment w:val="top"/>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1、统一访客、请假、课堂考勤、宿舍门禁系统预警业务事件配置及业务规则分发。</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2、与学校已经建设的访客、请假、课堂考勤、校门出入、宿舍出入系统进行融合对接，依托于已建设系统的数据，构建独立的实时预警能力。</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3、自定义配置预警事件、触发场所、触发角色或人员、及预警对象规则，联动业务数据，形成单应用或多应用之间联合进行分析处理，形成预警数据。</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4、支持多级预警，分级处理预警业务，在一定时间内未被处理的预警将进行逐级上报，</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5、支持预警处理，可通过移动端对任何一级将预警处理，处理后则预警上报终止，后台对预警处理记录进行留存。</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6、支持配置预警频率，未处理预警是否进行重复推送及重复推送时间等</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7、预警通知可通过移动端H5的方式，对接企业微信、公众号或app实现通知，或通过短信、邮件方式进行通知</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8、后台及移动端根据人员数据权限及应用权限进行预警数据查看，实现分级管理。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9、推送规则配置，包含全局规则和第三方推送配置。可统一配置推送规则及第三方配置对应的参数。</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10、推送配置，包含推送名称、模式、状态、消息类型、模版、重复间隔等内容。</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11、消息发放记录，明确记录消息的发放时间、接收人等信息，便于查询。</w:t>
            </w:r>
          </w:p>
        </w:tc>
        <w:tc>
          <w:tcPr>
            <w:tcW w:w="286" w:type="pct"/>
            <w:vAlign w:val="center"/>
          </w:tcPr>
          <w:p w14:paraId="32FE384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5DC23E3B">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c>
          <w:tcPr>
            <w:tcW w:w="570" w:type="pct"/>
            <w:vAlign w:val="center"/>
          </w:tcPr>
          <w:p w14:paraId="7FDA44FB">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6.5000</w:t>
            </w:r>
          </w:p>
        </w:tc>
        <w:tc>
          <w:tcPr>
            <w:tcW w:w="575" w:type="pct"/>
            <w:vAlign w:val="center"/>
          </w:tcPr>
          <w:p w14:paraId="7395526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6.5000</w:t>
            </w:r>
          </w:p>
        </w:tc>
      </w:tr>
      <w:tr w14:paraId="48E0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02E13506">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33</w:t>
            </w:r>
          </w:p>
        </w:tc>
        <w:tc>
          <w:tcPr>
            <w:tcW w:w="599" w:type="pct"/>
            <w:vAlign w:val="center"/>
          </w:tcPr>
          <w:p w14:paraId="14BBD72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课堂考勤学生移动端</w:t>
            </w:r>
          </w:p>
        </w:tc>
        <w:tc>
          <w:tcPr>
            <w:tcW w:w="2441" w:type="pct"/>
            <w:gridSpan w:val="2"/>
            <w:vAlign w:val="center"/>
          </w:tcPr>
          <w:p w14:paraId="053916CA">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1、与学校已经部署的课堂考勤系统进行融合数据对接，增加移动端并实现以下能力。</w:t>
            </w:r>
          </w:p>
          <w:p w14:paraId="7A2BE8EB">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可实现查询学生的课表数据，默认展示当前周的，可按照校历周次进行查询。包含课程名称、地点、上课时间等内容。具备不同状态的签到状态：包含正常签到、请假、未签到、迟到、未开始的课程等都进行标注展示，方便学生明确了解自己的课程签到状况。（投标人须在投标文件中提供相关证明材料：可以是产品功能界面截图或第三方检测机构出具的检测报告复印件，并加盖投标人公章或CA签章。）</w:t>
            </w:r>
          </w:p>
          <w:p w14:paraId="01937FA7">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针对课程签到状态为未到的，学生可提起补签申请；补签申请教师移动端可以进行审核。（投标人须在投标文件中提供相关证明材料：可以是产品功能界面截图或第三方检测机构出具的检测报告复印件，并加盖投标人公章或CA签章。）</w:t>
            </w:r>
          </w:p>
          <w:p w14:paraId="1294DBF3">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4、扫一扫：可通过扫一扫完成扫码签到，包含智慧班牌二维码和课程码均可完成扫描识别签到。</w:t>
            </w:r>
          </w:p>
          <w:p w14:paraId="73C6A82E">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学生可查询某一日的签到记录，包含签到地点、事件、签到方式等内容明细。（投标人须在投标文件中提供相关证明材料：可以是产品功能界面截图或第三方检测机构出具的检测报告复印件，并加盖投标人公章或CA签章。）</w:t>
            </w:r>
          </w:p>
          <w:p w14:paraId="272EED2D">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6、展示个人二维码名片，直接用于学校已经上线的各身份识别场景。</w:t>
            </w:r>
          </w:p>
          <w:p w14:paraId="4E4DAE57">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7、可通过移动端进行人脸采集，包括隐私协议的签署、图片质量检测、1:1相似度比对等。</w:t>
            </w:r>
          </w:p>
        </w:tc>
        <w:tc>
          <w:tcPr>
            <w:tcW w:w="286" w:type="pct"/>
            <w:vAlign w:val="center"/>
          </w:tcPr>
          <w:p w14:paraId="15261507">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710163B7">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c>
          <w:tcPr>
            <w:tcW w:w="570" w:type="pct"/>
            <w:vAlign w:val="center"/>
          </w:tcPr>
          <w:p w14:paraId="5D5B49D5">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4.5000</w:t>
            </w:r>
          </w:p>
        </w:tc>
        <w:tc>
          <w:tcPr>
            <w:tcW w:w="575" w:type="pct"/>
            <w:vAlign w:val="center"/>
          </w:tcPr>
          <w:p w14:paraId="122C4F04">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4.5000</w:t>
            </w:r>
          </w:p>
        </w:tc>
      </w:tr>
      <w:tr w14:paraId="3DF6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56C8A3D8">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34</w:t>
            </w:r>
          </w:p>
        </w:tc>
        <w:tc>
          <w:tcPr>
            <w:tcW w:w="599" w:type="pct"/>
            <w:vAlign w:val="center"/>
          </w:tcPr>
          <w:p w14:paraId="6A427BAB">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宿舍查寝模块</w:t>
            </w:r>
          </w:p>
        </w:tc>
        <w:tc>
          <w:tcPr>
            <w:tcW w:w="2441" w:type="pct"/>
            <w:gridSpan w:val="2"/>
            <w:vAlign w:val="center"/>
          </w:tcPr>
          <w:p w14:paraId="138F4609">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一、模块功能</w:t>
            </w:r>
          </w:p>
          <w:p w14:paraId="7A7E84DB">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●1、具备可自定义的归寝规则，通过自定义规划实现归寝的管理及预警统计。系统可设置多条系统规则。可按照场所、院系、年级设置不同的归寝时间及晚归时间；</w:t>
            </w:r>
          </w:p>
          <w:p w14:paraId="62BBD199">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2、支持按星期设置归寝规则。支持假期管理，假期期间不进行预警推送；</w:t>
            </w:r>
          </w:p>
          <w:p w14:paraId="5A64C727">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3、可实现统计排除功能，可将不做归寝要求的学生进行导入。名单内学生不进行归寝统计，同时也不进行预警推送；</w:t>
            </w:r>
          </w:p>
          <w:p w14:paraId="67390493">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●4、系统支持未归预警、单日未出预警、连续多日未出预警。预警规则可自定义多级预警层级，触发不同预警规则设置的时间可自定义发送给对应的管理人员；</w:t>
            </w:r>
          </w:p>
          <w:p w14:paraId="11715A57">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5、具备住宿数据查询功能，对住宿信息、入住、退宿等数据可以进行查询统计；</w:t>
            </w:r>
          </w:p>
          <w:p w14:paraId="44A37467">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6、具备归寝签到数据查询功能，可实现场所、院系、专业、班级、归寝状态查询一段时间内人员归寝统计；</w:t>
            </w:r>
          </w:p>
          <w:p w14:paraId="4DB5611E">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●7、具备学生归寝状态轨迹查询功能，可查询到归寝状态、识别方式、签到设备等信息。</w:t>
            </w:r>
          </w:p>
          <w:p w14:paraId="425BA399">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支持设置学生有效归寝地点数据范围，默认配置学生在所入住宿舍楼绑定的设备识别记录为有效，或支持设置学生在所入住宿舍楼所在片区绑定的设备识别有效，亦支持自定义关联，手动添加入住的宿舍楼在哪些通道/门的进出记录作为归寝数据分析，可添加多组且支持模糊搜索支持多选。</w:t>
            </w:r>
          </w:p>
          <w:p w14:paraId="50A00D68">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9、移动端采用H5框架，支持对接学校企业微信并进行消息推送。</w:t>
            </w:r>
          </w:p>
          <w:p w14:paraId="272F2D0B">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二、对接需求</w:t>
            </w:r>
          </w:p>
          <w:p w14:paraId="57DFC5CD">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1、通过API或数据库对接方式与校方现有的宿管排寝系统（山东威尔）对接，获取排寝数据，建立清洗规则，保障数据一致性。</w:t>
            </w:r>
          </w:p>
          <w:p w14:paraId="3EB43C43">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2、对接需保障数据的安全性、时效性，当排寝数据发生变化时，最长不超过1小时完成数据更新。</w:t>
            </w:r>
          </w:p>
          <w:p w14:paraId="2378BAAC">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3、数据对接需建立宿舍楼、宿舍号、床位间的上下级对应关系，并清洗其中的异常数据。</w:t>
            </w:r>
          </w:p>
          <w:p w14:paraId="699E1446">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4、数据对接需建立师生与床位的对接关系，并形成与宿舍号、宿舍楼的对应关系，并清洗其中的异常数据。</w:t>
            </w:r>
          </w:p>
          <w:p w14:paraId="707CBFAE">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5、数据对接需建立辅导员与学生间的管辖负责关系，自动形成管辖权限，并清洗其中的异常数据。</w:t>
            </w:r>
          </w:p>
          <w:p w14:paraId="7CD278E2">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6、排寝数据可自动应用于宿舍楼出入权限、查寝等功能中，数据发生变化时，可自动调用通讯进行数据下发，无需人员手动干预。</w:t>
            </w:r>
          </w:p>
          <w:p w14:paraId="31746DEA">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7、对接需直接进入已经上线的宿舍进出管理系统（山东威尔），并能联动形成业务应用。</w:t>
            </w:r>
          </w:p>
        </w:tc>
        <w:tc>
          <w:tcPr>
            <w:tcW w:w="286" w:type="pct"/>
            <w:vAlign w:val="center"/>
          </w:tcPr>
          <w:p w14:paraId="5AA96E91">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3103923C">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项</w:t>
            </w:r>
          </w:p>
        </w:tc>
        <w:tc>
          <w:tcPr>
            <w:tcW w:w="570" w:type="pct"/>
            <w:vAlign w:val="center"/>
          </w:tcPr>
          <w:p w14:paraId="710DCE4D">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4.8000</w:t>
            </w:r>
          </w:p>
        </w:tc>
        <w:tc>
          <w:tcPr>
            <w:tcW w:w="575" w:type="pct"/>
            <w:vAlign w:val="center"/>
          </w:tcPr>
          <w:p w14:paraId="39B05D41">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4.8000</w:t>
            </w:r>
          </w:p>
        </w:tc>
      </w:tr>
      <w:tr w14:paraId="625D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2E2A2779">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35</w:t>
            </w:r>
          </w:p>
        </w:tc>
        <w:tc>
          <w:tcPr>
            <w:tcW w:w="599" w:type="pct"/>
            <w:vAlign w:val="center"/>
          </w:tcPr>
          <w:p w14:paraId="22390C9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访客进出管理系统</w:t>
            </w:r>
          </w:p>
        </w:tc>
        <w:tc>
          <w:tcPr>
            <w:tcW w:w="2441" w:type="pct"/>
            <w:gridSpan w:val="2"/>
            <w:vAlign w:val="center"/>
          </w:tcPr>
          <w:p w14:paraId="01A41F0D">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进行访客系统的定制开发，包括车辆及行人的访客进出权限的对接及和门禁道闸的权限打通。</w:t>
            </w:r>
          </w:p>
          <w:p w14:paraId="1047D951">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根据学校原有系统，开发车辆访客预约平台模块，对接到学校原有访客平台，将访客平台相关车辆授权数据下发至车辆出入管理平台，并同步计费数据至费用中心，通过信息互通实现车辆自动预约进出校将来访人员登记的车牌号推送至车辆进出系统。</w:t>
            </w:r>
          </w:p>
          <w:p w14:paraId="2F68B69E">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2、定制对接的数据格式需满足车辆进出系统的要求，支持访客预约录入多个车牌作为入校凭证，能够直接实现来访人员车辆自助预约进出。</w:t>
            </w:r>
          </w:p>
          <w:p w14:paraId="5F32A799">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3、定制支持访客车牌正则校验，增加车牌号通过校验规则，并可输入7-8为字符。</w:t>
            </w:r>
          </w:p>
          <w:p w14:paraId="355472C2">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4、要求访客移动端采用H5框架，支持对接学校企业微信进行单点登录并进行消息推送。</w:t>
            </w:r>
          </w:p>
          <w:p w14:paraId="03C35A4A">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5、可支持外教家属的较长姓名的输入，支持该类长姓名字段家属的正常访客预约。</w:t>
            </w:r>
          </w:p>
        </w:tc>
        <w:tc>
          <w:tcPr>
            <w:tcW w:w="286" w:type="pct"/>
            <w:vAlign w:val="center"/>
          </w:tcPr>
          <w:p w14:paraId="786B8C3D">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50F00BAD">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项</w:t>
            </w:r>
          </w:p>
        </w:tc>
        <w:tc>
          <w:tcPr>
            <w:tcW w:w="570" w:type="pct"/>
            <w:vAlign w:val="center"/>
          </w:tcPr>
          <w:p w14:paraId="23FCCE15">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8.4000</w:t>
            </w:r>
          </w:p>
        </w:tc>
        <w:tc>
          <w:tcPr>
            <w:tcW w:w="575" w:type="pct"/>
            <w:vAlign w:val="center"/>
          </w:tcPr>
          <w:p w14:paraId="347AB420">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8.4000</w:t>
            </w:r>
          </w:p>
        </w:tc>
      </w:tr>
      <w:tr w14:paraId="65ED6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2601AEC0">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36</w:t>
            </w:r>
          </w:p>
        </w:tc>
        <w:tc>
          <w:tcPr>
            <w:tcW w:w="599" w:type="pct"/>
            <w:vAlign w:val="center"/>
          </w:tcPr>
          <w:p w14:paraId="2999BCB7">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请假记录推送模块</w:t>
            </w:r>
          </w:p>
        </w:tc>
        <w:tc>
          <w:tcPr>
            <w:tcW w:w="2441" w:type="pct"/>
            <w:gridSpan w:val="2"/>
          </w:tcPr>
          <w:p w14:paraId="09E97E78">
            <w:pPr>
              <w:widowControl/>
              <w:wordWrap w:val="0"/>
              <w:spacing w:line="400" w:lineRule="exact"/>
              <w:textAlignment w:val="top"/>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1、通过API或数据库与校方现有的请假系统数据打通，获取请假数据，建立清洗规则，保障数据一致性。</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2、对接需保障数据的安全性、时效性，当请假数据发生变化时，最长不超过1小时完成数据更新。</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3、推送的请假数据可自动转化为门禁出入授权，无需人工授权，并自动下发至对应的识别终端。</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4、推送的请假数据可自动匹配至请假预警业务，实现系统对于请假未归的预警。</w:t>
            </w:r>
          </w:p>
        </w:tc>
        <w:tc>
          <w:tcPr>
            <w:tcW w:w="286" w:type="pct"/>
            <w:vAlign w:val="center"/>
          </w:tcPr>
          <w:p w14:paraId="5DA567BB">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2D895C3B">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项</w:t>
            </w:r>
          </w:p>
        </w:tc>
        <w:tc>
          <w:tcPr>
            <w:tcW w:w="570" w:type="pct"/>
            <w:vAlign w:val="center"/>
          </w:tcPr>
          <w:p w14:paraId="09A4217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2.0000</w:t>
            </w:r>
          </w:p>
        </w:tc>
        <w:tc>
          <w:tcPr>
            <w:tcW w:w="575" w:type="pct"/>
            <w:vAlign w:val="center"/>
          </w:tcPr>
          <w:p w14:paraId="78A4D0DB">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2.0000</w:t>
            </w:r>
          </w:p>
        </w:tc>
      </w:tr>
      <w:tr w14:paraId="1E27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5EA40965">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37</w:t>
            </w:r>
          </w:p>
        </w:tc>
        <w:tc>
          <w:tcPr>
            <w:tcW w:w="599" w:type="pct"/>
            <w:vAlign w:val="center"/>
          </w:tcPr>
          <w:p w14:paraId="56095B61">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短信平台模块</w:t>
            </w:r>
          </w:p>
        </w:tc>
        <w:tc>
          <w:tcPr>
            <w:tcW w:w="2441" w:type="pct"/>
            <w:gridSpan w:val="2"/>
          </w:tcPr>
          <w:p w14:paraId="40038376">
            <w:pPr>
              <w:widowControl/>
              <w:wordWrap w:val="0"/>
              <w:spacing w:line="400" w:lineRule="exact"/>
              <w:textAlignment w:val="top"/>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1、对现有的访客系统数据库及数据格式进行现场驻场调研及系统分析，形成可推送数据格式及报告并提供给用户确认；</w:t>
            </w:r>
          </w:p>
          <w:p w14:paraId="61D71CEF">
            <w:pPr>
              <w:widowControl/>
              <w:wordWrap w:val="0"/>
              <w:spacing w:line="400" w:lineRule="exact"/>
              <w:textAlignment w:val="top"/>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2、根据用户确认需求形成短信平台模块原型及开发设计说明；</w:t>
            </w:r>
          </w:p>
          <w:p w14:paraId="147DD937">
            <w:pPr>
              <w:widowControl/>
              <w:wordWrap w:val="0"/>
              <w:spacing w:line="400" w:lineRule="exact"/>
              <w:textAlignment w:val="top"/>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3、根据用户确认的需求及数据格式，进行各系统短信接口的API对接开发，实现与阿里短信平台打通，通过短信平台向来访人员或指定人员发送信息；</w:t>
            </w:r>
          </w:p>
          <w:p w14:paraId="3B02C508">
            <w:pPr>
              <w:widowControl/>
              <w:wordWrap w:val="0"/>
              <w:spacing w:line="400" w:lineRule="exact"/>
              <w:textAlignment w:val="top"/>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4、配合系统的测试及开放技术对接文档，最终形成标准化技术资料并移交用户方。</w:t>
            </w:r>
          </w:p>
        </w:tc>
        <w:tc>
          <w:tcPr>
            <w:tcW w:w="286" w:type="pct"/>
            <w:vAlign w:val="center"/>
          </w:tcPr>
          <w:p w14:paraId="744DAAA1">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6297E3D0">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项</w:t>
            </w:r>
          </w:p>
        </w:tc>
        <w:tc>
          <w:tcPr>
            <w:tcW w:w="570" w:type="pct"/>
            <w:vAlign w:val="center"/>
          </w:tcPr>
          <w:p w14:paraId="780B902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2.0000</w:t>
            </w:r>
          </w:p>
        </w:tc>
        <w:tc>
          <w:tcPr>
            <w:tcW w:w="575" w:type="pct"/>
            <w:vAlign w:val="center"/>
          </w:tcPr>
          <w:p w14:paraId="6EA72AF2">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2.0000</w:t>
            </w:r>
          </w:p>
        </w:tc>
      </w:tr>
      <w:tr w14:paraId="66674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6B3496F5">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38</w:t>
            </w:r>
          </w:p>
        </w:tc>
        <w:tc>
          <w:tcPr>
            <w:tcW w:w="599" w:type="pct"/>
            <w:vAlign w:val="center"/>
          </w:tcPr>
          <w:p w14:paraId="5B901CD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无刷通用翼闸（中）</w:t>
            </w:r>
          </w:p>
        </w:tc>
        <w:tc>
          <w:tcPr>
            <w:tcW w:w="2441" w:type="pct"/>
            <w:gridSpan w:val="2"/>
          </w:tcPr>
          <w:p w14:paraId="42AFCE1B">
            <w:pPr>
              <w:widowControl/>
              <w:wordWrap w:val="0"/>
              <w:spacing w:line="400" w:lineRule="exact"/>
              <w:textAlignment w:val="top"/>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1、材质：304不锈钢/镀锌板(表面可喷塑，多种额色可选。)</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2、工作环境：室内室外皆可</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3、通道宽：500-600mm</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4、输入接口：开关量或12V电平</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5、电源：AC 220V 50Hz</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6、通讯接口：RS485或TCP/1P</w:t>
            </w:r>
          </w:p>
        </w:tc>
        <w:tc>
          <w:tcPr>
            <w:tcW w:w="286" w:type="pct"/>
            <w:vAlign w:val="center"/>
          </w:tcPr>
          <w:p w14:paraId="6D82C5C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4CE9AF84">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3BFF4786">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1.8000</w:t>
            </w:r>
          </w:p>
        </w:tc>
        <w:tc>
          <w:tcPr>
            <w:tcW w:w="575" w:type="pct"/>
            <w:vAlign w:val="center"/>
          </w:tcPr>
          <w:p w14:paraId="4B67C116">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1.8000</w:t>
            </w:r>
          </w:p>
        </w:tc>
      </w:tr>
      <w:tr w14:paraId="7865D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233F2E42">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39</w:t>
            </w:r>
          </w:p>
        </w:tc>
        <w:tc>
          <w:tcPr>
            <w:tcW w:w="599" w:type="pct"/>
            <w:vAlign w:val="center"/>
          </w:tcPr>
          <w:p w14:paraId="49DE67AD">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无刷通用摆闸（左）</w:t>
            </w:r>
          </w:p>
        </w:tc>
        <w:tc>
          <w:tcPr>
            <w:tcW w:w="2441" w:type="pct"/>
            <w:gridSpan w:val="2"/>
          </w:tcPr>
          <w:p w14:paraId="743C3F8C">
            <w:pPr>
              <w:widowControl/>
              <w:wordWrap w:val="0"/>
              <w:spacing w:line="400" w:lineRule="exact"/>
              <w:textAlignment w:val="top"/>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1、单机芯左边道，通道宽度范围≥600mm，门翼开/关速度支持≥10档可调，开门速度≤0.4s，通行速度：20～60人每分钟。</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2、采用直流无刷伺服电机，箱体采用不锈钢材质，支持红外对数≥12对，≥600万次无故障通行。</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3、支持≥6万张普通卡、≥3千张来宾卡、≥18万条事件记录。</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4、集成语音模块，可根据用户需求自定义语音播报内容，集成门禁主控板，可扩展人脸识别组件、读卡器、二维码、指纹等多种认证方式。</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5、支持远程控制管理功能，也可单机离线运行，支持人数统计功能，针对进出方向分别进行统计。</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6、支持允许通行、禁止通行检查功能，没有经管理人员授权的人员闯入时能够警示。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7、具有消防联动接口，当消防信号触发时，门翼处于常开状态，当消防联动信号恢复时，门翼将自动复位。</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8、支持应急放行的功能，设备在断电或者发生故障后能处于无拦挡状态，支持翻越报警的功能，支持滞留报警、反向闯入报警、通行超时报警、误闯报警功能。</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9、支持每天≥8个时间段的常开/常闭管控，设置某时段的通道为常开或常闭，方便管理。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10、支持防夹保护的功能，在门翼动作过程中遇到阻力时门翼应自动停止动作，除了联动语音播报、指示灯等警示外，需同时上传对应的报警事件。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11、支持单通道反潜回、多通道跨主机反潜回的功能，支持记忆模式，可实现连续快速通行。</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12、支持防尾随功能，在通道中同时通行人数超过允许通行的人数时，除了联动语音播报、指示灯等警示外，需同时上传对应的报警事件，最小检测距离≤30mm。</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13、支持根据不同场景的权限管理有不同的开启方式，防护等级≥IP54，工作温度范围-20℃～70℃。</w:t>
            </w:r>
          </w:p>
        </w:tc>
        <w:tc>
          <w:tcPr>
            <w:tcW w:w="286" w:type="pct"/>
            <w:vAlign w:val="center"/>
          </w:tcPr>
          <w:p w14:paraId="465EC6A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w:t>
            </w:r>
          </w:p>
        </w:tc>
        <w:tc>
          <w:tcPr>
            <w:tcW w:w="214" w:type="pct"/>
            <w:vAlign w:val="center"/>
          </w:tcPr>
          <w:p w14:paraId="3CF905E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3864896C">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1.3000</w:t>
            </w:r>
          </w:p>
        </w:tc>
        <w:tc>
          <w:tcPr>
            <w:tcW w:w="575" w:type="pct"/>
            <w:vAlign w:val="center"/>
          </w:tcPr>
          <w:p w14:paraId="03F8BC8B">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6.5000</w:t>
            </w:r>
          </w:p>
        </w:tc>
      </w:tr>
      <w:tr w14:paraId="0031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77229660">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40</w:t>
            </w:r>
          </w:p>
        </w:tc>
        <w:tc>
          <w:tcPr>
            <w:tcW w:w="599" w:type="pct"/>
            <w:vAlign w:val="center"/>
          </w:tcPr>
          <w:p w14:paraId="04EFCA9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无刷通用摆闸（右）</w:t>
            </w:r>
          </w:p>
        </w:tc>
        <w:tc>
          <w:tcPr>
            <w:tcW w:w="2441" w:type="pct"/>
            <w:gridSpan w:val="2"/>
          </w:tcPr>
          <w:p w14:paraId="7E3C34CF">
            <w:pPr>
              <w:widowControl/>
              <w:wordWrap w:val="0"/>
              <w:spacing w:line="400" w:lineRule="exact"/>
              <w:textAlignment w:val="top"/>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1、单机芯右边道，通道宽度范围≥600mm，门翼开/关速度支持≥10档可调，开门速度≤0.4s，通行速度：20～60人每分钟。</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2、采用直流无刷伺服电机，箱体采用不锈钢材质，支持红外对数≥12对，≥600万次无故障通行。</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3、支持≥6万张普通卡、≥3千张来宾卡、≥18万条事件记录。</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4、集成语音模块，可根据用户需求自定义语音播报内容，集成门禁主控板，可扩展人脸识别组件、读卡器、二维码、指纹等多种认证方式。</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5、支持远程控制管理功能，也可单机离线运行，支持人数统计功能，针对进出方向分别进行统计。</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6、支持允许通行、禁止通行检查功能，没有经管理人员授权的人员闯入时能够警示。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7、具有消防联动接口，当消防信号触发时，门翼处于常开状态，当消防联动信号恢复时，门翼将自动复位。</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8、支持应急放行的功能，设备在断电或者发生故障后能处于无拦挡状态，支持翻越报警的功能，支持滞留报警、反向闯入报警、通行超时报警、误闯报警功能。</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9、支持每天≥8个时间段的常开/常闭管控，设置某时段的通道为常开或常闭，方便管理。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10、支持防夹保护的功能，在门翼动作过程中遇到阻力时门翼应自动停止动作，除了联动语音播报、指示灯等警示外，需同时上传对应的报警事件。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11、支持单通道反潜回、多通道跨主机反潜回的功能，支持记忆模式，可实现连续快速通行。</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12、支持防尾随功能，在通道中同时通行人数超过允许通行的人数时，除了联动语音播报、指示灯等警示外，需同时上传对应的报警事件，最小检测距离≤30mm。</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13、支持根据不同场景的权限管理有不同的开启方式，防护等级≥IP54，工作温度范围-20℃～70℃。</w:t>
            </w:r>
          </w:p>
        </w:tc>
        <w:tc>
          <w:tcPr>
            <w:tcW w:w="286" w:type="pct"/>
            <w:vAlign w:val="center"/>
          </w:tcPr>
          <w:p w14:paraId="66C2D23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w:t>
            </w:r>
          </w:p>
        </w:tc>
        <w:tc>
          <w:tcPr>
            <w:tcW w:w="214" w:type="pct"/>
            <w:vAlign w:val="center"/>
          </w:tcPr>
          <w:p w14:paraId="5B08AE3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770FC945">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1.3000</w:t>
            </w:r>
          </w:p>
        </w:tc>
        <w:tc>
          <w:tcPr>
            <w:tcW w:w="575" w:type="pct"/>
            <w:vAlign w:val="center"/>
          </w:tcPr>
          <w:p w14:paraId="33A947BD">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6.5000</w:t>
            </w:r>
          </w:p>
        </w:tc>
      </w:tr>
      <w:tr w14:paraId="7845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180D79E2">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41</w:t>
            </w:r>
          </w:p>
        </w:tc>
        <w:tc>
          <w:tcPr>
            <w:tcW w:w="599" w:type="pct"/>
            <w:vAlign w:val="center"/>
          </w:tcPr>
          <w:p w14:paraId="58098348">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无刷通用摆闸（中）</w:t>
            </w:r>
          </w:p>
        </w:tc>
        <w:tc>
          <w:tcPr>
            <w:tcW w:w="2441" w:type="pct"/>
            <w:gridSpan w:val="2"/>
          </w:tcPr>
          <w:p w14:paraId="7FFE417E">
            <w:pPr>
              <w:widowControl/>
              <w:wordWrap w:val="0"/>
              <w:spacing w:line="400" w:lineRule="exact"/>
              <w:textAlignment w:val="top"/>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1、双机芯中间道，通道宽度范围≥600mm，门翼开/关速度支持≥10档可调，开门速度≤0.4s，通行速度：20～60人每分钟。</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2、采用直流无刷伺服电机，箱体采用不锈钢材质，支持红外对数≥12对，≥600万次无故障通行。</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3、支持≥6万张普通卡、≥3千张来宾卡、≥18万条事件记录。</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4、集成语音模块，可根据用户需求自定义语音播报内容，集成门禁主控板，可扩展人脸识别组件、读卡器、二维码、指纹等多种认证方式。</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5、支持远程控制管理功能，也可单机离线运行，支持人数统计功能，针对进出方向分别进行统计。</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6、支持允许通行、禁止通行检查功能，没有经管理人员授权的人员闯入时能够警示。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7、具有消防联动接口，当消防信号触发时，门翼处于常开状态，当消防联动信号恢复时，门翼将自动复位。</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8、支持应急放行的功能，设备在断电或者发生故障后能处于无拦挡状态，支持翻越报警的功能，支持滞留报警、反向闯入报警、通行超时报警、误闯报警功能。</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9、支持每天≥8个时间段的常开/常闭管控，设置某时段的通道为常开或常闭，方便管理。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10、支持防夹保护的功能，在门翼动作过程中遇到阻力时门翼应自动停止动作，除了联动语音播报、指示灯等警示外，需同时上传对应的报警事件。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11、支持单通道反潜回、多通道跨主机反潜回的功能，支持记忆模式，可实现连续快速通行。</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12、支持防尾随功能，在通道中同时通行人数超过允许通行的人数时，除了联动语音播报、指示灯等警示外，需同时上传对应的报警事件，最小检测距离≤30mm。</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13、支持根据不同场景的权限管理有不同的开启方式，防护等级≥IP54，工作温度范围-20℃～70℃。</w:t>
            </w:r>
          </w:p>
        </w:tc>
        <w:tc>
          <w:tcPr>
            <w:tcW w:w="286" w:type="pct"/>
            <w:vAlign w:val="center"/>
          </w:tcPr>
          <w:p w14:paraId="5823771B">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w:t>
            </w:r>
          </w:p>
        </w:tc>
        <w:tc>
          <w:tcPr>
            <w:tcW w:w="214" w:type="pct"/>
            <w:vAlign w:val="center"/>
          </w:tcPr>
          <w:p w14:paraId="639D3C38">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221C226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1.8000</w:t>
            </w:r>
          </w:p>
        </w:tc>
        <w:tc>
          <w:tcPr>
            <w:tcW w:w="575" w:type="pct"/>
            <w:vAlign w:val="center"/>
          </w:tcPr>
          <w:p w14:paraId="2C5FF4F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16.2000</w:t>
            </w:r>
          </w:p>
        </w:tc>
      </w:tr>
      <w:tr w14:paraId="0D942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2AB45803">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42</w:t>
            </w:r>
          </w:p>
        </w:tc>
        <w:tc>
          <w:tcPr>
            <w:tcW w:w="599" w:type="pct"/>
            <w:vAlign w:val="center"/>
          </w:tcPr>
          <w:p w14:paraId="63A14454">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24口POE交换机</w:t>
            </w:r>
          </w:p>
        </w:tc>
        <w:tc>
          <w:tcPr>
            <w:tcW w:w="2441" w:type="pct"/>
            <w:gridSpan w:val="2"/>
            <w:vAlign w:val="center"/>
          </w:tcPr>
          <w:p w14:paraId="3CC7312B">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1、轻网管提供24个千兆PoE电口、2个千兆光口</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2、支持IEEE 802.3at/af标准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3、支持IEEE 802.3、IEEE 802.3u、IEEE 802.3x、IEEE 802.3ab、IEEE 802.3z标准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4、支持管理平台管理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5、支持手机APP管理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6、支持安防网络拓扑管理、链路聚合、端口管理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7、支持远程升级</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8、支持6 KV防浪涌（PoE口）</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9、支持PoE输出功率管理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10、千兆网络接入设计</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11、线速转发</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12、存储转发交换方式</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13、交换容量：56 Gbps，包转发率：41.67Mpps</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14、整机最大POE供电功率：370 W</w:t>
            </w:r>
          </w:p>
        </w:tc>
        <w:tc>
          <w:tcPr>
            <w:tcW w:w="286" w:type="pct"/>
            <w:vAlign w:val="center"/>
          </w:tcPr>
          <w:p w14:paraId="40B6129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w:t>
            </w:r>
          </w:p>
        </w:tc>
        <w:tc>
          <w:tcPr>
            <w:tcW w:w="214" w:type="pct"/>
            <w:vAlign w:val="center"/>
          </w:tcPr>
          <w:p w14:paraId="23F502A1">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09729C0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0.2000</w:t>
            </w:r>
          </w:p>
        </w:tc>
        <w:tc>
          <w:tcPr>
            <w:tcW w:w="575" w:type="pct"/>
            <w:vAlign w:val="center"/>
          </w:tcPr>
          <w:p w14:paraId="0CD97618">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0.6000</w:t>
            </w:r>
          </w:p>
        </w:tc>
      </w:tr>
      <w:tr w14:paraId="01695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06F2DF8C">
            <w:pPr>
              <w:widowControl/>
              <w:wordWrap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43</w:t>
            </w:r>
          </w:p>
        </w:tc>
        <w:tc>
          <w:tcPr>
            <w:tcW w:w="599" w:type="pct"/>
            <w:vAlign w:val="center"/>
          </w:tcPr>
          <w:p w14:paraId="2E76BFB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55寸拼接屏</w:t>
            </w:r>
          </w:p>
        </w:tc>
        <w:tc>
          <w:tcPr>
            <w:tcW w:w="2441" w:type="pct"/>
            <w:gridSpan w:val="2"/>
          </w:tcPr>
          <w:p w14:paraId="23EBB268">
            <w:pPr>
              <w:wordWrap w:val="0"/>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1、55英寸液晶拼接系统，物理分辨率不低于1920 × 1080@60 Hz（向下兼容），全高清显示，画面细腻，色彩丰富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2、直下式LED背光源，亮度均匀，无边界暗影现象，高清晰度、高亮度、高色域，视角≥178°(H)/178°(V)，趋近于水平</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3、显示面积大、体积小、重量轻，超窄边设计，运行稳定，可24小时持续工作</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4、支持壁挂、落地、吊装等多种安装方式，多种拼接方式，能适应各种使用场所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5、采用金属外壳，防辐射、防磁场、防强电场干扰，实时检测设备温度，过温自保护，防止面板灼烧。</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6、支持HDMI信号环通，音视频输入≥HDMI × 1, ≥DVI × 1, ≥VGA × 1, ≥ USB × 1 ，音视频输出≥HDMI × 1，控制接口≥RS232 IN × 1，≥RS232 OUT × 1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7、显示尺寸：55 inch，背光源类型：D-LED，物理拼缝：0.88 mm， 物理拼缝公差：±0.8 mm， 亮度≥500 cd/m²，对比度≥1200：1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8、电源：100~240 VAC，50/60 Hz， 功耗：≤ 230 W，待机功耗：≤ 0.5 W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9、包含此项安装调试所需费用</w:t>
            </w:r>
            <w:r>
              <w:rPr>
                <w:rFonts w:hint="eastAsia" w:ascii="宋体" w:hAnsi="宋体" w:eastAsia="宋体" w:cs="宋体"/>
                <w:color w:val="auto"/>
                <w:sz w:val="21"/>
                <w:szCs w:val="21"/>
                <w:lang w:eastAsia="zh-CN"/>
              </w:rPr>
              <w:t>；</w:t>
            </w:r>
          </w:p>
          <w:p w14:paraId="2EF636C2">
            <w:pPr>
              <w:wordWrap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投标人必须在投标文件中提供所投标产品的节能产品认证证书复印件（</w:t>
            </w:r>
            <w:r>
              <w:rPr>
                <w:rFonts w:hint="eastAsia" w:ascii="宋体" w:hAnsi="宋体" w:eastAsia="宋体" w:cs="宋体"/>
                <w:color w:val="auto"/>
                <w:kern w:val="0"/>
                <w:sz w:val="21"/>
                <w:szCs w:val="21"/>
                <w:lang w:bidi="ar"/>
              </w:rPr>
              <w:t>并加盖投标人公章或CA签章</w:t>
            </w:r>
            <w:r>
              <w:rPr>
                <w:rFonts w:hint="eastAsia" w:ascii="宋体" w:hAnsi="宋体" w:eastAsia="宋体" w:cs="宋体"/>
                <w:color w:val="auto"/>
                <w:sz w:val="21"/>
                <w:szCs w:val="21"/>
              </w:rPr>
              <w:t>）</w:t>
            </w:r>
          </w:p>
        </w:tc>
        <w:tc>
          <w:tcPr>
            <w:tcW w:w="286" w:type="pct"/>
            <w:vAlign w:val="center"/>
          </w:tcPr>
          <w:p w14:paraId="369F77A9">
            <w:pPr>
              <w:widowControl/>
              <w:wordWrap w:val="0"/>
              <w:spacing w:line="40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bidi="ar"/>
              </w:rPr>
              <w:t>1</w:t>
            </w:r>
            <w:r>
              <w:rPr>
                <w:rFonts w:hint="eastAsia" w:ascii="宋体" w:hAnsi="宋体" w:eastAsia="宋体" w:cs="宋体"/>
                <w:color w:val="auto"/>
                <w:kern w:val="0"/>
                <w:sz w:val="21"/>
                <w:szCs w:val="21"/>
                <w:lang w:val="en-US" w:eastAsia="zh-CN" w:bidi="ar"/>
              </w:rPr>
              <w:t>5</w:t>
            </w:r>
          </w:p>
        </w:tc>
        <w:tc>
          <w:tcPr>
            <w:tcW w:w="214" w:type="pct"/>
            <w:vAlign w:val="center"/>
          </w:tcPr>
          <w:p w14:paraId="1EBE574D">
            <w:pPr>
              <w:widowControl/>
              <w:wordWrap w:val="0"/>
              <w:spacing w:line="400" w:lineRule="exact"/>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bidi="ar"/>
              </w:rPr>
              <w:t>台</w:t>
            </w:r>
          </w:p>
        </w:tc>
        <w:tc>
          <w:tcPr>
            <w:tcW w:w="570" w:type="pct"/>
            <w:vAlign w:val="center"/>
          </w:tcPr>
          <w:p w14:paraId="0727F4B3">
            <w:pPr>
              <w:widowControl/>
              <w:wordWrap w:val="0"/>
              <w:spacing w:line="40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bidi="ar"/>
              </w:rPr>
              <w:t>1.8</w:t>
            </w:r>
          </w:p>
        </w:tc>
        <w:tc>
          <w:tcPr>
            <w:tcW w:w="575" w:type="pct"/>
            <w:vAlign w:val="center"/>
          </w:tcPr>
          <w:p w14:paraId="22E334B2">
            <w:pPr>
              <w:widowControl/>
              <w:wordWrap w:val="0"/>
              <w:spacing w:line="40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bidi="ar"/>
              </w:rPr>
              <w:t>27</w:t>
            </w:r>
          </w:p>
        </w:tc>
      </w:tr>
      <w:tr w14:paraId="0F0A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15628C12">
            <w:pPr>
              <w:widowControl/>
              <w:wordWrap w:val="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44</w:t>
            </w:r>
          </w:p>
        </w:tc>
        <w:tc>
          <w:tcPr>
            <w:tcW w:w="599" w:type="pct"/>
            <w:vAlign w:val="center"/>
          </w:tcPr>
          <w:p w14:paraId="38C141CB">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输出副屏</w:t>
            </w:r>
          </w:p>
        </w:tc>
        <w:tc>
          <w:tcPr>
            <w:tcW w:w="2441" w:type="pct"/>
            <w:gridSpan w:val="2"/>
          </w:tcPr>
          <w:p w14:paraId="60E16272">
            <w:pPr>
              <w:wordWrap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（一）单基色</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1、可显示中英文文字、数字、通知、广告等；</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2、屏幕内容可通过键盘进行编辑、增加、删除和修改；</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3、多种显示方式，二十多种字体可供选择；</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4、显示屏与计算机实现异步显示,数据采用串行方式传输；</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5、像素结构：红色发光管；</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6、像素间距：≤4.75（mm）；</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7、灯珠尺寸：不低于Φ3.75mm；</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8、模组尺寸：304×152（mm）；</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9、模组分辨率：≥64×32；</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10、像素密度：44321点/㎡；</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11、模组平整度：任意相邻像素间≤0.5mm；单元板拼接间隙＜1mm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12、亮度：≥500（cd/m²）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13、平均功耗：≤230W/m²；</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14、供电要求：220V±15％；</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15、电源负荷：5V/40A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16、工作温度：-20℃ ～ +50℃；</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17、存储温度：-40℃ ～ +85℃；</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18、相对湿度：10%~95%；</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19、长*宽约：5776*608mm</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（二）控制卡</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产品基于强大硬件平台，支持超大面积输出显示，单色≤4096K点：8192*512、4096*1024，双色≤2048K点：8192*256、4096*512，三基色≤1280K点：8192*160、4096*320，单口最2、大宽度8192点，控制面积灵活，显示功能丰富，性价比超高。</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3、板载2组50PIN显示接口、支持串行通讯、网络通讯、GPRS无线通讯、4G DTU无线通讯、RF无线通讯、WiFi无线通讯以及WEB服务器等通讯方式，并且板载USB接口能够使用U盘下载播放文件。</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支持多功能播放，图文、字幕、时间、动画、农历，表格区域的任意搭配，用户可以根据需要任意添加各种各样图片文字、字幕、时间、动画、农历以及表格，实现屏幕上图片，文字，动画，时间，农历，表格等形式的滚动搭配播出。</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5、支持节目定时发送，只需在软件中设定好节目的播放时间，节目则会准确按照设定的时间发送节目，方便客户灵活安排节目播放的时间。</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6、带载能力(宽*高)：产品基于强大硬件平台，支持超大面积输出显示，单色≤4096K点：8192*512、4096*1024，双色≤2048K点：8192*256、4096*512，三基色≤1280K点：8192*160、4096*320，单口最大宽度8192点，控制面积灵活，显示功能丰富，性价比超高。</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7、包含此项安装调试所需费用</w:t>
            </w:r>
          </w:p>
        </w:tc>
        <w:tc>
          <w:tcPr>
            <w:tcW w:w="286" w:type="pct"/>
            <w:vAlign w:val="center"/>
          </w:tcPr>
          <w:p w14:paraId="6ECF55CA">
            <w:pPr>
              <w:widowControl/>
              <w:wordWrap w:val="0"/>
              <w:spacing w:line="400" w:lineRule="exact"/>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eastAsia="zh-CN"/>
              </w:rPr>
              <w:t>3.51</w:t>
            </w:r>
          </w:p>
        </w:tc>
        <w:tc>
          <w:tcPr>
            <w:tcW w:w="214" w:type="pct"/>
            <w:vAlign w:val="center"/>
          </w:tcPr>
          <w:p w14:paraId="7D5BBAA8">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w:t>
            </w:r>
          </w:p>
        </w:tc>
        <w:tc>
          <w:tcPr>
            <w:tcW w:w="570" w:type="pct"/>
            <w:vAlign w:val="center"/>
          </w:tcPr>
          <w:p w14:paraId="34F18AFC">
            <w:pPr>
              <w:widowControl/>
              <w:wordWrap w:val="0"/>
              <w:spacing w:line="400" w:lineRule="exact"/>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0.45</w:t>
            </w:r>
          </w:p>
        </w:tc>
        <w:tc>
          <w:tcPr>
            <w:tcW w:w="575" w:type="pct"/>
            <w:vAlign w:val="center"/>
          </w:tcPr>
          <w:p w14:paraId="1B7EC56F">
            <w:pPr>
              <w:widowControl/>
              <w:wordWrap w:val="0"/>
              <w:spacing w:line="400" w:lineRule="exact"/>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1.5795</w:t>
            </w:r>
          </w:p>
        </w:tc>
      </w:tr>
      <w:tr w14:paraId="57744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41396A4A">
            <w:pPr>
              <w:widowControl/>
              <w:wordWrap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bidi="ar"/>
              </w:rPr>
              <w:t>4</w:t>
            </w:r>
            <w:r>
              <w:rPr>
                <w:rFonts w:hint="eastAsia" w:ascii="宋体" w:hAnsi="宋体" w:eastAsia="宋体" w:cs="宋体"/>
                <w:color w:val="auto"/>
                <w:kern w:val="0"/>
                <w:sz w:val="21"/>
                <w:szCs w:val="21"/>
                <w:lang w:val="en-US" w:eastAsia="zh-CN" w:bidi="ar"/>
              </w:rPr>
              <w:t>5</w:t>
            </w:r>
          </w:p>
        </w:tc>
        <w:tc>
          <w:tcPr>
            <w:tcW w:w="599" w:type="pct"/>
            <w:vAlign w:val="center"/>
          </w:tcPr>
          <w:p w14:paraId="52AF73B2">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视频解码器</w:t>
            </w:r>
          </w:p>
        </w:tc>
        <w:tc>
          <w:tcPr>
            <w:tcW w:w="2441" w:type="pct"/>
            <w:gridSpan w:val="2"/>
            <w:vAlign w:val="center"/>
          </w:tcPr>
          <w:p w14:paraId="2FF65EAA">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1、支持HDMI信号输入输出，不少于4路HDMI输入+16路HDMI输出；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2、3 U标准机架式机箱，运营级ATCA机箱系统，满足中小规模的监控需求；</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3、插拔式模块化设计，可根据需求灵活选择机型；</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4、业务模块支持智能风扇自动调温，确保系统稳定可靠；</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5、支持H.264/H.265编码，默认采用H.265，解码支持H.265、H.264、MJPEG等主流的编码格式；</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6、支持≥4路高清视频编码能力，支持≥128路高清视频解码能力；</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7、视频输出最大的LED带载能力为单口230 W；</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8、支持解码格式： H.265、Smart264、Smart265、MJPEG；整机最大解码能力支持128路分辨率为 200W的视频，或8路分辨率为 3200W 的视频；单板最大解码能力支持 32 路分辨率为 200W或 2 路分辨率为 3200W 的视频；</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9、支持≥16个显示屏的任意大屏拼接；</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10、单输出口支持1/4/6/8/9/16画面分割显示；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11、支持开窗和漫游，最多支持128个窗口，单屏支持3个图层，支持电视墙预览，最大支持128个预设场景，用户可以自定义每个场景电视墙布局；</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12、支持虚拟LED功能，最多添加字幕8个，单墙3个；</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13、支持WEB方式、Android和IOS客户端访问和操作；14、通过抓屏软件可将远程笔记本桌面实时解码上墙显示，实时画面帧率≥30fps；可同时抓取 8 个 4K 信号上墙显示，且上墙前后 CPU 占用率无明显变化；支持在电视墙进行 8 画面分割显示；可对远程笔记本桌面进行整屏、单窗口、自定义区域抓屏上墙；</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15、支持GB协议接入平台实现管理和操作；</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16、 配置主控板数量≥1， 业务板槽位数≥6， 配置业务板数量≥2，电源槽位数≥2， 配置电源数量≥1；</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17、具有开窗、漫游、漂移、改变形状等功能，同时支持在底图上开窗漫游，支持窗口置底、置顶操作；</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18、可将窗口、底图、字符叠加信息保存成场景，可一键调用；支持保存不低于 3000 个场景；场景可视化：场景保存方式支持以布局缩略图方式显示；场景快速切换：输入信号切换时无花屏、无蓝屏、无肉眼可见的黑场现象，支持自动轮巡，轮巡间隔时间可设置。 轮巡开始时间支持以日期、小时、分钟的形式进行设置；</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19、USB接口≥2个，串行接口≥4个，≥1个Console控制口（RJ45接口）+ 1个reserve口（调试预留）+ 2个RS485/232复用口（RJ45接口）；</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20、电视墙数量≥8个， 电视墙规模：≤16；</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21、可将一路输入视频图像发送至多个输出接口进行拼接显示;可将多路输入视频图像发送至多个输出接口拼接显示；支持拼接不少于 64 路分辨率为 1920×1080 的视频图像；拼接时不同输出之间画面应同步、无撕裂感、 无错位；支持多块屏幕图像的拼接， 可将显示单元拼接成一个高分辨率的单一逻辑屏；全屏刷新时间≤20ms；</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22、工作温度：0°C ~ 50°C， 工作湿度：10% ～ 90%；</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23、视频输入分辨率：1024×768@60Hz、1280×1024@60Hz、1366×768@60Hz、1440×900@60Hz、1680×1050@60Hz、1280×960@60Hz、1600×1200@60Hz、1280×720P@50Hz、1280×720P@60Hz、1920×1080P@50Hz、1920×1080P@60Hz、1920×1200@60Hz，支持自定义输入分辨率，宽高范围800×600～1920×1200，宽度4对齐，高度2对齐。"</w:t>
            </w:r>
          </w:p>
        </w:tc>
        <w:tc>
          <w:tcPr>
            <w:tcW w:w="286" w:type="pct"/>
            <w:vAlign w:val="center"/>
          </w:tcPr>
          <w:p w14:paraId="199A61EC">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52AB5D1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1320458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2.7500</w:t>
            </w:r>
          </w:p>
        </w:tc>
        <w:tc>
          <w:tcPr>
            <w:tcW w:w="575" w:type="pct"/>
            <w:vAlign w:val="center"/>
          </w:tcPr>
          <w:p w14:paraId="5819238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2.7500</w:t>
            </w:r>
          </w:p>
        </w:tc>
      </w:tr>
      <w:tr w14:paraId="09EF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236E4D37">
            <w:pPr>
              <w:widowControl/>
              <w:wordWrap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bidi="ar"/>
              </w:rPr>
              <w:t>4</w:t>
            </w:r>
            <w:r>
              <w:rPr>
                <w:rFonts w:hint="eastAsia" w:ascii="宋体" w:hAnsi="宋体" w:eastAsia="宋体" w:cs="宋体"/>
                <w:color w:val="auto"/>
                <w:kern w:val="0"/>
                <w:sz w:val="21"/>
                <w:szCs w:val="21"/>
                <w:lang w:val="en-US" w:eastAsia="zh-CN" w:bidi="ar"/>
              </w:rPr>
              <w:t>6</w:t>
            </w:r>
          </w:p>
        </w:tc>
        <w:tc>
          <w:tcPr>
            <w:tcW w:w="599" w:type="pct"/>
            <w:vAlign w:val="center"/>
          </w:tcPr>
          <w:p w14:paraId="59950761">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配电箱</w:t>
            </w:r>
          </w:p>
        </w:tc>
        <w:tc>
          <w:tcPr>
            <w:tcW w:w="2441" w:type="pct"/>
            <w:gridSpan w:val="2"/>
            <w:vAlign w:val="center"/>
          </w:tcPr>
          <w:p w14:paraId="4548EA42">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1、≥10KW配电柜</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2、控制：欧姆龙PLC控制器，网络远程控制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3、元器件：标配满足国标断路器，国标接触器</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4、输入电压：380V；输出电压：220V</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5、输出回路：3个单向</w:t>
            </w:r>
          </w:p>
        </w:tc>
        <w:tc>
          <w:tcPr>
            <w:tcW w:w="286" w:type="pct"/>
            <w:vAlign w:val="center"/>
          </w:tcPr>
          <w:p w14:paraId="194FAD8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20C12628">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2CE187A7">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0.3400</w:t>
            </w:r>
          </w:p>
        </w:tc>
        <w:tc>
          <w:tcPr>
            <w:tcW w:w="575" w:type="pct"/>
            <w:vAlign w:val="center"/>
          </w:tcPr>
          <w:p w14:paraId="631DD135">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0.3400</w:t>
            </w:r>
          </w:p>
        </w:tc>
      </w:tr>
      <w:tr w14:paraId="5F48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4CA44052">
            <w:pPr>
              <w:widowControl/>
              <w:wordWrap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bidi="ar"/>
              </w:rPr>
              <w:t>4</w:t>
            </w:r>
            <w:r>
              <w:rPr>
                <w:rFonts w:hint="eastAsia" w:ascii="宋体" w:hAnsi="宋体" w:eastAsia="宋体" w:cs="宋体"/>
                <w:color w:val="auto"/>
                <w:kern w:val="0"/>
                <w:sz w:val="21"/>
                <w:szCs w:val="21"/>
                <w:lang w:val="en-US" w:eastAsia="zh-CN" w:bidi="ar"/>
              </w:rPr>
              <w:t>7</w:t>
            </w:r>
          </w:p>
        </w:tc>
        <w:tc>
          <w:tcPr>
            <w:tcW w:w="599" w:type="pct"/>
            <w:vAlign w:val="center"/>
          </w:tcPr>
          <w:p w14:paraId="54446DF8">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监控中心专业线材</w:t>
            </w:r>
          </w:p>
        </w:tc>
        <w:tc>
          <w:tcPr>
            <w:tcW w:w="2441" w:type="pct"/>
            <w:gridSpan w:val="2"/>
            <w:vAlign w:val="center"/>
          </w:tcPr>
          <w:p w14:paraId="603B9750">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输入输出主干线缆，设备连接分支线缆，配套线管线槽及直通弯头胶布等辅材</w:t>
            </w:r>
          </w:p>
        </w:tc>
        <w:tc>
          <w:tcPr>
            <w:tcW w:w="286" w:type="pct"/>
            <w:vAlign w:val="center"/>
          </w:tcPr>
          <w:p w14:paraId="6928B831">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5A2F31B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项</w:t>
            </w:r>
          </w:p>
        </w:tc>
        <w:tc>
          <w:tcPr>
            <w:tcW w:w="570" w:type="pct"/>
            <w:vAlign w:val="center"/>
          </w:tcPr>
          <w:p w14:paraId="5F93850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0.3500</w:t>
            </w:r>
          </w:p>
        </w:tc>
        <w:tc>
          <w:tcPr>
            <w:tcW w:w="575" w:type="pct"/>
            <w:vAlign w:val="center"/>
          </w:tcPr>
          <w:p w14:paraId="39647E25">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0.3500</w:t>
            </w:r>
          </w:p>
        </w:tc>
      </w:tr>
      <w:tr w14:paraId="19230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6E3E4000">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48</w:t>
            </w:r>
          </w:p>
        </w:tc>
        <w:tc>
          <w:tcPr>
            <w:tcW w:w="599" w:type="pct"/>
            <w:vAlign w:val="center"/>
          </w:tcPr>
          <w:p w14:paraId="652A24C7">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工作站</w:t>
            </w:r>
          </w:p>
        </w:tc>
        <w:tc>
          <w:tcPr>
            <w:tcW w:w="2441" w:type="pct"/>
            <w:gridSpan w:val="2"/>
            <w:vAlign w:val="center"/>
          </w:tcPr>
          <w:p w14:paraId="1CD1CBF9">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一 硬件要求；</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1、用于监控视频处理工作站。</w:t>
            </w:r>
          </w:p>
          <w:p w14:paraId="378AD597">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2、CPU:主频≥3GHz,最高容频≥4.6GHz，三级缓存≥18MB，核心数量≥六核;线程数≥十二线程。</w:t>
            </w:r>
          </w:p>
          <w:p w14:paraId="6430DC4B">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3、主板: PCI扩展插槽≥2个PCI≥4个PCI-Ex16或以上。</w:t>
            </w:r>
          </w:p>
          <w:p w14:paraId="41800C4D">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4、内存: 搭载≥16G DDR4 3200内存，内存插槽数量不少于四个，支持设备后续升级。</w:t>
            </w:r>
          </w:p>
          <w:p w14:paraId="6864C4C1">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5、硬盘：配备≥1TB SATA3接口 7200rpm 机械硬盘、≥256G M.2 SSD。</w:t>
            </w:r>
          </w:p>
          <w:p w14:paraId="7CDD17B2">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6、显卡：≥2GB独立显存</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7、声卡：集成HD Audio，支持5.1声道 提供满足≥5个音频接口</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 xml:space="preserve">8、网卡：集成千兆网卡            </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 电源：≥260W  能效≥85%性能输出。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10、接口：不少于8个USB 接口、≥1个PS/2接口、 串口、VGA+HDMI+DP三接口，可同步进行视频输出应用，并双屏输出。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11、机箱：标准立式机箱，不大于13.6L，搭配同品牌USB键盘鼠标</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12、安全特性：具备智能USB屏蔽技术，可在BIOS中设置USB口仅识别键盘、鼠标，无法识别USB读取设备，有效防止U盘病毒入侵及数据非法拷贝，有效防止数据丢失。</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 xml:space="preserve">二、配置人工智能引擎视频计算卡： </w:t>
            </w:r>
          </w:p>
          <w:p w14:paraId="48E303F8">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1、处理器：八核64位大小核架构，主频可达2.2+GHz或以上。</w:t>
            </w:r>
          </w:p>
          <w:p w14:paraId="481C281F">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2、架构：计算卡采用PCI插槽式集成架构。</w:t>
            </w:r>
          </w:p>
          <w:p w14:paraId="7B3BFDBB">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3、GPU：高性能Mali-G610  MC4  GPU能力或以上。</w:t>
            </w:r>
          </w:p>
          <w:p w14:paraId="4781F248">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4、NPU：6TOP。</w:t>
            </w:r>
          </w:p>
          <w:p w14:paraId="5F389E07">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5、内存：DDR4  RAM8GB。</w:t>
            </w:r>
          </w:p>
          <w:p w14:paraId="1A1365A3">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6、存储：标配256G  M.2  NGFF 2242  SSD。</w:t>
            </w:r>
          </w:p>
          <w:p w14:paraId="752ED1B0">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7、功耗：≤36W。</w:t>
            </w:r>
          </w:p>
          <w:p w14:paraId="202F44FA">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8、供电接口：PCIe接口供电。</w:t>
            </w:r>
          </w:p>
          <w:p w14:paraId="5075DDFF">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9、网络模块：1*外置双频聚合天线（WIFI6）、1*RJ-45 自适应10/100/1000Mbps网络接口。</w:t>
            </w:r>
          </w:p>
          <w:p w14:paraId="54D25BCC">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10、操作系统：支持国产化操作系统。</w:t>
            </w:r>
          </w:p>
          <w:p w14:paraId="25188AFC">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11、为加速计算卡部署，计算卡支持导入配置及手动配置两种模式。计算卡支持自动读取并导入配置文件，实现名称、IP地址等快速自动配置。</w:t>
            </w:r>
          </w:p>
          <w:p w14:paraId="3998B246">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▲12、在本项一的主机上部署计算卡，实现一机双计算架构并行运算（X86+ARM）。计算卡支持统信UOS、Ubuntu、Android12等操作系统，实现一机多系统并行运算（Windows+统信UOS/Ubuntu/Android12）。</w:t>
            </w:r>
          </w:p>
          <w:p w14:paraId="31FC0145">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▲13、计算卡标配RTC通讯套件，通过内置RTC服务，实现Windows与计算卡互联互通。将计算卡操作系统画面（统信UOS/Ubuntu/Android）传输至主机Windows系统，支持将键盘、鼠标信号从X86  Windows传输至计算卡。（投标人须在投标文件中提供相关证明材料：可以是产品功能界面截图或第三方检测机构出具的检测报告复印件，并加盖投标人公章或CA签章。）</w:t>
            </w:r>
          </w:p>
          <w:p w14:paraId="2BC985BD">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14、计算卡采用PCIe接口供电，最大功耗不超过36W，实现即插即用，无需额外采购ARM设备搭建使用环境。</w:t>
            </w:r>
          </w:p>
          <w:p w14:paraId="6D1C7D0C">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三、国产平台终端统一管理软件：</w:t>
            </w:r>
          </w:p>
          <w:p w14:paraId="78F629F2">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●1、终端系统界面支持快速查看终端配置信息（至少能显示出：终端名称、服务器地址、默认镜像、镜像数量、软件版本、网络信息和主要硬件的配置信息等）。</w:t>
            </w:r>
          </w:p>
          <w:p w14:paraId="16B41B08">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2、为简化日常管理工作，终端系统需支持对推送到本地的镜像进行查看、还原及删除等操作。</w:t>
            </w:r>
          </w:p>
          <w:p w14:paraId="167DCDF6">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3、为简化部署及后期维护，终端支持初始化系统功能，可一键恢复终端到出厂未配置状态。</w:t>
            </w:r>
          </w:p>
          <w:p w14:paraId="735317DA">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4、终端支持镜像下载与上传的进度百分比显示，便于感知管理效率。</w:t>
            </w:r>
          </w:p>
          <w:p w14:paraId="55C6FCF5">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5、为方便管理人员后期维护，终端无需任何第三方软件，即可进行统一编号管理和显示，编号显示在终端操作系统右上角，支持配置编号是否显示。</w:t>
            </w:r>
          </w:p>
          <w:p w14:paraId="4DE31919">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为加快终端部署，要求终端部署模式支持导入配置以及手动配置两种模式。当终端接入配置文件时，系统应自动读取该配置文件并进行导入配置，从而实现名称、服务器地址、IP地址、终端语言、分辨率、还原策略等信息的配置。</w:t>
            </w:r>
          </w:p>
          <w:p w14:paraId="1C46A29C">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管理员可在任意一台终端上安装客户端软件，将本地的操作系统转换成镜像模板，并上传至终端管理平台。无需到管理平台制作镜像，转换时可以设置镜像磁盘容量，选择上传后的存储位置，并设置镜像名称。</w:t>
            </w:r>
          </w:p>
          <w:p w14:paraId="5CD8FBEF">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8、支持多镜像模式，可根据使用需求一键切换系统镜像；终端启动时可显示操作系统选择菜单，客户端可自主选择系统环境启动或由管理平台统一配置默认启动到指定的操作系统。</w:t>
            </w:r>
          </w:p>
          <w:p w14:paraId="0B45E1AF">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●9、管理员可在终端维护系统的管理设置菜单，对终端的倒计时时间、默认启动镜像、还原策略等配置信息进行配置修改，无需到管理平台进行修改。</w:t>
            </w:r>
          </w:p>
          <w:p w14:paraId="12EFB298">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10、为避免用户对终端系统配置进行随意修改，支持对终端配置界面进行加密设置，管理员可在终端设置修改密码。</w:t>
            </w:r>
          </w:p>
          <w:p w14:paraId="10A337A8">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11、终端系统应具备日志导出功能，此功能可通过USB端口实现将日志数据导出至U盘，从而便于管理员存储和查阅终端日志信息。</w:t>
            </w:r>
          </w:p>
          <w:p w14:paraId="609AD19D">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12、管理员无需登录和操作，终端开机后，在登录界面主页左下角即可查看服务器连接状态、IP地址、物理地址、软件版本以及终端编号等重要信息。管理员可以在终端设置中配置是否显示这些信息，便于管理员迅速了解和掌握当前系统状态，确保系统正常运行。</w:t>
            </w:r>
          </w:p>
          <w:p w14:paraId="2E686CF9">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13、为保障业务连续性，终端采用本地运算方式，支持完全离线运行，即在管理平台网络断开、或宕机的情况下，终端可离线运行与在线状态下一致的操作系统及软件，保证业务过程不中断。</w:t>
            </w:r>
          </w:p>
        </w:tc>
        <w:tc>
          <w:tcPr>
            <w:tcW w:w="286" w:type="pct"/>
            <w:vAlign w:val="center"/>
          </w:tcPr>
          <w:p w14:paraId="77294660">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w:t>
            </w:r>
          </w:p>
        </w:tc>
        <w:tc>
          <w:tcPr>
            <w:tcW w:w="214" w:type="pct"/>
            <w:vAlign w:val="center"/>
          </w:tcPr>
          <w:p w14:paraId="057DBA61">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4363C520">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0.4700</w:t>
            </w:r>
          </w:p>
        </w:tc>
        <w:tc>
          <w:tcPr>
            <w:tcW w:w="575" w:type="pct"/>
            <w:vAlign w:val="center"/>
          </w:tcPr>
          <w:p w14:paraId="658E24B4">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1.8800</w:t>
            </w:r>
          </w:p>
        </w:tc>
      </w:tr>
      <w:tr w14:paraId="7A2C8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6F4C2338">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49</w:t>
            </w:r>
          </w:p>
        </w:tc>
        <w:tc>
          <w:tcPr>
            <w:tcW w:w="599" w:type="pct"/>
            <w:vAlign w:val="center"/>
          </w:tcPr>
          <w:p w14:paraId="56F003D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监视</w:t>
            </w:r>
            <w:r>
              <w:rPr>
                <w:rFonts w:hint="eastAsia" w:ascii="宋体" w:hAnsi="宋体" w:eastAsia="宋体" w:cs="宋体"/>
                <w:color w:val="auto"/>
                <w:kern w:val="0"/>
                <w:sz w:val="21"/>
                <w:szCs w:val="21"/>
                <w:lang w:bidi="ar"/>
              </w:rPr>
              <w:t>器</w:t>
            </w:r>
          </w:p>
        </w:tc>
        <w:tc>
          <w:tcPr>
            <w:tcW w:w="2441" w:type="pct"/>
            <w:gridSpan w:val="2"/>
            <w:vAlign w:val="center"/>
          </w:tcPr>
          <w:p w14:paraId="50D14479">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1、≥23.8寸IPS</w:t>
            </w:r>
            <w:r>
              <w:rPr>
                <w:rFonts w:hint="eastAsia" w:ascii="宋体" w:hAnsi="宋体" w:eastAsia="宋体" w:cs="宋体"/>
                <w:color w:val="auto"/>
                <w:kern w:val="0"/>
                <w:sz w:val="21"/>
                <w:szCs w:val="21"/>
                <w:lang w:val="en-US" w:eastAsia="zh-CN" w:bidi="ar"/>
              </w:rPr>
              <w:t>显示屏</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2、分辨率1920×1080</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3、屏幕比例16：9</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4、亮度不低于250</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5、对比度不低于1000:1，响应时间4ms</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6、支持VGA+DVI接口，具有低蓝光护眼功能，能在普通模式和低蓝光模式之间进行切换，可俯仰调节底座</w:t>
            </w:r>
          </w:p>
        </w:tc>
        <w:tc>
          <w:tcPr>
            <w:tcW w:w="286" w:type="pct"/>
            <w:vAlign w:val="center"/>
          </w:tcPr>
          <w:p w14:paraId="073CB438">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w:t>
            </w:r>
          </w:p>
        </w:tc>
        <w:tc>
          <w:tcPr>
            <w:tcW w:w="214" w:type="pct"/>
            <w:vAlign w:val="center"/>
          </w:tcPr>
          <w:p w14:paraId="3EDA8F27">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61B29798">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0.0980</w:t>
            </w:r>
          </w:p>
        </w:tc>
        <w:tc>
          <w:tcPr>
            <w:tcW w:w="575" w:type="pct"/>
            <w:vAlign w:val="center"/>
          </w:tcPr>
          <w:p w14:paraId="1B6E868D">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0.5880</w:t>
            </w:r>
          </w:p>
        </w:tc>
      </w:tr>
      <w:tr w14:paraId="7AE76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19DDF059">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50</w:t>
            </w:r>
          </w:p>
        </w:tc>
        <w:tc>
          <w:tcPr>
            <w:tcW w:w="599" w:type="pct"/>
            <w:vAlign w:val="center"/>
          </w:tcPr>
          <w:p w14:paraId="725A3C5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24口千兆交换机</w:t>
            </w:r>
          </w:p>
        </w:tc>
        <w:tc>
          <w:tcPr>
            <w:tcW w:w="2441" w:type="pct"/>
            <w:gridSpan w:val="2"/>
            <w:vAlign w:val="center"/>
          </w:tcPr>
          <w:p w14:paraId="0ACA477A">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1、24口千兆全网管二层交换机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2、机架式，1U高度</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3、不少于24个千兆电口、4个千兆光口</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4、支持通过console口管理。交换容量：336Gbps/3.36Tbps</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5、包转发率：42Mpps/96Mpps</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6、19英寸宽</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7、工作温度：0℃～40℃</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8、支持220v交流</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9、满负荷功耗23W；支持VLAN</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10、QOS支持SNMP V1/V2c/V3网管。</w:t>
            </w:r>
          </w:p>
        </w:tc>
        <w:tc>
          <w:tcPr>
            <w:tcW w:w="286" w:type="pct"/>
            <w:vAlign w:val="center"/>
          </w:tcPr>
          <w:p w14:paraId="0D24D3B0">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58D9BB8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33FC643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0.2800</w:t>
            </w:r>
          </w:p>
        </w:tc>
        <w:tc>
          <w:tcPr>
            <w:tcW w:w="575" w:type="pct"/>
            <w:vAlign w:val="center"/>
          </w:tcPr>
          <w:p w14:paraId="749E6075">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0.2800</w:t>
            </w:r>
          </w:p>
        </w:tc>
      </w:tr>
      <w:tr w14:paraId="74F5F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19C2C3D9">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51</w:t>
            </w:r>
          </w:p>
        </w:tc>
        <w:tc>
          <w:tcPr>
            <w:tcW w:w="599" w:type="pct"/>
            <w:vAlign w:val="center"/>
          </w:tcPr>
          <w:p w14:paraId="5FE02CA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吸顶空调</w:t>
            </w:r>
          </w:p>
        </w:tc>
        <w:tc>
          <w:tcPr>
            <w:tcW w:w="2441" w:type="pct"/>
            <w:gridSpan w:val="2"/>
            <w:vAlign w:val="center"/>
          </w:tcPr>
          <w:p w14:paraId="361EE8AD">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1、匹数: 5匹</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2、空调类型：嵌入式天花机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3、单冷/冷暖: 冷暖</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4、定频/变频: 变频</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5、能效等级：一级能效</w:t>
            </w:r>
          </w:p>
        </w:tc>
        <w:tc>
          <w:tcPr>
            <w:tcW w:w="286" w:type="pct"/>
            <w:vAlign w:val="center"/>
          </w:tcPr>
          <w:p w14:paraId="5AD10A0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214" w:type="pct"/>
            <w:vAlign w:val="center"/>
          </w:tcPr>
          <w:p w14:paraId="207B0FA1">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2C135FD7">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1.3500</w:t>
            </w:r>
          </w:p>
        </w:tc>
        <w:tc>
          <w:tcPr>
            <w:tcW w:w="575" w:type="pct"/>
            <w:vAlign w:val="center"/>
          </w:tcPr>
          <w:p w14:paraId="7E509876">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2.7000</w:t>
            </w:r>
          </w:p>
        </w:tc>
      </w:tr>
      <w:tr w14:paraId="0D4BB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1A8B99D2">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52</w:t>
            </w:r>
          </w:p>
        </w:tc>
        <w:tc>
          <w:tcPr>
            <w:tcW w:w="599" w:type="pct"/>
            <w:vAlign w:val="center"/>
          </w:tcPr>
          <w:p w14:paraId="7898CDCD">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操作台</w:t>
            </w:r>
          </w:p>
        </w:tc>
        <w:tc>
          <w:tcPr>
            <w:tcW w:w="2441" w:type="pct"/>
            <w:gridSpan w:val="2"/>
            <w:vAlign w:val="center"/>
          </w:tcPr>
          <w:p w14:paraId="191C1A60">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材质说明：台面不少于25mm高密度板  柜体采用1.2-1.5mm优质冷轧钢板，操作台台面屏风挡板采用优质铝合金型材板一次冲压而成，表面进行美工处理。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操作台根据现场情况定制，参考尺寸：长3.6米，宽0.8米，高0.75米（±20mm），配置键盘托及设备托，含出线孔。</w:t>
            </w:r>
          </w:p>
        </w:tc>
        <w:tc>
          <w:tcPr>
            <w:tcW w:w="286" w:type="pct"/>
            <w:vAlign w:val="center"/>
          </w:tcPr>
          <w:p w14:paraId="662C93BD">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572CA2B5">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c>
          <w:tcPr>
            <w:tcW w:w="570" w:type="pct"/>
            <w:vAlign w:val="center"/>
          </w:tcPr>
          <w:p w14:paraId="666AECEB">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0.8500</w:t>
            </w:r>
          </w:p>
        </w:tc>
        <w:tc>
          <w:tcPr>
            <w:tcW w:w="575" w:type="pct"/>
            <w:vAlign w:val="center"/>
          </w:tcPr>
          <w:p w14:paraId="2F0FD42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0.8500</w:t>
            </w:r>
          </w:p>
        </w:tc>
      </w:tr>
      <w:tr w14:paraId="515BC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2C9C021B">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53</w:t>
            </w:r>
          </w:p>
        </w:tc>
        <w:tc>
          <w:tcPr>
            <w:tcW w:w="599" w:type="pct"/>
            <w:shd w:val="clear" w:color="auto" w:fill="auto"/>
            <w:vAlign w:val="center"/>
          </w:tcPr>
          <w:p w14:paraId="78099082">
            <w:pPr>
              <w:widowControl/>
              <w:spacing w:line="400" w:lineRule="exact"/>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工作台（定制）</w:t>
            </w:r>
          </w:p>
        </w:tc>
        <w:tc>
          <w:tcPr>
            <w:tcW w:w="2441" w:type="pct"/>
            <w:gridSpan w:val="2"/>
            <w:shd w:val="clear" w:color="auto" w:fill="auto"/>
            <w:vAlign w:val="center"/>
          </w:tcPr>
          <w:p w14:paraId="21F9CF1A">
            <w:pPr>
              <w:widowControl/>
              <w:spacing w:line="400" w:lineRule="exact"/>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根据现场情况定制,采用框架结构，包含两侧收纳柜及</w:t>
            </w:r>
            <w:r>
              <w:rPr>
                <w:rFonts w:hint="eastAsia" w:ascii="宋体" w:hAnsi="宋体" w:eastAsia="宋体" w:cs="宋体"/>
                <w:color w:val="auto"/>
                <w:kern w:val="0"/>
                <w:sz w:val="21"/>
                <w:szCs w:val="21"/>
                <w:lang w:val="en-US" w:eastAsia="zh-CN" w:bidi="ar"/>
              </w:rPr>
              <w:t>工作台</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1、参考尺寸：</w:t>
            </w:r>
            <w:r>
              <w:rPr>
                <w:rFonts w:hint="eastAsia" w:ascii="宋体" w:hAnsi="宋体" w:eastAsia="宋体" w:cs="宋体"/>
                <w:color w:val="auto"/>
                <w:kern w:val="0"/>
                <w:sz w:val="21"/>
                <w:szCs w:val="21"/>
                <w:lang w:val="en-US" w:eastAsia="zh-CN" w:bidi="ar"/>
              </w:rPr>
              <w:t>工作台</w:t>
            </w:r>
            <w:r>
              <w:rPr>
                <w:rFonts w:hint="eastAsia" w:ascii="宋体" w:hAnsi="宋体" w:eastAsia="宋体" w:cs="宋体"/>
                <w:color w:val="auto"/>
                <w:kern w:val="0"/>
                <w:sz w:val="21"/>
                <w:szCs w:val="21"/>
                <w:lang w:bidi="ar"/>
              </w:rPr>
              <w:t>长1.4米，宽0.6米，高0.75米（±20mm），共4张.椅子长0.6米，宽0.5米，高0.45米，共4张（±20mm）颜色可定制。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2、基材：钢木结构，台身和键盘架全钢，1.2厚灰白冷轧钢板；表面经酸洗、磷化、防腐、防锈，高温静电喷涂塑面经久耐用。</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3、面材：台面板为25MM三聚氰胺板，前鸭咀左右直边。</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4、封边：采用PVC封边条，封边条的耐干热、耐磨性、耐老化性、耐冷热循环性。</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5、标配五金配件。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6、标配人体工学椅高配版、灰白色，翻转扶手，原生海绵+乳胶层，具备4cm坐深调节， 115°逍遥后仰调节；升降高度8cm，尼龙五星脚，PU椅轮</w:t>
            </w:r>
          </w:p>
        </w:tc>
        <w:tc>
          <w:tcPr>
            <w:tcW w:w="286" w:type="pct"/>
            <w:vAlign w:val="center"/>
          </w:tcPr>
          <w:p w14:paraId="078AE64D">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76B1C0E1">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项</w:t>
            </w:r>
          </w:p>
        </w:tc>
        <w:tc>
          <w:tcPr>
            <w:tcW w:w="570" w:type="pct"/>
            <w:vAlign w:val="center"/>
          </w:tcPr>
          <w:p w14:paraId="1C417EB0">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1.0000</w:t>
            </w:r>
          </w:p>
        </w:tc>
        <w:tc>
          <w:tcPr>
            <w:tcW w:w="575" w:type="pct"/>
            <w:vAlign w:val="center"/>
          </w:tcPr>
          <w:p w14:paraId="17A5DEA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1.0000</w:t>
            </w:r>
          </w:p>
        </w:tc>
      </w:tr>
      <w:tr w14:paraId="08F9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47E67772">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54</w:t>
            </w:r>
          </w:p>
        </w:tc>
        <w:tc>
          <w:tcPr>
            <w:tcW w:w="599" w:type="pct"/>
            <w:vAlign w:val="center"/>
          </w:tcPr>
          <w:p w14:paraId="6F8138DD">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移动工作站</w:t>
            </w:r>
          </w:p>
        </w:tc>
        <w:tc>
          <w:tcPr>
            <w:tcW w:w="2441" w:type="pct"/>
            <w:gridSpan w:val="2"/>
            <w:vAlign w:val="center"/>
          </w:tcPr>
          <w:p w14:paraId="4B6F5811">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1、显示器：≥14.2英寸120Hz（屏幕分辨率：2160*1440） 四周窄边框LTPS多点触摸操作3:2比例显示屏</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2、CPU：不低于十四核，二十线程，24 MB缓存处理器</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3、内存：≥32G DDR4 2666MHz内存。</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4、显卡：集成显卡</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5、硬盘：≥1T 固态 SSD高速硬盘 。</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6、无线功能：802.11AX（WIFI6）无线网卡、具备蓝牙功能</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7、音频：高低音分频四扬声器、≥5米距离远程拾音器</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8、键盘：全尺寸防泼溅键盘、配置指纹开机按键</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9、摄像头：配备高清摄像头</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10、接口：≥1个USB3.2接口、≥1个HDMI接口、≥1个Type-C接口、≥1个Thunderbolt（雷电）接口、≥1个耳机、麦克风二合一接口 3.5mm</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12、电池：最低配置60Wh（瓦时）电池 、配置≥90W快速充电器</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13、其它功能：①具备手机协同功能：可打开手机应用窗口，支持横屏大窗口。②具备平板协同功能：可将电脑屏幕镜像到平台，也可将平板作为画板进行绘画。③快速发现连接功能：无线耳机、音箱、鼠标、键盘等设备靠近电脑时可自动发现并弹窗快速连接。④具备影随人动视频效果，可实现视频会议时人像始终保持在画面中心。</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14、操作系统：预装正版操作系统</w:t>
            </w:r>
          </w:p>
        </w:tc>
        <w:tc>
          <w:tcPr>
            <w:tcW w:w="286" w:type="pct"/>
            <w:vAlign w:val="center"/>
          </w:tcPr>
          <w:p w14:paraId="09925FAB">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4F6CCE47">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1C326B9D">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0.6000</w:t>
            </w:r>
          </w:p>
        </w:tc>
        <w:tc>
          <w:tcPr>
            <w:tcW w:w="575" w:type="pct"/>
            <w:vAlign w:val="center"/>
          </w:tcPr>
          <w:p w14:paraId="5557162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0.6000</w:t>
            </w:r>
          </w:p>
        </w:tc>
      </w:tr>
      <w:tr w14:paraId="2909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5A69AEA6">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55</w:t>
            </w:r>
          </w:p>
        </w:tc>
        <w:tc>
          <w:tcPr>
            <w:tcW w:w="599" w:type="pct"/>
            <w:vAlign w:val="center"/>
          </w:tcPr>
          <w:p w14:paraId="235DFA0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证据采集相机</w:t>
            </w:r>
          </w:p>
        </w:tc>
        <w:tc>
          <w:tcPr>
            <w:tcW w:w="2441" w:type="pct"/>
            <w:gridSpan w:val="2"/>
            <w:vAlign w:val="center"/>
          </w:tcPr>
          <w:p w14:paraId="674DFC0A">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APS画幅单反相机机身，配套镜头18-135mm高倍率变焦镜头，像素3250万; 电池充电器(含电源线);配套2块锂电池; 相机背带;相机包；配1个闪迪64G存储卡；配套铝合金标准三角架；相机防潮箱。</w:t>
            </w:r>
          </w:p>
        </w:tc>
        <w:tc>
          <w:tcPr>
            <w:tcW w:w="286" w:type="pct"/>
            <w:vAlign w:val="center"/>
          </w:tcPr>
          <w:p w14:paraId="35CB047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48782F16">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45B34C9D">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1.3500</w:t>
            </w:r>
          </w:p>
        </w:tc>
        <w:tc>
          <w:tcPr>
            <w:tcW w:w="575" w:type="pct"/>
            <w:vAlign w:val="center"/>
          </w:tcPr>
          <w:p w14:paraId="0A8EF2E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1.3500</w:t>
            </w:r>
          </w:p>
        </w:tc>
      </w:tr>
      <w:tr w14:paraId="4F8AA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7155754A">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56</w:t>
            </w:r>
          </w:p>
        </w:tc>
        <w:tc>
          <w:tcPr>
            <w:tcW w:w="599" w:type="pct"/>
            <w:vAlign w:val="center"/>
          </w:tcPr>
          <w:p w14:paraId="76818101">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快速道闸</w:t>
            </w:r>
          </w:p>
        </w:tc>
        <w:tc>
          <w:tcPr>
            <w:tcW w:w="2441" w:type="pct"/>
            <w:gridSpan w:val="2"/>
            <w:vAlign w:val="center"/>
          </w:tcPr>
          <w:p w14:paraId="613EFD92">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1、电源电压：AC220V±10%，50Hz</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2、工作环境：-25℃～+70℃，相对湿度小于95%RH，无凝露</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3、闸杆中心高度：930mm</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4、额定功率：150W</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5、杆型：标准直杆≥4m</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6、闸杆起落时间：0.8~2.0秒</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 xml:space="preserve">7、电平控制输入/输出信号：DC+12V，脉宽＞150ms 的脉冲信号， </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a)输出开关信号</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8、运行噪音：小于58分贝（符合国家室外噪音标准）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设备具备开优先功能，当栏杆处于非放行状态而收到放行指令时，应立即运行到放行状态。检测车辆的信号从有车大无车时，能控制驱动部分驱动栏杆运行到禁行状态。栏杆完成禁行状态到放行状态转换或完成放行状态到禁行状态转换的单程运行时间可由制造厂商预设，或单程运行时间可调节。</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10、外壳防护等级不低于 IP54；</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 xml:space="preserve">11、机箱采用厚度不低于2.07mm 金属钢制成，设备机身具有驱动和支撑栏杆相应的结构；栏杆机身箱体有锁止转置，开启需使用专用工具或钥匙；运行时的转速为高速、快速栏杆，需加装缓冲胶条、保护套等防护装置材料; </w:t>
            </w:r>
          </w:p>
        </w:tc>
        <w:tc>
          <w:tcPr>
            <w:tcW w:w="286" w:type="pct"/>
            <w:vAlign w:val="center"/>
          </w:tcPr>
          <w:p w14:paraId="4892ADC5">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w:t>
            </w:r>
          </w:p>
        </w:tc>
        <w:tc>
          <w:tcPr>
            <w:tcW w:w="214" w:type="pct"/>
            <w:vAlign w:val="center"/>
          </w:tcPr>
          <w:p w14:paraId="3E212F57">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1A21EF1B">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0.4500</w:t>
            </w:r>
          </w:p>
        </w:tc>
        <w:tc>
          <w:tcPr>
            <w:tcW w:w="575" w:type="pct"/>
            <w:vAlign w:val="center"/>
          </w:tcPr>
          <w:p w14:paraId="22DE91C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2.7000</w:t>
            </w:r>
          </w:p>
        </w:tc>
      </w:tr>
      <w:tr w14:paraId="21878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161F67F5">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57</w:t>
            </w:r>
          </w:p>
        </w:tc>
        <w:tc>
          <w:tcPr>
            <w:tcW w:w="599" w:type="pct"/>
            <w:vAlign w:val="center"/>
          </w:tcPr>
          <w:p w14:paraId="4DE3ED9B">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数字式车辆检测器</w:t>
            </w:r>
          </w:p>
        </w:tc>
        <w:tc>
          <w:tcPr>
            <w:tcW w:w="2441" w:type="pct"/>
            <w:gridSpan w:val="2"/>
            <w:vAlign w:val="center"/>
          </w:tcPr>
          <w:p w14:paraId="3C1F37B7">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数字式车辆检测器，配合快速道闸使用</w:t>
            </w:r>
          </w:p>
        </w:tc>
        <w:tc>
          <w:tcPr>
            <w:tcW w:w="286" w:type="pct"/>
            <w:vAlign w:val="center"/>
          </w:tcPr>
          <w:p w14:paraId="14A92A3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w:t>
            </w:r>
          </w:p>
        </w:tc>
        <w:tc>
          <w:tcPr>
            <w:tcW w:w="214" w:type="pct"/>
            <w:vAlign w:val="center"/>
          </w:tcPr>
          <w:p w14:paraId="38C6604B">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个</w:t>
            </w:r>
          </w:p>
        </w:tc>
        <w:tc>
          <w:tcPr>
            <w:tcW w:w="570" w:type="pct"/>
            <w:vAlign w:val="center"/>
          </w:tcPr>
          <w:p w14:paraId="2D68F9E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0.0300</w:t>
            </w:r>
          </w:p>
        </w:tc>
        <w:tc>
          <w:tcPr>
            <w:tcW w:w="575" w:type="pct"/>
            <w:vAlign w:val="center"/>
          </w:tcPr>
          <w:p w14:paraId="2F4913C0">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0.1800</w:t>
            </w:r>
          </w:p>
        </w:tc>
      </w:tr>
      <w:tr w14:paraId="5FE9B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66B926BC">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58</w:t>
            </w:r>
          </w:p>
        </w:tc>
        <w:tc>
          <w:tcPr>
            <w:tcW w:w="599" w:type="pct"/>
            <w:vAlign w:val="center"/>
          </w:tcPr>
          <w:p w14:paraId="680FD9A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车辆道闸入口控制主机</w:t>
            </w:r>
          </w:p>
        </w:tc>
        <w:tc>
          <w:tcPr>
            <w:tcW w:w="2441" w:type="pct"/>
            <w:gridSpan w:val="2"/>
            <w:vAlign w:val="center"/>
          </w:tcPr>
          <w:p w14:paraId="431ECAD1">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1、设备尺寸： L×W×H=397mm×242mm×1380mm±20mm</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 xml:space="preserve">2、设备材质：机身主体为1.2mm高强度优质碳钢+安全玻璃 </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3、机箱工艺；碳钢喷涂+玻璃面板</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4、工作电压：AC220V±10%，50Hz，设备功率65W</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5、硬件平台：瑞芯微，双核A72+四核A53 高频1.8GHz处理器，4G内存，64Gbit存储器，Linux4.4.194操作系统</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6、防护等级：IP54</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7、用户存储容量：10万，记录储存容量10万，脱机图片存储1000张</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8、通讯方式：TCP/IP</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9、LCD显示屏：标配12.1寸工业级LCD显示屏，耐高温，高分辨率（1024*768，亮度0~700cd/m2），防眩光（可视角度120度），可用于无牌车扫码进场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10、对讲功能：配200万USB摄像机,支持可视对讲、远程业务托管</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11、车牌识别率: 全天候≥99.8%，车牌颜色识别率: 全天候≥99%</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12、车牌识别车速：≤20km/h</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13、车牌识范围:全系车牌，含黑牌、黄牌、蓝牌、白牌、民用车牌、港澳牌、警牌、武警牌、军牌、民航、使馆牌、领事馆牌、新使馆牌、新领事馆牌、新能源牌的全汉字、字母、数字识别以及特殊个性车牌等</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14、平均无故障时间：≥30000小时，系统平均修复时间：60s</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15、车牌识别识读响应时间≤1S；</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16、防重进重出功能：系统在线时，应具有防重如重出功能。</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17、设备显示屏：彩色水平分辨率≥500TVL；彩色灰度等级≥11级。</w:t>
            </w:r>
          </w:p>
        </w:tc>
        <w:tc>
          <w:tcPr>
            <w:tcW w:w="286" w:type="pct"/>
            <w:vAlign w:val="center"/>
          </w:tcPr>
          <w:p w14:paraId="0F578F44">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w:t>
            </w:r>
          </w:p>
        </w:tc>
        <w:tc>
          <w:tcPr>
            <w:tcW w:w="214" w:type="pct"/>
            <w:vAlign w:val="center"/>
          </w:tcPr>
          <w:p w14:paraId="2D1FE74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3BF8D594">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1.4800</w:t>
            </w:r>
          </w:p>
        </w:tc>
        <w:tc>
          <w:tcPr>
            <w:tcW w:w="575" w:type="pct"/>
            <w:vAlign w:val="center"/>
          </w:tcPr>
          <w:p w14:paraId="5426647C">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4.4400</w:t>
            </w:r>
          </w:p>
        </w:tc>
      </w:tr>
      <w:tr w14:paraId="54AB8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24BB5D97">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59</w:t>
            </w:r>
          </w:p>
        </w:tc>
        <w:tc>
          <w:tcPr>
            <w:tcW w:w="599" w:type="pct"/>
            <w:vAlign w:val="center"/>
          </w:tcPr>
          <w:p w14:paraId="4302237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车辆道闸出口控制主机</w:t>
            </w:r>
          </w:p>
        </w:tc>
        <w:tc>
          <w:tcPr>
            <w:tcW w:w="2441" w:type="pct"/>
            <w:gridSpan w:val="2"/>
            <w:vAlign w:val="center"/>
          </w:tcPr>
          <w:p w14:paraId="4417CCF2">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1、设备尺寸： L×W×H=397mm×242mm×1380mm±20mm</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 xml:space="preserve">2、设备材质：机身主体为1.2mm高强度优质碳钢+安全玻璃 </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3、机箱工艺；碳钢喷涂+玻璃面板</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4、工作电压：AC220V±10%，50Hz，设备功率65W</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5、硬件平台：瑞芯微，双核A72+四核A53 高频1.8GHz处理器，4G内存，64Gbit存储器，Linux4.4.194操作系统</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6、防护等级：IP54</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7、用户存储容量：10万，记录储存容量10万，脱机图片存储1000张</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8、通讯方式：TCP/IP</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9、LCD显示屏：标配12.1寸工业级LCD显示屏，耐高温，高分辨率（1024*768，亮度0~700cd/m2），防眩光（可视角度120度），可用于无牌车扫码进场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10、对讲功能：配200万USB摄像机,支持可视对讲、远程业务托管</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11、车牌识别率: 全天候≥99.8%，车牌颜色识别率: 全天候≥99%</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12、车牌识别车速：≤20km/h</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13、车牌识范围:全系车牌，含黑牌、黄牌、蓝牌、白牌、民用车牌、港澳牌、警牌、武警牌、军牌、民航、使馆牌、领事馆牌、新使馆牌、新领事馆牌、新能源牌的全汉字、字母、数字识别以及特殊个性车牌等</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14、收费模式：出口支持车主扫动态二维码缴费（主扫）和 扫微信、支付宝付款码缴费（被扫），付款码识别距离：20—80cm</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15、平均无故障时间：≥30000小时，系统平均修复时间：60s</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16、车牌识别识读响应时间≤1S；</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17、防重进重出功能：系统在线时，应具有防重如重出功能。</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18、设备显示屏：彩色水平分辨率≥500TVL；彩色灰度等级≥11级。</w:t>
            </w:r>
          </w:p>
        </w:tc>
        <w:tc>
          <w:tcPr>
            <w:tcW w:w="286" w:type="pct"/>
            <w:vAlign w:val="center"/>
          </w:tcPr>
          <w:p w14:paraId="601E40A5">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w:t>
            </w:r>
          </w:p>
        </w:tc>
        <w:tc>
          <w:tcPr>
            <w:tcW w:w="214" w:type="pct"/>
            <w:vAlign w:val="center"/>
          </w:tcPr>
          <w:p w14:paraId="03A2E6E4">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1B80705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1.7300</w:t>
            </w:r>
          </w:p>
        </w:tc>
        <w:tc>
          <w:tcPr>
            <w:tcW w:w="575" w:type="pct"/>
            <w:vAlign w:val="center"/>
          </w:tcPr>
          <w:p w14:paraId="2962F707">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5.1900</w:t>
            </w:r>
          </w:p>
        </w:tc>
      </w:tr>
      <w:tr w14:paraId="6042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52AF3412">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60</w:t>
            </w:r>
          </w:p>
        </w:tc>
        <w:tc>
          <w:tcPr>
            <w:tcW w:w="599" w:type="pct"/>
            <w:vAlign w:val="center"/>
          </w:tcPr>
          <w:p w14:paraId="266D8A4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车牌识别摄像机</w:t>
            </w:r>
          </w:p>
        </w:tc>
        <w:tc>
          <w:tcPr>
            <w:tcW w:w="2441" w:type="pct"/>
            <w:gridSpan w:val="2"/>
            <w:vAlign w:val="center"/>
          </w:tcPr>
          <w:p w14:paraId="535F9E2A">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1、补光灯距离地面高度：355mm±10mm，高亮LED灯12颗灯珠，功率20W，光通量14491m，光敏开关控制（外置式），补光距离5m处光照＞50LUX，调节角度：15度上、下、左、右可调</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2、机箱材质：玻璃钢+吸塑+喷涂</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3、机箱工艺：一次性模具成型</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4、环境适应性：通风孔+除雾风扇</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5、工作电压：AC220V±10%，50Hz</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6、工作环境：-25℃～+70℃，相对湿度≤95%、无凝露（常温）</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7、额定功率:30W</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8、通讯接口：TCP/IP</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9、防护等级：IP54</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10、车牌识别图像像素：JPEG（1920*1080），H264（720P，1080P）</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11、车辆捕获率：≥99%，车牌识别率：≥99%</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12、静电等级：满足GB/T17626.2规定的三级测试标准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13、介电强度：电源输入端与外壳之间的耐压＞1.5kv</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14、摄像机距离地面高度1210mm，配电动变焦镜头。成像元件：1/3英寸CMOS传感器，最低照度：彩色0.1Lux@F1.2，500W 象素，视频压缩格式：H.264，MPEG4；码流分辨率：1080P/30fps,720P/25fps，调节角度：15度上、下、左、右可调，自适应摄像机调节时间≤5分钟，平均无故障时间≥30000小时，识别范围：2.5m——6m</w:t>
            </w:r>
          </w:p>
        </w:tc>
        <w:tc>
          <w:tcPr>
            <w:tcW w:w="286" w:type="pct"/>
            <w:vAlign w:val="center"/>
          </w:tcPr>
          <w:p w14:paraId="16438435">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w:t>
            </w:r>
          </w:p>
        </w:tc>
        <w:tc>
          <w:tcPr>
            <w:tcW w:w="214" w:type="pct"/>
            <w:vAlign w:val="center"/>
          </w:tcPr>
          <w:p w14:paraId="37339BA7">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51E72A90">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0.4610</w:t>
            </w:r>
          </w:p>
        </w:tc>
        <w:tc>
          <w:tcPr>
            <w:tcW w:w="575" w:type="pct"/>
            <w:vAlign w:val="center"/>
          </w:tcPr>
          <w:p w14:paraId="2C58A86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2.7660</w:t>
            </w:r>
          </w:p>
        </w:tc>
      </w:tr>
      <w:tr w14:paraId="36E7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73480BC1">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61</w:t>
            </w:r>
          </w:p>
        </w:tc>
        <w:tc>
          <w:tcPr>
            <w:tcW w:w="599" w:type="pct"/>
            <w:vAlign w:val="center"/>
          </w:tcPr>
          <w:p w14:paraId="2DF7DF7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智能操作终端平台</w:t>
            </w:r>
          </w:p>
        </w:tc>
        <w:tc>
          <w:tcPr>
            <w:tcW w:w="2441" w:type="pct"/>
            <w:gridSpan w:val="2"/>
            <w:vAlign w:val="center"/>
          </w:tcPr>
          <w:p w14:paraId="1945289C">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集智能硬件技术、视频 分析技术、互联网技术等多种技术为一体，可基于 B/S 架构，实现用户管理、授权管理、财务管理、运维管理、 监控管理、经营管理等面向业务的角色化经营管理；可基于 C/S 架构实现岗亭收费、中央收费、自助服 务，满足现场车场收费、车场特征分析、门禁物业管理、当班管理、业务管理、信息上报等现场业务处理。 系统通过核心业务处理模型（用户中心、授权中心、财务中心、中心值班室、运维中心、智行车场客户端 等）的搭建，可实现组网扁平化、组成模块化、功能组件化、视窗角色化、控制远程化的全新系统架构。</w:t>
            </w:r>
          </w:p>
        </w:tc>
        <w:tc>
          <w:tcPr>
            <w:tcW w:w="286" w:type="pct"/>
            <w:vAlign w:val="center"/>
          </w:tcPr>
          <w:p w14:paraId="0D33A19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w:t>
            </w:r>
          </w:p>
        </w:tc>
        <w:tc>
          <w:tcPr>
            <w:tcW w:w="214" w:type="pct"/>
            <w:vAlign w:val="center"/>
          </w:tcPr>
          <w:p w14:paraId="10CC060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c>
          <w:tcPr>
            <w:tcW w:w="570" w:type="pct"/>
            <w:vAlign w:val="center"/>
          </w:tcPr>
          <w:p w14:paraId="7E1066B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0.4510</w:t>
            </w:r>
          </w:p>
        </w:tc>
        <w:tc>
          <w:tcPr>
            <w:tcW w:w="575" w:type="pct"/>
            <w:vAlign w:val="center"/>
          </w:tcPr>
          <w:p w14:paraId="5641D725">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1.3530</w:t>
            </w:r>
          </w:p>
        </w:tc>
      </w:tr>
      <w:tr w14:paraId="61DCF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69CF6039">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62</w:t>
            </w:r>
          </w:p>
        </w:tc>
        <w:tc>
          <w:tcPr>
            <w:tcW w:w="599" w:type="pct"/>
            <w:vAlign w:val="center"/>
          </w:tcPr>
          <w:p w14:paraId="53AB5D1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用户信息传输装置</w:t>
            </w:r>
          </w:p>
        </w:tc>
        <w:tc>
          <w:tcPr>
            <w:tcW w:w="2441" w:type="pct"/>
            <w:gridSpan w:val="2"/>
            <w:vAlign w:val="center"/>
          </w:tcPr>
          <w:p w14:paraId="7020561C">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 采用4G无线模块，支持移动、联通或电信网络制式；</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 2 路 RS-232 通讯接口、 2 路 RS-485 通讯接口，1 路 CAN 通讯接口、 1 路 RJ45 网络通讯口,</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 手动报警：具有手动火警按钮，可以向管理平台上传人工火灾报警信息 ；</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 断网续传：网络断网恢复后，接续上传断网期间的数据；</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 值班查岗：支持值班查岗功能；</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 1路开关量输入，2路常开输出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 1 个以太网接口，能够对目标 IP，目标机号，本机机号设置；</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 支持存储历史火警、历史请求/反馈、历史操作、历史故障等至少10000条日志。</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 提供液晶显示（128x64），提供实时时钟；</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 蓄电池备用供电（待机 24 小时以上）</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 交流输入电压 220V 50Hz</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12、 直流备电 12V 7Ah 铅酸电池一节</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13、 工作温度 0℃～+50℃</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14、 工作湿度 ≤95%RH</w:t>
            </w:r>
          </w:p>
        </w:tc>
        <w:tc>
          <w:tcPr>
            <w:tcW w:w="286" w:type="pct"/>
            <w:vAlign w:val="center"/>
          </w:tcPr>
          <w:p w14:paraId="239466E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w:t>
            </w:r>
          </w:p>
        </w:tc>
        <w:tc>
          <w:tcPr>
            <w:tcW w:w="214" w:type="pct"/>
            <w:vAlign w:val="center"/>
          </w:tcPr>
          <w:p w14:paraId="0F3DB4EC">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c>
          <w:tcPr>
            <w:tcW w:w="570" w:type="pct"/>
            <w:vAlign w:val="center"/>
          </w:tcPr>
          <w:p w14:paraId="4D5269E5">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0.7350</w:t>
            </w:r>
          </w:p>
        </w:tc>
        <w:tc>
          <w:tcPr>
            <w:tcW w:w="575" w:type="pct"/>
            <w:vAlign w:val="center"/>
          </w:tcPr>
          <w:p w14:paraId="6DB55DD1">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5.1450</w:t>
            </w:r>
          </w:p>
        </w:tc>
      </w:tr>
      <w:tr w14:paraId="1269F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75DA672F">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63</w:t>
            </w:r>
          </w:p>
        </w:tc>
        <w:tc>
          <w:tcPr>
            <w:tcW w:w="599" w:type="pct"/>
            <w:vAlign w:val="center"/>
          </w:tcPr>
          <w:p w14:paraId="56B570C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消防整改安装辅材</w:t>
            </w:r>
          </w:p>
        </w:tc>
        <w:tc>
          <w:tcPr>
            <w:tcW w:w="2441" w:type="pct"/>
            <w:gridSpan w:val="2"/>
            <w:vAlign w:val="center"/>
          </w:tcPr>
          <w:p w14:paraId="09B57D0F">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消防整改线材、固定材料配件、网络跳线、胶带、扎带、标签、线管等</w:t>
            </w:r>
          </w:p>
        </w:tc>
        <w:tc>
          <w:tcPr>
            <w:tcW w:w="286" w:type="pct"/>
            <w:vAlign w:val="center"/>
          </w:tcPr>
          <w:p w14:paraId="128B635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086EF7F8">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项</w:t>
            </w:r>
          </w:p>
        </w:tc>
        <w:tc>
          <w:tcPr>
            <w:tcW w:w="570" w:type="pct"/>
            <w:vAlign w:val="center"/>
          </w:tcPr>
          <w:p w14:paraId="242BA622">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0.3000</w:t>
            </w:r>
          </w:p>
        </w:tc>
        <w:tc>
          <w:tcPr>
            <w:tcW w:w="575" w:type="pct"/>
            <w:vAlign w:val="center"/>
          </w:tcPr>
          <w:p w14:paraId="3991334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0.3000</w:t>
            </w:r>
          </w:p>
        </w:tc>
      </w:tr>
      <w:tr w14:paraId="46F65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0783FB28">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64</w:t>
            </w:r>
          </w:p>
        </w:tc>
        <w:tc>
          <w:tcPr>
            <w:tcW w:w="599" w:type="pct"/>
            <w:vAlign w:val="center"/>
          </w:tcPr>
          <w:p w14:paraId="6D46E1A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消防整改安装及系统集成</w:t>
            </w:r>
          </w:p>
        </w:tc>
        <w:tc>
          <w:tcPr>
            <w:tcW w:w="2441" w:type="pct"/>
            <w:gridSpan w:val="2"/>
            <w:vAlign w:val="center"/>
          </w:tcPr>
          <w:p w14:paraId="534CBA3C">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1、包含设备上架，电源及网络线路的调通；</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2、基础软件及授权的安装；</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3、基础环境的调通测试；</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4、培训服务</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5、对接原有消防系统。涉及消防控制室6个：东区逸夫楼（6层·）、图书馆（5层）；东区艺术楼（7层）；东区教工宿舍11栋（18层）；西区格致楼（10层）；西区实训楼（16层）；西区教工宿舍2栋（7层）；</w:t>
            </w:r>
          </w:p>
        </w:tc>
        <w:tc>
          <w:tcPr>
            <w:tcW w:w="286" w:type="pct"/>
            <w:vAlign w:val="center"/>
          </w:tcPr>
          <w:p w14:paraId="41916A8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02B0E257">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项</w:t>
            </w:r>
          </w:p>
        </w:tc>
        <w:tc>
          <w:tcPr>
            <w:tcW w:w="570" w:type="pct"/>
            <w:vAlign w:val="center"/>
          </w:tcPr>
          <w:p w14:paraId="56E7CB8B">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3.0000</w:t>
            </w:r>
          </w:p>
        </w:tc>
        <w:tc>
          <w:tcPr>
            <w:tcW w:w="575" w:type="pct"/>
            <w:vAlign w:val="center"/>
          </w:tcPr>
          <w:p w14:paraId="1578663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3.0000</w:t>
            </w:r>
          </w:p>
        </w:tc>
      </w:tr>
      <w:tr w14:paraId="62FDB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72961014">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65</w:t>
            </w:r>
          </w:p>
        </w:tc>
        <w:tc>
          <w:tcPr>
            <w:tcW w:w="599" w:type="pct"/>
            <w:vAlign w:val="center"/>
          </w:tcPr>
          <w:p w14:paraId="01F3C774">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火灾报警控制器线路维修</w:t>
            </w:r>
          </w:p>
          <w:p w14:paraId="00376E1C">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(图书馆)</w:t>
            </w:r>
          </w:p>
        </w:tc>
        <w:tc>
          <w:tcPr>
            <w:tcW w:w="2441" w:type="pct"/>
            <w:gridSpan w:val="2"/>
            <w:vAlign w:val="center"/>
          </w:tcPr>
          <w:p w14:paraId="6987C7CB">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图书馆消防火灾报警系统相关控制器、传输线路检修服务。包含检查故障回路，排查故障点位，制定维修方案，根据维修方案进行修复并恢复设施正常运行。</w:t>
            </w:r>
          </w:p>
        </w:tc>
        <w:tc>
          <w:tcPr>
            <w:tcW w:w="286" w:type="pct"/>
            <w:vAlign w:val="center"/>
          </w:tcPr>
          <w:p w14:paraId="19089A3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7A1234DB">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项</w:t>
            </w:r>
          </w:p>
        </w:tc>
        <w:tc>
          <w:tcPr>
            <w:tcW w:w="570" w:type="pct"/>
            <w:vAlign w:val="center"/>
          </w:tcPr>
          <w:p w14:paraId="2782AAD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0.3000</w:t>
            </w:r>
          </w:p>
        </w:tc>
        <w:tc>
          <w:tcPr>
            <w:tcW w:w="575" w:type="pct"/>
            <w:vAlign w:val="center"/>
          </w:tcPr>
          <w:p w14:paraId="5AE01E78">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0.3000</w:t>
            </w:r>
          </w:p>
        </w:tc>
      </w:tr>
      <w:tr w14:paraId="1F9D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3A34CCB2">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66</w:t>
            </w:r>
          </w:p>
        </w:tc>
        <w:tc>
          <w:tcPr>
            <w:tcW w:w="599" w:type="pct"/>
            <w:vAlign w:val="center"/>
          </w:tcPr>
          <w:p w14:paraId="169DA43B">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信号蝶阀输入模块更换</w:t>
            </w:r>
          </w:p>
          <w:p w14:paraId="38B21D90">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(图书馆)</w:t>
            </w:r>
          </w:p>
        </w:tc>
        <w:tc>
          <w:tcPr>
            <w:tcW w:w="2441" w:type="pct"/>
            <w:gridSpan w:val="2"/>
            <w:vAlign w:val="center"/>
          </w:tcPr>
          <w:p w14:paraId="2424E4A5">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1、采用电子编码，插拔式安装；</w:t>
            </w:r>
          </w:p>
          <w:p w14:paraId="366464C9">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2、可接收设备无源常开或常闭触点信号，并具有线路检测功能；</w:t>
            </w:r>
          </w:p>
          <w:p w14:paraId="447B3A80">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3、输入模块信号可接入大楼的监控主机，实现信号的传输。</w:t>
            </w:r>
          </w:p>
        </w:tc>
        <w:tc>
          <w:tcPr>
            <w:tcW w:w="286" w:type="pct"/>
            <w:vAlign w:val="center"/>
          </w:tcPr>
          <w:p w14:paraId="46802547">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3D22FA65">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个</w:t>
            </w:r>
          </w:p>
        </w:tc>
        <w:tc>
          <w:tcPr>
            <w:tcW w:w="570" w:type="pct"/>
            <w:vAlign w:val="center"/>
          </w:tcPr>
          <w:p w14:paraId="01ECDA3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0.0160</w:t>
            </w:r>
          </w:p>
        </w:tc>
        <w:tc>
          <w:tcPr>
            <w:tcW w:w="575" w:type="pct"/>
            <w:vAlign w:val="center"/>
          </w:tcPr>
          <w:p w14:paraId="767C74E6">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0.0160</w:t>
            </w:r>
          </w:p>
        </w:tc>
      </w:tr>
      <w:tr w14:paraId="04682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7DC07AE3">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67</w:t>
            </w:r>
          </w:p>
        </w:tc>
        <w:tc>
          <w:tcPr>
            <w:tcW w:w="599" w:type="pct"/>
            <w:vAlign w:val="center"/>
          </w:tcPr>
          <w:p w14:paraId="5C375997">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水流指示器输入模块更换</w:t>
            </w:r>
          </w:p>
          <w:p w14:paraId="5274CAE6">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(图书馆)</w:t>
            </w:r>
          </w:p>
        </w:tc>
        <w:tc>
          <w:tcPr>
            <w:tcW w:w="2441" w:type="pct"/>
            <w:gridSpan w:val="2"/>
            <w:vAlign w:val="center"/>
          </w:tcPr>
          <w:p w14:paraId="6598B99C">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1、采用电子编码，插拔式安装；</w:t>
            </w:r>
          </w:p>
          <w:p w14:paraId="2F1590A1">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2、可接收设备无源常开或常闭触点信号，并具有线路检测功能；</w:t>
            </w:r>
          </w:p>
          <w:p w14:paraId="695A4D19">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3、输入模块信号可接入大楼的监控主机，实现信号的传输。</w:t>
            </w:r>
          </w:p>
        </w:tc>
        <w:tc>
          <w:tcPr>
            <w:tcW w:w="286" w:type="pct"/>
            <w:vAlign w:val="center"/>
          </w:tcPr>
          <w:p w14:paraId="484CA567">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3F723AC8">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个</w:t>
            </w:r>
          </w:p>
        </w:tc>
        <w:tc>
          <w:tcPr>
            <w:tcW w:w="570" w:type="pct"/>
            <w:vAlign w:val="center"/>
          </w:tcPr>
          <w:p w14:paraId="1C45E6B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0.0160</w:t>
            </w:r>
          </w:p>
        </w:tc>
        <w:tc>
          <w:tcPr>
            <w:tcW w:w="575" w:type="pct"/>
            <w:vAlign w:val="center"/>
          </w:tcPr>
          <w:p w14:paraId="40B1E9E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0.0160</w:t>
            </w:r>
          </w:p>
        </w:tc>
      </w:tr>
      <w:tr w14:paraId="43875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29AC502A">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68</w:t>
            </w:r>
          </w:p>
        </w:tc>
        <w:tc>
          <w:tcPr>
            <w:tcW w:w="599" w:type="pct"/>
            <w:vAlign w:val="center"/>
          </w:tcPr>
          <w:p w14:paraId="528C3073">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防火卷帘控制柜更换</w:t>
            </w:r>
          </w:p>
          <w:p w14:paraId="672B99C5">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(图书馆)</w:t>
            </w:r>
          </w:p>
        </w:tc>
        <w:tc>
          <w:tcPr>
            <w:tcW w:w="2441" w:type="pct"/>
            <w:gridSpan w:val="2"/>
            <w:vAlign w:val="center"/>
          </w:tcPr>
          <w:p w14:paraId="0EB70D49">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图书馆四层西面防火卷帘控制柜更换，控制器具备充放电智能保护功能，配置备电电源。</w:t>
            </w:r>
          </w:p>
        </w:tc>
        <w:tc>
          <w:tcPr>
            <w:tcW w:w="286" w:type="pct"/>
            <w:vAlign w:val="center"/>
          </w:tcPr>
          <w:p w14:paraId="1F856085">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5AD48E3B">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镗</w:t>
            </w:r>
          </w:p>
        </w:tc>
        <w:tc>
          <w:tcPr>
            <w:tcW w:w="570" w:type="pct"/>
            <w:vAlign w:val="center"/>
          </w:tcPr>
          <w:p w14:paraId="276144F4">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0.2000</w:t>
            </w:r>
          </w:p>
        </w:tc>
        <w:tc>
          <w:tcPr>
            <w:tcW w:w="575" w:type="pct"/>
            <w:vAlign w:val="center"/>
          </w:tcPr>
          <w:p w14:paraId="599EFE1C">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0.2000</w:t>
            </w:r>
          </w:p>
        </w:tc>
      </w:tr>
      <w:tr w14:paraId="0B83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3B3699AF">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69</w:t>
            </w:r>
          </w:p>
        </w:tc>
        <w:tc>
          <w:tcPr>
            <w:tcW w:w="599" w:type="pct"/>
            <w:vAlign w:val="center"/>
          </w:tcPr>
          <w:p w14:paraId="38B29468">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防火卷帘电机更换</w:t>
            </w:r>
          </w:p>
          <w:p w14:paraId="35F43EB6">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(图书馆)</w:t>
            </w:r>
          </w:p>
        </w:tc>
        <w:tc>
          <w:tcPr>
            <w:tcW w:w="2441" w:type="pct"/>
            <w:gridSpan w:val="2"/>
            <w:vAlign w:val="center"/>
          </w:tcPr>
          <w:p w14:paraId="7616994A">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图书馆一层东面防火卷帘门电机更换。采用不低于600KG防火卷帘门电机，额定工作电压380V，额定工作频率50HZ，电机功率不低于600W。</w:t>
            </w:r>
          </w:p>
        </w:tc>
        <w:tc>
          <w:tcPr>
            <w:tcW w:w="286" w:type="pct"/>
            <w:vAlign w:val="center"/>
          </w:tcPr>
          <w:p w14:paraId="5C03AF88">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1471D3CB">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6DD6CEFC">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0.1600</w:t>
            </w:r>
          </w:p>
        </w:tc>
        <w:tc>
          <w:tcPr>
            <w:tcW w:w="575" w:type="pct"/>
            <w:vAlign w:val="center"/>
          </w:tcPr>
          <w:p w14:paraId="64CF9B3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0.1600</w:t>
            </w:r>
          </w:p>
        </w:tc>
      </w:tr>
      <w:tr w14:paraId="70DFC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551A2A4F">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70</w:t>
            </w:r>
          </w:p>
        </w:tc>
        <w:tc>
          <w:tcPr>
            <w:tcW w:w="599" w:type="pct"/>
            <w:vAlign w:val="center"/>
          </w:tcPr>
          <w:p w14:paraId="67D5EA4B">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喷淋泵、消火栓泵控制柜更换</w:t>
            </w:r>
          </w:p>
          <w:p w14:paraId="148A3809">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(图书馆)</w:t>
            </w:r>
          </w:p>
        </w:tc>
        <w:tc>
          <w:tcPr>
            <w:tcW w:w="2441" w:type="pct"/>
            <w:gridSpan w:val="2"/>
            <w:vAlign w:val="center"/>
          </w:tcPr>
          <w:p w14:paraId="15945D41">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具备一用一备加机械应急功能，防护等级IP55，采用智能芯片控制，自动保护电机，控制柜根据现场情况进行定制。</w:t>
            </w:r>
          </w:p>
        </w:tc>
        <w:tc>
          <w:tcPr>
            <w:tcW w:w="286" w:type="pct"/>
            <w:vAlign w:val="center"/>
          </w:tcPr>
          <w:p w14:paraId="77CA51FD">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27B84CC6">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项</w:t>
            </w:r>
          </w:p>
        </w:tc>
        <w:tc>
          <w:tcPr>
            <w:tcW w:w="570" w:type="pct"/>
            <w:vAlign w:val="center"/>
          </w:tcPr>
          <w:p w14:paraId="64661721">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0.1000</w:t>
            </w:r>
          </w:p>
        </w:tc>
        <w:tc>
          <w:tcPr>
            <w:tcW w:w="575" w:type="pct"/>
            <w:vAlign w:val="center"/>
          </w:tcPr>
          <w:p w14:paraId="3B92269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0.1000</w:t>
            </w:r>
          </w:p>
        </w:tc>
      </w:tr>
      <w:tr w14:paraId="2F1C2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53984FA7">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71</w:t>
            </w:r>
          </w:p>
        </w:tc>
        <w:tc>
          <w:tcPr>
            <w:tcW w:w="599" w:type="pct"/>
            <w:vAlign w:val="center"/>
          </w:tcPr>
          <w:p w14:paraId="1534AD49">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稳压泵维修</w:t>
            </w:r>
          </w:p>
          <w:p w14:paraId="20E8876A">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(图书馆)</w:t>
            </w:r>
          </w:p>
        </w:tc>
        <w:tc>
          <w:tcPr>
            <w:tcW w:w="2441" w:type="pct"/>
            <w:gridSpan w:val="2"/>
            <w:vAlign w:val="center"/>
          </w:tcPr>
          <w:p w14:paraId="139FA256">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稳压泵采用双层线圈马达，要求采用不锈钢轴搭配叶轮设计。耐温200°或以上，</w:t>
            </w:r>
          </w:p>
        </w:tc>
        <w:tc>
          <w:tcPr>
            <w:tcW w:w="286" w:type="pct"/>
            <w:vAlign w:val="center"/>
          </w:tcPr>
          <w:p w14:paraId="6E2372E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214" w:type="pct"/>
            <w:vAlign w:val="center"/>
          </w:tcPr>
          <w:p w14:paraId="60FB70C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2921E440">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0.1000</w:t>
            </w:r>
          </w:p>
        </w:tc>
        <w:tc>
          <w:tcPr>
            <w:tcW w:w="575" w:type="pct"/>
            <w:vAlign w:val="center"/>
          </w:tcPr>
          <w:p w14:paraId="143E24F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0.2000</w:t>
            </w:r>
          </w:p>
        </w:tc>
      </w:tr>
      <w:tr w14:paraId="0915A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66E453D6">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72</w:t>
            </w:r>
          </w:p>
        </w:tc>
        <w:tc>
          <w:tcPr>
            <w:tcW w:w="599" w:type="pct"/>
            <w:vAlign w:val="center"/>
          </w:tcPr>
          <w:p w14:paraId="60712610">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点型光电感烟火灾探测器</w:t>
            </w:r>
          </w:p>
          <w:p w14:paraId="6FCE0E2C">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(逸夫楼)</w:t>
            </w:r>
          </w:p>
        </w:tc>
        <w:tc>
          <w:tcPr>
            <w:tcW w:w="2441" w:type="pct"/>
            <w:gridSpan w:val="2"/>
            <w:vAlign w:val="center"/>
          </w:tcPr>
          <w:p w14:paraId="4F02B06F">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1.采用电子编码，采用二线制总线，总线电压 15~28V，无极性；</w:t>
            </w:r>
          </w:p>
          <w:p w14:paraId="3537754E">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2.具有溢水孔防水设计、PCB板全密封防护工艺；</w:t>
            </w:r>
          </w:p>
          <w:p w14:paraId="2B9C0927">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3.指示灯360度可见，采用牢固结构；</w:t>
            </w:r>
          </w:p>
          <w:p w14:paraId="1C17F284">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4.软硬件滤波，抗干扰能力强。具备自动补偿功能，对于一定程度上因为外部环境（温度、湿度、灰尘、静电等）因素的变化而引起的性能漂移，可自动进行补偿，提高感烟探测器的可靠性；</w:t>
            </w:r>
          </w:p>
          <w:p w14:paraId="5DBF6128">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5.具备准确判断24小时内发生的慢性火灾；</w:t>
            </w:r>
          </w:p>
          <w:p w14:paraId="11FF2602">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6.采用低功耗设计监视状态≤0.4mA，报警状态≤0.9mA，降低系统的负荷；</w:t>
            </w:r>
          </w:p>
          <w:p w14:paraId="0461D27A">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7.具备有智能化判断火警、传感器故障、清洗预报功能；</w:t>
            </w:r>
          </w:p>
          <w:p w14:paraId="37D44B31">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8.指示灯：具备巡检时周期性闪烁，火警时常亮，故障时熄灭；</w:t>
            </w:r>
          </w:p>
          <w:p w14:paraId="66556B78">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9.使用环境：温度-10℃～+55℃；相对湿度≤95%，不凝露。</w:t>
            </w:r>
          </w:p>
        </w:tc>
        <w:tc>
          <w:tcPr>
            <w:tcW w:w="286" w:type="pct"/>
            <w:vAlign w:val="center"/>
          </w:tcPr>
          <w:p w14:paraId="7608BE2C">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135</w:t>
            </w:r>
          </w:p>
        </w:tc>
        <w:tc>
          <w:tcPr>
            <w:tcW w:w="214" w:type="pct"/>
            <w:vAlign w:val="center"/>
          </w:tcPr>
          <w:p w14:paraId="4874872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3972F0D0">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0.0110</w:t>
            </w:r>
          </w:p>
        </w:tc>
        <w:tc>
          <w:tcPr>
            <w:tcW w:w="575" w:type="pct"/>
            <w:vAlign w:val="center"/>
          </w:tcPr>
          <w:p w14:paraId="098D3422">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1.4850</w:t>
            </w:r>
          </w:p>
        </w:tc>
      </w:tr>
      <w:tr w14:paraId="0C10F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1E4C7D9B">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73</w:t>
            </w:r>
          </w:p>
        </w:tc>
        <w:tc>
          <w:tcPr>
            <w:tcW w:w="599" w:type="pct"/>
            <w:vAlign w:val="center"/>
          </w:tcPr>
          <w:p w14:paraId="777B6B29">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探测器底座</w:t>
            </w:r>
          </w:p>
          <w:p w14:paraId="54CB0B84">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(逸夫楼)</w:t>
            </w:r>
          </w:p>
        </w:tc>
        <w:tc>
          <w:tcPr>
            <w:tcW w:w="2441" w:type="pct"/>
            <w:gridSpan w:val="2"/>
            <w:vAlign w:val="center"/>
          </w:tcPr>
          <w:p w14:paraId="0C85981B">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塑料材质，配套点型光电感烟火灾探测器使用。</w:t>
            </w:r>
          </w:p>
        </w:tc>
        <w:tc>
          <w:tcPr>
            <w:tcW w:w="286" w:type="pct"/>
            <w:vAlign w:val="center"/>
          </w:tcPr>
          <w:p w14:paraId="7C28EC6B">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135</w:t>
            </w:r>
          </w:p>
        </w:tc>
        <w:tc>
          <w:tcPr>
            <w:tcW w:w="214" w:type="pct"/>
            <w:vAlign w:val="center"/>
          </w:tcPr>
          <w:p w14:paraId="4902AFF2">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0724A01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0.0003</w:t>
            </w:r>
          </w:p>
        </w:tc>
        <w:tc>
          <w:tcPr>
            <w:tcW w:w="575" w:type="pct"/>
            <w:vAlign w:val="center"/>
          </w:tcPr>
          <w:p w14:paraId="231F8A7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0.0405</w:t>
            </w:r>
          </w:p>
        </w:tc>
      </w:tr>
      <w:tr w14:paraId="4C3C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02E0EA5C">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74</w:t>
            </w:r>
          </w:p>
        </w:tc>
        <w:tc>
          <w:tcPr>
            <w:tcW w:w="599" w:type="pct"/>
            <w:vAlign w:val="center"/>
          </w:tcPr>
          <w:p w14:paraId="098B7F5A">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手持电子编码器</w:t>
            </w:r>
          </w:p>
          <w:p w14:paraId="47A14E74">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(逸夫楼)</w:t>
            </w:r>
          </w:p>
        </w:tc>
        <w:tc>
          <w:tcPr>
            <w:tcW w:w="2441" w:type="pct"/>
            <w:gridSpan w:val="2"/>
            <w:vAlign w:val="center"/>
          </w:tcPr>
          <w:p w14:paraId="124B8FCD">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1.采用手握式结构，自带有保护套；</w:t>
            </w:r>
          </w:p>
          <w:p w14:paraId="77D86397">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2.自带编码线、总线端子；</w:t>
            </w:r>
          </w:p>
          <w:p w14:paraId="437199EE">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3.汉字菜单提示，快捷键直接操作；</w:t>
            </w:r>
          </w:p>
          <w:p w14:paraId="782B25E3">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4.具有编码、写灵敏度、设置工作模式等功能；</w:t>
            </w:r>
          </w:p>
          <w:p w14:paraId="2A595AEB">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5.背光亮度可调，并具有记忆功能；</w:t>
            </w:r>
          </w:p>
          <w:p w14:paraId="4101C11D">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6.低功耗设计；待机电流≤25mA、工作电流≤200mA、关机电流0µA</w:t>
            </w:r>
          </w:p>
          <w:p w14:paraId="7B5A43E8">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7.具有干电池、USB 供电可选</w:t>
            </w:r>
          </w:p>
          <w:p w14:paraId="50EC1B55">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8.使用环境温度-10℃～+55℃；相对湿度≤95%，不凝露</w:t>
            </w:r>
          </w:p>
        </w:tc>
        <w:tc>
          <w:tcPr>
            <w:tcW w:w="286" w:type="pct"/>
            <w:vAlign w:val="center"/>
          </w:tcPr>
          <w:p w14:paraId="0CE1760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407AB95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3F246E82">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0.0100</w:t>
            </w:r>
          </w:p>
        </w:tc>
        <w:tc>
          <w:tcPr>
            <w:tcW w:w="575" w:type="pct"/>
            <w:vAlign w:val="center"/>
          </w:tcPr>
          <w:p w14:paraId="73B04465">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0.0100</w:t>
            </w:r>
          </w:p>
        </w:tc>
      </w:tr>
      <w:tr w14:paraId="3662B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52DF3A07">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75</w:t>
            </w:r>
          </w:p>
        </w:tc>
        <w:tc>
          <w:tcPr>
            <w:tcW w:w="599" w:type="pct"/>
            <w:vAlign w:val="center"/>
          </w:tcPr>
          <w:p w14:paraId="58C1F8C1">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手动火灾报警按钮</w:t>
            </w:r>
          </w:p>
          <w:p w14:paraId="2470F8A1">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(逸夫楼)</w:t>
            </w:r>
          </w:p>
        </w:tc>
        <w:tc>
          <w:tcPr>
            <w:tcW w:w="2441" w:type="pct"/>
            <w:gridSpan w:val="2"/>
            <w:vAlign w:val="center"/>
          </w:tcPr>
          <w:p w14:paraId="1CFEFD46">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1.采用电子编码（编码范围（1～242）），无极性二线制</w:t>
            </w:r>
          </w:p>
          <w:p w14:paraId="7D473686">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2.采用专用集成芯片，动作触点全密封设计</w:t>
            </w:r>
          </w:p>
          <w:p w14:paraId="3003B98D">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3.软硬件多级滤波，具有抗干扰能力</w:t>
            </w:r>
          </w:p>
          <w:p w14:paraId="19F22E44">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4.采用专用复位钥匙，可重复使用。具备插拔式结构、独立输出触点，可直接控制其它外部设备</w:t>
            </w:r>
          </w:p>
          <w:p w14:paraId="7AE5AA96">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5.带电话插孔，插孔可用于消防电话系统</w:t>
            </w:r>
          </w:p>
          <w:p w14:paraId="57CE2C0F">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6.工作电压：总线 15-28V 脉冲电压</w:t>
            </w:r>
          </w:p>
          <w:p w14:paraId="1B7D2720">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7.工作电流：总线静态电流：≤0.5mA，总线报警电流：≤0.8mA</w:t>
            </w:r>
          </w:p>
          <w:p w14:paraId="2B52AAC7">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8.输出容量：额定 DC30V/100mA 无源输出触点信号，接触电阻≤100mΩ</w:t>
            </w:r>
          </w:p>
          <w:p w14:paraId="1D6E57F5">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9.状态指示：启动指示灯，红色，正常巡检时周期性闪亮，闪亮周期约 6s，启动时常亮。回答指示灯，绿色，正常情况下不亮，有回答时常亮</w:t>
            </w:r>
          </w:p>
          <w:p w14:paraId="2D31064E">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10.使用环境温度-10℃～+55℃ ，相对湿度≤95%RH，不凝露</w:t>
            </w:r>
          </w:p>
          <w:p w14:paraId="4CCBAFEF">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11.壳体采用红色ABS材料 </w:t>
            </w:r>
          </w:p>
          <w:p w14:paraId="3D29363F">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12.外壳防护等级：IP43</w:t>
            </w:r>
          </w:p>
        </w:tc>
        <w:tc>
          <w:tcPr>
            <w:tcW w:w="286" w:type="pct"/>
            <w:vAlign w:val="center"/>
          </w:tcPr>
          <w:p w14:paraId="7112E13B">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31</w:t>
            </w:r>
          </w:p>
        </w:tc>
        <w:tc>
          <w:tcPr>
            <w:tcW w:w="214" w:type="pct"/>
            <w:vAlign w:val="center"/>
          </w:tcPr>
          <w:p w14:paraId="7C57862C">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44C33BF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0.0090</w:t>
            </w:r>
          </w:p>
        </w:tc>
        <w:tc>
          <w:tcPr>
            <w:tcW w:w="575" w:type="pct"/>
            <w:vAlign w:val="center"/>
          </w:tcPr>
          <w:p w14:paraId="10E182C7">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0.2790</w:t>
            </w:r>
          </w:p>
        </w:tc>
      </w:tr>
      <w:tr w14:paraId="0069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041EE8DB">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76</w:t>
            </w:r>
          </w:p>
        </w:tc>
        <w:tc>
          <w:tcPr>
            <w:tcW w:w="599" w:type="pct"/>
            <w:vAlign w:val="center"/>
          </w:tcPr>
          <w:p w14:paraId="30D7D1E8">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消火栓按钮</w:t>
            </w:r>
          </w:p>
          <w:p w14:paraId="629C7B89">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(逸夫楼)</w:t>
            </w:r>
          </w:p>
        </w:tc>
        <w:tc>
          <w:tcPr>
            <w:tcW w:w="2441" w:type="pct"/>
            <w:gridSpan w:val="2"/>
            <w:vAlign w:val="center"/>
          </w:tcPr>
          <w:p w14:paraId="283C10D6">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1.采用电子编码（编码范围（1～242）），无极性二线制；</w:t>
            </w:r>
          </w:p>
          <w:p w14:paraId="235EA1F5">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2.采用专用集成芯片，动作触点全密封设计、PCB板全密封防护工艺；</w:t>
            </w:r>
          </w:p>
          <w:p w14:paraId="00780109">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3.软硬件多级滤波，具有抗干扰能力；</w:t>
            </w:r>
          </w:p>
          <w:p w14:paraId="16CC5F42">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4.采用专用复位钥匙，可重复使用；</w:t>
            </w:r>
          </w:p>
          <w:p w14:paraId="396F282B">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5.具备插拔式结构、独立输出触点，可直接控制其它外部设备；</w:t>
            </w:r>
          </w:p>
          <w:p w14:paraId="7864B9A5">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6.工作电压：总线 15-28V 脉冲电压</w:t>
            </w:r>
          </w:p>
          <w:p w14:paraId="4B32E421">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7.工作电流：总线静态电流：≤0.5mA，总线启动电流：≤1.0mA</w:t>
            </w:r>
          </w:p>
          <w:p w14:paraId="7A66A31F">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8.输出容量：额定 DC30V/100mA 无源输出触点信号，接触电阻≤100mΩ</w:t>
            </w:r>
          </w:p>
          <w:p w14:paraId="4E8CD3FF">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9.状态指示：启动指示灯，红色，正常巡检时周期性闪亮，闪亮周期约 6s，启动时常亮。回答指示灯，绿色，正常情况下不亮，有回答时常亮</w:t>
            </w:r>
          </w:p>
          <w:p w14:paraId="0BADC1AB">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10.使用环境温度-10℃～+55℃ ，相对湿度≤95%RH，不凝露</w:t>
            </w:r>
          </w:p>
          <w:p w14:paraId="23EB8368">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11.壳体采用红色ABS材料 </w:t>
            </w:r>
          </w:p>
          <w:p w14:paraId="1D1CEECC">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12.外壳防护等级：IP43</w:t>
            </w:r>
          </w:p>
        </w:tc>
        <w:tc>
          <w:tcPr>
            <w:tcW w:w="286" w:type="pct"/>
            <w:vAlign w:val="center"/>
          </w:tcPr>
          <w:p w14:paraId="7A01BC8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34</w:t>
            </w:r>
          </w:p>
        </w:tc>
        <w:tc>
          <w:tcPr>
            <w:tcW w:w="214" w:type="pct"/>
            <w:vAlign w:val="center"/>
          </w:tcPr>
          <w:p w14:paraId="2FAB997C">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652BF44D">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0.0080</w:t>
            </w:r>
          </w:p>
        </w:tc>
        <w:tc>
          <w:tcPr>
            <w:tcW w:w="575" w:type="pct"/>
            <w:vAlign w:val="center"/>
          </w:tcPr>
          <w:p w14:paraId="6248080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0.2720</w:t>
            </w:r>
          </w:p>
        </w:tc>
      </w:tr>
      <w:tr w14:paraId="24431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5D2A7CDB">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77</w:t>
            </w:r>
          </w:p>
        </w:tc>
        <w:tc>
          <w:tcPr>
            <w:tcW w:w="599" w:type="pct"/>
            <w:vAlign w:val="center"/>
          </w:tcPr>
          <w:p w14:paraId="4204D346">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按钮底座</w:t>
            </w:r>
          </w:p>
          <w:p w14:paraId="4E29F401">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(逸夫楼)</w:t>
            </w:r>
          </w:p>
        </w:tc>
        <w:tc>
          <w:tcPr>
            <w:tcW w:w="2441" w:type="pct"/>
            <w:gridSpan w:val="2"/>
            <w:vAlign w:val="center"/>
          </w:tcPr>
          <w:p w14:paraId="3A82A075">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塑料材质，与手动火灾报警按钮、消火栓按钮配套使用。</w:t>
            </w:r>
          </w:p>
        </w:tc>
        <w:tc>
          <w:tcPr>
            <w:tcW w:w="286" w:type="pct"/>
            <w:vAlign w:val="center"/>
          </w:tcPr>
          <w:p w14:paraId="40527707">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65</w:t>
            </w:r>
          </w:p>
        </w:tc>
        <w:tc>
          <w:tcPr>
            <w:tcW w:w="214" w:type="pct"/>
            <w:vAlign w:val="center"/>
          </w:tcPr>
          <w:p w14:paraId="36AD2F2B">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2CF7667B">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0.0003</w:t>
            </w:r>
          </w:p>
        </w:tc>
        <w:tc>
          <w:tcPr>
            <w:tcW w:w="575" w:type="pct"/>
            <w:vAlign w:val="center"/>
          </w:tcPr>
          <w:p w14:paraId="2A2338B4">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0.0195</w:t>
            </w:r>
          </w:p>
        </w:tc>
      </w:tr>
      <w:tr w14:paraId="7779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3CF5C99A">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78</w:t>
            </w:r>
          </w:p>
        </w:tc>
        <w:tc>
          <w:tcPr>
            <w:tcW w:w="599" w:type="pct"/>
            <w:vAlign w:val="center"/>
          </w:tcPr>
          <w:p w14:paraId="3C43EB84">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输入模块</w:t>
            </w:r>
          </w:p>
          <w:p w14:paraId="14AF073D">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(逸夫楼)</w:t>
            </w:r>
          </w:p>
        </w:tc>
        <w:tc>
          <w:tcPr>
            <w:tcW w:w="2441" w:type="pct"/>
            <w:gridSpan w:val="2"/>
            <w:vAlign w:val="center"/>
          </w:tcPr>
          <w:p w14:paraId="19B5724C">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1.电子编码方式（占一个总线地址点，编码范围在 1～242 之间任意设定），采用专用集成芯片，无极性二线制总线协议采用T3 协议；</w:t>
            </w:r>
          </w:p>
          <w:p w14:paraId="60EE9DDB">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2.总线、输入线、输出线之间均采用隔离设计，软硬件多级滤波，抗干扰能力强；</w:t>
            </w:r>
          </w:p>
          <w:p w14:paraId="3D2AC901">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3.输入可设置为常开或常闭模式，输出触点容量 30V/2.0A，终端电阻10KΩ；</w:t>
            </w:r>
          </w:p>
          <w:p w14:paraId="2D6DFB2A">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4.无源触点输出、插拔式结构；电压总线工作电压：15～28V（脉冲电压）;</w:t>
            </w:r>
          </w:p>
          <w:p w14:paraId="6F493EE4">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5.总线监视电流：≤0.4mA   总线动作电流：≤1.0mA；</w:t>
            </w:r>
          </w:p>
          <w:p w14:paraId="67FE995A">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6.配置输入指示灯：红色（正常监视状态闪亮一次，故障状态闪亮两次，反馈状态常亮）、输出指示灯：红色（动作状态常亮）；</w:t>
            </w:r>
          </w:p>
          <w:p w14:paraId="2D4DFA85">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7.使用环境：温 度：-10℃～55℃，相对湿度：≤95%RH，不凝露。</w:t>
            </w:r>
          </w:p>
        </w:tc>
        <w:tc>
          <w:tcPr>
            <w:tcW w:w="286" w:type="pct"/>
            <w:vAlign w:val="center"/>
          </w:tcPr>
          <w:p w14:paraId="23909E94">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w:t>
            </w:r>
          </w:p>
        </w:tc>
        <w:tc>
          <w:tcPr>
            <w:tcW w:w="214" w:type="pct"/>
            <w:vAlign w:val="center"/>
          </w:tcPr>
          <w:p w14:paraId="7E205A92">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3A3F85D4">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0.0150</w:t>
            </w:r>
          </w:p>
        </w:tc>
        <w:tc>
          <w:tcPr>
            <w:tcW w:w="575" w:type="pct"/>
            <w:vAlign w:val="center"/>
          </w:tcPr>
          <w:p w14:paraId="31FDFA5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0.0600</w:t>
            </w:r>
          </w:p>
        </w:tc>
      </w:tr>
      <w:tr w14:paraId="1AA3E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1A317785">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79</w:t>
            </w:r>
          </w:p>
        </w:tc>
        <w:tc>
          <w:tcPr>
            <w:tcW w:w="599" w:type="pct"/>
            <w:vAlign w:val="center"/>
          </w:tcPr>
          <w:p w14:paraId="76C2DF56">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输入模块底座</w:t>
            </w:r>
          </w:p>
          <w:p w14:paraId="2CFEE506">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(逸夫楼)</w:t>
            </w:r>
          </w:p>
        </w:tc>
        <w:tc>
          <w:tcPr>
            <w:tcW w:w="2441" w:type="pct"/>
            <w:gridSpan w:val="2"/>
            <w:vAlign w:val="center"/>
          </w:tcPr>
          <w:p w14:paraId="49A4D78B">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塑料材质，与输入模块配套使用。</w:t>
            </w:r>
          </w:p>
        </w:tc>
        <w:tc>
          <w:tcPr>
            <w:tcW w:w="286" w:type="pct"/>
            <w:vAlign w:val="center"/>
          </w:tcPr>
          <w:p w14:paraId="53EDCA75">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w:t>
            </w:r>
          </w:p>
        </w:tc>
        <w:tc>
          <w:tcPr>
            <w:tcW w:w="214" w:type="pct"/>
            <w:vAlign w:val="center"/>
          </w:tcPr>
          <w:p w14:paraId="647CD7F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247653C2">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0.0004</w:t>
            </w:r>
          </w:p>
        </w:tc>
        <w:tc>
          <w:tcPr>
            <w:tcW w:w="575" w:type="pct"/>
            <w:vAlign w:val="center"/>
          </w:tcPr>
          <w:p w14:paraId="6A780D52">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0.0016</w:t>
            </w:r>
          </w:p>
        </w:tc>
      </w:tr>
      <w:tr w14:paraId="1122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1CCC6D39">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80</w:t>
            </w:r>
          </w:p>
        </w:tc>
        <w:tc>
          <w:tcPr>
            <w:tcW w:w="599" w:type="pct"/>
            <w:vAlign w:val="center"/>
          </w:tcPr>
          <w:p w14:paraId="6986D3F5">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输入/输出模块</w:t>
            </w:r>
          </w:p>
          <w:p w14:paraId="747E5D4E">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(逸夫楼)</w:t>
            </w:r>
          </w:p>
        </w:tc>
        <w:tc>
          <w:tcPr>
            <w:tcW w:w="2441" w:type="pct"/>
            <w:gridSpan w:val="2"/>
            <w:vAlign w:val="center"/>
          </w:tcPr>
          <w:p w14:paraId="2ECE6A7B">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1.电子编码方式（占一个总线地址点，编码范围在 1～242 之间任意设定），采用专用集成芯片，无极性二线制总线协议采用T3 协议；</w:t>
            </w:r>
          </w:p>
          <w:p w14:paraId="3FD7AEF3">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2.总线、输入线、输出线之间均采用隔离设计，软硬件多级滤波，抗干扰能力强；</w:t>
            </w:r>
          </w:p>
          <w:p w14:paraId="505F77F1">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3.输入可设置为常开或常闭模式，输出触点容量 30V/2.0A，终端电阻10KΩ；</w:t>
            </w:r>
          </w:p>
          <w:p w14:paraId="79894651">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4.无源触点输出、插拔式结构；电压总线工作电压：15～28V（脉冲电压）;</w:t>
            </w:r>
          </w:p>
          <w:p w14:paraId="225B959A">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5.总线监视电流：≤0.5mA   总线动作电流：≤6.5mA；</w:t>
            </w:r>
          </w:p>
          <w:p w14:paraId="2E86F84F">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6.配置输入指示灯：红色（正常监视状态闪亮一次，故障状态闪亮两次，反馈状态常亮）、输出指示灯：红色（动作状态常亮）；</w:t>
            </w:r>
          </w:p>
          <w:p w14:paraId="0AF0AD7E">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7.使用环境：温 度：-10℃～55℃，相对湿度：≤95%RH，不凝露。</w:t>
            </w:r>
          </w:p>
        </w:tc>
        <w:tc>
          <w:tcPr>
            <w:tcW w:w="286" w:type="pct"/>
            <w:vAlign w:val="center"/>
          </w:tcPr>
          <w:p w14:paraId="4E3C767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214" w:type="pct"/>
            <w:vAlign w:val="center"/>
          </w:tcPr>
          <w:p w14:paraId="009A90B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44ADDD1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0.0150</w:t>
            </w:r>
          </w:p>
        </w:tc>
        <w:tc>
          <w:tcPr>
            <w:tcW w:w="575" w:type="pct"/>
            <w:vAlign w:val="center"/>
          </w:tcPr>
          <w:p w14:paraId="5D07D927">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0.0300</w:t>
            </w:r>
          </w:p>
        </w:tc>
      </w:tr>
      <w:tr w14:paraId="24BD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796D922C">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81</w:t>
            </w:r>
          </w:p>
        </w:tc>
        <w:tc>
          <w:tcPr>
            <w:tcW w:w="599" w:type="pct"/>
            <w:vAlign w:val="center"/>
          </w:tcPr>
          <w:p w14:paraId="7B8DA6C1">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输入/输出模块底座</w:t>
            </w:r>
          </w:p>
          <w:p w14:paraId="04433539">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(逸夫楼)</w:t>
            </w:r>
          </w:p>
        </w:tc>
        <w:tc>
          <w:tcPr>
            <w:tcW w:w="2441" w:type="pct"/>
            <w:gridSpan w:val="2"/>
            <w:vAlign w:val="center"/>
          </w:tcPr>
          <w:p w14:paraId="215D8FF8">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塑料材质，与输入输出模块配套使用。</w:t>
            </w:r>
          </w:p>
        </w:tc>
        <w:tc>
          <w:tcPr>
            <w:tcW w:w="286" w:type="pct"/>
            <w:vAlign w:val="center"/>
          </w:tcPr>
          <w:p w14:paraId="1D68E2C8">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214" w:type="pct"/>
            <w:vAlign w:val="center"/>
          </w:tcPr>
          <w:p w14:paraId="5BD0C34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72E09CE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0.0004</w:t>
            </w:r>
          </w:p>
        </w:tc>
        <w:tc>
          <w:tcPr>
            <w:tcW w:w="575" w:type="pct"/>
            <w:vAlign w:val="center"/>
          </w:tcPr>
          <w:p w14:paraId="2DF17FB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0.0008</w:t>
            </w:r>
          </w:p>
        </w:tc>
      </w:tr>
      <w:tr w14:paraId="0688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1EE0A64F">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82</w:t>
            </w:r>
          </w:p>
        </w:tc>
        <w:tc>
          <w:tcPr>
            <w:tcW w:w="599" w:type="pct"/>
            <w:vAlign w:val="center"/>
          </w:tcPr>
          <w:p w14:paraId="2B58D5EE">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输入/输出模块</w:t>
            </w:r>
          </w:p>
          <w:p w14:paraId="0A13CBE7">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(逸夫楼)</w:t>
            </w:r>
          </w:p>
        </w:tc>
        <w:tc>
          <w:tcPr>
            <w:tcW w:w="2441" w:type="pct"/>
            <w:gridSpan w:val="2"/>
            <w:vAlign w:val="center"/>
          </w:tcPr>
          <w:p w14:paraId="3482187D">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1.电子编码方式（占一个总线地址点，编码范围在 1～242 之间任意设定），采用专用集成芯片，无极性二线制总线协议采用T3 协议；</w:t>
            </w:r>
          </w:p>
          <w:p w14:paraId="7DF23665">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2.总线、输入线、输出线之间均采用隔离设计，软硬件多级滤波，抗干扰能力强；</w:t>
            </w:r>
          </w:p>
          <w:p w14:paraId="501DA95E">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3.输入可设置为常开或常闭模式，输出触点容量DC32V/1.5A/30ms，终端电阻10KΩ；</w:t>
            </w:r>
          </w:p>
          <w:p w14:paraId="1CF74B8D">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4.无源触点输出、插拔式结构；电压总线工作电压：15～28V（脉冲电压）;</w:t>
            </w:r>
          </w:p>
          <w:p w14:paraId="561A0FE0">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5.总线监视电流：≤0.5mA   总线动作电流：≤2mA；</w:t>
            </w:r>
          </w:p>
          <w:p w14:paraId="40DFF24C">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6.配置输入指示灯：红色（正常监视状态闪亮一次，故障状态闪亮两次，反馈状态常亮）、输出指示灯：红色（动作状态常亮）；</w:t>
            </w:r>
          </w:p>
          <w:p w14:paraId="6A5F12FE">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7.使用环境：温 度：-10℃～55℃，相对湿度：≤95%RH，不凝露。</w:t>
            </w:r>
          </w:p>
        </w:tc>
        <w:tc>
          <w:tcPr>
            <w:tcW w:w="286" w:type="pct"/>
            <w:vAlign w:val="center"/>
          </w:tcPr>
          <w:p w14:paraId="5C687BC1">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214" w:type="pct"/>
            <w:vAlign w:val="center"/>
          </w:tcPr>
          <w:p w14:paraId="2F608104">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2442517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0.0150</w:t>
            </w:r>
          </w:p>
        </w:tc>
        <w:tc>
          <w:tcPr>
            <w:tcW w:w="575" w:type="pct"/>
            <w:vAlign w:val="center"/>
          </w:tcPr>
          <w:p w14:paraId="1F3D1CD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0.0300</w:t>
            </w:r>
          </w:p>
        </w:tc>
      </w:tr>
      <w:tr w14:paraId="0800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40C9684F">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83</w:t>
            </w:r>
          </w:p>
        </w:tc>
        <w:tc>
          <w:tcPr>
            <w:tcW w:w="599" w:type="pct"/>
            <w:vAlign w:val="center"/>
          </w:tcPr>
          <w:p w14:paraId="09B37ED6">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输入/输出模块底座</w:t>
            </w:r>
          </w:p>
          <w:p w14:paraId="46158CF1">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(逸夫楼)</w:t>
            </w:r>
          </w:p>
        </w:tc>
        <w:tc>
          <w:tcPr>
            <w:tcW w:w="2441" w:type="pct"/>
            <w:gridSpan w:val="2"/>
            <w:vAlign w:val="center"/>
          </w:tcPr>
          <w:p w14:paraId="43CCD20B">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塑料材质，与输入输出模块配套使用。</w:t>
            </w:r>
          </w:p>
        </w:tc>
        <w:tc>
          <w:tcPr>
            <w:tcW w:w="286" w:type="pct"/>
            <w:vAlign w:val="center"/>
          </w:tcPr>
          <w:p w14:paraId="23A2B754">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214" w:type="pct"/>
            <w:vAlign w:val="center"/>
          </w:tcPr>
          <w:p w14:paraId="345FE85C">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5E61D8E7">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0.0004</w:t>
            </w:r>
          </w:p>
        </w:tc>
        <w:tc>
          <w:tcPr>
            <w:tcW w:w="575" w:type="pct"/>
            <w:vAlign w:val="center"/>
          </w:tcPr>
          <w:p w14:paraId="6ACAFAB2">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0.0008</w:t>
            </w:r>
          </w:p>
        </w:tc>
      </w:tr>
      <w:tr w14:paraId="4BF01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12136A3C">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84</w:t>
            </w:r>
          </w:p>
        </w:tc>
        <w:tc>
          <w:tcPr>
            <w:tcW w:w="599" w:type="pct"/>
            <w:vAlign w:val="center"/>
          </w:tcPr>
          <w:p w14:paraId="0DDF37FF">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火灾声光警报器</w:t>
            </w:r>
          </w:p>
          <w:p w14:paraId="4773EDF4">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(逸夫楼)</w:t>
            </w:r>
          </w:p>
        </w:tc>
        <w:tc>
          <w:tcPr>
            <w:tcW w:w="2441" w:type="pct"/>
            <w:gridSpan w:val="2"/>
            <w:vAlign w:val="center"/>
          </w:tcPr>
          <w:p w14:paraId="457C8BF2">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1.采用专用集成芯片，电子编码（占一个总线地址点，编码范围在 1～242 之间任意设定），无极性二总线，总线协议采用T3 协议，总线电压：脉冲 24V（15V～28V) 。总线监视电流：≤0.4mA 总线启动电流：≤2mA</w:t>
            </w:r>
          </w:p>
          <w:p w14:paraId="5611A8BE">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2.软硬件多级滤波，抗干扰能力强；</w:t>
            </w:r>
          </w:p>
          <w:p w14:paraId="7E835517">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3.声与光可独自控制，实现声光与广播交替报警，多只高亮LED作为光源。声音变调周期：2.5S～4.5S、闪光频率：1.2Hz～1.8Hz</w:t>
            </w:r>
          </w:p>
          <w:p w14:paraId="0F644BEB">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4.声 压 级：启动后声音由小变大，3～5 秒后达到稳定，稳定后正前方 3 米处 75dB～105dB（A 计权）</w:t>
            </w:r>
          </w:p>
          <w:p w14:paraId="15C133E4">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5.使用环境温 度：-10℃～+55℃，相对湿度：≤95%RH，不凝露</w:t>
            </w:r>
          </w:p>
        </w:tc>
        <w:tc>
          <w:tcPr>
            <w:tcW w:w="286" w:type="pct"/>
            <w:vAlign w:val="center"/>
          </w:tcPr>
          <w:p w14:paraId="2FF06A2D">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31</w:t>
            </w:r>
          </w:p>
        </w:tc>
        <w:tc>
          <w:tcPr>
            <w:tcW w:w="214" w:type="pct"/>
            <w:vAlign w:val="center"/>
          </w:tcPr>
          <w:p w14:paraId="35260A9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0F71900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0.0100</w:t>
            </w:r>
          </w:p>
        </w:tc>
        <w:tc>
          <w:tcPr>
            <w:tcW w:w="575" w:type="pct"/>
            <w:vAlign w:val="center"/>
          </w:tcPr>
          <w:p w14:paraId="12AE834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0.3100</w:t>
            </w:r>
          </w:p>
        </w:tc>
      </w:tr>
      <w:tr w14:paraId="35EE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544A0322">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85</w:t>
            </w:r>
          </w:p>
        </w:tc>
        <w:tc>
          <w:tcPr>
            <w:tcW w:w="599" w:type="pct"/>
            <w:vAlign w:val="center"/>
          </w:tcPr>
          <w:p w14:paraId="366716E7">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火灾声光警报器底座</w:t>
            </w:r>
          </w:p>
          <w:p w14:paraId="2BE676CF">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(逸夫楼)</w:t>
            </w:r>
          </w:p>
        </w:tc>
        <w:tc>
          <w:tcPr>
            <w:tcW w:w="2441" w:type="pct"/>
            <w:gridSpan w:val="2"/>
            <w:vAlign w:val="center"/>
          </w:tcPr>
          <w:p w14:paraId="4368A357">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与编码型声光警报器配套使用。</w:t>
            </w:r>
          </w:p>
        </w:tc>
        <w:tc>
          <w:tcPr>
            <w:tcW w:w="286" w:type="pct"/>
            <w:vAlign w:val="center"/>
          </w:tcPr>
          <w:p w14:paraId="204F06A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31</w:t>
            </w:r>
          </w:p>
        </w:tc>
        <w:tc>
          <w:tcPr>
            <w:tcW w:w="214" w:type="pct"/>
            <w:vAlign w:val="center"/>
          </w:tcPr>
          <w:p w14:paraId="12BF7B3B">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56E7473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0.0004</w:t>
            </w:r>
          </w:p>
        </w:tc>
        <w:tc>
          <w:tcPr>
            <w:tcW w:w="575" w:type="pct"/>
            <w:vAlign w:val="center"/>
          </w:tcPr>
          <w:p w14:paraId="01A51A4D">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0.0124</w:t>
            </w:r>
          </w:p>
        </w:tc>
      </w:tr>
      <w:tr w14:paraId="7CFC9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200A293F">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86</w:t>
            </w:r>
          </w:p>
        </w:tc>
        <w:tc>
          <w:tcPr>
            <w:tcW w:w="599" w:type="pct"/>
            <w:vAlign w:val="center"/>
          </w:tcPr>
          <w:p w14:paraId="40DD2011">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隔离器</w:t>
            </w:r>
          </w:p>
          <w:p w14:paraId="7E23FF45">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(逸夫楼)</w:t>
            </w:r>
          </w:p>
        </w:tc>
        <w:tc>
          <w:tcPr>
            <w:tcW w:w="2441" w:type="pct"/>
            <w:gridSpan w:val="2"/>
            <w:vAlign w:val="center"/>
          </w:tcPr>
          <w:p w14:paraId="4604E4C4">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1.与控制器连接采用无极性二总线连接，总线与输入线采用隔离设计，可隔离总线上发生短路部分的设备，保证总线上的其它设备正常工作，总线短路故障排除后，可自动将被隔离部分重新纳入系统；</w:t>
            </w:r>
          </w:p>
          <w:p w14:paraId="44C8FFDB">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2.内置专用集成芯片，插拔式结构，可灵活安装使用。；</w:t>
            </w:r>
          </w:p>
          <w:p w14:paraId="6E0C476D">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3.软硬件多级滤波，具备抗干扰能力；</w:t>
            </w:r>
          </w:p>
          <w:p w14:paraId="681D1CC0">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4.工作电流：总线24V，100mA； 总线24V，200mA（K短接）、动作电流≥100mA或200mA（此时K短接）100mA、200mA两种输出电流可选；</w:t>
            </w:r>
          </w:p>
          <w:p w14:paraId="3FE4F134">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5.具备有指示灯，可显示红色（正常监视状态不亮，动作时常亮）</w:t>
            </w:r>
          </w:p>
          <w:p w14:paraId="4D06309B">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6.使用环境温 度：-10℃～+55℃,相对湿度≤95%，不凝露</w:t>
            </w:r>
          </w:p>
          <w:p w14:paraId="0183868D">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7.壳体材料：ABS材质</w:t>
            </w:r>
          </w:p>
        </w:tc>
        <w:tc>
          <w:tcPr>
            <w:tcW w:w="286" w:type="pct"/>
            <w:vAlign w:val="center"/>
          </w:tcPr>
          <w:p w14:paraId="2DCD7357">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214" w:type="pct"/>
            <w:vAlign w:val="center"/>
          </w:tcPr>
          <w:p w14:paraId="3DCE9936">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39D89255">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0.0130</w:t>
            </w:r>
          </w:p>
        </w:tc>
        <w:tc>
          <w:tcPr>
            <w:tcW w:w="575" w:type="pct"/>
            <w:vAlign w:val="center"/>
          </w:tcPr>
          <w:p w14:paraId="4472A3A4">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0.0260</w:t>
            </w:r>
          </w:p>
        </w:tc>
      </w:tr>
      <w:tr w14:paraId="7EEA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027EB715">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87</w:t>
            </w:r>
          </w:p>
        </w:tc>
        <w:tc>
          <w:tcPr>
            <w:tcW w:w="599" w:type="pct"/>
            <w:vAlign w:val="center"/>
          </w:tcPr>
          <w:p w14:paraId="5242571A">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隔离器底座</w:t>
            </w:r>
          </w:p>
          <w:p w14:paraId="56145C4F">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(逸夫楼)</w:t>
            </w:r>
          </w:p>
        </w:tc>
        <w:tc>
          <w:tcPr>
            <w:tcW w:w="2441" w:type="pct"/>
            <w:gridSpan w:val="2"/>
            <w:vAlign w:val="center"/>
          </w:tcPr>
          <w:p w14:paraId="662627B3">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塑料材质，与隔离器配套使用。</w:t>
            </w:r>
          </w:p>
        </w:tc>
        <w:tc>
          <w:tcPr>
            <w:tcW w:w="286" w:type="pct"/>
            <w:vAlign w:val="center"/>
          </w:tcPr>
          <w:p w14:paraId="60CDF88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214" w:type="pct"/>
            <w:vAlign w:val="center"/>
          </w:tcPr>
          <w:p w14:paraId="58C478E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0460488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0.0004</w:t>
            </w:r>
          </w:p>
        </w:tc>
        <w:tc>
          <w:tcPr>
            <w:tcW w:w="575" w:type="pct"/>
            <w:vAlign w:val="center"/>
          </w:tcPr>
          <w:p w14:paraId="7CCA7B57">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0.0008</w:t>
            </w:r>
          </w:p>
        </w:tc>
      </w:tr>
      <w:tr w14:paraId="4376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0B81C8D1">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88</w:t>
            </w:r>
          </w:p>
        </w:tc>
        <w:tc>
          <w:tcPr>
            <w:tcW w:w="599" w:type="pct"/>
            <w:vAlign w:val="center"/>
          </w:tcPr>
          <w:p w14:paraId="0D01A038">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壁挂式消防电话分机</w:t>
            </w:r>
          </w:p>
          <w:p w14:paraId="126C30DB">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(逸夫楼)</w:t>
            </w:r>
          </w:p>
        </w:tc>
        <w:tc>
          <w:tcPr>
            <w:tcW w:w="2441" w:type="pct"/>
            <w:gridSpan w:val="2"/>
            <w:vAlign w:val="center"/>
          </w:tcPr>
          <w:p w14:paraId="5B9AF0FD">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1、工作电压：DC24V（电话总线 18V～28V）</w:t>
            </w:r>
          </w:p>
          <w:p w14:paraId="621BF2EC">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2、工作电流：≤25mA</w:t>
            </w:r>
          </w:p>
          <w:p w14:paraId="65433FD8">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3、频率响应：300-3400Hz</w:t>
            </w:r>
          </w:p>
          <w:p w14:paraId="5FF521D3">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4、振铃声级：≥70dB</w:t>
            </w:r>
          </w:p>
          <w:p w14:paraId="5A1F8C1E">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5、线 制：与消防电话总机采用无极性二总线连接</w:t>
            </w:r>
          </w:p>
          <w:p w14:paraId="074F4D65">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6、插头类型：3.5mm 单声道音频插头</w:t>
            </w:r>
          </w:p>
          <w:p w14:paraId="0858BDCA">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7、颜色：消防红色</w:t>
            </w:r>
          </w:p>
          <w:p w14:paraId="4F75944C">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8、具备地址编码功能，采用电子编码方式</w:t>
            </w:r>
          </w:p>
          <w:p w14:paraId="6CC6FE00">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9、安装方式采用固定壁挂式，配套安装固定座</w:t>
            </w:r>
          </w:p>
          <w:p w14:paraId="290B3066">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10、接入手动火灾报警按钮的电话插孔与本楼栋消防电话总机进行全双工通话</w:t>
            </w:r>
          </w:p>
        </w:tc>
        <w:tc>
          <w:tcPr>
            <w:tcW w:w="286" w:type="pct"/>
            <w:vAlign w:val="center"/>
          </w:tcPr>
          <w:p w14:paraId="2D4C903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6D44B184">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7F5B0F9B">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0.0168</w:t>
            </w:r>
          </w:p>
        </w:tc>
        <w:tc>
          <w:tcPr>
            <w:tcW w:w="575" w:type="pct"/>
            <w:vAlign w:val="center"/>
          </w:tcPr>
          <w:p w14:paraId="6372BAD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0.0168</w:t>
            </w:r>
          </w:p>
        </w:tc>
      </w:tr>
      <w:tr w14:paraId="7FFD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45AE0023">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89</w:t>
            </w:r>
          </w:p>
        </w:tc>
        <w:tc>
          <w:tcPr>
            <w:tcW w:w="599" w:type="pct"/>
            <w:vAlign w:val="center"/>
          </w:tcPr>
          <w:p w14:paraId="3F482524">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铅酸蓄电池（卧式）</w:t>
            </w:r>
          </w:p>
          <w:p w14:paraId="4DC5BB88">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(逸夫楼)</w:t>
            </w:r>
          </w:p>
        </w:tc>
        <w:tc>
          <w:tcPr>
            <w:tcW w:w="2441" w:type="pct"/>
            <w:gridSpan w:val="2"/>
            <w:vAlign w:val="center"/>
          </w:tcPr>
          <w:p w14:paraId="35B82800">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12V/24AH密封铅酸电池，用于立柜主机和琴台主机。</w:t>
            </w:r>
          </w:p>
        </w:tc>
        <w:tc>
          <w:tcPr>
            <w:tcW w:w="286" w:type="pct"/>
            <w:vAlign w:val="center"/>
          </w:tcPr>
          <w:p w14:paraId="74E3486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214" w:type="pct"/>
            <w:vAlign w:val="center"/>
          </w:tcPr>
          <w:p w14:paraId="4E5ED29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节</w:t>
            </w:r>
          </w:p>
        </w:tc>
        <w:tc>
          <w:tcPr>
            <w:tcW w:w="570" w:type="pct"/>
            <w:vAlign w:val="center"/>
          </w:tcPr>
          <w:p w14:paraId="26C2E0D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0.0400</w:t>
            </w:r>
          </w:p>
        </w:tc>
        <w:tc>
          <w:tcPr>
            <w:tcW w:w="575" w:type="pct"/>
            <w:vAlign w:val="center"/>
          </w:tcPr>
          <w:p w14:paraId="1D37C7E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0.0800</w:t>
            </w:r>
          </w:p>
        </w:tc>
      </w:tr>
      <w:tr w14:paraId="07DC1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4ABB23F7">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90</w:t>
            </w:r>
          </w:p>
        </w:tc>
        <w:tc>
          <w:tcPr>
            <w:tcW w:w="599" w:type="pct"/>
            <w:vAlign w:val="center"/>
          </w:tcPr>
          <w:p w14:paraId="085FA941">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消防电话总机</w:t>
            </w:r>
          </w:p>
          <w:p w14:paraId="58ECD304">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(逸夫楼)</w:t>
            </w:r>
          </w:p>
        </w:tc>
        <w:tc>
          <w:tcPr>
            <w:tcW w:w="2441" w:type="pct"/>
            <w:gridSpan w:val="2"/>
            <w:vAlign w:val="center"/>
          </w:tcPr>
          <w:p w14:paraId="10682755">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1.符合 GB 16806-2006《消防联动控制系统》国家标准</w:t>
            </w:r>
          </w:p>
          <w:p w14:paraId="06B9AA6B">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2.采用无极性二总线，通讯与通话共用线路</w:t>
            </w:r>
          </w:p>
          <w:p w14:paraId="1BCB89BD">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3.最多可连接100部消防电话分机，支持最多3部电话限时通话</w:t>
            </w:r>
          </w:p>
          <w:p w14:paraId="6A6FDA58">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4.可以存储9小时以上通话录音及999条记录，可按时间或类型查询</w:t>
            </w:r>
          </w:p>
          <w:p w14:paraId="60185522">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5.采用黑白色的128X64液晶屏，可显示32个汉字</w:t>
            </w:r>
          </w:p>
          <w:p w14:paraId="2086DA29">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6.支持USB离线编写分机位置信息功能</w:t>
            </w:r>
          </w:p>
          <w:p w14:paraId="706C2471">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7.支持USB下载及上传设备信息</w:t>
            </w:r>
          </w:p>
          <w:p w14:paraId="7FBF032D">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8.2U标准入柜式</w:t>
            </w:r>
          </w:p>
          <w:p w14:paraId="5DE9C690">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9.额定电压：DC24V（电压范围 DC20V~28V）</w:t>
            </w:r>
          </w:p>
          <w:p w14:paraId="6C736DD5">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10.工作电流：600mA</w:t>
            </w:r>
          </w:p>
          <w:p w14:paraId="23497752">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11.容 量：128 个地址点（范围 1~128）</w:t>
            </w:r>
          </w:p>
          <w:p w14:paraId="547350D7">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12.话音频率：300Hz～3400Hz</w:t>
            </w:r>
          </w:p>
          <w:p w14:paraId="66F12FF4">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13.串音电平：≤-60dB</w:t>
            </w:r>
          </w:p>
          <w:p w14:paraId="4DC99A67">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14.传输损耗：≤5dB</w:t>
            </w:r>
          </w:p>
        </w:tc>
        <w:tc>
          <w:tcPr>
            <w:tcW w:w="286" w:type="pct"/>
            <w:vAlign w:val="center"/>
          </w:tcPr>
          <w:p w14:paraId="4A35376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769C8B3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6E96B545">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0.2000</w:t>
            </w:r>
          </w:p>
        </w:tc>
        <w:tc>
          <w:tcPr>
            <w:tcW w:w="575" w:type="pct"/>
            <w:vAlign w:val="center"/>
          </w:tcPr>
          <w:p w14:paraId="26B4F9B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0.2000</w:t>
            </w:r>
          </w:p>
        </w:tc>
      </w:tr>
      <w:tr w14:paraId="299D9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2134A888">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91</w:t>
            </w:r>
          </w:p>
        </w:tc>
        <w:tc>
          <w:tcPr>
            <w:tcW w:w="599" w:type="pct"/>
            <w:vAlign w:val="center"/>
          </w:tcPr>
          <w:p w14:paraId="7C32341B">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火灾报警控制器/消防联动控制器</w:t>
            </w:r>
          </w:p>
          <w:p w14:paraId="2D05F3AF">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(逸夫楼)</w:t>
            </w:r>
          </w:p>
        </w:tc>
        <w:tc>
          <w:tcPr>
            <w:tcW w:w="2441" w:type="pct"/>
            <w:gridSpan w:val="2"/>
            <w:vAlign w:val="center"/>
          </w:tcPr>
          <w:p w14:paraId="58624E6C">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1.采用立柜式，配套标准立柜。≥7英寸TFT彩色液晶显示，自带数字、英文、汉字拼音输入法</w:t>
            </w:r>
          </w:p>
          <w:p w14:paraId="4E677ADF">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2.控制器采用ARM核心处理器，基于嵌入式操作系统平台，支持实时多任务程序同步运行；</w:t>
            </w:r>
          </w:p>
          <w:p w14:paraId="72E19D97">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3.配套2个回路，最大可扩展至6回路，报警联动点总数≥484点；</w:t>
            </w:r>
          </w:p>
          <w:p w14:paraId="5467AF3A">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4.含一块128点总线操作盘，可用于直接控制现场联动设备，自带6点直接启动操作键，可扩展到10点，用于控制消防泵、排烟机等重要设备；</w:t>
            </w:r>
          </w:p>
          <w:p w14:paraId="28BA2A33">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5.全隔离式总线回路卡，采用的CAN总线无主从联网，系统响应速度快，稳定性高。总线协议为T3 协议</w:t>
            </w:r>
          </w:p>
          <w:p w14:paraId="08F1B01C">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6.集中加区域型设计，可扩展至128台主机联网，加强了消防联动控制功能；</w:t>
            </w:r>
          </w:p>
          <w:p w14:paraId="3AFDE3E2">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7.显示界面具有火警、联动、故障、屏蔽、监管信息查询快捷键；</w:t>
            </w:r>
          </w:p>
          <w:p w14:paraId="391C3A68">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8.具有监管、延时功能，电磁兼容设计，防雷、抗干扰</w:t>
            </w:r>
          </w:p>
          <w:p w14:paraId="0AF97170">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9.控制系统的所有对外接口全部配备了浪涌滤波器，用于吸收控制系统传输线路上由于雷电感应而引起的浪涌冲击，最大限度的降低了雷电或电网浪涌冲击对系统破坏的风险；</w:t>
            </w:r>
          </w:p>
          <w:p w14:paraId="1E819E5F">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10.交流电源：额定工作电压～220V（187V～242V），配套联动电源，输出最大8A，配备备用电源：12V/24AH电池2节</w:t>
            </w:r>
          </w:p>
        </w:tc>
        <w:tc>
          <w:tcPr>
            <w:tcW w:w="286" w:type="pct"/>
            <w:vAlign w:val="center"/>
          </w:tcPr>
          <w:p w14:paraId="6DA55D54">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7BFA4FE8">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c>
          <w:tcPr>
            <w:tcW w:w="570" w:type="pct"/>
            <w:vAlign w:val="center"/>
          </w:tcPr>
          <w:p w14:paraId="4CD862C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0.9500</w:t>
            </w:r>
          </w:p>
        </w:tc>
        <w:tc>
          <w:tcPr>
            <w:tcW w:w="575" w:type="pct"/>
            <w:vAlign w:val="center"/>
          </w:tcPr>
          <w:p w14:paraId="2453457D">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0.9500</w:t>
            </w:r>
          </w:p>
        </w:tc>
      </w:tr>
      <w:tr w14:paraId="65EB5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1EF462F4">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92</w:t>
            </w:r>
          </w:p>
        </w:tc>
        <w:tc>
          <w:tcPr>
            <w:tcW w:w="599" w:type="pct"/>
            <w:vAlign w:val="center"/>
          </w:tcPr>
          <w:p w14:paraId="2084DD4B">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点型光电感烟火灾探测器</w:t>
            </w:r>
          </w:p>
          <w:p w14:paraId="242A57FF">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(艺术楼)</w:t>
            </w:r>
          </w:p>
        </w:tc>
        <w:tc>
          <w:tcPr>
            <w:tcW w:w="2441" w:type="pct"/>
            <w:gridSpan w:val="2"/>
            <w:vAlign w:val="center"/>
          </w:tcPr>
          <w:p w14:paraId="077E8BA3">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1.采用电子编码，采用二线制总线，总线电压 15~28V，无极性；</w:t>
            </w:r>
          </w:p>
          <w:p w14:paraId="1CBF8FF5">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2.具有溢水孔防水设计、PCB板全密封防护工艺；</w:t>
            </w:r>
          </w:p>
          <w:p w14:paraId="7C027621">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3.指示灯360度可见，采用牢固结构；</w:t>
            </w:r>
          </w:p>
          <w:p w14:paraId="057ABED0">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4.软硬件滤波，抗干扰能力强。具备自动补偿功能，对于一定程度上因为外部环境（温度、湿度、灰尘、静电等）因素的变化而而引起的性能漂移，可自动进行补偿，提高感烟探测器的可靠性；</w:t>
            </w:r>
          </w:p>
          <w:p w14:paraId="50F6D78D">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5.具备准确判断24小时内发生的慢性火灾；</w:t>
            </w:r>
          </w:p>
          <w:p w14:paraId="28B81996">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6.采用低功耗设计监视状态≤0.4mA，报警状态≤0.9mA，降低系统的负荷；</w:t>
            </w:r>
          </w:p>
          <w:p w14:paraId="39BA4F68">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7.具备有智能化判断火警、传感器故障、清洗预报功能；</w:t>
            </w:r>
          </w:p>
          <w:p w14:paraId="3B85204C">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8.指 示 灯：具备巡检时周期性闪烁，火警时常亮，故障时熄灭</w:t>
            </w:r>
          </w:p>
          <w:p w14:paraId="7D34E370">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9.使用环境：温度-10℃～+55℃；相对湿度≤95%，不凝露</w:t>
            </w:r>
          </w:p>
        </w:tc>
        <w:tc>
          <w:tcPr>
            <w:tcW w:w="286" w:type="pct"/>
            <w:vAlign w:val="center"/>
          </w:tcPr>
          <w:p w14:paraId="71064C1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95</w:t>
            </w:r>
          </w:p>
        </w:tc>
        <w:tc>
          <w:tcPr>
            <w:tcW w:w="214" w:type="pct"/>
            <w:vAlign w:val="center"/>
          </w:tcPr>
          <w:p w14:paraId="19A26A9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06DF36E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0.0110</w:t>
            </w:r>
          </w:p>
        </w:tc>
        <w:tc>
          <w:tcPr>
            <w:tcW w:w="575" w:type="pct"/>
            <w:vAlign w:val="center"/>
          </w:tcPr>
          <w:p w14:paraId="3C495FC2">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1.0450</w:t>
            </w:r>
          </w:p>
        </w:tc>
      </w:tr>
      <w:tr w14:paraId="10A9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11B323C7">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93</w:t>
            </w:r>
          </w:p>
        </w:tc>
        <w:tc>
          <w:tcPr>
            <w:tcW w:w="599" w:type="pct"/>
            <w:vAlign w:val="center"/>
          </w:tcPr>
          <w:p w14:paraId="20703BDF">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探测器底座</w:t>
            </w:r>
          </w:p>
          <w:p w14:paraId="0CB5A4CB">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(艺术楼)</w:t>
            </w:r>
          </w:p>
        </w:tc>
        <w:tc>
          <w:tcPr>
            <w:tcW w:w="2441" w:type="pct"/>
            <w:gridSpan w:val="2"/>
            <w:vAlign w:val="center"/>
          </w:tcPr>
          <w:p w14:paraId="2F7FBDDD">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塑料材质，配套点型光电感烟火灾探测器使用。</w:t>
            </w:r>
          </w:p>
        </w:tc>
        <w:tc>
          <w:tcPr>
            <w:tcW w:w="286" w:type="pct"/>
            <w:vAlign w:val="center"/>
          </w:tcPr>
          <w:p w14:paraId="52A39104">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95</w:t>
            </w:r>
          </w:p>
        </w:tc>
        <w:tc>
          <w:tcPr>
            <w:tcW w:w="214" w:type="pct"/>
            <w:vAlign w:val="center"/>
          </w:tcPr>
          <w:p w14:paraId="67FF161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3FFFC082">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0.0003</w:t>
            </w:r>
          </w:p>
        </w:tc>
        <w:tc>
          <w:tcPr>
            <w:tcW w:w="575" w:type="pct"/>
            <w:vAlign w:val="center"/>
          </w:tcPr>
          <w:p w14:paraId="518905A1">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0.0285</w:t>
            </w:r>
          </w:p>
        </w:tc>
      </w:tr>
      <w:tr w14:paraId="7A9B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5F096EBE">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94</w:t>
            </w:r>
          </w:p>
        </w:tc>
        <w:tc>
          <w:tcPr>
            <w:tcW w:w="599" w:type="pct"/>
            <w:vAlign w:val="center"/>
          </w:tcPr>
          <w:p w14:paraId="07EA632B">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手持电子编码器</w:t>
            </w:r>
          </w:p>
          <w:p w14:paraId="45EB0A90">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(艺术楼)</w:t>
            </w:r>
          </w:p>
        </w:tc>
        <w:tc>
          <w:tcPr>
            <w:tcW w:w="2441" w:type="pct"/>
            <w:gridSpan w:val="2"/>
            <w:vAlign w:val="center"/>
          </w:tcPr>
          <w:p w14:paraId="65011B04">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1.采用手握式结构，自带有保护套；</w:t>
            </w:r>
          </w:p>
          <w:p w14:paraId="76764716">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2.自带编码线、总线端子；</w:t>
            </w:r>
          </w:p>
          <w:p w14:paraId="329200A4">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3.汉字菜单提示，快捷键直接操作；</w:t>
            </w:r>
          </w:p>
          <w:p w14:paraId="262F71EA">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4.具有编码、写灵敏度、设置工作模式等功能；</w:t>
            </w:r>
          </w:p>
          <w:p w14:paraId="0531EBCA">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5.背光亮度可调，并具有记忆功能；</w:t>
            </w:r>
          </w:p>
          <w:p w14:paraId="672F4653">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6.低功耗设计；待机电流≤25mA、工作电流≤200mA、关机电流0µA</w:t>
            </w:r>
          </w:p>
          <w:p w14:paraId="1BA9C2DC">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7.具有干电池、USB 供电可选</w:t>
            </w:r>
          </w:p>
          <w:p w14:paraId="5AA52A31">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8.使用环境温度-10℃～+55℃；相对湿度≤95%，不凝露</w:t>
            </w:r>
          </w:p>
        </w:tc>
        <w:tc>
          <w:tcPr>
            <w:tcW w:w="286" w:type="pct"/>
            <w:vAlign w:val="center"/>
          </w:tcPr>
          <w:p w14:paraId="0D508374">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64CFB0F6">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0EC4B39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0.0100</w:t>
            </w:r>
          </w:p>
        </w:tc>
        <w:tc>
          <w:tcPr>
            <w:tcW w:w="575" w:type="pct"/>
            <w:vAlign w:val="center"/>
          </w:tcPr>
          <w:p w14:paraId="2B29B897">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0.0100</w:t>
            </w:r>
          </w:p>
        </w:tc>
      </w:tr>
      <w:tr w14:paraId="0F8C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2F849918">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95</w:t>
            </w:r>
          </w:p>
        </w:tc>
        <w:tc>
          <w:tcPr>
            <w:tcW w:w="599" w:type="pct"/>
            <w:vAlign w:val="center"/>
          </w:tcPr>
          <w:p w14:paraId="0CF1F3EE">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手动火灾报警按钮</w:t>
            </w:r>
          </w:p>
          <w:p w14:paraId="3927AC81">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(艺术楼)</w:t>
            </w:r>
          </w:p>
        </w:tc>
        <w:tc>
          <w:tcPr>
            <w:tcW w:w="2441" w:type="pct"/>
            <w:gridSpan w:val="2"/>
            <w:vAlign w:val="center"/>
          </w:tcPr>
          <w:p w14:paraId="4211AFCC">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1.采用电子编码（编码范围（1～242）），无极性二线制</w:t>
            </w:r>
          </w:p>
          <w:p w14:paraId="3B920445">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2.采用专用集成芯片，动作触点全密封设计</w:t>
            </w:r>
          </w:p>
          <w:p w14:paraId="6BBA98C4">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3.软硬件多级滤波，具有抗干扰能力</w:t>
            </w:r>
          </w:p>
          <w:p w14:paraId="70837EE7">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4.采用专用复位钥匙，可重复使用。具备插拔式结构、独立输出触点，可直接控制其它外部设备</w:t>
            </w:r>
          </w:p>
          <w:p w14:paraId="7FA84CBD">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5.带电话插孔，插孔可用于消防电话系统</w:t>
            </w:r>
          </w:p>
          <w:p w14:paraId="7694F35B">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6.工作电压：总线 15-28V 脉冲电压</w:t>
            </w:r>
          </w:p>
          <w:p w14:paraId="4B48DE46">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7.工作电流：总线静态电流：≤0.5mA，总线报警电流：≤0.8mA</w:t>
            </w:r>
          </w:p>
          <w:p w14:paraId="4583F2C7">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8.输出容量：额定 DC30V/100mA 无源输出触点信号，接触电阻≤100mΩ</w:t>
            </w:r>
          </w:p>
          <w:p w14:paraId="7205A3D7">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9.状态指示：启动指示灯，红色，正常巡检时周期性闪亮，闪亮周期约 6s，启动时常亮。回答指示灯，绿色，正常情况下不亮，有回答时常亮</w:t>
            </w:r>
          </w:p>
          <w:p w14:paraId="5D6B705B">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10.使用环境温度-10℃～+55℃ ，相对湿度≤95%RH，不凝露</w:t>
            </w:r>
          </w:p>
          <w:p w14:paraId="7DC239A2">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11.壳体采用红色ABS材料 </w:t>
            </w:r>
          </w:p>
          <w:p w14:paraId="1F29EF3E">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12.外壳防护等级：IP43</w:t>
            </w:r>
          </w:p>
        </w:tc>
        <w:tc>
          <w:tcPr>
            <w:tcW w:w="286" w:type="pct"/>
            <w:vAlign w:val="center"/>
          </w:tcPr>
          <w:p w14:paraId="26CBECE0">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36</w:t>
            </w:r>
          </w:p>
        </w:tc>
        <w:tc>
          <w:tcPr>
            <w:tcW w:w="214" w:type="pct"/>
            <w:vAlign w:val="center"/>
          </w:tcPr>
          <w:p w14:paraId="784B0E8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727A853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0.0090</w:t>
            </w:r>
          </w:p>
        </w:tc>
        <w:tc>
          <w:tcPr>
            <w:tcW w:w="575" w:type="pct"/>
            <w:vAlign w:val="center"/>
          </w:tcPr>
          <w:p w14:paraId="6154DC1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0.3240</w:t>
            </w:r>
          </w:p>
        </w:tc>
      </w:tr>
      <w:tr w14:paraId="11154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266AF4F7">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96</w:t>
            </w:r>
          </w:p>
        </w:tc>
        <w:tc>
          <w:tcPr>
            <w:tcW w:w="599" w:type="pct"/>
            <w:vAlign w:val="center"/>
          </w:tcPr>
          <w:p w14:paraId="704464CB">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消火栓按钮</w:t>
            </w:r>
          </w:p>
          <w:p w14:paraId="0ADBC160">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(艺术楼)</w:t>
            </w:r>
          </w:p>
        </w:tc>
        <w:tc>
          <w:tcPr>
            <w:tcW w:w="2441" w:type="pct"/>
            <w:gridSpan w:val="2"/>
            <w:vAlign w:val="center"/>
          </w:tcPr>
          <w:p w14:paraId="2B963CA5">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1.采用电子编码（编码范围（1～242）），无极性二线制；</w:t>
            </w:r>
          </w:p>
          <w:p w14:paraId="3DA14555">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2.采用专用集成芯片，动作触点全密封设计、PCB板全密封防护工艺；</w:t>
            </w:r>
          </w:p>
          <w:p w14:paraId="6EED9AFA">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3.软硬件多级滤波，具有抗干扰能力；</w:t>
            </w:r>
          </w:p>
          <w:p w14:paraId="2C5F6581">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4.采用专用复位钥匙，可重复使用；</w:t>
            </w:r>
          </w:p>
          <w:p w14:paraId="62C5C2EE">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5.具备插拔式结构、独立输出触点，可直接控制其它外部设备；</w:t>
            </w:r>
          </w:p>
          <w:p w14:paraId="57D3FFB9">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6.工作电压：总线 15-28V 脉冲电压</w:t>
            </w:r>
          </w:p>
          <w:p w14:paraId="7B063F2F">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7.工作电流：总线静态电流：≤0.5mA，总线启动电流：≤1.0mA</w:t>
            </w:r>
          </w:p>
          <w:p w14:paraId="39B2EC41">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8.输出容量：额定 DC30V/100mA 无源输出触点信号，接触电阻≤100mΩ</w:t>
            </w:r>
          </w:p>
          <w:p w14:paraId="201E4EF5">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9.状态指示：启动指示灯，红色，正常巡检时周期性闪亮，闪亮周期约 6s，启动时常亮。回答指示灯，绿色，正常情况下不亮，有回答时常亮</w:t>
            </w:r>
          </w:p>
          <w:p w14:paraId="45C7E292">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10.使用环境温度-10℃～+55℃ ，相对湿度≤95%RH，不凝露</w:t>
            </w:r>
          </w:p>
          <w:p w14:paraId="204BE584">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11.壳体采用红色ABS材料 </w:t>
            </w:r>
          </w:p>
          <w:p w14:paraId="1AB0B0B4">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12.外壳防护等级：IP43</w:t>
            </w:r>
          </w:p>
        </w:tc>
        <w:tc>
          <w:tcPr>
            <w:tcW w:w="286" w:type="pct"/>
            <w:vAlign w:val="center"/>
          </w:tcPr>
          <w:p w14:paraId="0777A244">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42</w:t>
            </w:r>
          </w:p>
        </w:tc>
        <w:tc>
          <w:tcPr>
            <w:tcW w:w="214" w:type="pct"/>
            <w:vAlign w:val="center"/>
          </w:tcPr>
          <w:p w14:paraId="1398B90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64FE654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0.0080</w:t>
            </w:r>
          </w:p>
        </w:tc>
        <w:tc>
          <w:tcPr>
            <w:tcW w:w="575" w:type="pct"/>
            <w:vAlign w:val="center"/>
          </w:tcPr>
          <w:p w14:paraId="0E814A8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0.3360</w:t>
            </w:r>
          </w:p>
        </w:tc>
      </w:tr>
      <w:tr w14:paraId="27BB4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77F207CA">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97</w:t>
            </w:r>
          </w:p>
        </w:tc>
        <w:tc>
          <w:tcPr>
            <w:tcW w:w="599" w:type="pct"/>
            <w:vAlign w:val="center"/>
          </w:tcPr>
          <w:p w14:paraId="1B21C50C">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按钮底座</w:t>
            </w:r>
          </w:p>
          <w:p w14:paraId="79913027">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(艺术楼)</w:t>
            </w:r>
          </w:p>
        </w:tc>
        <w:tc>
          <w:tcPr>
            <w:tcW w:w="2441" w:type="pct"/>
            <w:gridSpan w:val="2"/>
            <w:vAlign w:val="center"/>
          </w:tcPr>
          <w:p w14:paraId="51F13D5B">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塑料材质，与手动火灾报警按钮、消火栓按钮配套使用。</w:t>
            </w:r>
          </w:p>
        </w:tc>
        <w:tc>
          <w:tcPr>
            <w:tcW w:w="286" w:type="pct"/>
            <w:vAlign w:val="center"/>
          </w:tcPr>
          <w:p w14:paraId="2ECBA932">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78</w:t>
            </w:r>
          </w:p>
        </w:tc>
        <w:tc>
          <w:tcPr>
            <w:tcW w:w="214" w:type="pct"/>
            <w:vAlign w:val="center"/>
          </w:tcPr>
          <w:p w14:paraId="5626B48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25E8CFA7">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0.0003</w:t>
            </w:r>
          </w:p>
        </w:tc>
        <w:tc>
          <w:tcPr>
            <w:tcW w:w="575" w:type="pct"/>
            <w:vAlign w:val="center"/>
          </w:tcPr>
          <w:p w14:paraId="6F72F20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0.0234</w:t>
            </w:r>
          </w:p>
        </w:tc>
      </w:tr>
      <w:tr w14:paraId="7017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57A0F2E4">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98</w:t>
            </w:r>
          </w:p>
        </w:tc>
        <w:tc>
          <w:tcPr>
            <w:tcW w:w="599" w:type="pct"/>
            <w:vAlign w:val="center"/>
          </w:tcPr>
          <w:p w14:paraId="5493025F">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输入模块</w:t>
            </w:r>
          </w:p>
          <w:p w14:paraId="26CEE5C8">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(艺术楼)</w:t>
            </w:r>
          </w:p>
        </w:tc>
        <w:tc>
          <w:tcPr>
            <w:tcW w:w="2441" w:type="pct"/>
            <w:gridSpan w:val="2"/>
            <w:vAlign w:val="center"/>
          </w:tcPr>
          <w:p w14:paraId="6A51F961">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1.电子编码方式（占一个总线地址点，编码范围在 1～242 之间任意设定），采用专用集成芯片，无极性二线制总线协议采用T3 协议；</w:t>
            </w:r>
          </w:p>
          <w:p w14:paraId="65D8E244">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2.总线、输入线、输出线之间均采用隔离设计，软硬件多级滤波，抗干扰能力强；</w:t>
            </w:r>
          </w:p>
          <w:p w14:paraId="4C6D3759">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3.输入可设置为常开或常闭模式，输出触点容量 30V/2.0A，终端电阻10KΩ；</w:t>
            </w:r>
          </w:p>
          <w:p w14:paraId="14F139B6">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4.无源触点输出、插拔式结构；电压总线工作电压：15～28V（脉冲电压）;</w:t>
            </w:r>
          </w:p>
          <w:p w14:paraId="053FAF92">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5.总线监视电流：≤0.4mA   总线动作电流：≤1.0mA；</w:t>
            </w:r>
          </w:p>
          <w:p w14:paraId="773F2D35">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6.配置输入指示灯：红色（正常监视状态闪亮一次，故障状态闪亮两次，反馈状态常亮）、输出指示灯：红色（动作状态常亮）；</w:t>
            </w:r>
          </w:p>
          <w:p w14:paraId="4DB63ACC">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7.使用环境：温 度：-10℃～55℃，相对湿度：≤95%RH，不凝露。</w:t>
            </w:r>
          </w:p>
        </w:tc>
        <w:tc>
          <w:tcPr>
            <w:tcW w:w="286" w:type="pct"/>
            <w:vAlign w:val="center"/>
          </w:tcPr>
          <w:p w14:paraId="62FA775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w:t>
            </w:r>
          </w:p>
        </w:tc>
        <w:tc>
          <w:tcPr>
            <w:tcW w:w="214" w:type="pct"/>
            <w:vAlign w:val="center"/>
          </w:tcPr>
          <w:p w14:paraId="3DC1B055">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4A96714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0.0150</w:t>
            </w:r>
          </w:p>
        </w:tc>
        <w:tc>
          <w:tcPr>
            <w:tcW w:w="575" w:type="pct"/>
            <w:vAlign w:val="center"/>
          </w:tcPr>
          <w:p w14:paraId="0884F782">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0.2400</w:t>
            </w:r>
          </w:p>
        </w:tc>
      </w:tr>
      <w:tr w14:paraId="4B9DD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5EC40333">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99</w:t>
            </w:r>
          </w:p>
        </w:tc>
        <w:tc>
          <w:tcPr>
            <w:tcW w:w="599" w:type="pct"/>
            <w:vAlign w:val="center"/>
          </w:tcPr>
          <w:p w14:paraId="20BBB789">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输入模块底座</w:t>
            </w:r>
          </w:p>
          <w:p w14:paraId="5C7CCDD9">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(艺术楼)</w:t>
            </w:r>
          </w:p>
        </w:tc>
        <w:tc>
          <w:tcPr>
            <w:tcW w:w="2441" w:type="pct"/>
            <w:gridSpan w:val="2"/>
            <w:vAlign w:val="center"/>
          </w:tcPr>
          <w:p w14:paraId="3AF1D7D2">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塑料材质，与输入模块配套使用。</w:t>
            </w:r>
          </w:p>
        </w:tc>
        <w:tc>
          <w:tcPr>
            <w:tcW w:w="286" w:type="pct"/>
            <w:vAlign w:val="center"/>
          </w:tcPr>
          <w:p w14:paraId="6AF172E5">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w:t>
            </w:r>
          </w:p>
        </w:tc>
        <w:tc>
          <w:tcPr>
            <w:tcW w:w="214" w:type="pct"/>
            <w:vAlign w:val="center"/>
          </w:tcPr>
          <w:p w14:paraId="4BD1B2B4">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46C17271">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0.0004</w:t>
            </w:r>
          </w:p>
        </w:tc>
        <w:tc>
          <w:tcPr>
            <w:tcW w:w="575" w:type="pct"/>
            <w:vAlign w:val="center"/>
          </w:tcPr>
          <w:p w14:paraId="065024BB">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0.0064</w:t>
            </w:r>
          </w:p>
        </w:tc>
      </w:tr>
      <w:tr w14:paraId="3D17B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027EA88F">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100</w:t>
            </w:r>
          </w:p>
        </w:tc>
        <w:tc>
          <w:tcPr>
            <w:tcW w:w="599" w:type="pct"/>
            <w:vAlign w:val="center"/>
          </w:tcPr>
          <w:p w14:paraId="501523BB">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输入/输出模块</w:t>
            </w:r>
          </w:p>
          <w:p w14:paraId="56089619">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(艺术楼)</w:t>
            </w:r>
          </w:p>
        </w:tc>
        <w:tc>
          <w:tcPr>
            <w:tcW w:w="2441" w:type="pct"/>
            <w:gridSpan w:val="2"/>
            <w:vAlign w:val="center"/>
          </w:tcPr>
          <w:p w14:paraId="227333C5">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1.电子编码方式（占一个总线地址点，编码范围在 1～242 之间任意设定），采用专用集成芯片，无极性二线制总线协议采用T3 协议；</w:t>
            </w:r>
          </w:p>
          <w:p w14:paraId="3895DB9E">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2.总线、输入线、输出线之间均采用隔离设计，软硬件多级滤波，抗干扰能力强；</w:t>
            </w:r>
          </w:p>
          <w:p w14:paraId="68170813">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3.输入可设置为常开或常闭模式，输出触点容量 30V/2.0A，终端电阻10KΩ；</w:t>
            </w:r>
          </w:p>
          <w:p w14:paraId="569DAC46">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4.无源触点输出、插拔式结构；电压总线工作电压：15～28V（脉冲电压）;</w:t>
            </w:r>
          </w:p>
          <w:p w14:paraId="79E6DE6E">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5.总线监视电流：≤0.5mA   总线动作电流：≤6.5mA；</w:t>
            </w:r>
          </w:p>
          <w:p w14:paraId="28F01C78">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6.配置输入指示灯：红色（正常监视状态闪亮一次，故障状态闪亮两次，反馈状态常亮）、输出指示灯：红色（动作状态常亮）；</w:t>
            </w:r>
          </w:p>
          <w:p w14:paraId="1E8100D6">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7.使用环境：温 度：-10℃～55℃，相对湿度：≤95%RH，不凝露。</w:t>
            </w:r>
          </w:p>
        </w:tc>
        <w:tc>
          <w:tcPr>
            <w:tcW w:w="286" w:type="pct"/>
            <w:vAlign w:val="center"/>
          </w:tcPr>
          <w:p w14:paraId="5609D208">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51CB50E6">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7FEB7924">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0.0150</w:t>
            </w:r>
          </w:p>
        </w:tc>
        <w:tc>
          <w:tcPr>
            <w:tcW w:w="575" w:type="pct"/>
            <w:vAlign w:val="center"/>
          </w:tcPr>
          <w:p w14:paraId="0793685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0.0150</w:t>
            </w:r>
          </w:p>
        </w:tc>
      </w:tr>
      <w:tr w14:paraId="5DAF7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519E3AB8">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101</w:t>
            </w:r>
          </w:p>
        </w:tc>
        <w:tc>
          <w:tcPr>
            <w:tcW w:w="599" w:type="pct"/>
            <w:vAlign w:val="center"/>
          </w:tcPr>
          <w:p w14:paraId="3E3F8F04">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输入/输出模块底座</w:t>
            </w:r>
          </w:p>
          <w:p w14:paraId="275E750E">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(艺术楼)</w:t>
            </w:r>
          </w:p>
        </w:tc>
        <w:tc>
          <w:tcPr>
            <w:tcW w:w="2441" w:type="pct"/>
            <w:gridSpan w:val="2"/>
            <w:vAlign w:val="center"/>
          </w:tcPr>
          <w:p w14:paraId="6DBD6370">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塑料材质，与输入输出模块配套使用。</w:t>
            </w:r>
          </w:p>
        </w:tc>
        <w:tc>
          <w:tcPr>
            <w:tcW w:w="286" w:type="pct"/>
            <w:vAlign w:val="center"/>
          </w:tcPr>
          <w:p w14:paraId="159CB93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387A8B2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50397A5C">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0.0004</w:t>
            </w:r>
          </w:p>
        </w:tc>
        <w:tc>
          <w:tcPr>
            <w:tcW w:w="575" w:type="pct"/>
            <w:vAlign w:val="center"/>
          </w:tcPr>
          <w:p w14:paraId="48180CC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0.0004</w:t>
            </w:r>
          </w:p>
        </w:tc>
      </w:tr>
      <w:tr w14:paraId="0C690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2F117726">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102</w:t>
            </w:r>
          </w:p>
        </w:tc>
        <w:tc>
          <w:tcPr>
            <w:tcW w:w="599" w:type="pct"/>
            <w:vAlign w:val="center"/>
          </w:tcPr>
          <w:p w14:paraId="4C14BD94">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输入/输出模块</w:t>
            </w:r>
          </w:p>
          <w:p w14:paraId="52B9A943">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(艺术楼)</w:t>
            </w:r>
          </w:p>
        </w:tc>
        <w:tc>
          <w:tcPr>
            <w:tcW w:w="2441" w:type="pct"/>
            <w:gridSpan w:val="2"/>
            <w:vAlign w:val="center"/>
          </w:tcPr>
          <w:p w14:paraId="379F48A8">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1.电子编码方式（占一个总线地址点，编码范围在 1～242 之间任意设定），采用专用集成芯片，无极性二线制总线协议采用T3 协议；</w:t>
            </w:r>
          </w:p>
          <w:p w14:paraId="74B31C49">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2.总线、输入线、输出线之间均采用隔离设计，软硬件多级滤波，抗干扰能力强；</w:t>
            </w:r>
          </w:p>
          <w:p w14:paraId="165112C2">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3.输入可设置为常开或常闭模式，输出触点容量DC32V/1.5A/30ms，终端电阻10KΩ；</w:t>
            </w:r>
          </w:p>
          <w:p w14:paraId="3F49683B">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4.无源触点输出、插拔式结构；电压总线工作电压：15～28V（脉冲电压）;</w:t>
            </w:r>
          </w:p>
          <w:p w14:paraId="7E306B68">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5.总线监视电流：≤0.5mA   总线动作电流：≤2mA；</w:t>
            </w:r>
          </w:p>
          <w:p w14:paraId="22957C07">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6.配置输入指示灯：红色（正常监视状态闪亮一次，故障状态闪亮两次，反馈状态常亮）、输出指示灯：红色（动作状态常亮）；</w:t>
            </w:r>
          </w:p>
          <w:p w14:paraId="5BC3ED23">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7.使用环境：温 度：-10℃～55℃，相对湿度：≤95%RH，不凝露。</w:t>
            </w:r>
          </w:p>
        </w:tc>
        <w:tc>
          <w:tcPr>
            <w:tcW w:w="286" w:type="pct"/>
            <w:vAlign w:val="center"/>
          </w:tcPr>
          <w:p w14:paraId="066D3454">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w:t>
            </w:r>
          </w:p>
        </w:tc>
        <w:tc>
          <w:tcPr>
            <w:tcW w:w="214" w:type="pct"/>
            <w:vAlign w:val="center"/>
          </w:tcPr>
          <w:p w14:paraId="267D417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2E459952">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0.0150</w:t>
            </w:r>
          </w:p>
        </w:tc>
        <w:tc>
          <w:tcPr>
            <w:tcW w:w="575" w:type="pct"/>
            <w:vAlign w:val="center"/>
          </w:tcPr>
          <w:p w14:paraId="3F17BAE0">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0.0600</w:t>
            </w:r>
          </w:p>
        </w:tc>
      </w:tr>
      <w:tr w14:paraId="103B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3422C901">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103</w:t>
            </w:r>
          </w:p>
        </w:tc>
        <w:tc>
          <w:tcPr>
            <w:tcW w:w="599" w:type="pct"/>
            <w:vAlign w:val="center"/>
          </w:tcPr>
          <w:p w14:paraId="358604D4">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输入/输出模块底座</w:t>
            </w:r>
          </w:p>
          <w:p w14:paraId="71740E35">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(艺术楼)</w:t>
            </w:r>
          </w:p>
        </w:tc>
        <w:tc>
          <w:tcPr>
            <w:tcW w:w="2441" w:type="pct"/>
            <w:gridSpan w:val="2"/>
            <w:vAlign w:val="center"/>
          </w:tcPr>
          <w:p w14:paraId="0C51F541">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塑料材质，与输入输出模块配套使用。</w:t>
            </w:r>
          </w:p>
        </w:tc>
        <w:tc>
          <w:tcPr>
            <w:tcW w:w="286" w:type="pct"/>
            <w:vAlign w:val="center"/>
          </w:tcPr>
          <w:p w14:paraId="3F3A649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w:t>
            </w:r>
          </w:p>
        </w:tc>
        <w:tc>
          <w:tcPr>
            <w:tcW w:w="214" w:type="pct"/>
            <w:vAlign w:val="center"/>
          </w:tcPr>
          <w:p w14:paraId="3E32454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2999A79D">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0.0004</w:t>
            </w:r>
          </w:p>
        </w:tc>
        <w:tc>
          <w:tcPr>
            <w:tcW w:w="575" w:type="pct"/>
            <w:vAlign w:val="center"/>
          </w:tcPr>
          <w:p w14:paraId="06C0098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0.0016</w:t>
            </w:r>
          </w:p>
        </w:tc>
      </w:tr>
      <w:tr w14:paraId="2386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4CFB6D23">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104</w:t>
            </w:r>
          </w:p>
        </w:tc>
        <w:tc>
          <w:tcPr>
            <w:tcW w:w="599" w:type="pct"/>
            <w:vAlign w:val="center"/>
          </w:tcPr>
          <w:p w14:paraId="6496C0B0">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火灾声光警报器</w:t>
            </w:r>
          </w:p>
          <w:p w14:paraId="066B0C23">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(艺术楼)</w:t>
            </w:r>
          </w:p>
        </w:tc>
        <w:tc>
          <w:tcPr>
            <w:tcW w:w="2441" w:type="pct"/>
            <w:gridSpan w:val="2"/>
            <w:vAlign w:val="center"/>
          </w:tcPr>
          <w:p w14:paraId="53BD5947">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1.采用专用集成芯片，电子编码（占一个总线地址点，编码范围在 1～242 之间任意设定），无极性二总线，总线协议采用T3 协议，总线电压：脉冲 24V（15V～28V) 。总线监视电流：≤0.4mA 总线启动电流：≤2mA</w:t>
            </w:r>
          </w:p>
          <w:p w14:paraId="2216EC56">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2.软硬件多级滤波，抗干扰能力强；</w:t>
            </w:r>
          </w:p>
          <w:p w14:paraId="6475562A">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3.声与光可独自控制，实现声光与广播交替报警，多只高亮LED作为光源。声音变调周期：2.5S～4.5S、闪光频率：1.2Hz～1.8Hz</w:t>
            </w:r>
          </w:p>
          <w:p w14:paraId="04776892">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4.声 压 级：启动后声音由小变大，3～5 秒后达到稳定，稳定后正前方 3 米处 75dB～105dB（A 计权）</w:t>
            </w:r>
          </w:p>
          <w:p w14:paraId="73F35E4F">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5.使用环境温 度：-10℃～+55℃，相对湿度：≤95%RH，不凝露</w:t>
            </w:r>
          </w:p>
        </w:tc>
        <w:tc>
          <w:tcPr>
            <w:tcW w:w="286" w:type="pct"/>
            <w:vAlign w:val="center"/>
          </w:tcPr>
          <w:p w14:paraId="5A760285">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32</w:t>
            </w:r>
          </w:p>
        </w:tc>
        <w:tc>
          <w:tcPr>
            <w:tcW w:w="214" w:type="pct"/>
            <w:vAlign w:val="center"/>
          </w:tcPr>
          <w:p w14:paraId="7C4B920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7A2E6EC8">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0.0100</w:t>
            </w:r>
          </w:p>
        </w:tc>
        <w:tc>
          <w:tcPr>
            <w:tcW w:w="575" w:type="pct"/>
            <w:vAlign w:val="center"/>
          </w:tcPr>
          <w:p w14:paraId="625CF740">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0.3200</w:t>
            </w:r>
          </w:p>
        </w:tc>
      </w:tr>
      <w:tr w14:paraId="0FE9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6E19B73B">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105</w:t>
            </w:r>
          </w:p>
        </w:tc>
        <w:tc>
          <w:tcPr>
            <w:tcW w:w="599" w:type="pct"/>
            <w:vAlign w:val="center"/>
          </w:tcPr>
          <w:p w14:paraId="6B97467F">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火灾声光警报器底座</w:t>
            </w:r>
          </w:p>
          <w:p w14:paraId="25785DE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(艺术楼)</w:t>
            </w:r>
          </w:p>
        </w:tc>
        <w:tc>
          <w:tcPr>
            <w:tcW w:w="2441" w:type="pct"/>
            <w:gridSpan w:val="2"/>
            <w:vAlign w:val="center"/>
          </w:tcPr>
          <w:p w14:paraId="15B7A384">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与编码型声光警报器配套使用。</w:t>
            </w:r>
          </w:p>
        </w:tc>
        <w:tc>
          <w:tcPr>
            <w:tcW w:w="286" w:type="pct"/>
            <w:vAlign w:val="center"/>
          </w:tcPr>
          <w:p w14:paraId="4108B9B2">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32</w:t>
            </w:r>
          </w:p>
        </w:tc>
        <w:tc>
          <w:tcPr>
            <w:tcW w:w="214" w:type="pct"/>
            <w:vAlign w:val="center"/>
          </w:tcPr>
          <w:p w14:paraId="06C8CB18">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6023FAA2">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0.0004</w:t>
            </w:r>
          </w:p>
        </w:tc>
        <w:tc>
          <w:tcPr>
            <w:tcW w:w="575" w:type="pct"/>
            <w:vAlign w:val="center"/>
          </w:tcPr>
          <w:p w14:paraId="5F530B6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0.0128</w:t>
            </w:r>
          </w:p>
        </w:tc>
      </w:tr>
      <w:tr w14:paraId="5AAAA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18F546C5">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106</w:t>
            </w:r>
          </w:p>
        </w:tc>
        <w:tc>
          <w:tcPr>
            <w:tcW w:w="599" w:type="pct"/>
            <w:vAlign w:val="center"/>
          </w:tcPr>
          <w:p w14:paraId="14A8A3F9">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隔离器</w:t>
            </w:r>
          </w:p>
          <w:p w14:paraId="24A747F9">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(艺术楼)</w:t>
            </w:r>
          </w:p>
        </w:tc>
        <w:tc>
          <w:tcPr>
            <w:tcW w:w="2441" w:type="pct"/>
            <w:gridSpan w:val="2"/>
            <w:vAlign w:val="center"/>
          </w:tcPr>
          <w:p w14:paraId="4080DDFE">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1.与控制器连接采用无极性二总线连接，总线与输入线采用隔离设计，可隔离总线上发生短路部分的设备，保证总线上的其它设备正常工作，总线短路故障排除后，可自动将被隔离部分重新纳入系统；</w:t>
            </w:r>
          </w:p>
          <w:p w14:paraId="2AD13E81">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2.内置专用集成芯片，插拔式结构，可灵活安装使用。；</w:t>
            </w:r>
          </w:p>
          <w:p w14:paraId="38579D8D">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3.软硬件多级滤波，具备抗干扰能力；</w:t>
            </w:r>
          </w:p>
          <w:p w14:paraId="1443F707">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4.工作电流：总线24V，100mA； 总线24V，200mA（K短接）、动作电流≥100mA或200mA（此时K短接）100mA、200mA两种输出电流可选；</w:t>
            </w:r>
          </w:p>
          <w:p w14:paraId="0E6881FE">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5.具备有指示灯，可显示红色（正常监视状态不亮，动作时常亮）</w:t>
            </w:r>
          </w:p>
          <w:p w14:paraId="5A4F9476">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6.使用环境温 度：-10℃～+55℃,相对湿度≤95%，不凝露</w:t>
            </w:r>
          </w:p>
          <w:p w14:paraId="39FF4CA2">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7.壳体材料：ABS材质</w:t>
            </w:r>
          </w:p>
        </w:tc>
        <w:tc>
          <w:tcPr>
            <w:tcW w:w="286" w:type="pct"/>
            <w:vAlign w:val="center"/>
          </w:tcPr>
          <w:p w14:paraId="122BAD8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w:t>
            </w:r>
          </w:p>
        </w:tc>
        <w:tc>
          <w:tcPr>
            <w:tcW w:w="214" w:type="pct"/>
            <w:vAlign w:val="center"/>
          </w:tcPr>
          <w:p w14:paraId="30ADFE1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1DF9D2E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0.0130</w:t>
            </w:r>
          </w:p>
        </w:tc>
        <w:tc>
          <w:tcPr>
            <w:tcW w:w="575" w:type="pct"/>
            <w:vAlign w:val="center"/>
          </w:tcPr>
          <w:p w14:paraId="141DEA1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0.1040</w:t>
            </w:r>
          </w:p>
        </w:tc>
      </w:tr>
      <w:tr w14:paraId="509E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5F08D5C4">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107</w:t>
            </w:r>
          </w:p>
        </w:tc>
        <w:tc>
          <w:tcPr>
            <w:tcW w:w="599" w:type="pct"/>
            <w:vAlign w:val="center"/>
          </w:tcPr>
          <w:p w14:paraId="70FDA654">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隔离器底座</w:t>
            </w:r>
          </w:p>
          <w:p w14:paraId="4DE2D475">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(艺术楼)</w:t>
            </w:r>
          </w:p>
        </w:tc>
        <w:tc>
          <w:tcPr>
            <w:tcW w:w="2441" w:type="pct"/>
            <w:gridSpan w:val="2"/>
            <w:vAlign w:val="center"/>
          </w:tcPr>
          <w:p w14:paraId="11FD74BB">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塑料材质，与隔离器配套使用。</w:t>
            </w:r>
          </w:p>
        </w:tc>
        <w:tc>
          <w:tcPr>
            <w:tcW w:w="286" w:type="pct"/>
            <w:vAlign w:val="center"/>
          </w:tcPr>
          <w:p w14:paraId="4373F6C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w:t>
            </w:r>
          </w:p>
        </w:tc>
        <w:tc>
          <w:tcPr>
            <w:tcW w:w="214" w:type="pct"/>
            <w:vAlign w:val="center"/>
          </w:tcPr>
          <w:p w14:paraId="52D04AF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1BD92241">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0.0004</w:t>
            </w:r>
          </w:p>
        </w:tc>
        <w:tc>
          <w:tcPr>
            <w:tcW w:w="575" w:type="pct"/>
            <w:vAlign w:val="center"/>
          </w:tcPr>
          <w:p w14:paraId="7403CB6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0.0032</w:t>
            </w:r>
          </w:p>
        </w:tc>
      </w:tr>
      <w:tr w14:paraId="6DF14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6C01A4A4">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108</w:t>
            </w:r>
          </w:p>
        </w:tc>
        <w:tc>
          <w:tcPr>
            <w:tcW w:w="599" w:type="pct"/>
            <w:vAlign w:val="center"/>
          </w:tcPr>
          <w:p w14:paraId="16162B9B">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壁挂式消防电话分机</w:t>
            </w:r>
          </w:p>
          <w:p w14:paraId="6B938EE1">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(艺术楼)</w:t>
            </w:r>
          </w:p>
        </w:tc>
        <w:tc>
          <w:tcPr>
            <w:tcW w:w="2441" w:type="pct"/>
            <w:gridSpan w:val="2"/>
            <w:vAlign w:val="center"/>
          </w:tcPr>
          <w:p w14:paraId="16DD4913">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1、工作电压：DC24V（电话总线 18V～28V）</w:t>
            </w:r>
          </w:p>
          <w:p w14:paraId="424910C7">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2、工作电流：≤25mA</w:t>
            </w:r>
          </w:p>
          <w:p w14:paraId="081588F3">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3、频率响应：300-3400Hz</w:t>
            </w:r>
          </w:p>
          <w:p w14:paraId="3D337FE9">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4、振铃声级：≥70dB</w:t>
            </w:r>
          </w:p>
          <w:p w14:paraId="7BBED8DF">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5、线 制：与消防电话总机采用无极性二总线连接</w:t>
            </w:r>
          </w:p>
          <w:p w14:paraId="6392CAEF">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6、插头类型：3.5mm 单声道音频插头</w:t>
            </w:r>
          </w:p>
          <w:p w14:paraId="118030A2">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7、颜色：消防红色</w:t>
            </w:r>
          </w:p>
          <w:p w14:paraId="7DD6695A">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8、具备地址编码功能，采用电子编码方式</w:t>
            </w:r>
          </w:p>
          <w:p w14:paraId="25948BDF">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9、安装方式采用固定壁挂式，配套安装固定座</w:t>
            </w:r>
          </w:p>
          <w:p w14:paraId="4EC6AC53">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10、接入手动火灾报警按钮的电话插孔与本楼栋消防电话总机进行全双工通话</w:t>
            </w:r>
          </w:p>
        </w:tc>
        <w:tc>
          <w:tcPr>
            <w:tcW w:w="286" w:type="pct"/>
            <w:vAlign w:val="center"/>
          </w:tcPr>
          <w:p w14:paraId="36CDBC7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w:t>
            </w:r>
          </w:p>
        </w:tc>
        <w:tc>
          <w:tcPr>
            <w:tcW w:w="214" w:type="pct"/>
            <w:vAlign w:val="center"/>
          </w:tcPr>
          <w:p w14:paraId="0DC46360">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4224FF31">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0.0168</w:t>
            </w:r>
          </w:p>
        </w:tc>
        <w:tc>
          <w:tcPr>
            <w:tcW w:w="575" w:type="pct"/>
            <w:vAlign w:val="center"/>
          </w:tcPr>
          <w:p w14:paraId="205EBFD0">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0.1176</w:t>
            </w:r>
          </w:p>
        </w:tc>
      </w:tr>
      <w:tr w14:paraId="56576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5D2B9809">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109</w:t>
            </w:r>
          </w:p>
        </w:tc>
        <w:tc>
          <w:tcPr>
            <w:tcW w:w="599" w:type="pct"/>
            <w:vAlign w:val="center"/>
          </w:tcPr>
          <w:p w14:paraId="6C746A82">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便携式消防电话分机</w:t>
            </w:r>
          </w:p>
          <w:p w14:paraId="4926E3E1">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(艺术楼)</w:t>
            </w:r>
          </w:p>
        </w:tc>
        <w:tc>
          <w:tcPr>
            <w:tcW w:w="2441" w:type="pct"/>
            <w:gridSpan w:val="2"/>
            <w:vAlign w:val="center"/>
          </w:tcPr>
          <w:p w14:paraId="740102E1">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1.电话可随身携带，用于消防管理人员现场使用，通过接入手动火灾报警按钮的电话插孔与消防电话总机进行全双工通话，硬件采用专用电话芯片，具备清晰通话声音；</w:t>
            </w:r>
          </w:p>
          <w:p w14:paraId="65D87144">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2.工作电压：DC24V（电话总线 18V～28V）</w:t>
            </w:r>
          </w:p>
          <w:p w14:paraId="3B7E1D89">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3.工作电流：≤25mA</w:t>
            </w:r>
          </w:p>
          <w:p w14:paraId="703FF6D2">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4.线 制：与消防电话总机采用无极性二总线连接</w:t>
            </w:r>
          </w:p>
          <w:p w14:paraId="60ECBF43">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5.语音频率：300Hz～3400Hz</w:t>
            </w:r>
          </w:p>
          <w:p w14:paraId="7572599C">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6.插头类型：3.5mm 单声道音频插头</w:t>
            </w:r>
          </w:p>
          <w:p w14:paraId="3EE4A192">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7.使用环境：温 度：-10℃～+55℃，相对湿度：≤95%RH，不凝露</w:t>
            </w:r>
          </w:p>
          <w:p w14:paraId="64172718">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8.壳体材料颜色：红色ABS材料</w:t>
            </w:r>
          </w:p>
        </w:tc>
        <w:tc>
          <w:tcPr>
            <w:tcW w:w="286" w:type="pct"/>
            <w:vAlign w:val="center"/>
          </w:tcPr>
          <w:p w14:paraId="6743A161">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2892E207">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25F5ED94">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0.0168</w:t>
            </w:r>
          </w:p>
        </w:tc>
        <w:tc>
          <w:tcPr>
            <w:tcW w:w="575" w:type="pct"/>
            <w:vAlign w:val="center"/>
          </w:tcPr>
          <w:p w14:paraId="66A801BB">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0.0168</w:t>
            </w:r>
          </w:p>
        </w:tc>
      </w:tr>
      <w:tr w14:paraId="20F3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713B2A9E">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110</w:t>
            </w:r>
          </w:p>
        </w:tc>
        <w:tc>
          <w:tcPr>
            <w:tcW w:w="599" w:type="pct"/>
            <w:vAlign w:val="center"/>
          </w:tcPr>
          <w:p w14:paraId="05DEE317">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铅酸蓄电池（卧式）</w:t>
            </w:r>
          </w:p>
          <w:p w14:paraId="52BAAE37">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(艺术楼)</w:t>
            </w:r>
          </w:p>
        </w:tc>
        <w:tc>
          <w:tcPr>
            <w:tcW w:w="2441" w:type="pct"/>
            <w:gridSpan w:val="2"/>
            <w:vAlign w:val="center"/>
          </w:tcPr>
          <w:p w14:paraId="5EBA4B0C">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12V/24AH密封铅酸电池，用于立柜主机和琴台主机。</w:t>
            </w:r>
          </w:p>
        </w:tc>
        <w:tc>
          <w:tcPr>
            <w:tcW w:w="286" w:type="pct"/>
            <w:vAlign w:val="center"/>
          </w:tcPr>
          <w:p w14:paraId="2BDDE7B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214" w:type="pct"/>
            <w:vAlign w:val="center"/>
          </w:tcPr>
          <w:p w14:paraId="7B1062CC">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节</w:t>
            </w:r>
          </w:p>
        </w:tc>
        <w:tc>
          <w:tcPr>
            <w:tcW w:w="570" w:type="pct"/>
            <w:vAlign w:val="center"/>
          </w:tcPr>
          <w:p w14:paraId="3EAB393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0.0400</w:t>
            </w:r>
          </w:p>
        </w:tc>
        <w:tc>
          <w:tcPr>
            <w:tcW w:w="575" w:type="pct"/>
            <w:vAlign w:val="center"/>
          </w:tcPr>
          <w:p w14:paraId="49BE3491">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0.0800</w:t>
            </w:r>
          </w:p>
        </w:tc>
      </w:tr>
      <w:tr w14:paraId="6E14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359FE5EE">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111</w:t>
            </w:r>
          </w:p>
        </w:tc>
        <w:tc>
          <w:tcPr>
            <w:tcW w:w="599" w:type="pct"/>
            <w:vAlign w:val="center"/>
          </w:tcPr>
          <w:p w14:paraId="5244AFAE">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消防电话总机</w:t>
            </w:r>
          </w:p>
          <w:p w14:paraId="30148658">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(艺术楼)</w:t>
            </w:r>
          </w:p>
        </w:tc>
        <w:tc>
          <w:tcPr>
            <w:tcW w:w="2441" w:type="pct"/>
            <w:gridSpan w:val="2"/>
            <w:vAlign w:val="center"/>
          </w:tcPr>
          <w:p w14:paraId="1E72B989">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1.符合 GB 16806-2006《消防联动控制系统》国家标准</w:t>
            </w:r>
          </w:p>
          <w:p w14:paraId="32446EE6">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2.采用无极性二总线，通讯与通话共用线路</w:t>
            </w:r>
          </w:p>
          <w:p w14:paraId="065F34E4">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3.最多可连接100部消防电话分机，支持最多3部电话限时通话</w:t>
            </w:r>
          </w:p>
          <w:p w14:paraId="0D7CBF4F">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4.可以存储9小时以上通话录音及999条记录，可按时间或类型查询</w:t>
            </w:r>
          </w:p>
          <w:p w14:paraId="05C4012F">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5.采用黑白色的128X64液晶屏，可显示32个汉字</w:t>
            </w:r>
          </w:p>
          <w:p w14:paraId="4B6E267D">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6.支持USB离线编写分机位置信息功能</w:t>
            </w:r>
          </w:p>
          <w:p w14:paraId="5BC76F03">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7.支持USB下载及上传设备信息</w:t>
            </w:r>
          </w:p>
          <w:p w14:paraId="0CFAAB9F">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8.2U标准入柜式</w:t>
            </w:r>
          </w:p>
          <w:p w14:paraId="0796AAF6">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9.额定电压：DC24V（电压范围 DC20V~28V）</w:t>
            </w:r>
          </w:p>
          <w:p w14:paraId="3A295BAF">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10.工作电流：600mA</w:t>
            </w:r>
          </w:p>
          <w:p w14:paraId="5FAF2AE1">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11.容 量：128 个地址点（范围 1~128）</w:t>
            </w:r>
          </w:p>
          <w:p w14:paraId="5E0CDF90">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12.话音频率：300Hz～3400Hz</w:t>
            </w:r>
          </w:p>
          <w:p w14:paraId="2EE991BF">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13.串音电平：≤-60dB</w:t>
            </w:r>
          </w:p>
          <w:p w14:paraId="51891E95">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14.传输损耗：≤5dB</w:t>
            </w:r>
          </w:p>
        </w:tc>
        <w:tc>
          <w:tcPr>
            <w:tcW w:w="286" w:type="pct"/>
            <w:vAlign w:val="center"/>
          </w:tcPr>
          <w:p w14:paraId="14671DF0">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52F43190">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7D1E560C">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0.2000</w:t>
            </w:r>
          </w:p>
        </w:tc>
        <w:tc>
          <w:tcPr>
            <w:tcW w:w="575" w:type="pct"/>
            <w:vAlign w:val="center"/>
          </w:tcPr>
          <w:p w14:paraId="0FD80A6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0.2000</w:t>
            </w:r>
          </w:p>
        </w:tc>
      </w:tr>
      <w:tr w14:paraId="4404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1B273407">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112</w:t>
            </w:r>
          </w:p>
        </w:tc>
        <w:tc>
          <w:tcPr>
            <w:tcW w:w="599" w:type="pct"/>
            <w:vAlign w:val="center"/>
          </w:tcPr>
          <w:p w14:paraId="4A03B9E6">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火灾报警控制器/消防联动控制器</w:t>
            </w:r>
          </w:p>
          <w:p w14:paraId="0BFF7FBB">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(艺术楼)</w:t>
            </w:r>
          </w:p>
        </w:tc>
        <w:tc>
          <w:tcPr>
            <w:tcW w:w="2441" w:type="pct"/>
            <w:gridSpan w:val="2"/>
            <w:vAlign w:val="center"/>
          </w:tcPr>
          <w:p w14:paraId="63D3CDDF">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1.采用立柜式，配套标准立柜。≥7英寸TFT彩色液晶显示，自带数字、英文、汉字拼音输入法</w:t>
            </w:r>
          </w:p>
          <w:p w14:paraId="4F8DD2E8">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2.控制器采用ARM核心处理器，基于嵌入式操作系统平台，支持实时多任务程序同步运行；</w:t>
            </w:r>
          </w:p>
          <w:p w14:paraId="0EE0E188">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3.配套2个回路，最大可扩展至6回路，报警联动点总数≥484点；</w:t>
            </w:r>
          </w:p>
          <w:p w14:paraId="6438CA50">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4.含一块128点总线操作盘，可用于直接控制现场联动设备，自带6点直接启动操作键，可扩展到10点，用于控制消防泵、排烟机等重要设备；</w:t>
            </w:r>
          </w:p>
          <w:p w14:paraId="71B649D5">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5.全隔离式总线回路卡，采用的CAN总线无主从联网，系统响应速度快，稳定性高。总线协议为T3 协议</w:t>
            </w:r>
          </w:p>
          <w:p w14:paraId="793B6A5C">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6.集中加区域型设计，可扩展至128台主机联网，加强了消防联动控制功能；</w:t>
            </w:r>
          </w:p>
          <w:p w14:paraId="776C4088">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7.显示界面具有火警、联动、故障、屏蔽、监管信息查询快捷键；</w:t>
            </w:r>
          </w:p>
          <w:p w14:paraId="0EF49E04">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8.具有监管、延时功能，电磁兼容设计，防雷、抗干扰</w:t>
            </w:r>
          </w:p>
          <w:p w14:paraId="595EB5A0">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9.控制系统的所有对外接口全部配备了浪涌滤波器，用于吸收控制系统传输线路上由于雷电感应而引起的浪涌冲击，最大限度的降低了雷电或电网浪涌冲击对系统破坏的风险；</w:t>
            </w:r>
          </w:p>
          <w:p w14:paraId="216AA17B">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10.交流电源：额定工作电压～220V（187V～242V），配套联动电源，输出最大8A，配备备用电源：12V/24AH电池2节</w:t>
            </w:r>
          </w:p>
        </w:tc>
        <w:tc>
          <w:tcPr>
            <w:tcW w:w="286" w:type="pct"/>
            <w:vAlign w:val="center"/>
          </w:tcPr>
          <w:p w14:paraId="12C1A3C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29B5F18D">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c>
          <w:tcPr>
            <w:tcW w:w="570" w:type="pct"/>
            <w:vAlign w:val="center"/>
          </w:tcPr>
          <w:p w14:paraId="44006E4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0.9500</w:t>
            </w:r>
          </w:p>
        </w:tc>
        <w:tc>
          <w:tcPr>
            <w:tcW w:w="575" w:type="pct"/>
            <w:vAlign w:val="center"/>
          </w:tcPr>
          <w:p w14:paraId="5F93CBF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0.9500</w:t>
            </w:r>
          </w:p>
        </w:tc>
      </w:tr>
      <w:tr w14:paraId="21A5D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0B209E2A">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113</w:t>
            </w:r>
          </w:p>
        </w:tc>
        <w:tc>
          <w:tcPr>
            <w:tcW w:w="599" w:type="pct"/>
            <w:vAlign w:val="center"/>
          </w:tcPr>
          <w:p w14:paraId="7D606CD3">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点型光电感烟火灾探测器</w:t>
            </w:r>
          </w:p>
          <w:p w14:paraId="773BC400">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(格致楼)</w:t>
            </w:r>
          </w:p>
        </w:tc>
        <w:tc>
          <w:tcPr>
            <w:tcW w:w="2441" w:type="pct"/>
            <w:gridSpan w:val="2"/>
            <w:vAlign w:val="center"/>
          </w:tcPr>
          <w:p w14:paraId="4ADB1CD3">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1.采用电子编码，采用二线制总线，总线电压 15~28V，无极性；</w:t>
            </w:r>
          </w:p>
          <w:p w14:paraId="52EDA8FC">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2.具有溢水孔防水设计、PCB板全密封防护工艺；</w:t>
            </w:r>
          </w:p>
          <w:p w14:paraId="0278BFB1">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3.指示灯360度可见，采用牢固结构；</w:t>
            </w:r>
          </w:p>
          <w:p w14:paraId="6D5E8B3E">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4.软硬件滤波，抗干扰能力强。具备自动补偿功能，对于一定程度上因为外部环境（温度、湿度、灰尘、静电等）因素的变化而而引起的性能漂移，可自动进行补偿，提高感烟探测器的可靠性；</w:t>
            </w:r>
          </w:p>
          <w:p w14:paraId="5F10AE3A">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5.具备准确判断24小时内发生的慢性火灾；</w:t>
            </w:r>
          </w:p>
          <w:p w14:paraId="1DF8DCC9">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6.采用低功耗设计监视状态≤0.4mA，报警状态≤0.9mA，降低系统的负荷；</w:t>
            </w:r>
          </w:p>
          <w:p w14:paraId="6F3ACC34">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7.具备有智能化判断火警、传感器故障、清洗预报功能；</w:t>
            </w:r>
          </w:p>
          <w:p w14:paraId="3DB8E824">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8.指 示 灯：具备巡检时周期性闪烁，火警时常亮，故障时熄灭</w:t>
            </w:r>
          </w:p>
          <w:p w14:paraId="79AE93A7">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9.使用环境：温度-10℃～+55℃；相对湿度≤95%，不凝露</w:t>
            </w:r>
          </w:p>
        </w:tc>
        <w:tc>
          <w:tcPr>
            <w:tcW w:w="286" w:type="pct"/>
            <w:vAlign w:val="center"/>
          </w:tcPr>
          <w:p w14:paraId="3963610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160</w:t>
            </w:r>
          </w:p>
        </w:tc>
        <w:tc>
          <w:tcPr>
            <w:tcW w:w="214" w:type="pct"/>
            <w:vAlign w:val="center"/>
          </w:tcPr>
          <w:p w14:paraId="348F4BCD">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785BB8A8">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0.0110</w:t>
            </w:r>
          </w:p>
        </w:tc>
        <w:tc>
          <w:tcPr>
            <w:tcW w:w="575" w:type="pct"/>
            <w:vAlign w:val="center"/>
          </w:tcPr>
          <w:p w14:paraId="71C80648">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1.7600</w:t>
            </w:r>
          </w:p>
        </w:tc>
      </w:tr>
      <w:tr w14:paraId="24AE7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735E9F65">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114</w:t>
            </w:r>
          </w:p>
        </w:tc>
        <w:tc>
          <w:tcPr>
            <w:tcW w:w="599" w:type="pct"/>
            <w:vAlign w:val="center"/>
          </w:tcPr>
          <w:p w14:paraId="1015E260">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点型感温火灾探测器</w:t>
            </w:r>
          </w:p>
          <w:p w14:paraId="329A39F1">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(格致楼)</w:t>
            </w:r>
          </w:p>
        </w:tc>
        <w:tc>
          <w:tcPr>
            <w:tcW w:w="2441" w:type="pct"/>
            <w:gridSpan w:val="2"/>
            <w:vAlign w:val="center"/>
          </w:tcPr>
          <w:p w14:paraId="61ADADD0">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1.采用电子编码，无级性二线制总线，总线电压为15~28V脉冲电压；</w:t>
            </w:r>
          </w:p>
          <w:p w14:paraId="5EF1E78B">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2.具有溢水孔防水设计、PCB板全密封防护工艺；</w:t>
            </w:r>
          </w:p>
          <w:p w14:paraId="014C9751">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3.指示灯360度可见，采用牢固结构；</w:t>
            </w:r>
          </w:p>
          <w:p w14:paraId="7255AD67">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4.软硬件滤波，抗干扰能力强。具备自动补偿功能，对于一定程度上因为外部环境（温度、湿度、灰尘、静电等）因素的变化而而引起的性能漂移，可自动进行补偿，提高感烟探测器的可靠性；</w:t>
            </w:r>
          </w:p>
          <w:p w14:paraId="5BEA4459">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5.采用低功耗设计总线静态电流≤0.35mA，报警状态≤0.55mA，降低系统的负荷；</w:t>
            </w:r>
          </w:p>
          <w:p w14:paraId="454D0058">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6.具备有智能化判断火警、传感器故障功能；</w:t>
            </w:r>
          </w:p>
          <w:p w14:paraId="36130D08">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8.指示 ：正常监视状态（LED 灯周期性地闪亮），火 警 状 态（LED 灯常亮），故 障 状 态（LED 灯常灭或无规律闪亮）；</w:t>
            </w:r>
          </w:p>
          <w:p w14:paraId="13E7B650">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9.使用环境：温度-10℃～+50℃；相对湿度≤95%，不凝露。</w:t>
            </w:r>
          </w:p>
        </w:tc>
        <w:tc>
          <w:tcPr>
            <w:tcW w:w="286" w:type="pct"/>
            <w:vAlign w:val="center"/>
          </w:tcPr>
          <w:p w14:paraId="3B49DCB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75</w:t>
            </w:r>
          </w:p>
        </w:tc>
        <w:tc>
          <w:tcPr>
            <w:tcW w:w="214" w:type="pct"/>
            <w:vAlign w:val="center"/>
          </w:tcPr>
          <w:p w14:paraId="1BA49D5D">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1535C690">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0.0080</w:t>
            </w:r>
          </w:p>
        </w:tc>
        <w:tc>
          <w:tcPr>
            <w:tcW w:w="575" w:type="pct"/>
            <w:vAlign w:val="center"/>
          </w:tcPr>
          <w:p w14:paraId="4B0F4A9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0.6000</w:t>
            </w:r>
          </w:p>
        </w:tc>
      </w:tr>
      <w:tr w14:paraId="6F37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53A8E814">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115</w:t>
            </w:r>
          </w:p>
        </w:tc>
        <w:tc>
          <w:tcPr>
            <w:tcW w:w="599" w:type="pct"/>
            <w:vAlign w:val="center"/>
          </w:tcPr>
          <w:p w14:paraId="11DC30EB">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探测器底座</w:t>
            </w:r>
          </w:p>
          <w:p w14:paraId="474D5F31">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(格致楼)</w:t>
            </w:r>
          </w:p>
        </w:tc>
        <w:tc>
          <w:tcPr>
            <w:tcW w:w="2441" w:type="pct"/>
            <w:gridSpan w:val="2"/>
            <w:vAlign w:val="center"/>
          </w:tcPr>
          <w:p w14:paraId="7E49C100">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塑料材质，配套点型光电感烟火灾探测器、点型感温火灾探测器使用。</w:t>
            </w:r>
          </w:p>
        </w:tc>
        <w:tc>
          <w:tcPr>
            <w:tcW w:w="286" w:type="pct"/>
            <w:vAlign w:val="center"/>
          </w:tcPr>
          <w:p w14:paraId="6E7E13E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235</w:t>
            </w:r>
          </w:p>
        </w:tc>
        <w:tc>
          <w:tcPr>
            <w:tcW w:w="214" w:type="pct"/>
            <w:vAlign w:val="center"/>
          </w:tcPr>
          <w:p w14:paraId="75CEB5AC">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161C7435">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0.0003</w:t>
            </w:r>
          </w:p>
        </w:tc>
        <w:tc>
          <w:tcPr>
            <w:tcW w:w="575" w:type="pct"/>
            <w:vAlign w:val="center"/>
          </w:tcPr>
          <w:p w14:paraId="5CA2DE4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0.0705</w:t>
            </w:r>
          </w:p>
        </w:tc>
      </w:tr>
      <w:tr w14:paraId="5C0B9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39925736">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116</w:t>
            </w:r>
          </w:p>
        </w:tc>
        <w:tc>
          <w:tcPr>
            <w:tcW w:w="599" w:type="pct"/>
            <w:vAlign w:val="center"/>
          </w:tcPr>
          <w:p w14:paraId="3E2879B9">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手持电子编码器</w:t>
            </w:r>
          </w:p>
          <w:p w14:paraId="31D29682">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(格致楼)</w:t>
            </w:r>
          </w:p>
        </w:tc>
        <w:tc>
          <w:tcPr>
            <w:tcW w:w="2441" w:type="pct"/>
            <w:gridSpan w:val="2"/>
            <w:vAlign w:val="center"/>
          </w:tcPr>
          <w:p w14:paraId="76E4CD11">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1.采用手握式结构，自带有保护套；</w:t>
            </w:r>
          </w:p>
          <w:p w14:paraId="429C0F32">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2.自带编码线、总线端子；</w:t>
            </w:r>
          </w:p>
          <w:p w14:paraId="77FFBB1D">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3.汉字菜单提示，快捷键直接操作；</w:t>
            </w:r>
          </w:p>
          <w:p w14:paraId="28BA5274">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4.具有编码、写灵敏度、设置工作模式等功能；</w:t>
            </w:r>
          </w:p>
          <w:p w14:paraId="0EF9FCFE">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5.背光亮度可调，并具有记忆功能；</w:t>
            </w:r>
          </w:p>
          <w:p w14:paraId="276B4F60">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6.低功耗设计；待机电流≤25mA、工作电流≤200mA、关机电流0µA</w:t>
            </w:r>
          </w:p>
          <w:p w14:paraId="5AD0EB11">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7.具有干电池、USB 供电可选</w:t>
            </w:r>
          </w:p>
          <w:p w14:paraId="1BD6D92C">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8.使用环境温度-10℃～+55℃；相对湿度≤95%，不凝露</w:t>
            </w:r>
          </w:p>
        </w:tc>
        <w:tc>
          <w:tcPr>
            <w:tcW w:w="286" w:type="pct"/>
            <w:vAlign w:val="center"/>
          </w:tcPr>
          <w:p w14:paraId="1C563957">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32E2759B">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34C67B3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0.0100</w:t>
            </w:r>
          </w:p>
        </w:tc>
        <w:tc>
          <w:tcPr>
            <w:tcW w:w="575" w:type="pct"/>
            <w:vAlign w:val="center"/>
          </w:tcPr>
          <w:p w14:paraId="3D72113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0.0100</w:t>
            </w:r>
          </w:p>
        </w:tc>
      </w:tr>
      <w:tr w14:paraId="407B3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43C16F2F">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117</w:t>
            </w:r>
          </w:p>
        </w:tc>
        <w:tc>
          <w:tcPr>
            <w:tcW w:w="599" w:type="pct"/>
            <w:vAlign w:val="center"/>
          </w:tcPr>
          <w:p w14:paraId="6ED3470C">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手动火灾报警按钮</w:t>
            </w:r>
          </w:p>
          <w:p w14:paraId="3A59838E">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(格致楼)</w:t>
            </w:r>
          </w:p>
        </w:tc>
        <w:tc>
          <w:tcPr>
            <w:tcW w:w="2441" w:type="pct"/>
            <w:gridSpan w:val="2"/>
            <w:vAlign w:val="center"/>
          </w:tcPr>
          <w:p w14:paraId="1718C384">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1.采用电子编码（编码范围（1～242）），无极性二线制</w:t>
            </w:r>
          </w:p>
          <w:p w14:paraId="2C116C21">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2.采用专用集成芯片，动作触点全密封设计</w:t>
            </w:r>
          </w:p>
          <w:p w14:paraId="336E0B46">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3.软硬件多级滤波，具有抗干扰能力</w:t>
            </w:r>
          </w:p>
          <w:p w14:paraId="1FB35BBE">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4.采用专用复位钥匙，可重复使用。具备插拔式结构、独立输出触点，可直接控制其它外部设备</w:t>
            </w:r>
          </w:p>
          <w:p w14:paraId="3ED33D4C">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5.带电话插孔，插孔可用于消防电话系统</w:t>
            </w:r>
          </w:p>
          <w:p w14:paraId="48E36C11">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6.工作电压：总线 15-28V 脉冲电压</w:t>
            </w:r>
          </w:p>
          <w:p w14:paraId="57B5B1C0">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7.工作电流：总线静态电流：≤0.5mA，总线报警电流：≤0.8mA</w:t>
            </w:r>
          </w:p>
          <w:p w14:paraId="7070E9F7">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8.输出容量：额定 DC30V/100mA 无源输出触点信号，接触电阻≤100mΩ</w:t>
            </w:r>
          </w:p>
          <w:p w14:paraId="36CC930E">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9.状态指示：启动指示灯，红色，正常巡检时周期性闪亮，闪亮周期约 6s，启动时常亮。回答指示灯，绿色，正常情况下不亮，有回答时常亮</w:t>
            </w:r>
          </w:p>
          <w:p w14:paraId="61325055">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10.使用环境温度-10℃～+55℃ ，相对湿度≤95%RH，不凝露</w:t>
            </w:r>
          </w:p>
          <w:p w14:paraId="6240BB52">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11.壳体采用红色ABS材料 </w:t>
            </w:r>
          </w:p>
          <w:p w14:paraId="685F2EF3">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12.外壳防护等级：IP43</w:t>
            </w:r>
          </w:p>
        </w:tc>
        <w:tc>
          <w:tcPr>
            <w:tcW w:w="286" w:type="pct"/>
            <w:vAlign w:val="center"/>
          </w:tcPr>
          <w:p w14:paraId="26990B47">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60</w:t>
            </w:r>
          </w:p>
        </w:tc>
        <w:tc>
          <w:tcPr>
            <w:tcW w:w="214" w:type="pct"/>
            <w:vAlign w:val="center"/>
          </w:tcPr>
          <w:p w14:paraId="585264F4">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6BF7CD6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0.0090</w:t>
            </w:r>
          </w:p>
        </w:tc>
        <w:tc>
          <w:tcPr>
            <w:tcW w:w="575" w:type="pct"/>
            <w:vAlign w:val="center"/>
          </w:tcPr>
          <w:p w14:paraId="1C8F4C9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0.5400</w:t>
            </w:r>
          </w:p>
        </w:tc>
      </w:tr>
      <w:tr w14:paraId="3F672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528A4439">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118</w:t>
            </w:r>
          </w:p>
        </w:tc>
        <w:tc>
          <w:tcPr>
            <w:tcW w:w="599" w:type="pct"/>
            <w:vAlign w:val="center"/>
          </w:tcPr>
          <w:p w14:paraId="1D682270">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消火栓按钮</w:t>
            </w:r>
          </w:p>
          <w:p w14:paraId="3EFDF376">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(格致楼)</w:t>
            </w:r>
          </w:p>
        </w:tc>
        <w:tc>
          <w:tcPr>
            <w:tcW w:w="2441" w:type="pct"/>
            <w:gridSpan w:val="2"/>
            <w:vAlign w:val="center"/>
          </w:tcPr>
          <w:p w14:paraId="2F71C85D">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1.采用电子编码（编码范围（1～242）），无极性二线制；</w:t>
            </w:r>
          </w:p>
          <w:p w14:paraId="3B20711A">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2.采用专用集成芯片，动作触点全密封设计、PCB板全密封防护工艺；</w:t>
            </w:r>
          </w:p>
          <w:p w14:paraId="669FB9B3">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3.软硬件多级滤波，具有抗干扰能力；</w:t>
            </w:r>
          </w:p>
          <w:p w14:paraId="18A3FE44">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4.采用专用复位钥匙，可重复使用；</w:t>
            </w:r>
          </w:p>
          <w:p w14:paraId="665E424E">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5.具备插拔式结构、独立输出触点，可直接控制其它外部设备；</w:t>
            </w:r>
          </w:p>
          <w:p w14:paraId="49228EBD">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6.工作电压：总线 15-28V 脉冲电压</w:t>
            </w:r>
          </w:p>
          <w:p w14:paraId="4DCAD1C9">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7.工作电流：总线静态电流：≤0.5mA，总线启动电流：≤1.0mA</w:t>
            </w:r>
          </w:p>
          <w:p w14:paraId="78DEDFC9">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8.输出容量：额定 DC30V/100mA 无源输出触点信号，接触电阻≤100mΩ</w:t>
            </w:r>
          </w:p>
          <w:p w14:paraId="193C2512">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9.状态指示：启动指示灯，红色，正常巡检时周期性闪亮，闪亮周期约 6s，启动时常亮。回答指示灯，绿色，正常情况下不亮，有回答时常亮</w:t>
            </w:r>
          </w:p>
          <w:p w14:paraId="3366F18A">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10.使用环境温度-10℃～+55℃ ，相对湿度≤95%RH，不凝露</w:t>
            </w:r>
          </w:p>
          <w:p w14:paraId="0F4D1859">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11.壳体采用红色ABS材料 </w:t>
            </w:r>
          </w:p>
          <w:p w14:paraId="1BABC050">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12.外壳防护等级：IP43</w:t>
            </w:r>
          </w:p>
        </w:tc>
        <w:tc>
          <w:tcPr>
            <w:tcW w:w="286" w:type="pct"/>
            <w:vAlign w:val="center"/>
          </w:tcPr>
          <w:p w14:paraId="26FD7676">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80</w:t>
            </w:r>
          </w:p>
        </w:tc>
        <w:tc>
          <w:tcPr>
            <w:tcW w:w="214" w:type="pct"/>
            <w:vAlign w:val="center"/>
          </w:tcPr>
          <w:p w14:paraId="64B64596">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3F987897">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0.0080</w:t>
            </w:r>
          </w:p>
        </w:tc>
        <w:tc>
          <w:tcPr>
            <w:tcW w:w="575" w:type="pct"/>
            <w:vAlign w:val="center"/>
          </w:tcPr>
          <w:p w14:paraId="5756FE50">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0.6400</w:t>
            </w:r>
          </w:p>
        </w:tc>
      </w:tr>
      <w:tr w14:paraId="073D3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73FD225E">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119</w:t>
            </w:r>
          </w:p>
        </w:tc>
        <w:tc>
          <w:tcPr>
            <w:tcW w:w="599" w:type="pct"/>
            <w:vAlign w:val="center"/>
          </w:tcPr>
          <w:p w14:paraId="511C71EC">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按钮底座</w:t>
            </w:r>
          </w:p>
          <w:p w14:paraId="4B4B5BA7">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(格致楼)</w:t>
            </w:r>
          </w:p>
        </w:tc>
        <w:tc>
          <w:tcPr>
            <w:tcW w:w="2441" w:type="pct"/>
            <w:gridSpan w:val="2"/>
            <w:vAlign w:val="center"/>
          </w:tcPr>
          <w:p w14:paraId="2507E53E">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塑料材质，与手动火灾报警按钮、消火栓按钮配套使用。</w:t>
            </w:r>
          </w:p>
        </w:tc>
        <w:tc>
          <w:tcPr>
            <w:tcW w:w="286" w:type="pct"/>
            <w:vAlign w:val="center"/>
          </w:tcPr>
          <w:p w14:paraId="3AF2519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140</w:t>
            </w:r>
          </w:p>
        </w:tc>
        <w:tc>
          <w:tcPr>
            <w:tcW w:w="214" w:type="pct"/>
            <w:vAlign w:val="center"/>
          </w:tcPr>
          <w:p w14:paraId="7D31E8EB">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7EC18D5B">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0.0003</w:t>
            </w:r>
          </w:p>
        </w:tc>
        <w:tc>
          <w:tcPr>
            <w:tcW w:w="575" w:type="pct"/>
            <w:vAlign w:val="center"/>
          </w:tcPr>
          <w:p w14:paraId="6258E45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0.0420</w:t>
            </w:r>
          </w:p>
        </w:tc>
      </w:tr>
      <w:tr w14:paraId="083E1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52EB808A">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120</w:t>
            </w:r>
          </w:p>
        </w:tc>
        <w:tc>
          <w:tcPr>
            <w:tcW w:w="599" w:type="pct"/>
            <w:vAlign w:val="center"/>
          </w:tcPr>
          <w:p w14:paraId="2FAF20B3">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输入模块</w:t>
            </w:r>
          </w:p>
          <w:p w14:paraId="6C864273">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(格致楼)</w:t>
            </w:r>
          </w:p>
        </w:tc>
        <w:tc>
          <w:tcPr>
            <w:tcW w:w="2441" w:type="pct"/>
            <w:gridSpan w:val="2"/>
            <w:vAlign w:val="center"/>
          </w:tcPr>
          <w:p w14:paraId="75B0244B">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1.电子编码方式（占一个总线地址点，编码范围在 1～242 之间任意设定），采用专用集成芯片，无极性二线制总线协议采用T3 协议；</w:t>
            </w:r>
          </w:p>
          <w:p w14:paraId="016D4E75">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2.总线、输入线、输出线之间均采用隔离设计，软硬件多级滤波，抗干扰能力强；</w:t>
            </w:r>
          </w:p>
          <w:p w14:paraId="59677FB2">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3.输入可设置为常开或常闭模式，输出触点容量 30V/2.0A，终端电阻10KΩ；</w:t>
            </w:r>
          </w:p>
          <w:p w14:paraId="729ABB69">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4.无源触点输出、插拔式结构；电压总线工作电压：15～28V（脉冲电压）;</w:t>
            </w:r>
          </w:p>
          <w:p w14:paraId="35149817">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5.总线监视电流：≤0.4mA   总线动作电流：≤1.0mA；</w:t>
            </w:r>
          </w:p>
          <w:p w14:paraId="721B8863">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6.配置输入指示灯：红色（正常监视状态闪亮一次，故障状态闪亮两次，反馈状态常亮）、输出指示灯：红色（动作状态常亮）；</w:t>
            </w:r>
          </w:p>
          <w:p w14:paraId="254C3C98">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7.使用环境：温 度：-10℃～55℃，相对湿度：≤95%RH，不凝露。</w:t>
            </w:r>
          </w:p>
        </w:tc>
        <w:tc>
          <w:tcPr>
            <w:tcW w:w="286" w:type="pct"/>
            <w:vAlign w:val="center"/>
          </w:tcPr>
          <w:p w14:paraId="78BD6C28">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40</w:t>
            </w:r>
          </w:p>
        </w:tc>
        <w:tc>
          <w:tcPr>
            <w:tcW w:w="214" w:type="pct"/>
            <w:vAlign w:val="center"/>
          </w:tcPr>
          <w:p w14:paraId="15EB2BAD">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79F74A1C">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0.0150</w:t>
            </w:r>
          </w:p>
        </w:tc>
        <w:tc>
          <w:tcPr>
            <w:tcW w:w="575" w:type="pct"/>
            <w:vAlign w:val="center"/>
          </w:tcPr>
          <w:p w14:paraId="1EE31234">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0.6000</w:t>
            </w:r>
          </w:p>
        </w:tc>
      </w:tr>
      <w:tr w14:paraId="2404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51D62D29">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121</w:t>
            </w:r>
          </w:p>
        </w:tc>
        <w:tc>
          <w:tcPr>
            <w:tcW w:w="599" w:type="pct"/>
            <w:vAlign w:val="center"/>
          </w:tcPr>
          <w:p w14:paraId="208F5F61">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输入模块底座</w:t>
            </w:r>
          </w:p>
          <w:p w14:paraId="374ACBC7">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(格致楼)</w:t>
            </w:r>
          </w:p>
        </w:tc>
        <w:tc>
          <w:tcPr>
            <w:tcW w:w="2441" w:type="pct"/>
            <w:gridSpan w:val="2"/>
            <w:vAlign w:val="center"/>
          </w:tcPr>
          <w:p w14:paraId="4B786C55">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塑料材质，与输入模块配套使用。</w:t>
            </w:r>
          </w:p>
        </w:tc>
        <w:tc>
          <w:tcPr>
            <w:tcW w:w="286" w:type="pct"/>
            <w:vAlign w:val="center"/>
          </w:tcPr>
          <w:p w14:paraId="65E0C6F4">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40</w:t>
            </w:r>
          </w:p>
        </w:tc>
        <w:tc>
          <w:tcPr>
            <w:tcW w:w="214" w:type="pct"/>
            <w:vAlign w:val="center"/>
          </w:tcPr>
          <w:p w14:paraId="7B3D62D1">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7D04E681">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0.0004</w:t>
            </w:r>
          </w:p>
        </w:tc>
        <w:tc>
          <w:tcPr>
            <w:tcW w:w="575" w:type="pct"/>
            <w:vAlign w:val="center"/>
          </w:tcPr>
          <w:p w14:paraId="400BE95C">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0.0160</w:t>
            </w:r>
          </w:p>
        </w:tc>
      </w:tr>
      <w:tr w14:paraId="5C96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539A00E8">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122</w:t>
            </w:r>
          </w:p>
        </w:tc>
        <w:tc>
          <w:tcPr>
            <w:tcW w:w="599" w:type="pct"/>
            <w:vAlign w:val="center"/>
          </w:tcPr>
          <w:p w14:paraId="5621ADDB">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输入/输出模块</w:t>
            </w:r>
          </w:p>
          <w:p w14:paraId="651781C6">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(格致楼)</w:t>
            </w:r>
          </w:p>
        </w:tc>
        <w:tc>
          <w:tcPr>
            <w:tcW w:w="2441" w:type="pct"/>
            <w:gridSpan w:val="2"/>
            <w:vAlign w:val="center"/>
          </w:tcPr>
          <w:p w14:paraId="51DA7341">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1.电子编码方式（占一个总线地址点，编码范围在 1～242 之间任意设定），采用专用集成芯片，无极性二线制总线协议采用T3 协议；</w:t>
            </w:r>
          </w:p>
          <w:p w14:paraId="448454C9">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2.总线、输入线、输出线之间均采用隔离设计，软硬件多级滤波，抗干扰能力强；</w:t>
            </w:r>
          </w:p>
          <w:p w14:paraId="23B58A7F">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3.输入可设置为常开或常闭模式，输出触点容量 30V/2.0A，终端电阻10KΩ；</w:t>
            </w:r>
          </w:p>
          <w:p w14:paraId="068EFE0F">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4.无源触点输出、插拔式结构；电压总线工作电压：15～28V（脉冲电压）;</w:t>
            </w:r>
          </w:p>
          <w:p w14:paraId="36B549B6">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5.总线监视电流：≤0.5mA   总线动作电流：≤6.5mA；</w:t>
            </w:r>
          </w:p>
          <w:p w14:paraId="63D990CC">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6.配置输入指示灯：红色（正常监视状态闪亮一次，故障状态闪亮两次，反馈状态常亮）、输出指示灯：红色（动作状态常亮）；</w:t>
            </w:r>
          </w:p>
          <w:p w14:paraId="2C94DF77">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7.使用环境：温 度：-10℃～55℃，相对湿度：≤95%RH，不凝露。</w:t>
            </w:r>
          </w:p>
        </w:tc>
        <w:tc>
          <w:tcPr>
            <w:tcW w:w="286" w:type="pct"/>
            <w:vAlign w:val="center"/>
          </w:tcPr>
          <w:p w14:paraId="664DADA6">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214" w:type="pct"/>
            <w:vAlign w:val="center"/>
          </w:tcPr>
          <w:p w14:paraId="4D0B95D7">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50803F75">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0.0150</w:t>
            </w:r>
          </w:p>
        </w:tc>
        <w:tc>
          <w:tcPr>
            <w:tcW w:w="575" w:type="pct"/>
            <w:vAlign w:val="center"/>
          </w:tcPr>
          <w:p w14:paraId="630F49FD">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0.0300</w:t>
            </w:r>
          </w:p>
        </w:tc>
      </w:tr>
      <w:tr w14:paraId="0F68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0CB99C31">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123</w:t>
            </w:r>
          </w:p>
        </w:tc>
        <w:tc>
          <w:tcPr>
            <w:tcW w:w="599" w:type="pct"/>
            <w:vAlign w:val="center"/>
          </w:tcPr>
          <w:p w14:paraId="47A9C2E4">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输入/输出模块底座</w:t>
            </w:r>
          </w:p>
          <w:p w14:paraId="56A67C6B">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(格致楼)</w:t>
            </w:r>
          </w:p>
        </w:tc>
        <w:tc>
          <w:tcPr>
            <w:tcW w:w="2441" w:type="pct"/>
            <w:gridSpan w:val="2"/>
            <w:vAlign w:val="center"/>
          </w:tcPr>
          <w:p w14:paraId="4BFFFBAC">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塑料材质，与输入输出模块配套使用。</w:t>
            </w:r>
          </w:p>
        </w:tc>
        <w:tc>
          <w:tcPr>
            <w:tcW w:w="286" w:type="pct"/>
            <w:vAlign w:val="center"/>
          </w:tcPr>
          <w:p w14:paraId="3666D76B">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214" w:type="pct"/>
            <w:vAlign w:val="center"/>
          </w:tcPr>
          <w:p w14:paraId="2262E6DC">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473F483C">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0.0004</w:t>
            </w:r>
          </w:p>
        </w:tc>
        <w:tc>
          <w:tcPr>
            <w:tcW w:w="575" w:type="pct"/>
            <w:vAlign w:val="center"/>
          </w:tcPr>
          <w:p w14:paraId="61C2F61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0.0008</w:t>
            </w:r>
          </w:p>
        </w:tc>
      </w:tr>
      <w:tr w14:paraId="3DD05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435912BD">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124</w:t>
            </w:r>
          </w:p>
        </w:tc>
        <w:tc>
          <w:tcPr>
            <w:tcW w:w="599" w:type="pct"/>
            <w:vAlign w:val="center"/>
          </w:tcPr>
          <w:p w14:paraId="4B30C808">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火灾声光警报器</w:t>
            </w:r>
          </w:p>
          <w:p w14:paraId="2976BFE9">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(格致楼)</w:t>
            </w:r>
          </w:p>
        </w:tc>
        <w:tc>
          <w:tcPr>
            <w:tcW w:w="2441" w:type="pct"/>
            <w:gridSpan w:val="2"/>
            <w:vAlign w:val="center"/>
          </w:tcPr>
          <w:p w14:paraId="4BAD21CA">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1.采用专用集成芯片，电子编码（占一个总线地址点，编码范围在 1～242 之间任意设定），无极性二总线，总线协议采用T3 协议，总线电压：脉冲 24V（15V～28V) 。总线监视电流：≤0.4mA 总线启动电流：≤2mA</w:t>
            </w:r>
          </w:p>
          <w:p w14:paraId="4BF61B8C">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2.软硬件多级滤波，抗干扰能力强；</w:t>
            </w:r>
          </w:p>
          <w:p w14:paraId="3B8BA98B">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3.声与光可独自控制，实现声光与广播交替报警，多只高亮LED作为光源。声音变调周期：2.5S～4.5S、闪光频率：1.2Hz～1.8Hz</w:t>
            </w:r>
          </w:p>
          <w:p w14:paraId="77F4119C">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4.声 压 级：启动后声音由小变大，3～5 秒后达到稳定，稳定后正前方 3 米处 75dB～105dB（A 计权）</w:t>
            </w:r>
          </w:p>
          <w:p w14:paraId="69547EE3">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5.使用环境温 度：-10℃～+55℃，相对湿度：≤95%RH，不凝露</w:t>
            </w:r>
          </w:p>
        </w:tc>
        <w:tc>
          <w:tcPr>
            <w:tcW w:w="286" w:type="pct"/>
            <w:vAlign w:val="center"/>
          </w:tcPr>
          <w:p w14:paraId="6994B5FC">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60</w:t>
            </w:r>
          </w:p>
        </w:tc>
        <w:tc>
          <w:tcPr>
            <w:tcW w:w="214" w:type="pct"/>
            <w:vAlign w:val="center"/>
          </w:tcPr>
          <w:p w14:paraId="0916777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3DF2C250">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0.0100</w:t>
            </w:r>
          </w:p>
        </w:tc>
        <w:tc>
          <w:tcPr>
            <w:tcW w:w="575" w:type="pct"/>
            <w:vAlign w:val="center"/>
          </w:tcPr>
          <w:p w14:paraId="251550F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0.6000</w:t>
            </w:r>
          </w:p>
        </w:tc>
      </w:tr>
      <w:tr w14:paraId="0E0D7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7DEB0722">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125</w:t>
            </w:r>
          </w:p>
        </w:tc>
        <w:tc>
          <w:tcPr>
            <w:tcW w:w="599" w:type="pct"/>
            <w:vAlign w:val="center"/>
          </w:tcPr>
          <w:p w14:paraId="394923BB">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火灾声光警报器底座</w:t>
            </w:r>
          </w:p>
          <w:p w14:paraId="45ECA1A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(格致楼)</w:t>
            </w:r>
          </w:p>
        </w:tc>
        <w:tc>
          <w:tcPr>
            <w:tcW w:w="2441" w:type="pct"/>
            <w:gridSpan w:val="2"/>
            <w:vAlign w:val="center"/>
          </w:tcPr>
          <w:p w14:paraId="2201C8DA">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与编码型声光警报器配套使用。</w:t>
            </w:r>
          </w:p>
        </w:tc>
        <w:tc>
          <w:tcPr>
            <w:tcW w:w="286" w:type="pct"/>
            <w:vAlign w:val="center"/>
          </w:tcPr>
          <w:p w14:paraId="3983167B">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60</w:t>
            </w:r>
          </w:p>
        </w:tc>
        <w:tc>
          <w:tcPr>
            <w:tcW w:w="214" w:type="pct"/>
            <w:vAlign w:val="center"/>
          </w:tcPr>
          <w:p w14:paraId="75024AD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73FF0CD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0.0004</w:t>
            </w:r>
          </w:p>
        </w:tc>
        <w:tc>
          <w:tcPr>
            <w:tcW w:w="575" w:type="pct"/>
            <w:vAlign w:val="center"/>
          </w:tcPr>
          <w:p w14:paraId="1A9CD7B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0.0240</w:t>
            </w:r>
          </w:p>
        </w:tc>
      </w:tr>
      <w:tr w14:paraId="0E7D8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35C3775F">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126</w:t>
            </w:r>
          </w:p>
        </w:tc>
        <w:tc>
          <w:tcPr>
            <w:tcW w:w="599" w:type="pct"/>
            <w:vAlign w:val="center"/>
          </w:tcPr>
          <w:p w14:paraId="26C73987">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输出模块</w:t>
            </w:r>
          </w:p>
          <w:p w14:paraId="43F6A47E">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(格致楼)</w:t>
            </w:r>
          </w:p>
        </w:tc>
        <w:tc>
          <w:tcPr>
            <w:tcW w:w="2441" w:type="pct"/>
            <w:gridSpan w:val="2"/>
            <w:vAlign w:val="center"/>
          </w:tcPr>
          <w:p w14:paraId="6811554E">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1.电子编码方式（占一个总线地址点，编码范围在 1～242 之间任意设定），采用专用集成芯片，无极性二线制，T3总线协议；</w:t>
            </w:r>
          </w:p>
          <w:p w14:paraId="7C0281E0">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2.总线控制、音频信号端之间均采用隔离设计，无源双线路切换；</w:t>
            </w:r>
          </w:p>
          <w:p w14:paraId="073D67D6">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3.具有单个消防广播输入线故障检测功能，可检测广播音响断路或短路故障；</w:t>
            </w:r>
          </w:p>
          <w:p w14:paraId="59C54127">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4.无源触点输出、插拔式结构；电压总线工作电压：15～28V（脉冲电压），接点容量100W;</w:t>
            </w:r>
          </w:p>
          <w:p w14:paraId="7F6148C9">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5.总线监视电流：≤1mA   总线动作电流：≤7mA；</w:t>
            </w:r>
          </w:p>
          <w:p w14:paraId="52323C22">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6.具备有指示灯：红色（正常监视状态闪亮一次，故障状态闪亮两次）、输出指示灯：红色（动作状态常亮）；</w:t>
            </w:r>
          </w:p>
          <w:p w14:paraId="6C39BA97">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7.使用环境：温 度：-10℃～55℃，相对湿度：≤95%RH，不凝露。</w:t>
            </w:r>
          </w:p>
        </w:tc>
        <w:tc>
          <w:tcPr>
            <w:tcW w:w="286" w:type="pct"/>
            <w:vAlign w:val="center"/>
          </w:tcPr>
          <w:p w14:paraId="7DB835AD">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w:t>
            </w:r>
          </w:p>
        </w:tc>
        <w:tc>
          <w:tcPr>
            <w:tcW w:w="214" w:type="pct"/>
            <w:vAlign w:val="center"/>
          </w:tcPr>
          <w:p w14:paraId="1EF033B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7FFDF0A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0.0100</w:t>
            </w:r>
          </w:p>
        </w:tc>
        <w:tc>
          <w:tcPr>
            <w:tcW w:w="575" w:type="pct"/>
            <w:vAlign w:val="center"/>
          </w:tcPr>
          <w:p w14:paraId="4C059DA4">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0.0400</w:t>
            </w:r>
          </w:p>
        </w:tc>
      </w:tr>
      <w:tr w14:paraId="67D66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0023224E">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127</w:t>
            </w:r>
          </w:p>
        </w:tc>
        <w:tc>
          <w:tcPr>
            <w:tcW w:w="599" w:type="pct"/>
            <w:vAlign w:val="center"/>
          </w:tcPr>
          <w:p w14:paraId="5EE7AB14">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输出模块底座</w:t>
            </w:r>
          </w:p>
          <w:p w14:paraId="789B0690">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(格致楼)</w:t>
            </w:r>
          </w:p>
        </w:tc>
        <w:tc>
          <w:tcPr>
            <w:tcW w:w="2441" w:type="pct"/>
            <w:gridSpan w:val="2"/>
            <w:vAlign w:val="center"/>
          </w:tcPr>
          <w:p w14:paraId="6E57CAE7">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塑料材质，与输出模块配套使用。</w:t>
            </w:r>
          </w:p>
        </w:tc>
        <w:tc>
          <w:tcPr>
            <w:tcW w:w="286" w:type="pct"/>
            <w:vAlign w:val="center"/>
          </w:tcPr>
          <w:p w14:paraId="39100537">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w:t>
            </w:r>
          </w:p>
        </w:tc>
        <w:tc>
          <w:tcPr>
            <w:tcW w:w="214" w:type="pct"/>
            <w:vAlign w:val="center"/>
          </w:tcPr>
          <w:p w14:paraId="36A4EE37">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705388A6">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0.0004</w:t>
            </w:r>
          </w:p>
        </w:tc>
        <w:tc>
          <w:tcPr>
            <w:tcW w:w="575" w:type="pct"/>
            <w:vAlign w:val="center"/>
          </w:tcPr>
          <w:p w14:paraId="4FAE2BE2">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0.0016</w:t>
            </w:r>
          </w:p>
        </w:tc>
      </w:tr>
      <w:tr w14:paraId="37EA7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27225295">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128</w:t>
            </w:r>
          </w:p>
        </w:tc>
        <w:tc>
          <w:tcPr>
            <w:tcW w:w="599" w:type="pct"/>
            <w:vAlign w:val="center"/>
          </w:tcPr>
          <w:p w14:paraId="6AC6F292">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隔离器</w:t>
            </w:r>
          </w:p>
          <w:p w14:paraId="6D54C013">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(格致楼)</w:t>
            </w:r>
          </w:p>
        </w:tc>
        <w:tc>
          <w:tcPr>
            <w:tcW w:w="2441" w:type="pct"/>
            <w:gridSpan w:val="2"/>
            <w:vAlign w:val="center"/>
          </w:tcPr>
          <w:p w14:paraId="67598E9D">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1.与控制器连接采用无极性二总线连接，总线与输入线采用隔离设计，可隔离总线上发生短路部分的设备，保证总线上的其它设备正常工作，总线短路故障排除后，可自动将被隔离部分重新纳入系统；</w:t>
            </w:r>
          </w:p>
          <w:p w14:paraId="71C104A9">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2.内置专用集成芯片，插拔式结构，可灵活安装使用。；</w:t>
            </w:r>
          </w:p>
          <w:p w14:paraId="14DCA941">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3.软硬件多级滤波，具备抗干扰能力；</w:t>
            </w:r>
          </w:p>
          <w:p w14:paraId="7055DEC7">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4.工作电流：总线24V，100mA； 总线24V，200mA（K短接）、动作电流≥100mA或200mA（此时K短接）100mA、200mA两种输出电流可选；</w:t>
            </w:r>
          </w:p>
          <w:p w14:paraId="29507307">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5.具备有指示灯，可显示红色（正常监视状态不亮，动作时常亮）</w:t>
            </w:r>
          </w:p>
          <w:p w14:paraId="0E599B67">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6.使用环境温 度：-10℃～+55℃,相对湿度≤95%，不凝露</w:t>
            </w:r>
          </w:p>
          <w:p w14:paraId="1EAB7950">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7.壳体材料：ABS材质</w:t>
            </w:r>
          </w:p>
        </w:tc>
        <w:tc>
          <w:tcPr>
            <w:tcW w:w="286" w:type="pct"/>
            <w:vAlign w:val="center"/>
          </w:tcPr>
          <w:p w14:paraId="3359C310">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w:t>
            </w:r>
          </w:p>
        </w:tc>
        <w:tc>
          <w:tcPr>
            <w:tcW w:w="214" w:type="pct"/>
            <w:vAlign w:val="center"/>
          </w:tcPr>
          <w:p w14:paraId="159CFDD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42C36126">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0.0130</w:t>
            </w:r>
          </w:p>
        </w:tc>
        <w:tc>
          <w:tcPr>
            <w:tcW w:w="575" w:type="pct"/>
            <w:vAlign w:val="center"/>
          </w:tcPr>
          <w:p w14:paraId="5C72B72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0.0390</w:t>
            </w:r>
          </w:p>
        </w:tc>
      </w:tr>
      <w:tr w14:paraId="3434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381A86E7">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129</w:t>
            </w:r>
          </w:p>
        </w:tc>
        <w:tc>
          <w:tcPr>
            <w:tcW w:w="599" w:type="pct"/>
            <w:vAlign w:val="center"/>
          </w:tcPr>
          <w:p w14:paraId="6CB60F93">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隔离器底座</w:t>
            </w:r>
          </w:p>
          <w:p w14:paraId="1F807B6E">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(格致楼)</w:t>
            </w:r>
          </w:p>
        </w:tc>
        <w:tc>
          <w:tcPr>
            <w:tcW w:w="24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BFCB6">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与隔离器配套使用。</w:t>
            </w:r>
          </w:p>
        </w:tc>
        <w:tc>
          <w:tcPr>
            <w:tcW w:w="286" w:type="pct"/>
            <w:vAlign w:val="center"/>
          </w:tcPr>
          <w:p w14:paraId="29EA8C1D">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w:t>
            </w:r>
          </w:p>
        </w:tc>
        <w:tc>
          <w:tcPr>
            <w:tcW w:w="214" w:type="pct"/>
            <w:vAlign w:val="center"/>
          </w:tcPr>
          <w:p w14:paraId="260DFEA4">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01EEA5B6">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0.0004</w:t>
            </w:r>
          </w:p>
        </w:tc>
        <w:tc>
          <w:tcPr>
            <w:tcW w:w="575" w:type="pct"/>
            <w:vAlign w:val="center"/>
          </w:tcPr>
          <w:p w14:paraId="3B57D936">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0.0012</w:t>
            </w:r>
          </w:p>
        </w:tc>
      </w:tr>
      <w:tr w14:paraId="4A7FB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65A61696">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130</w:t>
            </w:r>
          </w:p>
        </w:tc>
        <w:tc>
          <w:tcPr>
            <w:tcW w:w="599" w:type="pct"/>
            <w:vAlign w:val="center"/>
          </w:tcPr>
          <w:p w14:paraId="2FBD59D3">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明装式吸顶扬声器</w:t>
            </w:r>
          </w:p>
          <w:p w14:paraId="0E2BCB9F">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(格致楼)</w:t>
            </w:r>
          </w:p>
        </w:tc>
        <w:tc>
          <w:tcPr>
            <w:tcW w:w="24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F4FAE">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吸顶式安装（明装），额定功率≥3w，输入电压为标准120V。</w:t>
            </w:r>
          </w:p>
        </w:tc>
        <w:tc>
          <w:tcPr>
            <w:tcW w:w="286" w:type="pct"/>
            <w:vAlign w:val="center"/>
          </w:tcPr>
          <w:p w14:paraId="4F10938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70</w:t>
            </w:r>
          </w:p>
        </w:tc>
        <w:tc>
          <w:tcPr>
            <w:tcW w:w="214" w:type="pct"/>
            <w:vAlign w:val="center"/>
          </w:tcPr>
          <w:p w14:paraId="49F8D9F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6ACFBC56">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0.0050</w:t>
            </w:r>
          </w:p>
        </w:tc>
        <w:tc>
          <w:tcPr>
            <w:tcW w:w="575" w:type="pct"/>
            <w:vAlign w:val="center"/>
          </w:tcPr>
          <w:p w14:paraId="3E7931F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0.3500</w:t>
            </w:r>
          </w:p>
        </w:tc>
      </w:tr>
      <w:tr w14:paraId="6E15A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206CE78A">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131</w:t>
            </w:r>
          </w:p>
        </w:tc>
        <w:tc>
          <w:tcPr>
            <w:tcW w:w="599" w:type="pct"/>
            <w:vAlign w:val="center"/>
          </w:tcPr>
          <w:p w14:paraId="0CFB499D">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壁挂式消防电话分机</w:t>
            </w:r>
          </w:p>
          <w:p w14:paraId="1F43D385">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(格致楼)</w:t>
            </w:r>
          </w:p>
        </w:tc>
        <w:tc>
          <w:tcPr>
            <w:tcW w:w="24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1653BC">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1、工作电压：DC24V（电话总线 18V～28V）</w:t>
            </w:r>
          </w:p>
          <w:p w14:paraId="5B971289">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2、工作电流：≤25mA</w:t>
            </w:r>
          </w:p>
          <w:p w14:paraId="4DAEF74C">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3、频率响应：300-3400Hz</w:t>
            </w:r>
          </w:p>
          <w:p w14:paraId="4C51FD2B">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4、振铃声级：≥70dB</w:t>
            </w:r>
          </w:p>
          <w:p w14:paraId="006A3D4E">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5、线 制：与消防电话总机采用无极性二总线连接</w:t>
            </w:r>
          </w:p>
          <w:p w14:paraId="06BE9548">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6、插头类型：3.5mm 单声道音频插头</w:t>
            </w:r>
          </w:p>
          <w:p w14:paraId="5871AA9F">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7、颜色：消防红色</w:t>
            </w:r>
          </w:p>
          <w:p w14:paraId="1BAB7556">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8、具备地址编码功能，采用电子编码方式</w:t>
            </w:r>
          </w:p>
          <w:p w14:paraId="1BC11EB0">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9、安装方式采用固定壁挂式，配套安装固定座</w:t>
            </w:r>
          </w:p>
          <w:p w14:paraId="5AC3137D">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10、接入手动火灾报警按钮的电话插孔与本楼栋消防电话总机进行全双工通话</w:t>
            </w:r>
          </w:p>
        </w:tc>
        <w:tc>
          <w:tcPr>
            <w:tcW w:w="286" w:type="pct"/>
            <w:vAlign w:val="center"/>
          </w:tcPr>
          <w:p w14:paraId="08CF7C2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w:t>
            </w:r>
          </w:p>
        </w:tc>
        <w:tc>
          <w:tcPr>
            <w:tcW w:w="214" w:type="pct"/>
            <w:vAlign w:val="center"/>
          </w:tcPr>
          <w:p w14:paraId="1ADB950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74F1F13B">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0.0168</w:t>
            </w:r>
          </w:p>
        </w:tc>
        <w:tc>
          <w:tcPr>
            <w:tcW w:w="575" w:type="pct"/>
            <w:vAlign w:val="center"/>
          </w:tcPr>
          <w:p w14:paraId="00C058A7">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0.0672</w:t>
            </w:r>
          </w:p>
        </w:tc>
      </w:tr>
      <w:tr w14:paraId="0094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4FCD9938">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132</w:t>
            </w:r>
          </w:p>
        </w:tc>
        <w:tc>
          <w:tcPr>
            <w:tcW w:w="599" w:type="pct"/>
            <w:vAlign w:val="center"/>
          </w:tcPr>
          <w:p w14:paraId="1D7BDFC6">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便携式消防电话分机</w:t>
            </w:r>
          </w:p>
          <w:p w14:paraId="34446E05">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(格致楼)</w:t>
            </w:r>
          </w:p>
        </w:tc>
        <w:tc>
          <w:tcPr>
            <w:tcW w:w="24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D8D68">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1.电话可随身携带，用于消防管理人员现场使用，通过接入手动火灾报警按钮的电话插孔与消防电话总机进行全双工通话，硬件采用专用电话芯片，具备清晰通话声音；</w:t>
            </w:r>
          </w:p>
          <w:p w14:paraId="1466B596">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2.工作电压：DC24V（电话总线 18V～28V）</w:t>
            </w:r>
          </w:p>
          <w:p w14:paraId="4350F70F">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3.工作电流：≤25mA</w:t>
            </w:r>
          </w:p>
          <w:p w14:paraId="1422E3CD">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4.线 制：与消防电话总机采用无极性二总线连接</w:t>
            </w:r>
          </w:p>
          <w:p w14:paraId="1989F1C9">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5.语音频率：300Hz～3400Hz</w:t>
            </w:r>
          </w:p>
          <w:p w14:paraId="5C0D7C57">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6.插头类型：3.5mm 单声道音频插头</w:t>
            </w:r>
          </w:p>
          <w:p w14:paraId="0C680B06">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7.使用环境：温 度：-10℃～+55℃，相对湿度：≤95%RH，不凝露</w:t>
            </w:r>
          </w:p>
          <w:p w14:paraId="0E7B8A7F">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8.壳体材料颜色：红色ABS材料</w:t>
            </w:r>
          </w:p>
        </w:tc>
        <w:tc>
          <w:tcPr>
            <w:tcW w:w="286" w:type="pct"/>
            <w:vAlign w:val="center"/>
          </w:tcPr>
          <w:p w14:paraId="347CEF26">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37EF4372">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70FB408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0.0168</w:t>
            </w:r>
          </w:p>
        </w:tc>
        <w:tc>
          <w:tcPr>
            <w:tcW w:w="575" w:type="pct"/>
            <w:vAlign w:val="center"/>
          </w:tcPr>
          <w:p w14:paraId="71E8871C">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0.0168</w:t>
            </w:r>
          </w:p>
        </w:tc>
      </w:tr>
      <w:tr w14:paraId="081A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52E95346">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133</w:t>
            </w:r>
          </w:p>
        </w:tc>
        <w:tc>
          <w:tcPr>
            <w:tcW w:w="599" w:type="pct"/>
            <w:vAlign w:val="center"/>
          </w:tcPr>
          <w:p w14:paraId="5C2C945F">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火灾报警控制器/消防联动控制器</w:t>
            </w:r>
          </w:p>
          <w:p w14:paraId="3544F40D">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(格致楼)</w:t>
            </w:r>
          </w:p>
        </w:tc>
        <w:tc>
          <w:tcPr>
            <w:tcW w:w="24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37402">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1.采用立柜式，配套标准立柜，液晶显示，自带数字、英文、汉字拼音输入法</w:t>
            </w:r>
          </w:p>
          <w:p w14:paraId="69965008">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2.控制器采用ARM核心处理器，基于嵌入式操作系统平台，支持实时多任务程序同步运行；</w:t>
            </w:r>
          </w:p>
          <w:p w14:paraId="468944E8">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3.配套3个回路，最大可扩展至6回路，报警联动点总数≥726点；</w:t>
            </w:r>
          </w:p>
          <w:p w14:paraId="1B2557BE">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4.含一块128点总线操作盘（可最大扩展至320点），含6路多线控制盘（可最大扩展至56点），用于控制消防泵、排烟机等重要设备；</w:t>
            </w:r>
          </w:p>
          <w:p w14:paraId="02A3D73D">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5.全隔离式总线回路卡，采用的CAN总线无主从联网，系统响应速度快，稳定性高。总线采用T3 协议</w:t>
            </w:r>
          </w:p>
          <w:p w14:paraId="6284F003">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6.集中加区域型设计，可扩展至128台主机联网，加强了消防联动控制功能；</w:t>
            </w:r>
          </w:p>
          <w:p w14:paraId="20F88D6B">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7.显示界面具有火警、联动、故障、屏蔽、监管信息查询快捷键；</w:t>
            </w:r>
          </w:p>
          <w:p w14:paraId="7A5602AE">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8.具有监管、延时功能，电磁兼容设计，防雷、抗干扰</w:t>
            </w:r>
          </w:p>
          <w:p w14:paraId="50B1D1FC">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9.控制系统的所有对外接口全部配备了浪涌滤波器，用于吸收控制系统传输线路上由于雷电感应而引起的浪涌冲击，最大限度的降低了雷电或电网浪涌冲击对系统破坏的风险；</w:t>
            </w:r>
          </w:p>
          <w:p w14:paraId="50D1854A">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10.交流电源：额定工作电压～220V（187V～242V），配套联动电源，输出最大8A，配备备用电源：12V/24AH电池2节</w:t>
            </w:r>
          </w:p>
        </w:tc>
        <w:tc>
          <w:tcPr>
            <w:tcW w:w="286" w:type="pct"/>
            <w:vAlign w:val="center"/>
          </w:tcPr>
          <w:p w14:paraId="10F3526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61AE2B0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c>
          <w:tcPr>
            <w:tcW w:w="570" w:type="pct"/>
            <w:vAlign w:val="center"/>
          </w:tcPr>
          <w:p w14:paraId="71B5F9B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1.1000</w:t>
            </w:r>
          </w:p>
        </w:tc>
        <w:tc>
          <w:tcPr>
            <w:tcW w:w="575" w:type="pct"/>
            <w:vAlign w:val="center"/>
          </w:tcPr>
          <w:p w14:paraId="6D3AE96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1.1000</w:t>
            </w:r>
          </w:p>
        </w:tc>
      </w:tr>
      <w:tr w14:paraId="4DFB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68A8D15B">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134</w:t>
            </w:r>
          </w:p>
        </w:tc>
        <w:tc>
          <w:tcPr>
            <w:tcW w:w="599" w:type="pct"/>
            <w:vAlign w:val="center"/>
          </w:tcPr>
          <w:p w14:paraId="2F746F85">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广播控制盘</w:t>
            </w:r>
          </w:p>
          <w:p w14:paraId="20E70488">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(格致楼)</w:t>
            </w:r>
          </w:p>
        </w:tc>
        <w:tc>
          <w:tcPr>
            <w:tcW w:w="24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58642">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1.标准机架式设备，通过RS485 总线或者 CAN 总线与消防控制器相连接，共同完成消防联动控制；</w:t>
            </w:r>
          </w:p>
          <w:p w14:paraId="3E1C7C4D">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2.具备自动控制、手动控制和触点输入三种启动方式；</w:t>
            </w:r>
          </w:p>
          <w:p w14:paraId="65D96625">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3.支持多种音源输入，应急广播，U盘，MIC，外线1，外线2可选</w:t>
            </w:r>
          </w:p>
          <w:p w14:paraId="603080EA">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4.支持mp3，WMA等文件格式，可支持10级功放级联；</w:t>
            </w:r>
          </w:p>
          <w:p w14:paraId="3FCE8B4B">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5.分区可扩展，最大支持扩展3个广播分配盘，每个广播分配盘60区；</w:t>
            </w:r>
          </w:p>
          <w:p w14:paraId="71C28081">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6.具备超大广播音预留空间，广播音可自行合成导入；</w:t>
            </w:r>
          </w:p>
          <w:p w14:paraId="4DC8C0E9">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7.可自动检测U盘及MIC插入状态；</w:t>
            </w:r>
          </w:p>
          <w:p w14:paraId="299D81CA">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8.采用黑白色的128X64液晶屏，可显示32个汉字，应急广播时具有LED灯指示；</w:t>
            </w:r>
          </w:p>
          <w:p w14:paraId="1A88DF61">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9.额定电压：DC24V（电压适应范围 DC20V~28V）</w:t>
            </w:r>
          </w:p>
          <w:p w14:paraId="0FEE3A2C">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10.工作电流：≤500mA，待机电流&lt;100mA</w:t>
            </w:r>
          </w:p>
          <w:p w14:paraId="413A6AB9">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11.MP3 最高码率支持320kbps</w:t>
            </w:r>
          </w:p>
          <w:p w14:paraId="791D12A5">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12.录音最大总时长：≥9 小时，记录信息可靠保存时间≥10 年，循环重复记录次数不少于10万次，录音最多段数不少于999 段</w:t>
            </w:r>
          </w:p>
          <w:p w14:paraId="6B61432B">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13.最大支持分区不少于210 区</w:t>
            </w:r>
          </w:p>
        </w:tc>
        <w:tc>
          <w:tcPr>
            <w:tcW w:w="286" w:type="pct"/>
            <w:vAlign w:val="center"/>
          </w:tcPr>
          <w:p w14:paraId="0D5AB2F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6B8FBE2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047F1958">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0.1800</w:t>
            </w:r>
          </w:p>
        </w:tc>
        <w:tc>
          <w:tcPr>
            <w:tcW w:w="575" w:type="pct"/>
            <w:vAlign w:val="center"/>
          </w:tcPr>
          <w:p w14:paraId="1AFBEE8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0.1800</w:t>
            </w:r>
          </w:p>
        </w:tc>
      </w:tr>
      <w:tr w14:paraId="3A42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46D62ED0">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135</w:t>
            </w:r>
          </w:p>
        </w:tc>
        <w:tc>
          <w:tcPr>
            <w:tcW w:w="599" w:type="pct"/>
            <w:vAlign w:val="center"/>
          </w:tcPr>
          <w:p w14:paraId="21CECB10">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广播功率放大器</w:t>
            </w:r>
          </w:p>
          <w:p w14:paraId="1550F510">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(格致楼)</w:t>
            </w:r>
          </w:p>
        </w:tc>
        <w:tc>
          <w:tcPr>
            <w:tcW w:w="24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D62EE4">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1.广播功率放大器（≥500W）；</w:t>
            </w:r>
          </w:p>
          <w:p w14:paraId="7CD1D6FD">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2.具备自动控制、手动控制两种启动方式；</w:t>
            </w:r>
          </w:p>
          <w:p w14:paraId="193192E9">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3.具有使用话筒播音时，监听能够自动静音，以彻底消除音频回授；</w:t>
            </w:r>
          </w:p>
          <w:p w14:paraId="1DDDB6CF">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4.当接收应急广播控制信号时，能自动调整音频输出至预定位置，不受音量电位器的控制，消除人为操作对音频输出的影响；</w:t>
            </w:r>
          </w:p>
          <w:p w14:paraId="5DBAE596">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5.具有主备电自动切换功能、故障上传功能、过温保护功能；</w:t>
            </w:r>
          </w:p>
          <w:p w14:paraId="660682C8">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6.提供24V直流分量供本机音频输出线检测及检线模块使用；</w:t>
            </w:r>
          </w:p>
          <w:p w14:paraId="22D423F3">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7.采用RS485总线通讯方式与广播控制盘通讯。</w:t>
            </w:r>
          </w:p>
          <w:p w14:paraId="3F73ED54">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8.本机地址：可编码范围1~10（二进制编码，不可重码）</w:t>
            </w:r>
          </w:p>
          <w:p w14:paraId="5D64975D">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9.输入阻抗：≤10K</w:t>
            </w:r>
          </w:p>
          <w:p w14:paraId="770FC18B">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10.输入电平：≤775mV</w:t>
            </w:r>
          </w:p>
          <w:p w14:paraId="3280EDE1">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11.定压输出：≥120V</w:t>
            </w:r>
          </w:p>
          <w:p w14:paraId="1732984C">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12.频率特性：80Hz～8KHz（90V～145V）</w:t>
            </w:r>
          </w:p>
          <w:p w14:paraId="0B0960FF">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13.谐波失真：≤5%</w:t>
            </w:r>
          </w:p>
          <w:p w14:paraId="01DAD1C2">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14.噪声电平：≤37mV</w:t>
            </w:r>
          </w:p>
          <w:p w14:paraId="42ADBF04">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15.工作环境：温度0℃～+40℃。相对湿度≤95%，不凝露</w:t>
            </w:r>
          </w:p>
        </w:tc>
        <w:tc>
          <w:tcPr>
            <w:tcW w:w="286" w:type="pct"/>
            <w:vAlign w:val="center"/>
          </w:tcPr>
          <w:p w14:paraId="1E85D77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0FA8E1DB">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5CED434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0.2000</w:t>
            </w:r>
          </w:p>
        </w:tc>
        <w:tc>
          <w:tcPr>
            <w:tcW w:w="575" w:type="pct"/>
            <w:vAlign w:val="center"/>
          </w:tcPr>
          <w:p w14:paraId="153C02B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0.2000</w:t>
            </w:r>
          </w:p>
        </w:tc>
      </w:tr>
      <w:tr w14:paraId="370E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13E2E13A">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136</w:t>
            </w:r>
          </w:p>
        </w:tc>
        <w:tc>
          <w:tcPr>
            <w:tcW w:w="599" w:type="pct"/>
            <w:vAlign w:val="center"/>
          </w:tcPr>
          <w:p w14:paraId="01E72453">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消防电话总机</w:t>
            </w:r>
          </w:p>
          <w:p w14:paraId="1B6924C0">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(格致楼)</w:t>
            </w:r>
          </w:p>
        </w:tc>
        <w:tc>
          <w:tcPr>
            <w:tcW w:w="24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38DC1">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1.符合 GB 16806-2006《消防联动控制系统》国家标准</w:t>
            </w:r>
          </w:p>
          <w:p w14:paraId="2251F1D8">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2.采用无极性二总线，通讯与通话共用线路</w:t>
            </w:r>
          </w:p>
          <w:p w14:paraId="3CB79EF2">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3.最多可连接100部消防电话分机，支持最多3部电话限时通话</w:t>
            </w:r>
          </w:p>
          <w:p w14:paraId="6B597B95">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4.可以存储9小时以上通话录音及999条记录，可按时间或类型查询</w:t>
            </w:r>
          </w:p>
          <w:p w14:paraId="62E702E1">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5.采用黑白色的128X64液晶屏，可显示32个汉字</w:t>
            </w:r>
          </w:p>
          <w:p w14:paraId="53666667">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6.支持USB离线编写分机位置信息功能</w:t>
            </w:r>
          </w:p>
          <w:p w14:paraId="1A735024">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7.支持USB下载及上传设备信息</w:t>
            </w:r>
          </w:p>
          <w:p w14:paraId="54D63CEF">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8.2U标准入柜式</w:t>
            </w:r>
          </w:p>
          <w:p w14:paraId="39EC7E15">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9.额定电压：DC24V（电压范围 DC20V~28V）</w:t>
            </w:r>
          </w:p>
          <w:p w14:paraId="40ADBCA0">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10.工作电流：600mA</w:t>
            </w:r>
          </w:p>
          <w:p w14:paraId="642A2D86">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11.容 量：128 个地址点（范围 1~128）</w:t>
            </w:r>
          </w:p>
          <w:p w14:paraId="412160FF">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12.话音频率：300Hz～3400Hz</w:t>
            </w:r>
          </w:p>
          <w:p w14:paraId="3892DF05">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13.串音电平：≤-60dB</w:t>
            </w:r>
          </w:p>
          <w:p w14:paraId="7582881F">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14.传输损耗：≤5dB</w:t>
            </w:r>
          </w:p>
        </w:tc>
        <w:tc>
          <w:tcPr>
            <w:tcW w:w="286" w:type="pct"/>
            <w:vAlign w:val="center"/>
          </w:tcPr>
          <w:p w14:paraId="2BAD0E24">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29043EBD">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22E7B35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0.2000</w:t>
            </w:r>
          </w:p>
        </w:tc>
        <w:tc>
          <w:tcPr>
            <w:tcW w:w="575" w:type="pct"/>
            <w:vAlign w:val="center"/>
          </w:tcPr>
          <w:p w14:paraId="2DD748C0">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0.2000</w:t>
            </w:r>
          </w:p>
        </w:tc>
      </w:tr>
      <w:tr w14:paraId="5C97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4BEF2A55">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137</w:t>
            </w:r>
          </w:p>
        </w:tc>
        <w:tc>
          <w:tcPr>
            <w:tcW w:w="599" w:type="pct"/>
            <w:vAlign w:val="center"/>
          </w:tcPr>
          <w:p w14:paraId="3137CA42">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铅酸蓄电池（卧式）</w:t>
            </w:r>
          </w:p>
          <w:p w14:paraId="4457157A">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(格致楼)</w:t>
            </w:r>
          </w:p>
        </w:tc>
        <w:tc>
          <w:tcPr>
            <w:tcW w:w="24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FB871">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12V/24AH密封铅酸电池，用于立柜主机和琴台主机。</w:t>
            </w:r>
          </w:p>
        </w:tc>
        <w:tc>
          <w:tcPr>
            <w:tcW w:w="286" w:type="pct"/>
            <w:vAlign w:val="center"/>
          </w:tcPr>
          <w:p w14:paraId="30B3C010">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214" w:type="pct"/>
            <w:vAlign w:val="center"/>
          </w:tcPr>
          <w:p w14:paraId="7ADBE6B2">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节</w:t>
            </w:r>
          </w:p>
        </w:tc>
        <w:tc>
          <w:tcPr>
            <w:tcW w:w="570" w:type="pct"/>
            <w:vAlign w:val="center"/>
          </w:tcPr>
          <w:p w14:paraId="612E4667">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0.0400</w:t>
            </w:r>
          </w:p>
        </w:tc>
        <w:tc>
          <w:tcPr>
            <w:tcW w:w="575" w:type="pct"/>
            <w:vAlign w:val="center"/>
          </w:tcPr>
          <w:p w14:paraId="474FD47B">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0.0800</w:t>
            </w:r>
          </w:p>
        </w:tc>
      </w:tr>
      <w:tr w14:paraId="2DF07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313A7B0E">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138</w:t>
            </w:r>
          </w:p>
        </w:tc>
        <w:tc>
          <w:tcPr>
            <w:tcW w:w="599" w:type="pct"/>
            <w:vAlign w:val="center"/>
          </w:tcPr>
          <w:p w14:paraId="2B8F8EF8">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七氟丙烷灭火装置（含75公斤灭火剂）</w:t>
            </w:r>
          </w:p>
          <w:p w14:paraId="3D6C937D">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(格致楼)</w:t>
            </w:r>
          </w:p>
        </w:tc>
        <w:tc>
          <w:tcPr>
            <w:tcW w:w="24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3029F">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七氟丙烷灭火装置GQQ90/2.5-QD     七氟丙烷HFC-227ea</w:t>
            </w:r>
          </w:p>
          <w:p w14:paraId="366849EE">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1、纯度≥99.6﹪； </w:t>
            </w:r>
          </w:p>
          <w:p w14:paraId="59E903D4">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2、水份/（mg/kg）≤10；</w:t>
            </w:r>
          </w:p>
          <w:p w14:paraId="5B44CA15">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3、酸度（以HF计）/（mg/kg）：≤1；</w:t>
            </w:r>
          </w:p>
          <w:p w14:paraId="7909814F">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4、蒸发残留物/﹪：≤0.01</w:t>
            </w:r>
          </w:p>
          <w:p w14:paraId="7CB2B34C">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5、浓度8%</w:t>
            </w:r>
          </w:p>
        </w:tc>
        <w:tc>
          <w:tcPr>
            <w:tcW w:w="286" w:type="pct"/>
            <w:vAlign w:val="center"/>
          </w:tcPr>
          <w:p w14:paraId="6E9577B2">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w:t>
            </w:r>
          </w:p>
        </w:tc>
        <w:tc>
          <w:tcPr>
            <w:tcW w:w="214" w:type="pct"/>
            <w:vAlign w:val="center"/>
          </w:tcPr>
          <w:p w14:paraId="771DE910">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罐</w:t>
            </w:r>
          </w:p>
        </w:tc>
        <w:tc>
          <w:tcPr>
            <w:tcW w:w="570" w:type="pct"/>
            <w:vAlign w:val="center"/>
          </w:tcPr>
          <w:p w14:paraId="5182FF5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0.7875</w:t>
            </w:r>
          </w:p>
        </w:tc>
        <w:tc>
          <w:tcPr>
            <w:tcW w:w="575" w:type="pct"/>
            <w:vAlign w:val="center"/>
          </w:tcPr>
          <w:p w14:paraId="2989FE60">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3.1500</w:t>
            </w:r>
          </w:p>
        </w:tc>
      </w:tr>
      <w:tr w14:paraId="21194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7E691CEF">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139</w:t>
            </w:r>
          </w:p>
        </w:tc>
        <w:tc>
          <w:tcPr>
            <w:tcW w:w="599" w:type="pct"/>
            <w:vAlign w:val="center"/>
          </w:tcPr>
          <w:p w14:paraId="2187FB9B">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输入输出模块</w:t>
            </w:r>
          </w:p>
          <w:p w14:paraId="78CC29AB">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(致远楼)</w:t>
            </w:r>
          </w:p>
        </w:tc>
        <w:tc>
          <w:tcPr>
            <w:tcW w:w="24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78672">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1.电子编码方式（占一个总线地址点，编码范围在 1～242 之间任意设定），采用专用集成芯片，无极性二线制总线协议采用T3 协议；</w:t>
            </w:r>
          </w:p>
          <w:p w14:paraId="5D9DB108">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2.总线、输入线、输出线之间均采用隔离设计，软硬件多级滤波，抗干扰能力强；</w:t>
            </w:r>
          </w:p>
          <w:p w14:paraId="059D7626">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3.输入可设置为常开或常闭模式，输出触点容量DC32V/1.5A/30ms，终端电阻10KΩ；</w:t>
            </w:r>
          </w:p>
          <w:p w14:paraId="04CA350C">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4.无源触点输出、插拔式结构；电压总线工作电压：15～28V（脉冲电压）;</w:t>
            </w:r>
          </w:p>
          <w:p w14:paraId="5C61CB66">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5.总线监视电流：≤0.5mA   总线动作电流：≤2mA；</w:t>
            </w:r>
          </w:p>
          <w:p w14:paraId="2EC4F12E">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6.配置输入指示灯：红色（正常监视状态闪亮一次，故障状态闪亮两次，反馈状态常亮）、输出指示灯：红色（动作状态常亮）；</w:t>
            </w:r>
          </w:p>
          <w:p w14:paraId="5465457B">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7.使用环境：温 度：-10℃～55℃，相对湿度：≤95%RH，不凝露。</w:t>
            </w:r>
          </w:p>
        </w:tc>
        <w:tc>
          <w:tcPr>
            <w:tcW w:w="286" w:type="pct"/>
            <w:vAlign w:val="center"/>
          </w:tcPr>
          <w:p w14:paraId="4C275C5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214" w:type="pct"/>
            <w:vAlign w:val="center"/>
          </w:tcPr>
          <w:p w14:paraId="1D0F7671">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753F7CED">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0.0150</w:t>
            </w:r>
          </w:p>
        </w:tc>
        <w:tc>
          <w:tcPr>
            <w:tcW w:w="575" w:type="pct"/>
            <w:vAlign w:val="center"/>
          </w:tcPr>
          <w:p w14:paraId="1FA892ED">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0.0300</w:t>
            </w:r>
          </w:p>
        </w:tc>
      </w:tr>
      <w:tr w14:paraId="550F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61CFEC3E">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140</w:t>
            </w:r>
          </w:p>
        </w:tc>
        <w:tc>
          <w:tcPr>
            <w:tcW w:w="599" w:type="pct"/>
            <w:vAlign w:val="center"/>
          </w:tcPr>
          <w:p w14:paraId="00A6FFFD">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输入输出模块底座</w:t>
            </w:r>
          </w:p>
          <w:p w14:paraId="21B72AE2">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(致远楼)</w:t>
            </w:r>
          </w:p>
        </w:tc>
        <w:tc>
          <w:tcPr>
            <w:tcW w:w="24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4ECC2">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与输入输出模块配套使用。</w:t>
            </w:r>
          </w:p>
        </w:tc>
        <w:tc>
          <w:tcPr>
            <w:tcW w:w="286" w:type="pct"/>
            <w:vAlign w:val="center"/>
          </w:tcPr>
          <w:p w14:paraId="712B867C">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214" w:type="pct"/>
            <w:vAlign w:val="center"/>
          </w:tcPr>
          <w:p w14:paraId="2DD3277D">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189EBFF4">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0.0004</w:t>
            </w:r>
          </w:p>
        </w:tc>
        <w:tc>
          <w:tcPr>
            <w:tcW w:w="575" w:type="pct"/>
            <w:vAlign w:val="center"/>
          </w:tcPr>
          <w:p w14:paraId="1D36A971">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0.0008</w:t>
            </w:r>
          </w:p>
        </w:tc>
      </w:tr>
      <w:tr w14:paraId="51AB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3F07BC0A">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141</w:t>
            </w:r>
          </w:p>
        </w:tc>
        <w:tc>
          <w:tcPr>
            <w:tcW w:w="599" w:type="pct"/>
            <w:vAlign w:val="center"/>
          </w:tcPr>
          <w:p w14:paraId="26C5A579">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点型光电感烟火灾探测器</w:t>
            </w:r>
          </w:p>
          <w:p w14:paraId="0769E4A2">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(致远楼)</w:t>
            </w:r>
          </w:p>
        </w:tc>
        <w:tc>
          <w:tcPr>
            <w:tcW w:w="24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4CDE2">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1.采用电子编码，采用二线制总线，总线电压 15~28V，无极性；</w:t>
            </w:r>
          </w:p>
          <w:p w14:paraId="100AFEF7">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2.具有溢水孔防水设计、PCB板全密封防护工艺；</w:t>
            </w:r>
          </w:p>
          <w:p w14:paraId="10E4157C">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3.指示灯360度可见，采用牢固结构；</w:t>
            </w:r>
          </w:p>
          <w:p w14:paraId="19190207">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4.软硬件滤波，抗干扰能力强。具备自动补偿功能，对于一定程度上因为外部环境（温度、湿度、灰尘、静电等）因素的变化而而引起的性能漂移，可自动进行补偿，提高感烟探测器的可靠性；</w:t>
            </w:r>
          </w:p>
          <w:p w14:paraId="6F6F810F">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5.具备准确判断24小时内发生的慢性火灾；</w:t>
            </w:r>
          </w:p>
          <w:p w14:paraId="23B71755">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6.采用低功耗设计监视状态≤0.4mA，报警状态≤0.9mA，降低系统的负荷；</w:t>
            </w:r>
          </w:p>
          <w:p w14:paraId="4206ED86">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7.具备有智能化判断火警、传感器故障、清洗预报功能；</w:t>
            </w:r>
          </w:p>
          <w:p w14:paraId="1ED2F8C3">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8.指 示 灯：具备巡检时周期性闪烁，火警时常亮，故障时熄灭</w:t>
            </w:r>
          </w:p>
          <w:p w14:paraId="1E9E0478">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9.使用环境：温度-10℃～+55℃；相对湿度≤95%，不凝露</w:t>
            </w:r>
          </w:p>
        </w:tc>
        <w:tc>
          <w:tcPr>
            <w:tcW w:w="286" w:type="pct"/>
            <w:vAlign w:val="center"/>
          </w:tcPr>
          <w:p w14:paraId="2F1E28D7">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33119141">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43FE3996">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0.0110</w:t>
            </w:r>
          </w:p>
        </w:tc>
        <w:tc>
          <w:tcPr>
            <w:tcW w:w="575" w:type="pct"/>
            <w:vAlign w:val="center"/>
          </w:tcPr>
          <w:p w14:paraId="0AF41A91">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0.0110</w:t>
            </w:r>
          </w:p>
        </w:tc>
      </w:tr>
      <w:tr w14:paraId="79B4F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4D01C477">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142</w:t>
            </w:r>
          </w:p>
        </w:tc>
        <w:tc>
          <w:tcPr>
            <w:tcW w:w="599" w:type="pct"/>
            <w:vAlign w:val="center"/>
          </w:tcPr>
          <w:p w14:paraId="57DAE0E5">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探测器底座</w:t>
            </w:r>
          </w:p>
          <w:p w14:paraId="02F29EF7">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(致远楼)</w:t>
            </w:r>
          </w:p>
        </w:tc>
        <w:tc>
          <w:tcPr>
            <w:tcW w:w="24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9212E">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塑料材质，配套点型光电感烟火灾探测器使用。</w:t>
            </w:r>
          </w:p>
        </w:tc>
        <w:tc>
          <w:tcPr>
            <w:tcW w:w="286" w:type="pct"/>
            <w:vAlign w:val="center"/>
          </w:tcPr>
          <w:p w14:paraId="2F0AA51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466B9FB2">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29DA48A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0.0003</w:t>
            </w:r>
          </w:p>
        </w:tc>
        <w:tc>
          <w:tcPr>
            <w:tcW w:w="575" w:type="pct"/>
            <w:vAlign w:val="center"/>
          </w:tcPr>
          <w:p w14:paraId="36230CF5">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0.0003</w:t>
            </w:r>
          </w:p>
        </w:tc>
      </w:tr>
      <w:tr w14:paraId="6A20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2DE900E4">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143</w:t>
            </w:r>
          </w:p>
        </w:tc>
        <w:tc>
          <w:tcPr>
            <w:tcW w:w="599" w:type="pct"/>
            <w:vAlign w:val="center"/>
          </w:tcPr>
          <w:p w14:paraId="5ED3F707">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火灾声光警报器及线路检修</w:t>
            </w:r>
          </w:p>
          <w:p w14:paraId="04B8BD56">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(致远楼)</w:t>
            </w:r>
          </w:p>
        </w:tc>
        <w:tc>
          <w:tcPr>
            <w:tcW w:w="24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42E09">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实训楼（15层和顶层）9个回路，涉及15火灾声光报警器及线路检查故障，排查故障点位，根据检修情况制定维修方案并维修更换损坏的线路，恢复设施正常运行。</w:t>
            </w:r>
          </w:p>
        </w:tc>
        <w:tc>
          <w:tcPr>
            <w:tcW w:w="286" w:type="pct"/>
            <w:vAlign w:val="center"/>
          </w:tcPr>
          <w:p w14:paraId="58A6E60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15D3CE26">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项</w:t>
            </w:r>
          </w:p>
        </w:tc>
        <w:tc>
          <w:tcPr>
            <w:tcW w:w="570" w:type="pct"/>
            <w:vAlign w:val="center"/>
          </w:tcPr>
          <w:p w14:paraId="79984A56">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0.2000</w:t>
            </w:r>
          </w:p>
        </w:tc>
        <w:tc>
          <w:tcPr>
            <w:tcW w:w="575" w:type="pct"/>
            <w:vAlign w:val="center"/>
          </w:tcPr>
          <w:p w14:paraId="6268D0D5">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0.2000</w:t>
            </w:r>
          </w:p>
        </w:tc>
      </w:tr>
      <w:tr w14:paraId="1790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77BC7CA1">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144</w:t>
            </w:r>
          </w:p>
        </w:tc>
        <w:tc>
          <w:tcPr>
            <w:tcW w:w="599" w:type="pct"/>
            <w:vAlign w:val="center"/>
          </w:tcPr>
          <w:p w14:paraId="15062F8A">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消防电话总机</w:t>
            </w:r>
          </w:p>
          <w:p w14:paraId="295A8F23">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（东区教工11栋）</w:t>
            </w:r>
          </w:p>
        </w:tc>
        <w:tc>
          <w:tcPr>
            <w:tcW w:w="24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1E891">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1.符合 GB 16806-2006《消防联动控制系统》国家标准</w:t>
            </w:r>
          </w:p>
          <w:p w14:paraId="1FB3B4A8">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2.采用无极性二总线，通讯与通话共用线路</w:t>
            </w:r>
          </w:p>
          <w:p w14:paraId="4C264A6D">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3.最多可连接100部消防电话分机，支持最多3部电话限时通话</w:t>
            </w:r>
          </w:p>
          <w:p w14:paraId="740216AE">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4.可以存储9小时以上通话录音及999条记录，可按时间或类型查询</w:t>
            </w:r>
          </w:p>
          <w:p w14:paraId="0F2CFE4F">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5.采用黑白色的128X64液晶屏，可显示32个汉字</w:t>
            </w:r>
          </w:p>
          <w:p w14:paraId="4C24E228">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6.支持USB离线编写分机位置信息功能</w:t>
            </w:r>
          </w:p>
          <w:p w14:paraId="3E0500FB">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7.支持USB下载及上传设备信息</w:t>
            </w:r>
          </w:p>
          <w:p w14:paraId="61037EF7">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8.2U标准入柜式</w:t>
            </w:r>
          </w:p>
          <w:p w14:paraId="5E2AA524">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9.额定电压：DC24V（电压范围 DC20V~28V）</w:t>
            </w:r>
          </w:p>
          <w:p w14:paraId="250E46FF">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10.工作电流：600mA</w:t>
            </w:r>
          </w:p>
          <w:p w14:paraId="2FC67436">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11.容 量：128 个地址点（范围 1~128）</w:t>
            </w:r>
          </w:p>
          <w:p w14:paraId="6B6511B5">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12.话音频率：300Hz～3400Hz</w:t>
            </w:r>
          </w:p>
          <w:p w14:paraId="1F6541A5">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13.串音电平：≤-60dB</w:t>
            </w:r>
          </w:p>
          <w:p w14:paraId="0A941835">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14.传输损耗：≤5dB</w:t>
            </w:r>
          </w:p>
        </w:tc>
        <w:tc>
          <w:tcPr>
            <w:tcW w:w="286" w:type="pct"/>
            <w:vAlign w:val="center"/>
          </w:tcPr>
          <w:p w14:paraId="6E7164B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0F32D5C5">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c>
          <w:tcPr>
            <w:tcW w:w="570" w:type="pct"/>
            <w:vAlign w:val="center"/>
          </w:tcPr>
          <w:p w14:paraId="2C3FAD1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0.2000</w:t>
            </w:r>
          </w:p>
        </w:tc>
        <w:tc>
          <w:tcPr>
            <w:tcW w:w="575" w:type="pct"/>
            <w:vAlign w:val="center"/>
          </w:tcPr>
          <w:p w14:paraId="21DF88D2">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0.2000</w:t>
            </w:r>
          </w:p>
        </w:tc>
      </w:tr>
      <w:tr w14:paraId="59B45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248C6952">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145</w:t>
            </w:r>
          </w:p>
        </w:tc>
        <w:tc>
          <w:tcPr>
            <w:tcW w:w="599" w:type="pct"/>
            <w:vAlign w:val="center"/>
          </w:tcPr>
          <w:p w14:paraId="39B12E67">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消防电话分机</w:t>
            </w:r>
          </w:p>
          <w:p w14:paraId="5D4E076C">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（东区教工11栋）</w:t>
            </w:r>
          </w:p>
        </w:tc>
        <w:tc>
          <w:tcPr>
            <w:tcW w:w="24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7FAA8E">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1.电话可随身携带，用于消防管理人员现场使用，通过接入手动火灾报警按钮的电话插孔与消防电话总机进行全双工通话，硬件采用专用电话芯片，具备清晰通话声音；</w:t>
            </w:r>
          </w:p>
          <w:p w14:paraId="5DBEC7C6">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2.工作电压：DC24V（电话总线 18V～28V）</w:t>
            </w:r>
          </w:p>
          <w:p w14:paraId="7B02EDFD">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3.工作电流：≤25mA</w:t>
            </w:r>
          </w:p>
          <w:p w14:paraId="3A70F4CD">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4.线 制：与消防电话总机采用无极性二总线连接</w:t>
            </w:r>
          </w:p>
          <w:p w14:paraId="1A6C39E9">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5.语音频率：300Hz～3400Hz</w:t>
            </w:r>
          </w:p>
          <w:p w14:paraId="44F66687">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6.插头类型：3.5mm 单声道音频插头</w:t>
            </w:r>
          </w:p>
          <w:p w14:paraId="3BC81C70">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7.使用环境：温 度：-10℃～+55℃，相对湿度：≤95%RH，不凝露</w:t>
            </w:r>
          </w:p>
          <w:p w14:paraId="06F7D4E6">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8.壳体材料颜色：红色ABS材料</w:t>
            </w:r>
          </w:p>
        </w:tc>
        <w:tc>
          <w:tcPr>
            <w:tcW w:w="286" w:type="pct"/>
            <w:vAlign w:val="center"/>
          </w:tcPr>
          <w:p w14:paraId="6CAF37B8">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214" w:type="pct"/>
            <w:vAlign w:val="center"/>
          </w:tcPr>
          <w:p w14:paraId="18F98894">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37F95D9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0.0168</w:t>
            </w:r>
          </w:p>
        </w:tc>
        <w:tc>
          <w:tcPr>
            <w:tcW w:w="575" w:type="pct"/>
            <w:vAlign w:val="center"/>
          </w:tcPr>
          <w:p w14:paraId="74897E04">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0.0336</w:t>
            </w:r>
          </w:p>
        </w:tc>
      </w:tr>
      <w:tr w14:paraId="6A8DB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76735109">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146</w:t>
            </w:r>
          </w:p>
        </w:tc>
        <w:tc>
          <w:tcPr>
            <w:tcW w:w="599" w:type="pct"/>
            <w:vAlign w:val="center"/>
          </w:tcPr>
          <w:p w14:paraId="40F8C08E">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铅酸蓄电池（卧式）</w:t>
            </w:r>
          </w:p>
          <w:p w14:paraId="21FFCBD9">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（东区教工11栋）</w:t>
            </w:r>
          </w:p>
        </w:tc>
        <w:tc>
          <w:tcPr>
            <w:tcW w:w="24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C0983">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12V/24AH密封铅酸电池，用于立柜主机和琴台主机。</w:t>
            </w:r>
          </w:p>
        </w:tc>
        <w:tc>
          <w:tcPr>
            <w:tcW w:w="286" w:type="pct"/>
            <w:vAlign w:val="center"/>
          </w:tcPr>
          <w:p w14:paraId="3345E3F2">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214" w:type="pct"/>
            <w:vAlign w:val="center"/>
          </w:tcPr>
          <w:p w14:paraId="1B46906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节</w:t>
            </w:r>
          </w:p>
        </w:tc>
        <w:tc>
          <w:tcPr>
            <w:tcW w:w="570" w:type="pct"/>
            <w:vAlign w:val="center"/>
          </w:tcPr>
          <w:p w14:paraId="7D1EC948">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0.0400</w:t>
            </w:r>
          </w:p>
        </w:tc>
        <w:tc>
          <w:tcPr>
            <w:tcW w:w="575" w:type="pct"/>
            <w:vAlign w:val="center"/>
          </w:tcPr>
          <w:p w14:paraId="211CD7C1">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0.0800</w:t>
            </w:r>
          </w:p>
        </w:tc>
      </w:tr>
      <w:tr w14:paraId="37227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5AFF7BBB">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147</w:t>
            </w:r>
          </w:p>
        </w:tc>
        <w:tc>
          <w:tcPr>
            <w:tcW w:w="599" w:type="pct"/>
            <w:vAlign w:val="center"/>
          </w:tcPr>
          <w:p w14:paraId="163AA900">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点型光电感烟火灾探测器</w:t>
            </w:r>
          </w:p>
          <w:p w14:paraId="63722656">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（东区教工11栋）</w:t>
            </w:r>
          </w:p>
        </w:tc>
        <w:tc>
          <w:tcPr>
            <w:tcW w:w="24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59A11">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1.采用电子编码，采用二线制总线，总线电压 15~28V，无极性；</w:t>
            </w:r>
          </w:p>
          <w:p w14:paraId="7C645C6F">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2.具有溢水孔防水设计、PCB板全密封防护工艺；</w:t>
            </w:r>
          </w:p>
          <w:p w14:paraId="313AFB7F">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3.指示灯360度可见，采用牢固结构；</w:t>
            </w:r>
          </w:p>
          <w:p w14:paraId="3ECF03A4">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4.软硬件滤波，抗干扰能力强。具备自动补偿功能，对于一定程度上因为外部环境（温度、湿度、灰尘、静电等）因素的变化而而引起的性能漂移，可自动进行补偿，提高感烟探测器的可靠性；</w:t>
            </w:r>
          </w:p>
          <w:p w14:paraId="26CB6F84">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5.具备准确判断24小时内发生的慢性火灾；</w:t>
            </w:r>
          </w:p>
          <w:p w14:paraId="6581D29F">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6.采用低功耗设计监视状态≤0.4mA，报警状态≤0.9mA，降低系统的负荷；</w:t>
            </w:r>
          </w:p>
          <w:p w14:paraId="407A1C64">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7.具备有智能化判断火警、传感器故障、清洗预报功能；</w:t>
            </w:r>
          </w:p>
          <w:p w14:paraId="27A0011F">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8.指 示 灯：具备巡检时周期性闪烁，火警时常亮，故障时熄灭</w:t>
            </w:r>
          </w:p>
          <w:p w14:paraId="4057BF1B">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9.使用环境：温度-10℃～+55℃；相对湿度≤95%，不凝露</w:t>
            </w:r>
          </w:p>
        </w:tc>
        <w:tc>
          <w:tcPr>
            <w:tcW w:w="286" w:type="pct"/>
            <w:vAlign w:val="center"/>
          </w:tcPr>
          <w:p w14:paraId="014B352C">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3D437B9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60E999A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0.0110</w:t>
            </w:r>
          </w:p>
        </w:tc>
        <w:tc>
          <w:tcPr>
            <w:tcW w:w="575" w:type="pct"/>
            <w:vAlign w:val="center"/>
          </w:tcPr>
          <w:p w14:paraId="7CB7ED95">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0.0110</w:t>
            </w:r>
          </w:p>
        </w:tc>
      </w:tr>
      <w:tr w14:paraId="51937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40757448">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148</w:t>
            </w:r>
          </w:p>
        </w:tc>
        <w:tc>
          <w:tcPr>
            <w:tcW w:w="599" w:type="pct"/>
            <w:vAlign w:val="center"/>
          </w:tcPr>
          <w:p w14:paraId="74FAC751">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探测器底座</w:t>
            </w:r>
          </w:p>
          <w:p w14:paraId="53BD7479">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（东区教工11栋）</w:t>
            </w:r>
          </w:p>
        </w:tc>
        <w:tc>
          <w:tcPr>
            <w:tcW w:w="24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A1E26">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塑料材质，配套点型光电感烟火灾探测器使用。</w:t>
            </w:r>
          </w:p>
        </w:tc>
        <w:tc>
          <w:tcPr>
            <w:tcW w:w="286" w:type="pct"/>
            <w:vAlign w:val="center"/>
          </w:tcPr>
          <w:p w14:paraId="38D369A1">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21880674">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7A6C561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0.0003</w:t>
            </w:r>
          </w:p>
        </w:tc>
        <w:tc>
          <w:tcPr>
            <w:tcW w:w="575" w:type="pct"/>
            <w:vAlign w:val="center"/>
          </w:tcPr>
          <w:p w14:paraId="2930D621">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0.0003</w:t>
            </w:r>
          </w:p>
        </w:tc>
      </w:tr>
      <w:tr w14:paraId="2B6A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20FC3FA4">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149</w:t>
            </w:r>
          </w:p>
        </w:tc>
        <w:tc>
          <w:tcPr>
            <w:tcW w:w="599" w:type="pct"/>
            <w:vAlign w:val="center"/>
          </w:tcPr>
          <w:p w14:paraId="08224ABA">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三楼火灾声光警报器及线路检修</w:t>
            </w:r>
          </w:p>
          <w:p w14:paraId="26997460">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（东区教工11栋）</w:t>
            </w:r>
          </w:p>
        </w:tc>
        <w:tc>
          <w:tcPr>
            <w:tcW w:w="24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24031">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东区11栋2单元三楼的3个火灾声光报警器及线路检查故障回路，排查故障点位，根据检修情况制定维修方案并维修更换损坏的线路，恢复设施正常运行。</w:t>
            </w:r>
          </w:p>
        </w:tc>
        <w:tc>
          <w:tcPr>
            <w:tcW w:w="286" w:type="pct"/>
            <w:vAlign w:val="center"/>
          </w:tcPr>
          <w:p w14:paraId="1F359648">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w:t>
            </w:r>
          </w:p>
        </w:tc>
        <w:tc>
          <w:tcPr>
            <w:tcW w:w="214" w:type="pct"/>
            <w:vAlign w:val="center"/>
          </w:tcPr>
          <w:p w14:paraId="65D31302">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6D8D1F2C">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0.0300</w:t>
            </w:r>
          </w:p>
        </w:tc>
        <w:tc>
          <w:tcPr>
            <w:tcW w:w="575" w:type="pct"/>
            <w:vAlign w:val="center"/>
          </w:tcPr>
          <w:p w14:paraId="59F1C6F4">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0.1200</w:t>
            </w:r>
          </w:p>
        </w:tc>
      </w:tr>
      <w:tr w14:paraId="0F9E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2E1B46F4">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150</w:t>
            </w:r>
          </w:p>
        </w:tc>
        <w:tc>
          <w:tcPr>
            <w:tcW w:w="599" w:type="pct"/>
            <w:vAlign w:val="center"/>
          </w:tcPr>
          <w:p w14:paraId="677DD6AE">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点型光电感烟火灾探测器</w:t>
            </w:r>
          </w:p>
          <w:p w14:paraId="61A1BB75">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（西区教工24栋）</w:t>
            </w:r>
          </w:p>
        </w:tc>
        <w:tc>
          <w:tcPr>
            <w:tcW w:w="24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16713">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1.采用电子编码，采用二线制总线，总线电压 15~28V，无极性；</w:t>
            </w:r>
          </w:p>
          <w:p w14:paraId="0EFC0924">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2.具有溢水孔防水设计、PCB板全密封防护工艺；</w:t>
            </w:r>
          </w:p>
          <w:p w14:paraId="75F75742">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3.指示灯360度可见，采用牢固结构；</w:t>
            </w:r>
          </w:p>
          <w:p w14:paraId="2CDB6D1F">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4.软硬件滤波，抗干扰能力强。具备自动补偿功能，对于一定程度上因为外部环境（温度、湿度、灰尘、静电等）因素的变化而而引起的性能漂移，可自动进行补偿，提高感烟探测器的可靠性；</w:t>
            </w:r>
          </w:p>
          <w:p w14:paraId="78F618B2">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5.具备准确判断24小时内发生的慢性火灾；</w:t>
            </w:r>
          </w:p>
          <w:p w14:paraId="141E6E16">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6.采用低功耗设计监视状态≤0.4mA，报警状态≤0.9mA，降低系统的负荷；</w:t>
            </w:r>
          </w:p>
          <w:p w14:paraId="6E71FA8F">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7.具备有智能化判断火警、传感器故障、清洗预报功能；</w:t>
            </w:r>
          </w:p>
          <w:p w14:paraId="25A64579">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8.指 示 灯：具备巡检时周期性闪烁，火警时常亮，故障时熄灭</w:t>
            </w:r>
          </w:p>
          <w:p w14:paraId="76C400CE">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9.使用环境：温度-10℃～+55℃；相对湿度≤95%，不凝露</w:t>
            </w:r>
          </w:p>
        </w:tc>
        <w:tc>
          <w:tcPr>
            <w:tcW w:w="286" w:type="pct"/>
            <w:vAlign w:val="center"/>
          </w:tcPr>
          <w:p w14:paraId="585FD47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214" w:type="pct"/>
            <w:vAlign w:val="center"/>
          </w:tcPr>
          <w:p w14:paraId="6F6706B0">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5E787AE2">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0.0110</w:t>
            </w:r>
          </w:p>
        </w:tc>
        <w:tc>
          <w:tcPr>
            <w:tcW w:w="575" w:type="pct"/>
            <w:vAlign w:val="center"/>
          </w:tcPr>
          <w:p w14:paraId="4F0F0E2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0.0220</w:t>
            </w:r>
          </w:p>
        </w:tc>
      </w:tr>
      <w:tr w14:paraId="5ED6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423071F9">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151</w:t>
            </w:r>
          </w:p>
        </w:tc>
        <w:tc>
          <w:tcPr>
            <w:tcW w:w="599" w:type="pct"/>
            <w:vAlign w:val="center"/>
          </w:tcPr>
          <w:p w14:paraId="579140A9">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探测器底座</w:t>
            </w:r>
          </w:p>
          <w:p w14:paraId="7A6A801D">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（西区教工24栋）</w:t>
            </w:r>
          </w:p>
        </w:tc>
        <w:tc>
          <w:tcPr>
            <w:tcW w:w="24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1C7E0">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塑料材质，配套点型光电感烟火灾探测器使用。</w:t>
            </w:r>
          </w:p>
        </w:tc>
        <w:tc>
          <w:tcPr>
            <w:tcW w:w="286" w:type="pct"/>
            <w:vAlign w:val="center"/>
          </w:tcPr>
          <w:p w14:paraId="3F1DD995">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214" w:type="pct"/>
            <w:vAlign w:val="center"/>
          </w:tcPr>
          <w:p w14:paraId="7730F09C">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2B8B7574">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0.0003</w:t>
            </w:r>
          </w:p>
        </w:tc>
        <w:tc>
          <w:tcPr>
            <w:tcW w:w="575" w:type="pct"/>
            <w:vAlign w:val="center"/>
          </w:tcPr>
          <w:p w14:paraId="2025A275">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0.0006</w:t>
            </w:r>
          </w:p>
        </w:tc>
      </w:tr>
      <w:tr w14:paraId="7B90E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58E1CFA7">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152</w:t>
            </w:r>
          </w:p>
        </w:tc>
        <w:tc>
          <w:tcPr>
            <w:tcW w:w="599" w:type="pct"/>
            <w:vAlign w:val="center"/>
          </w:tcPr>
          <w:p w14:paraId="69E81CB9">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手动火灾报警按钮</w:t>
            </w:r>
          </w:p>
          <w:p w14:paraId="08A2C3FF">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（西区教工24栋）</w:t>
            </w:r>
          </w:p>
        </w:tc>
        <w:tc>
          <w:tcPr>
            <w:tcW w:w="24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5B87E">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1.采用电子编码（编码范围（1～242）），无极性二线制</w:t>
            </w:r>
          </w:p>
          <w:p w14:paraId="78C3B614">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2.采用专用集成芯片，动作触点全密封设计</w:t>
            </w:r>
          </w:p>
          <w:p w14:paraId="072D0439">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3.软硬件多级滤波，具有抗干扰能力</w:t>
            </w:r>
          </w:p>
          <w:p w14:paraId="6507A1FF">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4.采用专用复位钥匙，可重复使用。具备插拔式结构、独立输出触点，可直接控制其它外部设备</w:t>
            </w:r>
          </w:p>
          <w:p w14:paraId="70DEA2AE">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5.带电话插孔，插孔可用于消防电话系统</w:t>
            </w:r>
          </w:p>
          <w:p w14:paraId="2813CE65">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6.工作电压：总线 15-28V 脉冲电压</w:t>
            </w:r>
          </w:p>
          <w:p w14:paraId="1AE1C2CC">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7.工作电流：总线静态电流：≤0.5mA，总线报警电流：≤0.8mA</w:t>
            </w:r>
          </w:p>
          <w:p w14:paraId="61FAD83C">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8.输出容量：额定 DC30V/100mA 无源输出触点信号，接触电阻≤100mΩ</w:t>
            </w:r>
          </w:p>
          <w:p w14:paraId="6F46649D">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9.状态指示：启动指示灯，红色，正常巡检时周期性闪亮，闪亮周期约 6s，启动时常亮。回答指示灯，绿色，正常情况下不亮，有回答时常亮</w:t>
            </w:r>
          </w:p>
          <w:p w14:paraId="7A8ECDAC">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10.使用环境温度-10℃～+55℃ ，相对湿度≤95%RH，不凝露</w:t>
            </w:r>
          </w:p>
          <w:p w14:paraId="53753C64">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11.壳体采用红色ABS材料 </w:t>
            </w:r>
          </w:p>
          <w:p w14:paraId="539A9A60">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12.外壳防护等级：IP43</w:t>
            </w:r>
          </w:p>
        </w:tc>
        <w:tc>
          <w:tcPr>
            <w:tcW w:w="286" w:type="pct"/>
            <w:vAlign w:val="center"/>
          </w:tcPr>
          <w:p w14:paraId="6D212AB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2C719B02">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1D54696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0.0090</w:t>
            </w:r>
          </w:p>
        </w:tc>
        <w:tc>
          <w:tcPr>
            <w:tcW w:w="575" w:type="pct"/>
            <w:vAlign w:val="center"/>
          </w:tcPr>
          <w:p w14:paraId="4A5D624C">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0.0090</w:t>
            </w:r>
          </w:p>
        </w:tc>
      </w:tr>
      <w:tr w14:paraId="24F0F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00E50E97">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153</w:t>
            </w:r>
          </w:p>
        </w:tc>
        <w:tc>
          <w:tcPr>
            <w:tcW w:w="599" w:type="pct"/>
            <w:vAlign w:val="center"/>
          </w:tcPr>
          <w:p w14:paraId="6E6D5772">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手动火灾报警按钮底座</w:t>
            </w:r>
          </w:p>
          <w:p w14:paraId="73C0B124">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（西区教工24栋）</w:t>
            </w:r>
          </w:p>
        </w:tc>
        <w:tc>
          <w:tcPr>
            <w:tcW w:w="24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899B4">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与编码型声光警报器配套使用。</w:t>
            </w:r>
          </w:p>
        </w:tc>
        <w:tc>
          <w:tcPr>
            <w:tcW w:w="286" w:type="pct"/>
            <w:vAlign w:val="center"/>
          </w:tcPr>
          <w:p w14:paraId="5C0D7052">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0A9AE324">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73089E6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0.0004</w:t>
            </w:r>
          </w:p>
        </w:tc>
        <w:tc>
          <w:tcPr>
            <w:tcW w:w="575" w:type="pct"/>
            <w:vAlign w:val="center"/>
          </w:tcPr>
          <w:p w14:paraId="2CB132A7">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0.0004</w:t>
            </w:r>
          </w:p>
        </w:tc>
      </w:tr>
      <w:tr w14:paraId="33732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4C8F0185">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154</w:t>
            </w:r>
          </w:p>
        </w:tc>
        <w:tc>
          <w:tcPr>
            <w:tcW w:w="599" w:type="pct"/>
            <w:vAlign w:val="center"/>
          </w:tcPr>
          <w:p w14:paraId="253A36B1">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火灾声光警报器</w:t>
            </w:r>
          </w:p>
          <w:p w14:paraId="4550E2F1">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（西区教工24栋）</w:t>
            </w:r>
          </w:p>
        </w:tc>
        <w:tc>
          <w:tcPr>
            <w:tcW w:w="24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F0BB2">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1.采用专用集成芯片，电子编码（占一个总线地址点，编码范围在 1～242 之间任意设定），无极性二总线，总线协议采用T3 协议，总线电压：脉冲 24V（15V～28V) 。总线监视电流：≤0.4mA 总线启动电流：≤2mA</w:t>
            </w:r>
          </w:p>
          <w:p w14:paraId="011084D5">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2.软硬件多级滤波，抗干扰能力强；</w:t>
            </w:r>
          </w:p>
          <w:p w14:paraId="71C498B2">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3.声与光可独自控制，实现声光与广播交替报警，多只高亮LED作为光源。声音变调周期：2.5S～4.5S、闪光频率：1.2Hz～1.8Hz</w:t>
            </w:r>
          </w:p>
          <w:p w14:paraId="1E22E326">
            <w:pPr>
              <w:widowControl/>
              <w:wordWrap w:val="0"/>
              <w:spacing w:line="400" w:lineRule="exac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4.声 压 级：启动后声音由小变大，3～5 秒后达到稳定，稳定后正前方 3 米处 75dB～105dB（A 计权）</w:t>
            </w:r>
          </w:p>
          <w:p w14:paraId="3B70D8D6">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5.使用环境温 度：-10℃～+55℃，相对湿度：≤95%RH，不凝露</w:t>
            </w:r>
          </w:p>
        </w:tc>
        <w:tc>
          <w:tcPr>
            <w:tcW w:w="286" w:type="pct"/>
            <w:vAlign w:val="center"/>
          </w:tcPr>
          <w:p w14:paraId="733B4DC6">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4523A26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031B5FC2">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0.0100</w:t>
            </w:r>
          </w:p>
        </w:tc>
        <w:tc>
          <w:tcPr>
            <w:tcW w:w="575" w:type="pct"/>
            <w:vAlign w:val="center"/>
          </w:tcPr>
          <w:p w14:paraId="4C354A60">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0.0100</w:t>
            </w:r>
          </w:p>
        </w:tc>
      </w:tr>
      <w:tr w14:paraId="0FD7E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63CCEB60">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155</w:t>
            </w:r>
          </w:p>
        </w:tc>
        <w:tc>
          <w:tcPr>
            <w:tcW w:w="599" w:type="pct"/>
            <w:vAlign w:val="center"/>
          </w:tcPr>
          <w:p w14:paraId="476EB484">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火灾声光警报器底座</w:t>
            </w:r>
          </w:p>
          <w:p w14:paraId="7D100258">
            <w:pPr>
              <w:widowControl/>
              <w:wordWrap w:val="0"/>
              <w:spacing w:line="40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（西区教工24栋）</w:t>
            </w:r>
          </w:p>
        </w:tc>
        <w:tc>
          <w:tcPr>
            <w:tcW w:w="24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6D45D">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与编码型声光警报器配套使用。</w:t>
            </w:r>
          </w:p>
        </w:tc>
        <w:tc>
          <w:tcPr>
            <w:tcW w:w="286" w:type="pct"/>
            <w:vAlign w:val="center"/>
          </w:tcPr>
          <w:p w14:paraId="547DF14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7E9E873C">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c>
          <w:tcPr>
            <w:tcW w:w="570" w:type="pct"/>
            <w:vAlign w:val="center"/>
          </w:tcPr>
          <w:p w14:paraId="22B70375">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0.0003</w:t>
            </w:r>
          </w:p>
        </w:tc>
        <w:tc>
          <w:tcPr>
            <w:tcW w:w="575" w:type="pct"/>
            <w:vAlign w:val="center"/>
          </w:tcPr>
          <w:p w14:paraId="620C6051">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0.0003</w:t>
            </w:r>
          </w:p>
        </w:tc>
      </w:tr>
      <w:tr w14:paraId="7E4A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67FFA37C">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156</w:t>
            </w:r>
          </w:p>
        </w:tc>
        <w:tc>
          <w:tcPr>
            <w:tcW w:w="599" w:type="pct"/>
            <w:vAlign w:val="center"/>
          </w:tcPr>
          <w:p w14:paraId="552FB698">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安防监控系统安装工程</w:t>
            </w:r>
          </w:p>
        </w:tc>
        <w:tc>
          <w:tcPr>
            <w:tcW w:w="24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7CCA4D">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包含立杆、及安防监控系统所需的网线、电源线、光纤、尾纤、终端盒、跳线、PVC管、室外防水箱、双绞线缆测试、摄像机安装备。具体详见工程定额清单附件</w:t>
            </w:r>
          </w:p>
        </w:tc>
        <w:tc>
          <w:tcPr>
            <w:tcW w:w="286" w:type="pct"/>
            <w:vAlign w:val="center"/>
          </w:tcPr>
          <w:p w14:paraId="2869A0B9">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7747AE3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项</w:t>
            </w:r>
          </w:p>
        </w:tc>
        <w:tc>
          <w:tcPr>
            <w:tcW w:w="570" w:type="pct"/>
            <w:vAlign w:val="center"/>
          </w:tcPr>
          <w:p w14:paraId="13F4AD50">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43.5185</w:t>
            </w:r>
          </w:p>
        </w:tc>
        <w:tc>
          <w:tcPr>
            <w:tcW w:w="575" w:type="pct"/>
            <w:vAlign w:val="center"/>
          </w:tcPr>
          <w:p w14:paraId="2CA98472">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43.5185</w:t>
            </w:r>
          </w:p>
        </w:tc>
      </w:tr>
      <w:tr w14:paraId="5743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16BE4BAA">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157</w:t>
            </w:r>
          </w:p>
        </w:tc>
        <w:tc>
          <w:tcPr>
            <w:tcW w:w="599" w:type="pct"/>
            <w:vAlign w:val="center"/>
          </w:tcPr>
          <w:p w14:paraId="1D696D96">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校园出入管理系统安装工程</w:t>
            </w:r>
          </w:p>
        </w:tc>
        <w:tc>
          <w:tcPr>
            <w:tcW w:w="24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DC923">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包含设备安装调试及所需的六类网线、RVV2*2.5护套电源线等，具体详见工程定额清单附件</w:t>
            </w:r>
          </w:p>
        </w:tc>
        <w:tc>
          <w:tcPr>
            <w:tcW w:w="286" w:type="pct"/>
            <w:vAlign w:val="center"/>
          </w:tcPr>
          <w:p w14:paraId="703A460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069CDC80">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项</w:t>
            </w:r>
          </w:p>
        </w:tc>
        <w:tc>
          <w:tcPr>
            <w:tcW w:w="570" w:type="pct"/>
            <w:vAlign w:val="center"/>
          </w:tcPr>
          <w:p w14:paraId="4AC3D445">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1.9916</w:t>
            </w:r>
          </w:p>
        </w:tc>
        <w:tc>
          <w:tcPr>
            <w:tcW w:w="575" w:type="pct"/>
            <w:vAlign w:val="center"/>
          </w:tcPr>
          <w:p w14:paraId="55B336A1">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1.9916</w:t>
            </w:r>
          </w:p>
        </w:tc>
      </w:tr>
      <w:tr w14:paraId="42C0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5703E284">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158</w:t>
            </w:r>
          </w:p>
        </w:tc>
        <w:tc>
          <w:tcPr>
            <w:tcW w:w="599" w:type="pct"/>
            <w:vAlign w:val="center"/>
          </w:tcPr>
          <w:p w14:paraId="4B15B8CB">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车辆道闸升级改造工程</w:t>
            </w:r>
          </w:p>
        </w:tc>
        <w:tc>
          <w:tcPr>
            <w:tcW w:w="24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F3198">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包含安全岛拆除、通道闸机更换安装调试，相应的安装所需要的辅材等，具体详见工程定额清单附件</w:t>
            </w:r>
          </w:p>
        </w:tc>
        <w:tc>
          <w:tcPr>
            <w:tcW w:w="286" w:type="pct"/>
            <w:vAlign w:val="center"/>
          </w:tcPr>
          <w:p w14:paraId="2DFE52A3">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vAlign w:val="center"/>
          </w:tcPr>
          <w:p w14:paraId="10B4F675">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项</w:t>
            </w:r>
          </w:p>
        </w:tc>
        <w:tc>
          <w:tcPr>
            <w:tcW w:w="570" w:type="pct"/>
            <w:vAlign w:val="center"/>
          </w:tcPr>
          <w:p w14:paraId="095FA5AC">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2.2916</w:t>
            </w:r>
          </w:p>
        </w:tc>
        <w:tc>
          <w:tcPr>
            <w:tcW w:w="575" w:type="pct"/>
            <w:vAlign w:val="center"/>
          </w:tcPr>
          <w:p w14:paraId="35636FA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2.2916</w:t>
            </w:r>
          </w:p>
        </w:tc>
      </w:tr>
      <w:tr w14:paraId="3154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Borders>
              <w:bottom w:val="single" w:color="auto" w:sz="4" w:space="0"/>
            </w:tcBorders>
            <w:vAlign w:val="center"/>
          </w:tcPr>
          <w:p w14:paraId="65B93522">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159</w:t>
            </w:r>
          </w:p>
        </w:tc>
        <w:tc>
          <w:tcPr>
            <w:tcW w:w="599" w:type="pct"/>
            <w:tcBorders>
              <w:bottom w:val="single" w:color="auto" w:sz="4" w:space="0"/>
            </w:tcBorders>
            <w:vAlign w:val="center"/>
          </w:tcPr>
          <w:p w14:paraId="0D383F2F">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校园大安全监控中心环境改造工程</w:t>
            </w:r>
          </w:p>
        </w:tc>
        <w:tc>
          <w:tcPr>
            <w:tcW w:w="2441"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41DC9BC8">
            <w:pPr>
              <w:widowControl/>
              <w:wordWrap w:val="0"/>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包含校园大安全综合监控中心环境改造、强弱电改造等，具体工程做法详见工程定额清单附件</w:t>
            </w:r>
          </w:p>
        </w:tc>
        <w:tc>
          <w:tcPr>
            <w:tcW w:w="286" w:type="pct"/>
            <w:tcBorders>
              <w:bottom w:val="single" w:color="auto" w:sz="4" w:space="0"/>
            </w:tcBorders>
            <w:vAlign w:val="center"/>
          </w:tcPr>
          <w:p w14:paraId="475119DA">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14" w:type="pct"/>
            <w:tcBorders>
              <w:bottom w:val="single" w:color="auto" w:sz="4" w:space="0"/>
            </w:tcBorders>
            <w:vAlign w:val="center"/>
          </w:tcPr>
          <w:p w14:paraId="0D59A401">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项</w:t>
            </w:r>
          </w:p>
        </w:tc>
        <w:tc>
          <w:tcPr>
            <w:tcW w:w="570" w:type="pct"/>
            <w:tcBorders>
              <w:bottom w:val="single" w:color="auto" w:sz="4" w:space="0"/>
            </w:tcBorders>
            <w:vAlign w:val="center"/>
          </w:tcPr>
          <w:p w14:paraId="42F56BBE">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22.0227</w:t>
            </w:r>
          </w:p>
        </w:tc>
        <w:tc>
          <w:tcPr>
            <w:tcW w:w="575" w:type="pct"/>
            <w:tcBorders>
              <w:bottom w:val="single" w:color="auto" w:sz="4" w:space="0"/>
            </w:tcBorders>
            <w:vAlign w:val="center"/>
          </w:tcPr>
          <w:p w14:paraId="5C332666">
            <w:pPr>
              <w:widowControl/>
              <w:wordWrap w:val="0"/>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22.0227</w:t>
            </w:r>
          </w:p>
        </w:tc>
      </w:tr>
      <w:tr w14:paraId="1EAC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8"/>
            <w:tcBorders>
              <w:left w:val="single" w:color="auto" w:sz="4" w:space="0"/>
              <w:right w:val="single" w:color="auto" w:sz="4" w:space="0"/>
            </w:tcBorders>
            <w:vAlign w:val="center"/>
          </w:tcPr>
          <w:p w14:paraId="22A49320">
            <w:pPr>
              <w:widowControl/>
              <w:spacing w:line="400" w:lineRule="exact"/>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二、商务条款</w:t>
            </w:r>
          </w:p>
        </w:tc>
      </w:tr>
      <w:tr w14:paraId="39C0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pct"/>
            <w:gridSpan w:val="3"/>
          </w:tcPr>
          <w:p w14:paraId="6B2F37AA">
            <w:pPr>
              <w:spacing w:line="400" w:lineRule="exact"/>
              <w:rPr>
                <w:rFonts w:hint="eastAsia" w:ascii="宋体" w:hAnsi="宋体" w:eastAsia="宋体" w:cs="宋体"/>
                <w:b/>
                <w:bCs/>
                <w:color w:val="auto"/>
                <w:kern w:val="0"/>
                <w:sz w:val="21"/>
                <w:szCs w:val="21"/>
                <w:lang w:bidi="ar"/>
              </w:rPr>
            </w:pPr>
            <w:r>
              <w:rPr>
                <w:rFonts w:hint="eastAsia" w:ascii="宋体" w:hAnsi="宋体" w:eastAsia="宋体" w:cs="宋体"/>
                <w:color w:val="auto"/>
                <w:sz w:val="21"/>
                <w:szCs w:val="21"/>
              </w:rPr>
              <w:t>合同签订</w:t>
            </w:r>
          </w:p>
        </w:tc>
        <w:tc>
          <w:tcPr>
            <w:tcW w:w="3607" w:type="pct"/>
            <w:gridSpan w:val="5"/>
          </w:tcPr>
          <w:p w14:paraId="0D776DEC">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自中标通知书发出之日起</w:t>
            </w:r>
            <w:r>
              <w:rPr>
                <w:rFonts w:hint="eastAsia" w:ascii="宋体" w:hAnsi="宋体" w:eastAsia="宋体" w:cs="宋体"/>
                <w:color w:val="auto"/>
                <w:sz w:val="21"/>
                <w:szCs w:val="21"/>
                <w:u w:val="single"/>
              </w:rPr>
              <w:t>25</w:t>
            </w:r>
            <w:r>
              <w:rPr>
                <w:rFonts w:hint="eastAsia" w:ascii="宋体" w:hAnsi="宋体" w:eastAsia="宋体" w:cs="宋体"/>
                <w:color w:val="auto"/>
                <w:sz w:val="21"/>
                <w:szCs w:val="21"/>
              </w:rPr>
              <w:t>个日历天内。</w:t>
            </w:r>
          </w:p>
        </w:tc>
      </w:tr>
      <w:tr w14:paraId="6CE7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pct"/>
            <w:gridSpan w:val="3"/>
          </w:tcPr>
          <w:p w14:paraId="2DAAFE2C">
            <w:pPr>
              <w:wordWrap w:val="0"/>
              <w:spacing w:line="400" w:lineRule="exact"/>
              <w:rPr>
                <w:rFonts w:hint="eastAsia" w:ascii="宋体" w:hAnsi="宋体" w:eastAsia="宋体" w:cs="宋体"/>
                <w:b/>
                <w:bCs/>
                <w:color w:val="auto"/>
                <w:kern w:val="0"/>
                <w:sz w:val="21"/>
                <w:szCs w:val="21"/>
                <w:lang w:bidi="ar"/>
              </w:rPr>
            </w:pPr>
            <w:r>
              <w:rPr>
                <w:rFonts w:hint="eastAsia" w:ascii="宋体" w:hAnsi="宋体" w:eastAsia="宋体" w:cs="宋体"/>
                <w:color w:val="auto"/>
                <w:sz w:val="21"/>
                <w:szCs w:val="21"/>
              </w:rPr>
              <w:t>交付时间</w:t>
            </w:r>
          </w:p>
        </w:tc>
        <w:tc>
          <w:tcPr>
            <w:tcW w:w="3607" w:type="pct"/>
            <w:gridSpan w:val="5"/>
          </w:tcPr>
          <w:p w14:paraId="13E5AB3D">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签订合同 90 日历天内到货安装调试完成并通过验收；</w:t>
            </w:r>
          </w:p>
        </w:tc>
      </w:tr>
      <w:tr w14:paraId="1E2A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pct"/>
            <w:gridSpan w:val="3"/>
          </w:tcPr>
          <w:p w14:paraId="75202AE8">
            <w:pPr>
              <w:wordWrap w:val="0"/>
              <w:spacing w:line="400" w:lineRule="exact"/>
              <w:rPr>
                <w:rFonts w:hint="eastAsia" w:ascii="宋体" w:hAnsi="宋体" w:eastAsia="宋体" w:cs="宋体"/>
                <w:b/>
                <w:bCs/>
                <w:color w:val="auto"/>
                <w:kern w:val="0"/>
                <w:sz w:val="21"/>
                <w:szCs w:val="21"/>
                <w:lang w:bidi="ar"/>
              </w:rPr>
            </w:pPr>
            <w:r>
              <w:rPr>
                <w:rFonts w:hint="eastAsia" w:ascii="宋体" w:hAnsi="宋体" w:eastAsia="宋体" w:cs="宋体"/>
                <w:color w:val="auto"/>
                <w:sz w:val="21"/>
                <w:szCs w:val="21"/>
              </w:rPr>
              <w:t>交付地点</w:t>
            </w:r>
          </w:p>
        </w:tc>
        <w:tc>
          <w:tcPr>
            <w:tcW w:w="3607" w:type="pct"/>
            <w:gridSpan w:val="5"/>
          </w:tcPr>
          <w:p w14:paraId="6E1B08BB">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广西区内采购人指定地点。</w:t>
            </w:r>
          </w:p>
        </w:tc>
      </w:tr>
      <w:tr w14:paraId="49EC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pct"/>
            <w:gridSpan w:val="3"/>
          </w:tcPr>
          <w:p w14:paraId="6B9D78E5">
            <w:pPr>
              <w:wordWrap w:val="0"/>
              <w:spacing w:line="400" w:lineRule="exact"/>
              <w:rPr>
                <w:rFonts w:hint="eastAsia" w:ascii="宋体" w:hAnsi="宋体" w:eastAsia="宋体" w:cs="宋体"/>
                <w:b/>
                <w:bCs/>
                <w:color w:val="auto"/>
                <w:kern w:val="0"/>
                <w:sz w:val="21"/>
                <w:szCs w:val="21"/>
                <w:lang w:bidi="ar"/>
              </w:rPr>
            </w:pPr>
            <w:r>
              <w:rPr>
                <w:rFonts w:hint="eastAsia" w:ascii="宋体" w:hAnsi="宋体" w:eastAsia="宋体" w:cs="宋体"/>
                <w:color w:val="auto"/>
                <w:sz w:val="21"/>
                <w:szCs w:val="21"/>
              </w:rPr>
              <w:t>交付方式</w:t>
            </w:r>
          </w:p>
        </w:tc>
        <w:tc>
          <w:tcPr>
            <w:tcW w:w="3607" w:type="pct"/>
            <w:gridSpan w:val="5"/>
          </w:tcPr>
          <w:p w14:paraId="1333EBDF">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现场交货。</w:t>
            </w:r>
          </w:p>
        </w:tc>
      </w:tr>
      <w:tr w14:paraId="7EBDC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pct"/>
            <w:gridSpan w:val="3"/>
          </w:tcPr>
          <w:p w14:paraId="0F550492">
            <w:pPr>
              <w:spacing w:line="400" w:lineRule="exact"/>
              <w:rPr>
                <w:rFonts w:hint="eastAsia" w:ascii="宋体" w:hAnsi="宋体" w:eastAsia="宋体" w:cs="宋体"/>
                <w:b/>
                <w:bCs/>
                <w:color w:val="auto"/>
                <w:kern w:val="0"/>
                <w:sz w:val="21"/>
                <w:szCs w:val="21"/>
                <w:lang w:bidi="ar"/>
              </w:rPr>
            </w:pPr>
            <w:r>
              <w:rPr>
                <w:rFonts w:hint="eastAsia" w:ascii="宋体" w:hAnsi="宋体" w:eastAsia="宋体" w:cs="宋体"/>
                <w:color w:val="auto"/>
                <w:sz w:val="21"/>
                <w:szCs w:val="21"/>
              </w:rPr>
              <w:t>质保期及售后服务要求</w:t>
            </w:r>
          </w:p>
        </w:tc>
        <w:tc>
          <w:tcPr>
            <w:tcW w:w="3607" w:type="pct"/>
            <w:gridSpan w:val="5"/>
          </w:tcPr>
          <w:p w14:paraId="4B9D0944">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1.列表中“技术要求”另有要求的按要求执行；未有要求的，按国家有关产品“三包”规定执行“三包”，自货物验收合格之日起计算，产品质保期最短不少于1年，所有软件提供1年内免费升级服务。</w:t>
            </w:r>
            <w:r>
              <w:rPr>
                <w:rFonts w:hint="eastAsia" w:ascii="宋体" w:hAnsi="宋体" w:eastAsia="宋体" w:cs="宋体"/>
                <w:color w:val="auto"/>
                <w:kern w:val="0"/>
                <w:sz w:val="21"/>
                <w:szCs w:val="21"/>
                <w:lang w:bidi="ar"/>
              </w:rPr>
              <w:t>质保期自验收合格之日起计1年，按生产厂家的规定执行。</w:t>
            </w:r>
          </w:p>
          <w:p w14:paraId="62794054">
            <w:pPr>
              <w:wordWrap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2.若产品出产的质保期或产品生产厂家承诺的质保期超过本项目规定质保期限的，合同执行过程中按产品出产质保期限或厂家承诺期限执行；若中标人承诺的质保期限优于产品出产的质保期或产品生产厂家承诺的，以中标人承诺执行。</w:t>
            </w:r>
          </w:p>
          <w:p w14:paraId="60A5D36B">
            <w:pPr>
              <w:wordWrap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3.质保期内</w:t>
            </w:r>
            <w:r>
              <w:rPr>
                <w:rFonts w:hint="eastAsia" w:ascii="宋体" w:hAnsi="宋体" w:eastAsia="宋体" w:cs="宋体"/>
                <w:color w:val="auto"/>
                <w:kern w:val="0"/>
                <w:sz w:val="21"/>
                <w:szCs w:val="21"/>
                <w:lang w:bidi="ar"/>
              </w:rPr>
              <w:t>免费提供系统维护、升级等技术支持服务，</w:t>
            </w:r>
            <w:r>
              <w:rPr>
                <w:rFonts w:hint="eastAsia" w:ascii="宋体" w:hAnsi="宋体" w:eastAsia="宋体" w:cs="宋体"/>
                <w:color w:val="auto"/>
                <w:sz w:val="21"/>
                <w:szCs w:val="21"/>
              </w:rPr>
              <w:t>负责上门服务、维修、更换配件，不得收取任何费用。质保期满后</w:t>
            </w:r>
            <w:r>
              <w:rPr>
                <w:rFonts w:hint="eastAsia" w:ascii="宋体" w:hAnsi="宋体" w:eastAsia="宋体" w:cs="宋体"/>
                <w:color w:val="auto"/>
                <w:kern w:val="0"/>
                <w:sz w:val="21"/>
                <w:szCs w:val="21"/>
                <w:lang w:bidi="ar"/>
              </w:rPr>
              <w:t>提供系统维护、扩充、升级等方面的技术支持服务</w:t>
            </w:r>
            <w:r>
              <w:rPr>
                <w:rFonts w:hint="eastAsia" w:ascii="宋体" w:hAnsi="宋体" w:eastAsia="宋体" w:cs="宋体"/>
                <w:color w:val="auto"/>
                <w:sz w:val="21"/>
                <w:szCs w:val="21"/>
              </w:rPr>
              <w:t>，终身维护。</w:t>
            </w:r>
          </w:p>
          <w:p w14:paraId="54ACA834">
            <w:pPr>
              <w:wordWrap w:val="0"/>
              <w:spacing w:line="400" w:lineRule="exac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4.系统故障报修的响应时间：提供全天候无间断的远程技术服务，4小时内对问题做出响应。若电话中无法解决，3个工作日内到达现场进行解决。</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7.免费为教师提供培训及咨询服务。免费提供所购硬件按设备中文版的操作说明书及相关技术资料。</w:t>
            </w:r>
          </w:p>
        </w:tc>
      </w:tr>
      <w:tr w14:paraId="580F5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pct"/>
            <w:gridSpan w:val="3"/>
          </w:tcPr>
          <w:p w14:paraId="51B46445">
            <w:pPr>
              <w:spacing w:line="400" w:lineRule="exact"/>
              <w:rPr>
                <w:rFonts w:hint="eastAsia" w:ascii="宋体" w:hAnsi="宋体" w:eastAsia="宋体" w:cs="宋体"/>
                <w:b/>
                <w:bCs/>
                <w:color w:val="auto"/>
                <w:kern w:val="0"/>
                <w:sz w:val="21"/>
                <w:szCs w:val="21"/>
                <w:lang w:bidi="ar"/>
              </w:rPr>
            </w:pPr>
            <w:r>
              <w:rPr>
                <w:rFonts w:hint="eastAsia" w:ascii="宋体" w:hAnsi="宋体" w:eastAsia="宋体" w:cs="宋体"/>
                <w:color w:val="auto"/>
                <w:sz w:val="21"/>
                <w:szCs w:val="21"/>
              </w:rPr>
              <w:t>付款方式</w:t>
            </w:r>
          </w:p>
        </w:tc>
        <w:tc>
          <w:tcPr>
            <w:tcW w:w="3607" w:type="pct"/>
            <w:gridSpan w:val="5"/>
          </w:tcPr>
          <w:p w14:paraId="10779EAF">
            <w:pPr>
              <w:wordWrap w:val="0"/>
              <w:spacing w:line="40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货物交付正常使用10个工作日后，经最终验收合格，凭成交供应商提交付款申请书、开具的项目合同价款增值税专用发票和履约保证金汇款（转账）单（复印件）及货物验收证明书，采购人在收到以上材料后10个工作日内向成交供应商支付100%的合同货款。</w:t>
            </w:r>
          </w:p>
        </w:tc>
      </w:tr>
      <w:tr w14:paraId="7F90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pct"/>
            <w:gridSpan w:val="3"/>
          </w:tcPr>
          <w:p w14:paraId="6081796B">
            <w:pPr>
              <w:wordWrap w:val="0"/>
              <w:spacing w:line="400" w:lineRule="exact"/>
              <w:rPr>
                <w:rFonts w:hint="eastAsia" w:ascii="宋体" w:hAnsi="宋体" w:eastAsia="宋体" w:cs="宋体"/>
                <w:b/>
                <w:bCs/>
                <w:color w:val="auto"/>
                <w:kern w:val="0"/>
                <w:sz w:val="21"/>
                <w:szCs w:val="21"/>
                <w:lang w:bidi="ar"/>
              </w:rPr>
            </w:pPr>
            <w:r>
              <w:rPr>
                <w:rFonts w:hint="eastAsia" w:ascii="宋体" w:hAnsi="宋体" w:eastAsia="宋体" w:cs="宋体"/>
                <w:color w:val="auto"/>
                <w:sz w:val="21"/>
                <w:szCs w:val="21"/>
              </w:rPr>
              <w:t>履约保证金</w:t>
            </w:r>
          </w:p>
        </w:tc>
        <w:tc>
          <w:tcPr>
            <w:tcW w:w="3607" w:type="pct"/>
            <w:gridSpan w:val="5"/>
          </w:tcPr>
          <w:p w14:paraId="621BD9E2">
            <w:pPr>
              <w:wordWrap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履约保证金金额：中标金额的2%。中标供应商应在合同签订前向采购人指定账户提交履约保证金，凭履约保证金缴纳凭证签订合同。</w:t>
            </w:r>
          </w:p>
          <w:p w14:paraId="61828F09">
            <w:pPr>
              <w:wordWrap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履约保证金递交方式：以银行转账、支票、汇票、本票或者金融机构、担保机构出具的保函等非现金方式，银行转账、支票、汇票、本票由中标供应商直接缴入以下采购人账户：</w:t>
            </w:r>
          </w:p>
          <w:p w14:paraId="68B64799">
            <w:pPr>
              <w:wordWrap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开户名称：河池学院</w:t>
            </w:r>
          </w:p>
          <w:p w14:paraId="33E5B809">
            <w:pPr>
              <w:wordWrap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开户行：建行宜州支行营业部</w:t>
            </w:r>
          </w:p>
          <w:p w14:paraId="0ED209FD">
            <w:pPr>
              <w:wordWrap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账号：4500 1697 1460 5050 2776</w:t>
            </w:r>
          </w:p>
          <w:p w14:paraId="2AD5E4C9">
            <w:pPr>
              <w:wordWrap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注：履约金转账时备注项目名称或项目编号+履约保证金。</w:t>
            </w:r>
          </w:p>
          <w:p w14:paraId="6AB6BD7F">
            <w:pPr>
              <w:wordWrap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履约保证金退付：中标供应商若不能完全履行合同，履约保证金不返还；中标供应商若完全履行合同及质量保证义务，且没有任何未解决的质量问题，货到验收合格且质保期满后中标供应商凭履约保证金退付申请书和履约保证金汇款（转账）单到采购人单位办理无息退还手续，采购人应当按照合同约定的退还方式，在5个工作日内办理履约保证金退还手续。</w:t>
            </w:r>
          </w:p>
        </w:tc>
      </w:tr>
      <w:tr w14:paraId="06AD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pct"/>
            <w:gridSpan w:val="3"/>
          </w:tcPr>
          <w:p w14:paraId="6A5B0605">
            <w:pPr>
              <w:spacing w:line="400" w:lineRule="exact"/>
              <w:rPr>
                <w:rFonts w:hint="eastAsia" w:ascii="宋体" w:hAnsi="宋体" w:eastAsia="宋体" w:cs="宋体"/>
                <w:b/>
                <w:bCs/>
                <w:color w:val="auto"/>
                <w:kern w:val="0"/>
                <w:sz w:val="21"/>
                <w:szCs w:val="21"/>
                <w:lang w:bidi="ar"/>
              </w:rPr>
            </w:pPr>
            <w:r>
              <w:rPr>
                <w:rFonts w:hint="eastAsia" w:ascii="宋体" w:hAnsi="宋体" w:eastAsia="宋体" w:cs="宋体"/>
                <w:color w:val="auto"/>
                <w:sz w:val="21"/>
                <w:szCs w:val="21"/>
              </w:rPr>
              <w:t>报价要求</w:t>
            </w:r>
          </w:p>
        </w:tc>
        <w:tc>
          <w:tcPr>
            <w:tcW w:w="3607" w:type="pct"/>
            <w:gridSpan w:val="5"/>
          </w:tcPr>
          <w:p w14:paraId="4102E255">
            <w:pPr>
              <w:wordWrap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1.供应商的投标报价应为人民币含税价。报价为总价包干，投标报价必须包括实施和完成该项目所需的设备和人力成本、运输费（含装卸费）、保险费、安装调试费、验收、培训费、产品检测费、产品质保期内维护、税费等，以及合同明示所有责任、义务和一般风险，采购人不再支付任何费用。</w:t>
            </w:r>
          </w:p>
          <w:p w14:paraId="26B19BAA">
            <w:pPr>
              <w:wordWrap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2.本项目涉及的线材、管材、耗材、辅材等实行包干制，不足部份由供应商自行承担。</w:t>
            </w:r>
          </w:p>
        </w:tc>
      </w:tr>
      <w:tr w14:paraId="339A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pct"/>
            <w:gridSpan w:val="3"/>
            <w:tcBorders>
              <w:bottom w:val="single" w:color="auto" w:sz="4" w:space="0"/>
            </w:tcBorders>
          </w:tcPr>
          <w:p w14:paraId="4CCDEA11">
            <w:pPr>
              <w:wordWrap w:val="0"/>
              <w:snapToGrid w:val="0"/>
              <w:spacing w:line="400" w:lineRule="exact"/>
              <w:rPr>
                <w:rFonts w:hint="eastAsia" w:ascii="宋体" w:hAnsi="宋体" w:eastAsia="宋体" w:cs="宋体"/>
                <w:b/>
                <w:bCs/>
                <w:color w:val="auto"/>
                <w:kern w:val="0"/>
                <w:sz w:val="21"/>
                <w:szCs w:val="21"/>
                <w:lang w:bidi="ar"/>
              </w:rPr>
            </w:pPr>
            <w:r>
              <w:rPr>
                <w:rFonts w:hint="eastAsia" w:ascii="宋体" w:hAnsi="宋体" w:eastAsia="宋体" w:cs="宋体"/>
                <w:color w:val="auto"/>
                <w:sz w:val="21"/>
                <w:szCs w:val="21"/>
              </w:rPr>
              <w:t>验收要求</w:t>
            </w:r>
          </w:p>
        </w:tc>
        <w:tc>
          <w:tcPr>
            <w:tcW w:w="3607" w:type="pct"/>
            <w:gridSpan w:val="5"/>
            <w:tcBorders>
              <w:bottom w:val="single" w:color="auto" w:sz="4" w:space="0"/>
            </w:tcBorders>
          </w:tcPr>
          <w:p w14:paraId="12996638">
            <w:pPr>
              <w:wordWrap w:val="0"/>
              <w:snapToGrid w:val="0"/>
              <w:spacing w:line="4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1.采购人可以根据采购项目具体情况自行组织验收，或者委托第三方机构或部门开展采购项目履约验收工作，验收过程中所产生的一切费用均由中标人承担，供应商在投标报价时应考虑相关费用。</w:t>
            </w:r>
          </w:p>
          <w:p w14:paraId="21F3363B">
            <w:pPr>
              <w:wordWrap w:val="0"/>
              <w:snapToGrid w:val="0"/>
              <w:spacing w:line="4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2.在验收过程中发现中标人有违约问题，可暂缓资金结算，待违约问题解决后，方可办理资金结算事宜。</w:t>
            </w:r>
          </w:p>
          <w:p w14:paraId="0A743EA4">
            <w:pPr>
              <w:wordWrap w:val="0"/>
              <w:snapToGrid w:val="0"/>
              <w:spacing w:line="4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3.验收依据：按合同要求及国家标准进行验收。</w:t>
            </w:r>
          </w:p>
          <w:p w14:paraId="2893DED0">
            <w:pPr>
              <w:wordWrap w:val="0"/>
              <w:snapToGrid w:val="0"/>
              <w:spacing w:line="4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4.验收标准</w:t>
            </w:r>
          </w:p>
          <w:p w14:paraId="4BD7A51B">
            <w:pPr>
              <w:wordWrap w:val="0"/>
              <w:snapToGrid w:val="0"/>
              <w:spacing w:line="4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（1）所供产品的规格、数量、功能、材质、颜色等符合采购文件采购需求及采购合同约定的要求。</w:t>
            </w:r>
          </w:p>
          <w:p w14:paraId="2AE5EAF4">
            <w:pPr>
              <w:wordWrap w:val="0"/>
              <w:snapToGrid w:val="0"/>
              <w:spacing w:line="4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（2）所供产品的外观完好，无严重碰撞、表皮脱落、五金件生锈等明显瑕疵。</w:t>
            </w:r>
          </w:p>
          <w:p w14:paraId="51736CEE">
            <w:pPr>
              <w:wordWrap w:val="0"/>
              <w:snapToGrid w:val="0"/>
              <w:spacing w:line="4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（3）所供产品结构牢固，无安全隐患。</w:t>
            </w:r>
          </w:p>
          <w:p w14:paraId="5426BB94">
            <w:pPr>
              <w:wordWrap w:val="0"/>
              <w:snapToGrid w:val="0"/>
              <w:spacing w:line="4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（4）如有抽检要求的，检测结果符合采购文件采购需求及采购合同约定的要求。</w:t>
            </w:r>
          </w:p>
          <w:p w14:paraId="6CF703CA">
            <w:pPr>
              <w:wordWrap w:val="0"/>
              <w:snapToGrid w:val="0"/>
              <w:spacing w:line="4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（5）所有产品均已运输至指定地点，并安装调试完毕。</w:t>
            </w:r>
          </w:p>
          <w:p w14:paraId="5B595338">
            <w:pPr>
              <w:wordWrap w:val="0"/>
              <w:snapToGrid w:val="0"/>
              <w:spacing w:line="4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（6）采购文件采购需求及采购合同约定的附件、工具、技术资料等齐全；提供产品使用说明书、合格证。</w:t>
            </w:r>
          </w:p>
          <w:p w14:paraId="0CDA687C">
            <w:pPr>
              <w:wordWrap w:val="0"/>
              <w:snapToGrid w:val="0"/>
              <w:spacing w:line="4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（7）货物技术参数应与投标文件中响应表或证明材料一致，性能或指标达到规定的标准。否则，以实际货物或服务技术参数与投标文件响应表参数或证明材料比较，按如下情况处理：</w:t>
            </w:r>
          </w:p>
          <w:p w14:paraId="31E7080F">
            <w:pPr>
              <w:wordWrap w:val="0"/>
              <w:snapToGrid w:val="0"/>
              <w:spacing w:line="4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1 \* GB3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①</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供应商投标文件响应表或证明材料中满足或优于的技术参数，在验收时实际不满足技术参数要求的，视为供货商违约，采购人有权终止合同拒收货物，并追究供应商责任。</w:t>
            </w:r>
          </w:p>
          <w:p w14:paraId="072CE4F8">
            <w:pPr>
              <w:wordWrap w:val="0"/>
              <w:snapToGrid w:val="0"/>
              <w:spacing w:line="4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2 \* GB3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②</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供应商投标文件响应表或证明材料中优于的技术参数，在验收时实际仅满足并未优于技术参数要求的，视为供货商违约，采购人有权终止合同拒收货物，并追究供应商责任。</w:t>
            </w:r>
          </w:p>
          <w:p w14:paraId="6058B670">
            <w:pPr>
              <w:wordWrap w:val="0"/>
              <w:snapToGrid w:val="0"/>
              <w:spacing w:line="4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3 \* GB3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③</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供应商投标文件响应表或证明材料中不满足的技术参数，在验收时实际满足技术参数的要求，以满足技术参数的要求验收。</w:t>
            </w:r>
          </w:p>
          <w:p w14:paraId="465BD74E">
            <w:pPr>
              <w:wordWrap w:val="0"/>
              <w:snapToGrid w:val="0"/>
              <w:spacing w:line="4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4 \* GB3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④</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供应商投标文件响应表或证明材料中满足的技术参数，在验收时实际优于技术参数的要求，以满足技术参数的要求验收。</w:t>
            </w:r>
          </w:p>
          <w:p w14:paraId="4C5FA566">
            <w:pPr>
              <w:wordWrap w:val="0"/>
              <w:snapToGrid w:val="0"/>
              <w:spacing w:line="4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5 \* GB3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⑤</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供应商投标文件响应表或证明材料中优于的技术参数，在验收时实际也优于技术参数的要求，但没有达到响应表或证明材料中优于的程度，由采购人与供应商协商按是否满足要求验收。</w:t>
            </w:r>
          </w:p>
          <w:p w14:paraId="0C5920A3">
            <w:pPr>
              <w:wordWrap w:val="0"/>
              <w:snapToGrid w:val="0"/>
              <w:spacing w:line="4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6 \* GB3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⑥</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实际货物与响应货物型号不一致的，验收时不论实际是优于还是满足技术参数的要求，采购人均有权终止合同拒收货物，并追究供应商责任。</w:t>
            </w:r>
          </w:p>
          <w:p w14:paraId="5245B3E1">
            <w:pPr>
              <w:wordWrap w:val="0"/>
              <w:snapToGrid w:val="0"/>
              <w:spacing w:line="4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5.验收要求</w:t>
            </w:r>
          </w:p>
          <w:p w14:paraId="57128E16">
            <w:pPr>
              <w:wordWrap w:val="0"/>
              <w:snapToGrid w:val="0"/>
              <w:spacing w:line="4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验收小组以项目采购文件及采购合同为验收依据，对供货产品技术参数核对检验，如不符合技术参数要求的，中标人承担所有责任和费用。采购人保留进一步追究责任的权利。</w:t>
            </w:r>
          </w:p>
          <w:p w14:paraId="7DE1C98A">
            <w:pPr>
              <w:wordWrap w:val="0"/>
              <w:snapToGrid w:val="0"/>
              <w:spacing w:line="4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中标人按时间结点完成货物供货后，应及时整理技术资料并作出全面检查和整理，列出清单，作为采购人验收和使用的技术条件依据，清单应交给采购人；同时以书面形式通知采购人进行验收，采购人在收到通知后五个工作日内进行验收。</w:t>
            </w:r>
          </w:p>
          <w:p w14:paraId="59FDB462">
            <w:pPr>
              <w:wordWrap w:val="0"/>
              <w:snapToGrid w:val="0"/>
              <w:spacing w:line="4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（2）验收时中标人提供验收文档，包括但不限于：技术方案、实施方案、售后服务方案、培训方案、系统部署文档、测试文档、使用说明书、电子文档，以及对所有需要进行核查的原件等。</w:t>
            </w:r>
          </w:p>
          <w:p w14:paraId="74FDFA2D">
            <w:pPr>
              <w:wordWrap w:val="0"/>
              <w:snapToGrid w:val="0"/>
              <w:spacing w:line="4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如供货产品不合格或不符合技术参数要求的，由中标人按采购人（或者采购人委托的第三方机构或部门）要求整改，中标人不按要求整改或拒不整改的，采购人有权终止合同，给采购人造成的损失等费用由中标人承担。</w:t>
            </w:r>
          </w:p>
          <w:p w14:paraId="4E7383BD">
            <w:pPr>
              <w:wordWrap w:val="0"/>
              <w:snapToGrid w:val="0"/>
              <w:spacing w:line="4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（4）如中标人提供虚假材料的，除按相关规定做违约处理外，采购人依据相关法律规定追究中标供应商的责任，由此带来的一切责任及损失由中标人自行承担。</w:t>
            </w:r>
          </w:p>
          <w:p w14:paraId="4091B902">
            <w:pPr>
              <w:wordWrap w:val="0"/>
              <w:snapToGrid w:val="0"/>
              <w:spacing w:line="4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在项目验收过程中，如项目验收不合格，有关返工、再行验收产生相关成本费用，以及给采购人造成的损失等费用由中标人承担。连续两次项目验收不合格的，或弄虚作假的行为，采购单位将不予验收，采购人有权解除合同，并追究中标供应商的责任，由此带来的一切责任由中标供应商自行承担。</w:t>
            </w:r>
          </w:p>
          <w:p w14:paraId="31736947">
            <w:pPr>
              <w:wordWrap w:val="0"/>
              <w:snapToGrid w:val="0"/>
              <w:spacing w:line="4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（6）项目验收过程中，需委托第三方检测机构介入的，费用由中标人另行承担。</w:t>
            </w:r>
          </w:p>
        </w:tc>
      </w:tr>
      <w:tr w14:paraId="0D07A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000" w:type="pct"/>
            <w:gridSpan w:val="8"/>
            <w:tcBorders>
              <w:left w:val="nil"/>
              <w:right w:val="nil"/>
            </w:tcBorders>
            <w:vAlign w:val="center"/>
          </w:tcPr>
          <w:p w14:paraId="4E8630B6">
            <w:pPr>
              <w:widowControl/>
              <w:snapToGrid w:val="0"/>
              <w:spacing w:line="40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三、与实现项目目标相关的其他要求</w:t>
            </w:r>
          </w:p>
        </w:tc>
      </w:tr>
      <w:tr w14:paraId="2B0E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tcPr>
          <w:p w14:paraId="78F35B9A">
            <w:pPr>
              <w:widowControl/>
              <w:wordWrap w:val="0"/>
              <w:snapToGrid w:val="0"/>
              <w:spacing w:line="40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（一）供应商的履约能力要求</w:t>
            </w:r>
          </w:p>
        </w:tc>
      </w:tr>
      <w:tr w14:paraId="19F1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pct"/>
            <w:gridSpan w:val="3"/>
          </w:tcPr>
          <w:p w14:paraId="54A725BF">
            <w:pPr>
              <w:wordWrap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质量管理、企业信用要求</w:t>
            </w:r>
          </w:p>
        </w:tc>
        <w:tc>
          <w:tcPr>
            <w:tcW w:w="3607" w:type="pct"/>
            <w:gridSpan w:val="5"/>
          </w:tcPr>
          <w:p w14:paraId="2B5FEC1A">
            <w:pPr>
              <w:wordWrap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如有，请于投标文件中自行提供。</w:t>
            </w:r>
          </w:p>
        </w:tc>
      </w:tr>
      <w:tr w14:paraId="1AD4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pct"/>
            <w:gridSpan w:val="3"/>
          </w:tcPr>
          <w:p w14:paraId="5C369DAE">
            <w:pPr>
              <w:wordWrap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能力或者业绩要求</w:t>
            </w:r>
          </w:p>
        </w:tc>
        <w:tc>
          <w:tcPr>
            <w:tcW w:w="3607" w:type="pct"/>
            <w:gridSpan w:val="5"/>
          </w:tcPr>
          <w:p w14:paraId="364BF3CE">
            <w:pPr>
              <w:wordWrap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如有，请于投标文件中自行提供。</w:t>
            </w:r>
          </w:p>
        </w:tc>
      </w:tr>
      <w:tr w14:paraId="43A8C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tcPr>
          <w:p w14:paraId="7492ED5C">
            <w:pPr>
              <w:widowControl/>
              <w:snapToGrid w:val="0"/>
              <w:spacing w:line="40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（二）验收标准</w:t>
            </w:r>
          </w:p>
        </w:tc>
      </w:tr>
      <w:tr w14:paraId="17ED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tcPr>
          <w:p w14:paraId="3D9E2D64">
            <w:pPr>
              <w:wordWrap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1.本章《采购需求》有其他要求的按其要求。</w:t>
            </w:r>
          </w:p>
          <w:p w14:paraId="78403396">
            <w:pPr>
              <w:wordWrap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2.合同履行过程中，由采购人根据中标人所提供的货物或服务，对照采购文件要求及中标人投标文件承诺进行检验并记录，发现中标人在投标文件中有弄虚作假的行为，或在投标文件中有针对技术商务条款有虚假响应情况的，采购单位将终止合同或不予验收，并追究中标人的责任，由此带来的一切损失由中标人自行承担。</w:t>
            </w:r>
          </w:p>
          <w:p w14:paraId="5207EEA9">
            <w:pPr>
              <w:wordWrap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3.其他未尽事宜应严格按照《关于印发广西壮族自治区政府采购项目履约验收管理办法的通知》[桂财采〔2015〕22号]以及《财政部关于进一步加强政府采购需求和履约验收管理的指导意见》[财库〔2016〕205号]规定执行。</w:t>
            </w:r>
          </w:p>
          <w:p w14:paraId="155BBC43">
            <w:pPr>
              <w:wordWrap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4.验收过程中，除另有约定的以外，所产生的一切费用均由中标人承担。报价时应考虑相关费用。</w:t>
            </w:r>
          </w:p>
          <w:p w14:paraId="7B521B45">
            <w:pPr>
              <w:widowControl/>
              <w:wordWrap w:val="0"/>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5.产品实行强制标准认证制度、生产许可证制度、销售或经营许可证制度、注册证制度的，中标人均应提供相关有效的证书复印件。</w:t>
            </w:r>
          </w:p>
        </w:tc>
      </w:tr>
      <w:tr w14:paraId="3A2D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tcPr>
          <w:p w14:paraId="0082EF93">
            <w:pPr>
              <w:widowControl/>
              <w:snapToGrid w:val="0"/>
              <w:spacing w:line="40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（三）进口产品、核心产品说明</w:t>
            </w:r>
          </w:p>
        </w:tc>
      </w:tr>
      <w:tr w14:paraId="12A0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pct"/>
            <w:gridSpan w:val="3"/>
          </w:tcPr>
          <w:p w14:paraId="018BD833">
            <w:pPr>
              <w:wordWrap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进口产品说明</w:t>
            </w:r>
          </w:p>
        </w:tc>
        <w:tc>
          <w:tcPr>
            <w:tcW w:w="3607" w:type="pct"/>
            <w:gridSpan w:val="5"/>
          </w:tcPr>
          <w:p w14:paraId="6CF1C85C">
            <w:pPr>
              <w:wordWrap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本项目不接受进口产品参与本次投标，如有此类产品参与投标的做无效投标处理。中标供应商负责免费代办进口产品有关报关等手续。</w:t>
            </w:r>
          </w:p>
        </w:tc>
      </w:tr>
      <w:tr w14:paraId="12D1D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pct"/>
            <w:gridSpan w:val="3"/>
          </w:tcPr>
          <w:p w14:paraId="2BF2755A">
            <w:pPr>
              <w:wordWrap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核心产品</w:t>
            </w:r>
          </w:p>
        </w:tc>
        <w:tc>
          <w:tcPr>
            <w:tcW w:w="3607" w:type="pct"/>
            <w:gridSpan w:val="5"/>
          </w:tcPr>
          <w:p w14:paraId="0F8CCB06">
            <w:pPr>
              <w:wordWrap w:val="0"/>
              <w:adjustRightInd w:val="0"/>
              <w:spacing w:line="400" w:lineRule="exact"/>
              <w:contextualSpacing/>
              <w:rPr>
                <w:rFonts w:hint="eastAsia" w:ascii="宋体" w:hAnsi="宋体" w:eastAsia="宋体" w:cs="宋体"/>
                <w:color w:val="auto"/>
                <w:sz w:val="21"/>
                <w:szCs w:val="21"/>
              </w:rPr>
            </w:pPr>
            <w:r>
              <w:rPr>
                <w:rFonts w:hint="eastAsia" w:ascii="宋体" w:hAnsi="宋体" w:eastAsia="宋体" w:cs="宋体"/>
                <w:color w:val="auto"/>
                <w:sz w:val="21"/>
                <w:szCs w:val="21"/>
              </w:rPr>
              <w:t>1.本项目核心产品</w:t>
            </w:r>
            <w:r>
              <w:rPr>
                <w:rFonts w:hint="eastAsia" w:ascii="宋体" w:hAnsi="宋体" w:eastAsia="宋体" w:cs="宋体"/>
                <w:b/>
                <w:color w:val="auto"/>
                <w:sz w:val="21"/>
                <w:szCs w:val="21"/>
              </w:rPr>
              <w:t xml:space="preserve"> 第4</w:t>
            </w:r>
            <w:r>
              <w:rPr>
                <w:rFonts w:hint="eastAsia" w:ascii="宋体" w:hAnsi="宋体" w:eastAsia="宋体" w:cs="宋体"/>
                <w:b/>
                <w:color w:val="auto"/>
                <w:sz w:val="21"/>
                <w:szCs w:val="21"/>
                <w:lang w:val="en-US" w:eastAsia="zh-CN"/>
              </w:rPr>
              <w:t>3</w:t>
            </w:r>
            <w:r>
              <w:rPr>
                <w:rFonts w:hint="eastAsia" w:ascii="宋体" w:hAnsi="宋体" w:eastAsia="宋体" w:cs="宋体"/>
                <w:b/>
                <w:color w:val="auto"/>
                <w:sz w:val="21"/>
                <w:szCs w:val="21"/>
              </w:rPr>
              <w:t>项“55寸拼接屏”</w:t>
            </w:r>
            <w:r>
              <w:rPr>
                <w:rFonts w:hint="eastAsia" w:ascii="宋体" w:hAnsi="宋体" w:eastAsia="宋体" w:cs="宋体"/>
                <w:color w:val="auto"/>
                <w:sz w:val="21"/>
                <w:szCs w:val="21"/>
              </w:rPr>
              <w:t>；</w:t>
            </w:r>
          </w:p>
          <w:p w14:paraId="27556A0A">
            <w:pPr>
              <w:wordWrap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2.如其中两家或两家以上供应商所提供的核心产品为同品牌产品的，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1个投标人获得中标人推荐资格，其他同品牌投标人不作为中标候选人。</w:t>
            </w:r>
          </w:p>
        </w:tc>
      </w:tr>
      <w:tr w14:paraId="37BBE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tcPr>
          <w:p w14:paraId="1773276B">
            <w:pPr>
              <w:widowControl/>
              <w:snapToGrid w:val="0"/>
              <w:spacing w:line="40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（四）其他要求</w:t>
            </w:r>
          </w:p>
        </w:tc>
      </w:tr>
      <w:tr w14:paraId="55475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pct"/>
            <w:gridSpan w:val="3"/>
          </w:tcPr>
          <w:p w14:paraId="3E707576">
            <w:pPr>
              <w:adjustRightInd w:val="0"/>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本标段所属行业</w:t>
            </w:r>
          </w:p>
        </w:tc>
        <w:tc>
          <w:tcPr>
            <w:tcW w:w="3607" w:type="pct"/>
            <w:gridSpan w:val="5"/>
            <w:vAlign w:val="center"/>
          </w:tcPr>
          <w:p w14:paraId="7B570AD4">
            <w:pPr>
              <w:wordWrap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r>
      <w:tr w14:paraId="321E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pct"/>
            <w:gridSpan w:val="3"/>
          </w:tcPr>
          <w:p w14:paraId="2C81016C">
            <w:pPr>
              <w:wordWrap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资料要求</w:t>
            </w:r>
          </w:p>
        </w:tc>
        <w:tc>
          <w:tcPr>
            <w:tcW w:w="3607" w:type="pct"/>
            <w:gridSpan w:val="5"/>
          </w:tcPr>
          <w:p w14:paraId="6C20670C">
            <w:pPr>
              <w:wordWrap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投标文件中可提供设备生产商编写的有性能参数描述的产品说明书或彩页（应有详细的产品技术介绍、技术参数、产品图样照片等）。当投标文件提供的设备性能参数与该生产商提供的性能参数同一内容不符合时，以生产商资料为准。</w:t>
            </w:r>
            <w:r>
              <w:rPr>
                <w:rFonts w:hint="eastAsia" w:ascii="宋体" w:hAnsi="宋体" w:eastAsia="宋体" w:cs="宋体"/>
                <w:b/>
                <w:color w:val="auto"/>
                <w:sz w:val="21"/>
                <w:szCs w:val="21"/>
              </w:rPr>
              <w:t>（“技术需求”有要求的则按其要求）</w:t>
            </w:r>
          </w:p>
        </w:tc>
      </w:tr>
      <w:tr w14:paraId="007C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pct"/>
            <w:gridSpan w:val="3"/>
          </w:tcPr>
          <w:p w14:paraId="47611972">
            <w:pPr>
              <w:wordWrap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其他说明</w:t>
            </w:r>
          </w:p>
        </w:tc>
        <w:tc>
          <w:tcPr>
            <w:tcW w:w="3607" w:type="pct"/>
            <w:gridSpan w:val="5"/>
          </w:tcPr>
          <w:p w14:paraId="731A047A">
            <w:pPr>
              <w:wordWrap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1.经评标委员会评审，若中标人被认定为中小企业的，履约保证金数额将按成交金额（即合同金额）的2%收取；或采购人可根据供应商的资信等情况决定是否减免履约保证金。除上述情况外，履约保证金按原规定执行。</w:t>
            </w:r>
          </w:p>
          <w:p w14:paraId="482AA2E6">
            <w:pPr>
              <w:wordWrap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2.供应商在投标文件中提供安装调试方案和售后服务方案（包括但不限于：提供技术服务队伍组织配置、培训具体计划、服务保障体系、服务流程、应急预案、零配件优惠，有报修工具，以及本地化服务方案等）。</w:t>
            </w:r>
          </w:p>
          <w:p w14:paraId="26B81EA8">
            <w:pPr>
              <w:wordWrap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3.如有，请在投标文件中提供技术能力相关证明，包含但不限于信誉、业绩、本地化服务能力等内容。</w:t>
            </w:r>
          </w:p>
        </w:tc>
      </w:tr>
      <w:bookmarkEnd w:id="53"/>
      <w:bookmarkEnd w:id="54"/>
      <w:bookmarkEnd w:id="60"/>
    </w:tbl>
    <w:p w14:paraId="3D9189BC">
      <w:pPr>
        <w:pStyle w:val="66"/>
        <w:wordWrap w:val="0"/>
        <w:spacing w:before="120" w:after="120"/>
        <w:ind w:firstLine="560"/>
        <w:rPr>
          <w:rFonts w:hint="eastAsia" w:ascii="宋体" w:hAnsi="宋体" w:eastAsia="宋体" w:cs="宋体"/>
          <w:color w:val="auto"/>
        </w:rPr>
      </w:pPr>
      <w:bookmarkStart w:id="61" w:name="OLE_LINK200"/>
    </w:p>
    <w:p w14:paraId="5C2301C9">
      <w:pPr>
        <w:wordWrap w:val="0"/>
        <w:spacing w:line="400" w:lineRule="exact"/>
        <w:rPr>
          <w:rFonts w:hint="eastAsia" w:ascii="宋体" w:hAnsi="宋体" w:eastAsia="宋体" w:cs="宋体"/>
          <w:b/>
          <w:color w:val="auto"/>
          <w:sz w:val="28"/>
          <w:szCs w:val="28"/>
        </w:rPr>
      </w:pPr>
      <w:r>
        <w:rPr>
          <w:rFonts w:hint="eastAsia" w:ascii="宋体" w:hAnsi="宋体" w:eastAsia="宋体" w:cs="宋体"/>
          <w:b/>
          <w:color w:val="auto"/>
          <w:sz w:val="24"/>
          <w:szCs w:val="21"/>
        </w:rPr>
        <w:t>附件1：</w:t>
      </w:r>
    </w:p>
    <w:p w14:paraId="460864C5">
      <w:pPr>
        <w:spacing w:line="528"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节能产品政府采购品目清单</w:t>
      </w:r>
    </w:p>
    <w:tbl>
      <w:tblPr>
        <w:tblStyle w:val="48"/>
        <w:tblW w:w="9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6"/>
        <w:gridCol w:w="891"/>
        <w:gridCol w:w="1805"/>
        <w:gridCol w:w="1618"/>
        <w:gridCol w:w="4156"/>
      </w:tblGrid>
      <w:tr w14:paraId="18355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846" w:type="dxa"/>
            <w:vAlign w:val="center"/>
          </w:tcPr>
          <w:p w14:paraId="4B0EB0DC">
            <w:pPr>
              <w:wordWrap w:val="0"/>
              <w:spacing w:line="240" w:lineRule="exact"/>
              <w:rPr>
                <w:rFonts w:hint="eastAsia" w:ascii="宋体" w:hAnsi="宋体" w:eastAsia="宋体" w:cs="宋体"/>
                <w:b/>
                <w:color w:val="auto"/>
                <w:kern w:val="0"/>
                <w:sz w:val="18"/>
                <w:szCs w:val="18"/>
                <w:lang w:eastAsia="en-US"/>
              </w:rPr>
            </w:pPr>
            <w:r>
              <w:rPr>
                <w:rFonts w:hint="eastAsia" w:ascii="宋体" w:hAnsi="宋体" w:eastAsia="宋体" w:cs="宋体"/>
                <w:b/>
                <w:color w:val="auto"/>
                <w:kern w:val="0"/>
                <w:sz w:val="18"/>
                <w:szCs w:val="18"/>
                <w:lang w:eastAsia="en-US"/>
              </w:rPr>
              <w:t>品目序号</w:t>
            </w:r>
          </w:p>
        </w:tc>
        <w:tc>
          <w:tcPr>
            <w:tcW w:w="4314" w:type="dxa"/>
            <w:gridSpan w:val="3"/>
            <w:vAlign w:val="center"/>
          </w:tcPr>
          <w:p w14:paraId="0DA3B2DB">
            <w:pPr>
              <w:wordWrap w:val="0"/>
              <w:spacing w:line="240" w:lineRule="exact"/>
              <w:rPr>
                <w:rFonts w:hint="eastAsia" w:ascii="宋体" w:hAnsi="宋体" w:eastAsia="宋体" w:cs="宋体"/>
                <w:b/>
                <w:color w:val="auto"/>
                <w:kern w:val="0"/>
                <w:sz w:val="18"/>
                <w:szCs w:val="18"/>
                <w:lang w:eastAsia="en-US"/>
              </w:rPr>
            </w:pPr>
            <w:r>
              <w:rPr>
                <w:rFonts w:hint="eastAsia" w:ascii="宋体" w:hAnsi="宋体" w:eastAsia="宋体" w:cs="宋体"/>
                <w:b/>
                <w:color w:val="auto"/>
                <w:kern w:val="0"/>
                <w:sz w:val="18"/>
                <w:szCs w:val="18"/>
                <w:lang w:eastAsia="en-US"/>
              </w:rPr>
              <w:t>名称</w:t>
            </w:r>
          </w:p>
        </w:tc>
        <w:tc>
          <w:tcPr>
            <w:tcW w:w="4156" w:type="dxa"/>
            <w:vAlign w:val="center"/>
          </w:tcPr>
          <w:p w14:paraId="5C11213F">
            <w:pPr>
              <w:wordWrap w:val="0"/>
              <w:spacing w:line="240" w:lineRule="exact"/>
              <w:rPr>
                <w:rFonts w:hint="eastAsia" w:ascii="宋体" w:hAnsi="宋体" w:eastAsia="宋体" w:cs="宋体"/>
                <w:b/>
                <w:color w:val="auto"/>
                <w:kern w:val="0"/>
                <w:sz w:val="18"/>
                <w:szCs w:val="18"/>
                <w:lang w:eastAsia="en-US"/>
              </w:rPr>
            </w:pPr>
            <w:r>
              <w:rPr>
                <w:rFonts w:hint="eastAsia" w:ascii="宋体" w:hAnsi="宋体" w:eastAsia="宋体" w:cs="宋体"/>
                <w:b/>
                <w:color w:val="auto"/>
                <w:kern w:val="0"/>
                <w:sz w:val="18"/>
                <w:szCs w:val="18"/>
                <w:lang w:eastAsia="en-US"/>
              </w:rPr>
              <w:t>依据的标准</w:t>
            </w:r>
          </w:p>
        </w:tc>
      </w:tr>
      <w:tr w14:paraId="3718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846" w:type="dxa"/>
            <w:vMerge w:val="restart"/>
            <w:vAlign w:val="center"/>
          </w:tcPr>
          <w:p w14:paraId="5127040F">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1</w:t>
            </w:r>
          </w:p>
        </w:tc>
        <w:tc>
          <w:tcPr>
            <w:tcW w:w="891" w:type="dxa"/>
            <w:vMerge w:val="restart"/>
            <w:vAlign w:val="center"/>
          </w:tcPr>
          <w:p w14:paraId="60D38977">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A020101计算机设备</w:t>
            </w:r>
          </w:p>
        </w:tc>
        <w:tc>
          <w:tcPr>
            <w:tcW w:w="1805" w:type="dxa"/>
            <w:vAlign w:val="center"/>
          </w:tcPr>
          <w:p w14:paraId="2E4D8827">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★A02010104台式计算机</w:t>
            </w:r>
          </w:p>
        </w:tc>
        <w:tc>
          <w:tcPr>
            <w:tcW w:w="1618" w:type="dxa"/>
            <w:vAlign w:val="center"/>
          </w:tcPr>
          <w:p w14:paraId="6F6D058D">
            <w:pPr>
              <w:wordWrap w:val="0"/>
              <w:rPr>
                <w:rFonts w:hint="eastAsia" w:ascii="宋体" w:hAnsi="宋体" w:eastAsia="宋体" w:cs="宋体"/>
                <w:color w:val="auto"/>
                <w:kern w:val="0"/>
                <w:sz w:val="18"/>
                <w:szCs w:val="18"/>
                <w:lang w:eastAsia="en-US"/>
              </w:rPr>
            </w:pPr>
          </w:p>
        </w:tc>
        <w:tc>
          <w:tcPr>
            <w:tcW w:w="4156" w:type="dxa"/>
            <w:vAlign w:val="center"/>
          </w:tcPr>
          <w:p w14:paraId="447AD3B4">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《微型计算机能效限定值及能效等级》（GB28380）</w:t>
            </w:r>
          </w:p>
        </w:tc>
      </w:tr>
      <w:tr w14:paraId="584F8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846" w:type="dxa"/>
            <w:vMerge w:val="continue"/>
            <w:vAlign w:val="center"/>
          </w:tcPr>
          <w:p w14:paraId="42E7A628">
            <w:pPr>
              <w:wordWrap w:val="0"/>
              <w:rPr>
                <w:rFonts w:hint="eastAsia" w:ascii="宋体" w:hAnsi="宋体" w:eastAsia="宋体" w:cs="宋体"/>
                <w:color w:val="auto"/>
                <w:kern w:val="0"/>
                <w:sz w:val="18"/>
                <w:szCs w:val="18"/>
              </w:rPr>
            </w:pPr>
          </w:p>
        </w:tc>
        <w:tc>
          <w:tcPr>
            <w:tcW w:w="891" w:type="dxa"/>
            <w:vMerge w:val="continue"/>
            <w:vAlign w:val="center"/>
          </w:tcPr>
          <w:p w14:paraId="4BDE167C">
            <w:pPr>
              <w:wordWrap w:val="0"/>
              <w:rPr>
                <w:rFonts w:hint="eastAsia" w:ascii="宋体" w:hAnsi="宋体" w:eastAsia="宋体" w:cs="宋体"/>
                <w:color w:val="auto"/>
                <w:kern w:val="0"/>
                <w:sz w:val="18"/>
                <w:szCs w:val="18"/>
              </w:rPr>
            </w:pPr>
          </w:p>
        </w:tc>
        <w:tc>
          <w:tcPr>
            <w:tcW w:w="1805" w:type="dxa"/>
            <w:vAlign w:val="center"/>
          </w:tcPr>
          <w:p w14:paraId="2211779A">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★A02010105便携式计算机</w:t>
            </w:r>
          </w:p>
        </w:tc>
        <w:tc>
          <w:tcPr>
            <w:tcW w:w="1618" w:type="dxa"/>
            <w:vAlign w:val="center"/>
          </w:tcPr>
          <w:p w14:paraId="13261FA5">
            <w:pPr>
              <w:wordWrap w:val="0"/>
              <w:rPr>
                <w:rFonts w:hint="eastAsia" w:ascii="宋体" w:hAnsi="宋体" w:eastAsia="宋体" w:cs="宋体"/>
                <w:color w:val="auto"/>
                <w:kern w:val="0"/>
                <w:sz w:val="18"/>
                <w:szCs w:val="18"/>
                <w:lang w:eastAsia="en-US"/>
              </w:rPr>
            </w:pPr>
          </w:p>
        </w:tc>
        <w:tc>
          <w:tcPr>
            <w:tcW w:w="4156" w:type="dxa"/>
            <w:vAlign w:val="center"/>
          </w:tcPr>
          <w:p w14:paraId="3898C878">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《微型计算机能效限定值及能效等级》（GB28380）</w:t>
            </w:r>
          </w:p>
        </w:tc>
      </w:tr>
      <w:tr w14:paraId="175BC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846" w:type="dxa"/>
            <w:vMerge w:val="continue"/>
            <w:vAlign w:val="center"/>
          </w:tcPr>
          <w:p w14:paraId="7D15D6C9">
            <w:pPr>
              <w:wordWrap w:val="0"/>
              <w:rPr>
                <w:rFonts w:hint="eastAsia" w:ascii="宋体" w:hAnsi="宋体" w:eastAsia="宋体" w:cs="宋体"/>
                <w:color w:val="auto"/>
                <w:kern w:val="0"/>
                <w:sz w:val="18"/>
                <w:szCs w:val="18"/>
              </w:rPr>
            </w:pPr>
          </w:p>
        </w:tc>
        <w:tc>
          <w:tcPr>
            <w:tcW w:w="891" w:type="dxa"/>
            <w:vMerge w:val="continue"/>
            <w:vAlign w:val="center"/>
          </w:tcPr>
          <w:p w14:paraId="49DDD6C7">
            <w:pPr>
              <w:wordWrap w:val="0"/>
              <w:rPr>
                <w:rFonts w:hint="eastAsia" w:ascii="宋体" w:hAnsi="宋体" w:eastAsia="宋体" w:cs="宋体"/>
                <w:color w:val="auto"/>
                <w:kern w:val="0"/>
                <w:sz w:val="18"/>
                <w:szCs w:val="18"/>
              </w:rPr>
            </w:pPr>
          </w:p>
        </w:tc>
        <w:tc>
          <w:tcPr>
            <w:tcW w:w="1805" w:type="dxa"/>
            <w:vAlign w:val="center"/>
          </w:tcPr>
          <w:p w14:paraId="5E857093">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★A02010107平板式微型计算机</w:t>
            </w:r>
          </w:p>
        </w:tc>
        <w:tc>
          <w:tcPr>
            <w:tcW w:w="1618" w:type="dxa"/>
            <w:vAlign w:val="center"/>
          </w:tcPr>
          <w:p w14:paraId="403CA0E7">
            <w:pPr>
              <w:wordWrap w:val="0"/>
              <w:rPr>
                <w:rFonts w:hint="eastAsia" w:ascii="宋体" w:hAnsi="宋体" w:eastAsia="宋体" w:cs="宋体"/>
                <w:color w:val="auto"/>
                <w:kern w:val="0"/>
                <w:sz w:val="18"/>
                <w:szCs w:val="18"/>
              </w:rPr>
            </w:pPr>
          </w:p>
        </w:tc>
        <w:tc>
          <w:tcPr>
            <w:tcW w:w="4156" w:type="dxa"/>
            <w:vAlign w:val="center"/>
          </w:tcPr>
          <w:p w14:paraId="70F58E2A">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《微型计算机能效限定值及能效等级》（GB28380）</w:t>
            </w:r>
          </w:p>
        </w:tc>
      </w:tr>
      <w:tr w14:paraId="5226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846" w:type="dxa"/>
            <w:vMerge w:val="restart"/>
            <w:vAlign w:val="center"/>
          </w:tcPr>
          <w:p w14:paraId="383BFC57">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2</w:t>
            </w:r>
          </w:p>
        </w:tc>
        <w:tc>
          <w:tcPr>
            <w:tcW w:w="891" w:type="dxa"/>
            <w:vMerge w:val="restart"/>
            <w:vAlign w:val="center"/>
          </w:tcPr>
          <w:p w14:paraId="704C682C">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A020106输入输出设备</w:t>
            </w:r>
          </w:p>
        </w:tc>
        <w:tc>
          <w:tcPr>
            <w:tcW w:w="1805" w:type="dxa"/>
            <w:vMerge w:val="restart"/>
            <w:vAlign w:val="center"/>
          </w:tcPr>
          <w:p w14:paraId="3E4566A2">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A02010601打印设备</w:t>
            </w:r>
          </w:p>
        </w:tc>
        <w:tc>
          <w:tcPr>
            <w:tcW w:w="1618" w:type="dxa"/>
            <w:vAlign w:val="center"/>
          </w:tcPr>
          <w:p w14:paraId="077F1811">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A0201060101喷墨打印机</w:t>
            </w:r>
          </w:p>
        </w:tc>
        <w:tc>
          <w:tcPr>
            <w:tcW w:w="4156" w:type="dxa"/>
            <w:vAlign w:val="center"/>
          </w:tcPr>
          <w:p w14:paraId="31CAF508">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《复印机、打印机和传真机能效限定值及能效等级》（GB21521）</w:t>
            </w:r>
          </w:p>
        </w:tc>
      </w:tr>
      <w:tr w14:paraId="6161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846" w:type="dxa"/>
            <w:vMerge w:val="continue"/>
            <w:vAlign w:val="center"/>
          </w:tcPr>
          <w:p w14:paraId="3BFFCFD3">
            <w:pPr>
              <w:wordWrap w:val="0"/>
              <w:rPr>
                <w:rFonts w:hint="eastAsia" w:ascii="宋体" w:hAnsi="宋体" w:eastAsia="宋体" w:cs="宋体"/>
                <w:color w:val="auto"/>
                <w:kern w:val="0"/>
                <w:sz w:val="18"/>
                <w:szCs w:val="18"/>
              </w:rPr>
            </w:pPr>
          </w:p>
        </w:tc>
        <w:tc>
          <w:tcPr>
            <w:tcW w:w="891" w:type="dxa"/>
            <w:vMerge w:val="continue"/>
            <w:vAlign w:val="center"/>
          </w:tcPr>
          <w:p w14:paraId="5FD492C3">
            <w:pPr>
              <w:wordWrap w:val="0"/>
              <w:rPr>
                <w:rFonts w:hint="eastAsia" w:ascii="宋体" w:hAnsi="宋体" w:eastAsia="宋体" w:cs="宋体"/>
                <w:color w:val="auto"/>
                <w:kern w:val="0"/>
                <w:sz w:val="18"/>
                <w:szCs w:val="18"/>
              </w:rPr>
            </w:pPr>
          </w:p>
        </w:tc>
        <w:tc>
          <w:tcPr>
            <w:tcW w:w="1805" w:type="dxa"/>
            <w:vMerge w:val="continue"/>
            <w:vAlign w:val="center"/>
          </w:tcPr>
          <w:p w14:paraId="790F3D1F">
            <w:pPr>
              <w:wordWrap w:val="0"/>
              <w:rPr>
                <w:rFonts w:hint="eastAsia" w:ascii="宋体" w:hAnsi="宋体" w:eastAsia="宋体" w:cs="宋体"/>
                <w:color w:val="auto"/>
                <w:kern w:val="0"/>
                <w:sz w:val="18"/>
                <w:szCs w:val="18"/>
              </w:rPr>
            </w:pPr>
          </w:p>
        </w:tc>
        <w:tc>
          <w:tcPr>
            <w:tcW w:w="1618" w:type="dxa"/>
            <w:vAlign w:val="center"/>
          </w:tcPr>
          <w:p w14:paraId="58A8B8E2">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★A0201060102激光打印机</w:t>
            </w:r>
          </w:p>
        </w:tc>
        <w:tc>
          <w:tcPr>
            <w:tcW w:w="4156" w:type="dxa"/>
            <w:vAlign w:val="center"/>
          </w:tcPr>
          <w:p w14:paraId="5BC9A239">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《复印机、打印机和传真机能效限定值及能效等级》（GB21521）</w:t>
            </w:r>
          </w:p>
        </w:tc>
      </w:tr>
      <w:tr w14:paraId="31552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846" w:type="dxa"/>
            <w:vMerge w:val="continue"/>
            <w:vAlign w:val="center"/>
          </w:tcPr>
          <w:p w14:paraId="6B476B6A">
            <w:pPr>
              <w:wordWrap w:val="0"/>
              <w:rPr>
                <w:rFonts w:hint="eastAsia" w:ascii="宋体" w:hAnsi="宋体" w:eastAsia="宋体" w:cs="宋体"/>
                <w:color w:val="auto"/>
                <w:kern w:val="0"/>
                <w:sz w:val="18"/>
                <w:szCs w:val="18"/>
              </w:rPr>
            </w:pPr>
          </w:p>
        </w:tc>
        <w:tc>
          <w:tcPr>
            <w:tcW w:w="891" w:type="dxa"/>
            <w:vMerge w:val="continue"/>
            <w:vAlign w:val="center"/>
          </w:tcPr>
          <w:p w14:paraId="2DF0C4C9">
            <w:pPr>
              <w:wordWrap w:val="0"/>
              <w:rPr>
                <w:rFonts w:hint="eastAsia" w:ascii="宋体" w:hAnsi="宋体" w:eastAsia="宋体" w:cs="宋体"/>
                <w:color w:val="auto"/>
                <w:kern w:val="0"/>
                <w:sz w:val="18"/>
                <w:szCs w:val="18"/>
              </w:rPr>
            </w:pPr>
          </w:p>
        </w:tc>
        <w:tc>
          <w:tcPr>
            <w:tcW w:w="1805" w:type="dxa"/>
            <w:vMerge w:val="continue"/>
            <w:vAlign w:val="center"/>
          </w:tcPr>
          <w:p w14:paraId="08BA0F7E">
            <w:pPr>
              <w:wordWrap w:val="0"/>
              <w:rPr>
                <w:rFonts w:hint="eastAsia" w:ascii="宋体" w:hAnsi="宋体" w:eastAsia="宋体" w:cs="宋体"/>
                <w:color w:val="auto"/>
                <w:kern w:val="0"/>
                <w:sz w:val="18"/>
                <w:szCs w:val="18"/>
              </w:rPr>
            </w:pPr>
          </w:p>
        </w:tc>
        <w:tc>
          <w:tcPr>
            <w:tcW w:w="1618" w:type="dxa"/>
            <w:vAlign w:val="center"/>
          </w:tcPr>
          <w:p w14:paraId="64F0F84A">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★A0201060104针式打印机</w:t>
            </w:r>
          </w:p>
        </w:tc>
        <w:tc>
          <w:tcPr>
            <w:tcW w:w="4156" w:type="dxa"/>
            <w:vAlign w:val="center"/>
          </w:tcPr>
          <w:p w14:paraId="0B720C79">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《复印机、打印机和传真机能效限定值及能效等级》（GB21521）</w:t>
            </w:r>
          </w:p>
        </w:tc>
      </w:tr>
      <w:tr w14:paraId="218BC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jc w:val="center"/>
        </w:trPr>
        <w:tc>
          <w:tcPr>
            <w:tcW w:w="846" w:type="dxa"/>
            <w:vMerge w:val="continue"/>
            <w:vAlign w:val="center"/>
          </w:tcPr>
          <w:p w14:paraId="2B95A9AA">
            <w:pPr>
              <w:wordWrap w:val="0"/>
              <w:rPr>
                <w:rFonts w:hint="eastAsia" w:ascii="宋体" w:hAnsi="宋体" w:eastAsia="宋体" w:cs="宋体"/>
                <w:color w:val="auto"/>
                <w:kern w:val="0"/>
                <w:sz w:val="18"/>
                <w:szCs w:val="18"/>
              </w:rPr>
            </w:pPr>
          </w:p>
        </w:tc>
        <w:tc>
          <w:tcPr>
            <w:tcW w:w="891" w:type="dxa"/>
            <w:vMerge w:val="continue"/>
            <w:vAlign w:val="center"/>
          </w:tcPr>
          <w:p w14:paraId="279A995B">
            <w:pPr>
              <w:wordWrap w:val="0"/>
              <w:rPr>
                <w:rFonts w:hint="eastAsia" w:ascii="宋体" w:hAnsi="宋体" w:eastAsia="宋体" w:cs="宋体"/>
                <w:color w:val="auto"/>
                <w:kern w:val="0"/>
                <w:sz w:val="18"/>
                <w:szCs w:val="18"/>
              </w:rPr>
            </w:pPr>
          </w:p>
        </w:tc>
        <w:tc>
          <w:tcPr>
            <w:tcW w:w="1805" w:type="dxa"/>
            <w:vAlign w:val="center"/>
          </w:tcPr>
          <w:p w14:paraId="70F9ED2E">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A02010604显示设备</w:t>
            </w:r>
          </w:p>
        </w:tc>
        <w:tc>
          <w:tcPr>
            <w:tcW w:w="1618" w:type="dxa"/>
            <w:vAlign w:val="center"/>
          </w:tcPr>
          <w:p w14:paraId="3F0CF599">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★A0201060401液晶显示器</w:t>
            </w:r>
          </w:p>
        </w:tc>
        <w:tc>
          <w:tcPr>
            <w:tcW w:w="4156" w:type="dxa"/>
            <w:vAlign w:val="center"/>
          </w:tcPr>
          <w:p w14:paraId="6F36BA08">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《计算机显示器能效限定值及能效等级》（GB21520）</w:t>
            </w:r>
          </w:p>
        </w:tc>
      </w:tr>
      <w:tr w14:paraId="2852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6" w:hRule="atLeast"/>
          <w:jc w:val="center"/>
        </w:trPr>
        <w:tc>
          <w:tcPr>
            <w:tcW w:w="846" w:type="dxa"/>
            <w:vMerge w:val="continue"/>
            <w:vAlign w:val="center"/>
          </w:tcPr>
          <w:p w14:paraId="09943AD1">
            <w:pPr>
              <w:wordWrap w:val="0"/>
              <w:rPr>
                <w:rFonts w:hint="eastAsia" w:ascii="宋体" w:hAnsi="宋体" w:eastAsia="宋体" w:cs="宋体"/>
                <w:color w:val="auto"/>
                <w:kern w:val="0"/>
                <w:sz w:val="18"/>
                <w:szCs w:val="18"/>
              </w:rPr>
            </w:pPr>
          </w:p>
        </w:tc>
        <w:tc>
          <w:tcPr>
            <w:tcW w:w="891" w:type="dxa"/>
            <w:vMerge w:val="continue"/>
            <w:vAlign w:val="center"/>
          </w:tcPr>
          <w:p w14:paraId="16A11E86">
            <w:pPr>
              <w:wordWrap w:val="0"/>
              <w:rPr>
                <w:rFonts w:hint="eastAsia" w:ascii="宋体" w:hAnsi="宋体" w:eastAsia="宋体" w:cs="宋体"/>
                <w:color w:val="auto"/>
                <w:kern w:val="0"/>
                <w:sz w:val="18"/>
                <w:szCs w:val="18"/>
              </w:rPr>
            </w:pPr>
          </w:p>
        </w:tc>
        <w:tc>
          <w:tcPr>
            <w:tcW w:w="1805" w:type="dxa"/>
            <w:vAlign w:val="center"/>
          </w:tcPr>
          <w:p w14:paraId="3E1CAFCE">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A02010609图形图像输入设备</w:t>
            </w:r>
          </w:p>
        </w:tc>
        <w:tc>
          <w:tcPr>
            <w:tcW w:w="1618" w:type="dxa"/>
            <w:vAlign w:val="center"/>
          </w:tcPr>
          <w:p w14:paraId="6D91435B">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A0201060901扫描仪</w:t>
            </w:r>
          </w:p>
        </w:tc>
        <w:tc>
          <w:tcPr>
            <w:tcW w:w="4156" w:type="dxa"/>
            <w:vAlign w:val="center"/>
          </w:tcPr>
          <w:p w14:paraId="78D1EBDF">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参照《复印机、打印机和传真机能效限定值及能效等级》（GB21521</w:t>
            </w: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rPr>
              <w:t>中打印速度为15页/分的针式打印机相关要求</w:t>
            </w:r>
          </w:p>
        </w:tc>
      </w:tr>
      <w:tr w14:paraId="3404C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846" w:type="dxa"/>
            <w:vAlign w:val="center"/>
          </w:tcPr>
          <w:p w14:paraId="0AA5F76C">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3</w:t>
            </w:r>
          </w:p>
        </w:tc>
        <w:tc>
          <w:tcPr>
            <w:tcW w:w="891" w:type="dxa"/>
            <w:vAlign w:val="center"/>
          </w:tcPr>
          <w:p w14:paraId="1C1199BE">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A020202投影仪</w:t>
            </w:r>
          </w:p>
        </w:tc>
        <w:tc>
          <w:tcPr>
            <w:tcW w:w="1805" w:type="dxa"/>
            <w:vAlign w:val="center"/>
          </w:tcPr>
          <w:p w14:paraId="6A43C7A4">
            <w:pPr>
              <w:wordWrap w:val="0"/>
              <w:rPr>
                <w:rFonts w:hint="eastAsia" w:ascii="宋体" w:hAnsi="宋体" w:eastAsia="宋体" w:cs="宋体"/>
                <w:color w:val="auto"/>
                <w:kern w:val="0"/>
                <w:sz w:val="18"/>
                <w:szCs w:val="18"/>
                <w:lang w:eastAsia="en-US"/>
              </w:rPr>
            </w:pPr>
          </w:p>
        </w:tc>
        <w:tc>
          <w:tcPr>
            <w:tcW w:w="1618" w:type="dxa"/>
            <w:vAlign w:val="center"/>
          </w:tcPr>
          <w:p w14:paraId="454ED291">
            <w:pPr>
              <w:wordWrap w:val="0"/>
              <w:rPr>
                <w:rFonts w:hint="eastAsia" w:ascii="宋体" w:hAnsi="宋体" w:eastAsia="宋体" w:cs="宋体"/>
                <w:color w:val="auto"/>
                <w:kern w:val="0"/>
                <w:sz w:val="18"/>
                <w:szCs w:val="18"/>
                <w:lang w:eastAsia="en-US"/>
              </w:rPr>
            </w:pPr>
          </w:p>
        </w:tc>
        <w:tc>
          <w:tcPr>
            <w:tcW w:w="4156" w:type="dxa"/>
            <w:vAlign w:val="center"/>
          </w:tcPr>
          <w:p w14:paraId="7BF0E568">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《投影机能效限定值及能效等级</w:t>
            </w:r>
          </w:p>
          <w:p w14:paraId="639DB3BA">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（GB32028）</w:t>
            </w:r>
          </w:p>
        </w:tc>
      </w:tr>
      <w:tr w14:paraId="2BB6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846" w:type="dxa"/>
            <w:vAlign w:val="center"/>
          </w:tcPr>
          <w:p w14:paraId="35F74693">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4</w:t>
            </w:r>
          </w:p>
        </w:tc>
        <w:tc>
          <w:tcPr>
            <w:tcW w:w="891" w:type="dxa"/>
            <w:vAlign w:val="center"/>
          </w:tcPr>
          <w:p w14:paraId="6A5B4E31">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A020204多功能一体机</w:t>
            </w:r>
          </w:p>
        </w:tc>
        <w:tc>
          <w:tcPr>
            <w:tcW w:w="1805" w:type="dxa"/>
            <w:vAlign w:val="center"/>
          </w:tcPr>
          <w:p w14:paraId="4BD39101">
            <w:pPr>
              <w:wordWrap w:val="0"/>
              <w:rPr>
                <w:rFonts w:hint="eastAsia" w:ascii="宋体" w:hAnsi="宋体" w:eastAsia="宋体" w:cs="宋体"/>
                <w:color w:val="auto"/>
                <w:kern w:val="0"/>
                <w:sz w:val="18"/>
                <w:szCs w:val="18"/>
                <w:lang w:eastAsia="en-US"/>
              </w:rPr>
            </w:pPr>
          </w:p>
        </w:tc>
        <w:tc>
          <w:tcPr>
            <w:tcW w:w="1618" w:type="dxa"/>
            <w:vAlign w:val="center"/>
          </w:tcPr>
          <w:p w14:paraId="0E6EC016">
            <w:pPr>
              <w:wordWrap w:val="0"/>
              <w:rPr>
                <w:rFonts w:hint="eastAsia" w:ascii="宋体" w:hAnsi="宋体" w:eastAsia="宋体" w:cs="宋体"/>
                <w:color w:val="auto"/>
                <w:kern w:val="0"/>
                <w:sz w:val="18"/>
                <w:szCs w:val="18"/>
                <w:lang w:eastAsia="en-US"/>
              </w:rPr>
            </w:pPr>
          </w:p>
        </w:tc>
        <w:tc>
          <w:tcPr>
            <w:tcW w:w="4156" w:type="dxa"/>
            <w:vAlign w:val="center"/>
          </w:tcPr>
          <w:p w14:paraId="49CBD4F9">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《复印机、打印机和传真机能效限定值及能效等级》（GB21521）</w:t>
            </w:r>
          </w:p>
        </w:tc>
      </w:tr>
      <w:tr w14:paraId="624FC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846" w:type="dxa"/>
            <w:vAlign w:val="center"/>
          </w:tcPr>
          <w:p w14:paraId="06A230B7">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5</w:t>
            </w:r>
          </w:p>
        </w:tc>
        <w:tc>
          <w:tcPr>
            <w:tcW w:w="891" w:type="dxa"/>
            <w:vAlign w:val="center"/>
          </w:tcPr>
          <w:p w14:paraId="1733A324">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A020519泵</w:t>
            </w:r>
          </w:p>
        </w:tc>
        <w:tc>
          <w:tcPr>
            <w:tcW w:w="1805" w:type="dxa"/>
            <w:vAlign w:val="center"/>
          </w:tcPr>
          <w:p w14:paraId="33065A92">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A02051901离心泵</w:t>
            </w:r>
          </w:p>
        </w:tc>
        <w:tc>
          <w:tcPr>
            <w:tcW w:w="1618" w:type="dxa"/>
            <w:vAlign w:val="center"/>
          </w:tcPr>
          <w:p w14:paraId="15CD5940">
            <w:pPr>
              <w:wordWrap w:val="0"/>
              <w:rPr>
                <w:rFonts w:hint="eastAsia" w:ascii="宋体" w:hAnsi="宋体" w:eastAsia="宋体" w:cs="宋体"/>
                <w:color w:val="auto"/>
                <w:kern w:val="0"/>
                <w:sz w:val="18"/>
                <w:szCs w:val="18"/>
                <w:lang w:eastAsia="en-US"/>
              </w:rPr>
            </w:pPr>
          </w:p>
        </w:tc>
        <w:tc>
          <w:tcPr>
            <w:tcW w:w="4156" w:type="dxa"/>
            <w:vAlign w:val="center"/>
          </w:tcPr>
          <w:p w14:paraId="01E5A74C">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《清水离心泵能效限定值及节能评价值》（GB19762）</w:t>
            </w:r>
          </w:p>
        </w:tc>
      </w:tr>
      <w:tr w14:paraId="036B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846" w:type="dxa"/>
            <w:vMerge w:val="restart"/>
            <w:vAlign w:val="center"/>
          </w:tcPr>
          <w:p w14:paraId="29990EE0">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6</w:t>
            </w:r>
          </w:p>
        </w:tc>
        <w:tc>
          <w:tcPr>
            <w:tcW w:w="891" w:type="dxa"/>
            <w:vMerge w:val="restart"/>
            <w:vAlign w:val="center"/>
          </w:tcPr>
          <w:p w14:paraId="6FDC65B6">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A020523制冷空调设备</w:t>
            </w:r>
          </w:p>
        </w:tc>
        <w:tc>
          <w:tcPr>
            <w:tcW w:w="1805" w:type="dxa"/>
            <w:vMerge w:val="restart"/>
            <w:vAlign w:val="center"/>
          </w:tcPr>
          <w:p w14:paraId="7536FC1D">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★A02052301制冷压缩机</w:t>
            </w:r>
          </w:p>
        </w:tc>
        <w:tc>
          <w:tcPr>
            <w:tcW w:w="1618" w:type="dxa"/>
            <w:vAlign w:val="center"/>
          </w:tcPr>
          <w:p w14:paraId="5972CE42">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冷水机组</w:t>
            </w:r>
          </w:p>
        </w:tc>
        <w:tc>
          <w:tcPr>
            <w:tcW w:w="4156" w:type="dxa"/>
            <w:vAlign w:val="center"/>
          </w:tcPr>
          <w:p w14:paraId="245F9F35">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《冷水机组能效限定值及能效等级》（GB19577），《低环境温度空气源热泵（冷水）机组能效限定值及能效等级》（GB37480）</w:t>
            </w:r>
          </w:p>
        </w:tc>
      </w:tr>
      <w:tr w14:paraId="4733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846" w:type="dxa"/>
            <w:vMerge w:val="continue"/>
            <w:vAlign w:val="center"/>
          </w:tcPr>
          <w:p w14:paraId="4CBEC85A">
            <w:pPr>
              <w:wordWrap w:val="0"/>
              <w:rPr>
                <w:rFonts w:hint="eastAsia" w:ascii="宋体" w:hAnsi="宋体" w:eastAsia="宋体" w:cs="宋体"/>
                <w:color w:val="auto"/>
                <w:kern w:val="0"/>
                <w:sz w:val="18"/>
                <w:szCs w:val="18"/>
              </w:rPr>
            </w:pPr>
          </w:p>
        </w:tc>
        <w:tc>
          <w:tcPr>
            <w:tcW w:w="891" w:type="dxa"/>
            <w:vMerge w:val="continue"/>
            <w:vAlign w:val="center"/>
          </w:tcPr>
          <w:p w14:paraId="4E190581">
            <w:pPr>
              <w:wordWrap w:val="0"/>
              <w:rPr>
                <w:rFonts w:hint="eastAsia" w:ascii="宋体" w:hAnsi="宋体" w:eastAsia="宋体" w:cs="宋体"/>
                <w:color w:val="auto"/>
                <w:kern w:val="0"/>
                <w:sz w:val="18"/>
                <w:szCs w:val="18"/>
              </w:rPr>
            </w:pPr>
          </w:p>
        </w:tc>
        <w:tc>
          <w:tcPr>
            <w:tcW w:w="1805" w:type="dxa"/>
            <w:vMerge w:val="continue"/>
            <w:vAlign w:val="center"/>
          </w:tcPr>
          <w:p w14:paraId="30F4F36A">
            <w:pPr>
              <w:wordWrap w:val="0"/>
              <w:rPr>
                <w:rFonts w:hint="eastAsia" w:ascii="宋体" w:hAnsi="宋体" w:eastAsia="宋体" w:cs="宋体"/>
                <w:color w:val="auto"/>
                <w:kern w:val="0"/>
                <w:sz w:val="18"/>
                <w:szCs w:val="18"/>
              </w:rPr>
            </w:pPr>
          </w:p>
        </w:tc>
        <w:tc>
          <w:tcPr>
            <w:tcW w:w="1618" w:type="dxa"/>
            <w:vAlign w:val="center"/>
          </w:tcPr>
          <w:p w14:paraId="402B0346">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水源热泵机组</w:t>
            </w:r>
          </w:p>
        </w:tc>
        <w:tc>
          <w:tcPr>
            <w:tcW w:w="4156" w:type="dxa"/>
            <w:vAlign w:val="center"/>
          </w:tcPr>
          <w:p w14:paraId="4D295F22">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《水（地）源热泵机组能效限定值及能效等级》（GB30721）</w:t>
            </w:r>
          </w:p>
        </w:tc>
      </w:tr>
      <w:tr w14:paraId="6C7F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846" w:type="dxa"/>
            <w:vMerge w:val="continue"/>
            <w:vAlign w:val="center"/>
          </w:tcPr>
          <w:p w14:paraId="1CB08423">
            <w:pPr>
              <w:wordWrap w:val="0"/>
              <w:rPr>
                <w:rFonts w:hint="eastAsia" w:ascii="宋体" w:hAnsi="宋体" w:eastAsia="宋体" w:cs="宋体"/>
                <w:color w:val="auto"/>
                <w:kern w:val="0"/>
                <w:sz w:val="18"/>
                <w:szCs w:val="18"/>
              </w:rPr>
            </w:pPr>
          </w:p>
        </w:tc>
        <w:tc>
          <w:tcPr>
            <w:tcW w:w="891" w:type="dxa"/>
            <w:vMerge w:val="continue"/>
            <w:vAlign w:val="center"/>
          </w:tcPr>
          <w:p w14:paraId="3ACA01FD">
            <w:pPr>
              <w:wordWrap w:val="0"/>
              <w:rPr>
                <w:rFonts w:hint="eastAsia" w:ascii="宋体" w:hAnsi="宋体" w:eastAsia="宋体" w:cs="宋体"/>
                <w:color w:val="auto"/>
                <w:kern w:val="0"/>
                <w:sz w:val="18"/>
                <w:szCs w:val="18"/>
              </w:rPr>
            </w:pPr>
          </w:p>
        </w:tc>
        <w:tc>
          <w:tcPr>
            <w:tcW w:w="1805" w:type="dxa"/>
            <w:vMerge w:val="continue"/>
            <w:vAlign w:val="center"/>
          </w:tcPr>
          <w:p w14:paraId="72BB277D">
            <w:pPr>
              <w:wordWrap w:val="0"/>
              <w:rPr>
                <w:rFonts w:hint="eastAsia" w:ascii="宋体" w:hAnsi="宋体" w:eastAsia="宋体" w:cs="宋体"/>
                <w:color w:val="auto"/>
                <w:kern w:val="0"/>
                <w:sz w:val="18"/>
                <w:szCs w:val="18"/>
              </w:rPr>
            </w:pPr>
          </w:p>
        </w:tc>
        <w:tc>
          <w:tcPr>
            <w:tcW w:w="1618" w:type="dxa"/>
            <w:vAlign w:val="center"/>
          </w:tcPr>
          <w:p w14:paraId="10E6EBC9">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溴化锂吸收式冷水机组</w:t>
            </w:r>
          </w:p>
        </w:tc>
        <w:tc>
          <w:tcPr>
            <w:tcW w:w="4156" w:type="dxa"/>
            <w:vAlign w:val="center"/>
          </w:tcPr>
          <w:p w14:paraId="05F03DCA">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《溴化锂吸收式冷水机组能效限定值及能效等级》（GB29540）</w:t>
            </w:r>
          </w:p>
        </w:tc>
      </w:tr>
      <w:tr w14:paraId="2916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5" w:hRule="exact"/>
          <w:jc w:val="center"/>
        </w:trPr>
        <w:tc>
          <w:tcPr>
            <w:tcW w:w="846" w:type="dxa"/>
            <w:vMerge w:val="continue"/>
            <w:vAlign w:val="center"/>
          </w:tcPr>
          <w:p w14:paraId="61D302A8">
            <w:pPr>
              <w:wordWrap w:val="0"/>
              <w:rPr>
                <w:rFonts w:hint="eastAsia" w:ascii="宋体" w:hAnsi="宋体" w:eastAsia="宋体" w:cs="宋体"/>
                <w:color w:val="auto"/>
                <w:kern w:val="0"/>
                <w:sz w:val="18"/>
                <w:szCs w:val="18"/>
              </w:rPr>
            </w:pPr>
          </w:p>
        </w:tc>
        <w:tc>
          <w:tcPr>
            <w:tcW w:w="891" w:type="dxa"/>
            <w:vMerge w:val="continue"/>
            <w:vAlign w:val="center"/>
          </w:tcPr>
          <w:p w14:paraId="7719CC68">
            <w:pPr>
              <w:wordWrap w:val="0"/>
              <w:rPr>
                <w:rFonts w:hint="eastAsia" w:ascii="宋体" w:hAnsi="宋体" w:eastAsia="宋体" w:cs="宋体"/>
                <w:color w:val="auto"/>
                <w:kern w:val="0"/>
                <w:sz w:val="18"/>
                <w:szCs w:val="18"/>
              </w:rPr>
            </w:pPr>
          </w:p>
        </w:tc>
        <w:tc>
          <w:tcPr>
            <w:tcW w:w="1805" w:type="dxa"/>
            <w:vAlign w:val="center"/>
          </w:tcPr>
          <w:p w14:paraId="33C3A8C5">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★A02052305空调机组</w:t>
            </w:r>
          </w:p>
        </w:tc>
        <w:tc>
          <w:tcPr>
            <w:tcW w:w="1618" w:type="dxa"/>
            <w:vAlign w:val="center"/>
          </w:tcPr>
          <w:p w14:paraId="742E521F">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多联式空调（热泵）机组(制冷量＞14000W)</w:t>
            </w:r>
          </w:p>
        </w:tc>
        <w:tc>
          <w:tcPr>
            <w:tcW w:w="4156" w:type="dxa"/>
            <w:vAlign w:val="center"/>
          </w:tcPr>
          <w:p w14:paraId="3011772F">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《多联式空调（热泵）机组能效限定值及能源效率等级》（GB21454）</w:t>
            </w:r>
          </w:p>
        </w:tc>
      </w:tr>
      <w:tr w14:paraId="6BED1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jc w:val="center"/>
        </w:trPr>
        <w:tc>
          <w:tcPr>
            <w:tcW w:w="846" w:type="dxa"/>
            <w:vMerge w:val="continue"/>
            <w:vAlign w:val="center"/>
          </w:tcPr>
          <w:p w14:paraId="4DF346C9">
            <w:pPr>
              <w:wordWrap w:val="0"/>
              <w:rPr>
                <w:rFonts w:hint="eastAsia" w:ascii="宋体" w:hAnsi="宋体" w:eastAsia="宋体" w:cs="宋体"/>
                <w:color w:val="auto"/>
                <w:kern w:val="0"/>
                <w:sz w:val="18"/>
                <w:szCs w:val="18"/>
              </w:rPr>
            </w:pPr>
          </w:p>
        </w:tc>
        <w:tc>
          <w:tcPr>
            <w:tcW w:w="891" w:type="dxa"/>
            <w:vMerge w:val="continue"/>
            <w:vAlign w:val="center"/>
          </w:tcPr>
          <w:p w14:paraId="08EF7998">
            <w:pPr>
              <w:wordWrap w:val="0"/>
              <w:rPr>
                <w:rFonts w:hint="eastAsia" w:ascii="宋体" w:hAnsi="宋体" w:eastAsia="宋体" w:cs="宋体"/>
                <w:color w:val="auto"/>
                <w:kern w:val="0"/>
                <w:sz w:val="18"/>
                <w:szCs w:val="18"/>
              </w:rPr>
            </w:pPr>
          </w:p>
        </w:tc>
        <w:tc>
          <w:tcPr>
            <w:tcW w:w="1805" w:type="dxa"/>
            <w:vAlign w:val="center"/>
          </w:tcPr>
          <w:p w14:paraId="66187743">
            <w:pPr>
              <w:wordWrap w:val="0"/>
              <w:rPr>
                <w:rFonts w:hint="eastAsia" w:ascii="宋体" w:hAnsi="宋体" w:eastAsia="宋体" w:cs="宋体"/>
                <w:color w:val="auto"/>
                <w:kern w:val="0"/>
                <w:sz w:val="18"/>
                <w:szCs w:val="18"/>
              </w:rPr>
            </w:pPr>
          </w:p>
        </w:tc>
        <w:tc>
          <w:tcPr>
            <w:tcW w:w="1618" w:type="dxa"/>
            <w:vAlign w:val="center"/>
          </w:tcPr>
          <w:p w14:paraId="53A42446">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单元式空气调节机</w:t>
            </w:r>
          </w:p>
          <w:p w14:paraId="5B107096">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(制冷量＞14000W)</w:t>
            </w:r>
          </w:p>
        </w:tc>
        <w:tc>
          <w:tcPr>
            <w:tcW w:w="4156" w:type="dxa"/>
            <w:vAlign w:val="center"/>
          </w:tcPr>
          <w:p w14:paraId="20BC1E8F">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《单元式空气调节机能效限定值及能效等级》（GB19576）《风管送风式空调机组能效限定值及能效等级》（GB37479）</w:t>
            </w:r>
          </w:p>
        </w:tc>
      </w:tr>
      <w:tr w14:paraId="07CE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jc w:val="center"/>
        </w:trPr>
        <w:tc>
          <w:tcPr>
            <w:tcW w:w="846" w:type="dxa"/>
            <w:vMerge w:val="continue"/>
            <w:vAlign w:val="center"/>
          </w:tcPr>
          <w:p w14:paraId="01567A59">
            <w:pPr>
              <w:wordWrap w:val="0"/>
              <w:rPr>
                <w:rFonts w:hint="eastAsia" w:ascii="宋体" w:hAnsi="宋体" w:eastAsia="宋体" w:cs="宋体"/>
                <w:color w:val="auto"/>
                <w:kern w:val="0"/>
                <w:sz w:val="18"/>
                <w:szCs w:val="18"/>
              </w:rPr>
            </w:pPr>
          </w:p>
        </w:tc>
        <w:tc>
          <w:tcPr>
            <w:tcW w:w="891" w:type="dxa"/>
            <w:vMerge w:val="continue"/>
            <w:vAlign w:val="center"/>
          </w:tcPr>
          <w:p w14:paraId="6DA0604D">
            <w:pPr>
              <w:wordWrap w:val="0"/>
              <w:rPr>
                <w:rFonts w:hint="eastAsia" w:ascii="宋体" w:hAnsi="宋体" w:eastAsia="宋体" w:cs="宋体"/>
                <w:color w:val="auto"/>
                <w:kern w:val="0"/>
                <w:sz w:val="18"/>
                <w:szCs w:val="18"/>
              </w:rPr>
            </w:pPr>
          </w:p>
        </w:tc>
        <w:tc>
          <w:tcPr>
            <w:tcW w:w="1805" w:type="dxa"/>
            <w:vAlign w:val="center"/>
          </w:tcPr>
          <w:p w14:paraId="3C9B5E1D">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★A02052309专用制冷、空调设备</w:t>
            </w:r>
          </w:p>
        </w:tc>
        <w:tc>
          <w:tcPr>
            <w:tcW w:w="1618" w:type="dxa"/>
            <w:vAlign w:val="center"/>
          </w:tcPr>
          <w:p w14:paraId="2F765262">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机房空调</w:t>
            </w:r>
          </w:p>
        </w:tc>
        <w:tc>
          <w:tcPr>
            <w:tcW w:w="4156" w:type="dxa"/>
            <w:vAlign w:val="center"/>
          </w:tcPr>
          <w:p w14:paraId="694336E4">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《单元式空气调节机能效限定值</w:t>
            </w:r>
          </w:p>
          <w:p w14:paraId="529DB8FF">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及能效等级》（GB19576）</w:t>
            </w:r>
          </w:p>
        </w:tc>
      </w:tr>
      <w:tr w14:paraId="5ED0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atLeast"/>
          <w:jc w:val="center"/>
        </w:trPr>
        <w:tc>
          <w:tcPr>
            <w:tcW w:w="846" w:type="dxa"/>
            <w:vMerge w:val="continue"/>
            <w:vAlign w:val="center"/>
          </w:tcPr>
          <w:p w14:paraId="273DC78E">
            <w:pPr>
              <w:wordWrap w:val="0"/>
              <w:rPr>
                <w:rFonts w:hint="eastAsia" w:ascii="宋体" w:hAnsi="宋体" w:eastAsia="宋体" w:cs="宋体"/>
                <w:color w:val="auto"/>
                <w:kern w:val="0"/>
                <w:sz w:val="18"/>
                <w:szCs w:val="18"/>
              </w:rPr>
            </w:pPr>
          </w:p>
        </w:tc>
        <w:tc>
          <w:tcPr>
            <w:tcW w:w="891" w:type="dxa"/>
            <w:vMerge w:val="continue"/>
            <w:vAlign w:val="center"/>
          </w:tcPr>
          <w:p w14:paraId="081D5D5E">
            <w:pPr>
              <w:wordWrap w:val="0"/>
              <w:rPr>
                <w:rFonts w:hint="eastAsia" w:ascii="宋体" w:hAnsi="宋体" w:eastAsia="宋体" w:cs="宋体"/>
                <w:color w:val="auto"/>
                <w:kern w:val="0"/>
                <w:sz w:val="18"/>
                <w:szCs w:val="18"/>
              </w:rPr>
            </w:pPr>
          </w:p>
        </w:tc>
        <w:tc>
          <w:tcPr>
            <w:tcW w:w="1805" w:type="dxa"/>
            <w:vAlign w:val="center"/>
          </w:tcPr>
          <w:p w14:paraId="69939D43">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A02052399其他制冷空调设备</w:t>
            </w:r>
          </w:p>
        </w:tc>
        <w:tc>
          <w:tcPr>
            <w:tcW w:w="1618" w:type="dxa"/>
            <w:vAlign w:val="center"/>
          </w:tcPr>
          <w:p w14:paraId="5F05036E">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冷却塔</w:t>
            </w:r>
          </w:p>
        </w:tc>
        <w:tc>
          <w:tcPr>
            <w:tcW w:w="4156" w:type="dxa"/>
            <w:vAlign w:val="center"/>
          </w:tcPr>
          <w:p w14:paraId="5E6188F9">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《机械通风冷却塔第1部分：中小型开式冷却塔》（GB/T7190.1）《机械通风冷却塔第2部分：大型开式冷却塔》（GB/T7190.2）</w:t>
            </w:r>
          </w:p>
        </w:tc>
      </w:tr>
      <w:tr w14:paraId="61785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846" w:type="dxa"/>
            <w:vAlign w:val="center"/>
          </w:tcPr>
          <w:p w14:paraId="0304D9B9">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7</w:t>
            </w:r>
          </w:p>
        </w:tc>
        <w:tc>
          <w:tcPr>
            <w:tcW w:w="891" w:type="dxa"/>
            <w:vAlign w:val="center"/>
          </w:tcPr>
          <w:p w14:paraId="6C214FD8">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A020601电机</w:t>
            </w:r>
          </w:p>
        </w:tc>
        <w:tc>
          <w:tcPr>
            <w:tcW w:w="1805" w:type="dxa"/>
            <w:vAlign w:val="center"/>
          </w:tcPr>
          <w:p w14:paraId="5500EFCE">
            <w:pPr>
              <w:wordWrap w:val="0"/>
              <w:rPr>
                <w:rFonts w:hint="eastAsia" w:ascii="宋体" w:hAnsi="宋体" w:eastAsia="宋体" w:cs="宋体"/>
                <w:color w:val="auto"/>
                <w:kern w:val="0"/>
                <w:sz w:val="18"/>
                <w:szCs w:val="18"/>
                <w:lang w:eastAsia="en-US"/>
              </w:rPr>
            </w:pPr>
          </w:p>
        </w:tc>
        <w:tc>
          <w:tcPr>
            <w:tcW w:w="1618" w:type="dxa"/>
            <w:vAlign w:val="center"/>
          </w:tcPr>
          <w:p w14:paraId="1FFC969E">
            <w:pPr>
              <w:wordWrap w:val="0"/>
              <w:rPr>
                <w:rFonts w:hint="eastAsia" w:ascii="宋体" w:hAnsi="宋体" w:eastAsia="宋体" w:cs="宋体"/>
                <w:color w:val="auto"/>
                <w:kern w:val="0"/>
                <w:sz w:val="18"/>
                <w:szCs w:val="18"/>
                <w:lang w:eastAsia="en-US"/>
              </w:rPr>
            </w:pPr>
          </w:p>
        </w:tc>
        <w:tc>
          <w:tcPr>
            <w:tcW w:w="4156" w:type="dxa"/>
            <w:vAlign w:val="center"/>
          </w:tcPr>
          <w:p w14:paraId="382AEAA4">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《中小型三相异步电动机能效限定值及能效等级》（GB18613）</w:t>
            </w:r>
          </w:p>
        </w:tc>
      </w:tr>
      <w:tr w14:paraId="08D8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846" w:type="dxa"/>
            <w:vAlign w:val="center"/>
          </w:tcPr>
          <w:p w14:paraId="6057DB95">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8</w:t>
            </w:r>
          </w:p>
        </w:tc>
        <w:tc>
          <w:tcPr>
            <w:tcW w:w="891" w:type="dxa"/>
            <w:vAlign w:val="center"/>
          </w:tcPr>
          <w:p w14:paraId="258FC5D0">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A020602变压器</w:t>
            </w:r>
          </w:p>
        </w:tc>
        <w:tc>
          <w:tcPr>
            <w:tcW w:w="1805" w:type="dxa"/>
            <w:vAlign w:val="center"/>
          </w:tcPr>
          <w:p w14:paraId="17A47882">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配电变压器</w:t>
            </w:r>
          </w:p>
        </w:tc>
        <w:tc>
          <w:tcPr>
            <w:tcW w:w="1618" w:type="dxa"/>
            <w:vAlign w:val="center"/>
          </w:tcPr>
          <w:p w14:paraId="1BAFD2B2">
            <w:pPr>
              <w:wordWrap w:val="0"/>
              <w:rPr>
                <w:rFonts w:hint="eastAsia" w:ascii="宋体" w:hAnsi="宋体" w:eastAsia="宋体" w:cs="宋体"/>
                <w:color w:val="auto"/>
                <w:kern w:val="0"/>
                <w:sz w:val="18"/>
                <w:szCs w:val="18"/>
                <w:lang w:eastAsia="en-US"/>
              </w:rPr>
            </w:pPr>
          </w:p>
        </w:tc>
        <w:tc>
          <w:tcPr>
            <w:tcW w:w="4156" w:type="dxa"/>
            <w:vAlign w:val="center"/>
          </w:tcPr>
          <w:p w14:paraId="4332A45F">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《三相配电变压器能效限定值及能效等级》（GB20052）</w:t>
            </w:r>
          </w:p>
        </w:tc>
      </w:tr>
      <w:tr w14:paraId="452E8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846" w:type="dxa"/>
            <w:vAlign w:val="center"/>
          </w:tcPr>
          <w:p w14:paraId="79E6DD8E">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9</w:t>
            </w:r>
          </w:p>
        </w:tc>
        <w:tc>
          <w:tcPr>
            <w:tcW w:w="891" w:type="dxa"/>
            <w:vAlign w:val="center"/>
          </w:tcPr>
          <w:p w14:paraId="28CE8EB1">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★A020609镇流器</w:t>
            </w:r>
          </w:p>
        </w:tc>
        <w:tc>
          <w:tcPr>
            <w:tcW w:w="1805" w:type="dxa"/>
            <w:vAlign w:val="center"/>
          </w:tcPr>
          <w:p w14:paraId="1744EAC1">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管型荧光灯镇流器</w:t>
            </w:r>
          </w:p>
        </w:tc>
        <w:tc>
          <w:tcPr>
            <w:tcW w:w="1618" w:type="dxa"/>
            <w:vAlign w:val="center"/>
          </w:tcPr>
          <w:p w14:paraId="49EEA868">
            <w:pPr>
              <w:wordWrap w:val="0"/>
              <w:rPr>
                <w:rFonts w:hint="eastAsia" w:ascii="宋体" w:hAnsi="宋体" w:eastAsia="宋体" w:cs="宋体"/>
                <w:color w:val="auto"/>
                <w:kern w:val="0"/>
                <w:sz w:val="18"/>
                <w:szCs w:val="18"/>
                <w:lang w:eastAsia="en-US"/>
              </w:rPr>
            </w:pPr>
          </w:p>
        </w:tc>
        <w:tc>
          <w:tcPr>
            <w:tcW w:w="4156" w:type="dxa"/>
            <w:vAlign w:val="center"/>
          </w:tcPr>
          <w:p w14:paraId="63BF83C2">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《管形荧光灯镇流器能效限定值及能效等级》（GB17896）</w:t>
            </w:r>
          </w:p>
        </w:tc>
      </w:tr>
      <w:tr w14:paraId="66B5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846" w:type="dxa"/>
            <w:vMerge w:val="restart"/>
            <w:vAlign w:val="center"/>
          </w:tcPr>
          <w:p w14:paraId="25A9DE01">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10</w:t>
            </w:r>
          </w:p>
        </w:tc>
        <w:tc>
          <w:tcPr>
            <w:tcW w:w="891" w:type="dxa"/>
            <w:vMerge w:val="restart"/>
            <w:vAlign w:val="center"/>
          </w:tcPr>
          <w:p w14:paraId="00B68A8F">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A020618生活用电器</w:t>
            </w:r>
          </w:p>
        </w:tc>
        <w:tc>
          <w:tcPr>
            <w:tcW w:w="1805" w:type="dxa"/>
            <w:vAlign w:val="center"/>
          </w:tcPr>
          <w:p w14:paraId="75EE3A48">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A0206180101电冰箱</w:t>
            </w:r>
          </w:p>
        </w:tc>
        <w:tc>
          <w:tcPr>
            <w:tcW w:w="1618" w:type="dxa"/>
            <w:vAlign w:val="center"/>
          </w:tcPr>
          <w:p w14:paraId="4F3ECE0C">
            <w:pPr>
              <w:wordWrap w:val="0"/>
              <w:rPr>
                <w:rFonts w:hint="eastAsia" w:ascii="宋体" w:hAnsi="宋体" w:eastAsia="宋体" w:cs="宋体"/>
                <w:color w:val="auto"/>
                <w:kern w:val="0"/>
                <w:sz w:val="18"/>
                <w:szCs w:val="18"/>
                <w:lang w:eastAsia="en-US"/>
              </w:rPr>
            </w:pPr>
          </w:p>
        </w:tc>
        <w:tc>
          <w:tcPr>
            <w:tcW w:w="4156" w:type="dxa"/>
            <w:vAlign w:val="center"/>
          </w:tcPr>
          <w:p w14:paraId="37738B56">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《家用电冰箱耗电量限定值及能效等级》（GB12021.2）</w:t>
            </w:r>
          </w:p>
        </w:tc>
      </w:tr>
      <w:tr w14:paraId="0A56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846" w:type="dxa"/>
            <w:vMerge w:val="continue"/>
            <w:vAlign w:val="center"/>
          </w:tcPr>
          <w:p w14:paraId="4ECF45D5">
            <w:pPr>
              <w:wordWrap w:val="0"/>
              <w:rPr>
                <w:rFonts w:hint="eastAsia" w:ascii="宋体" w:hAnsi="宋体" w:eastAsia="宋体" w:cs="宋体"/>
                <w:color w:val="auto"/>
                <w:kern w:val="0"/>
                <w:sz w:val="18"/>
                <w:szCs w:val="18"/>
              </w:rPr>
            </w:pPr>
          </w:p>
        </w:tc>
        <w:tc>
          <w:tcPr>
            <w:tcW w:w="891" w:type="dxa"/>
            <w:vMerge w:val="continue"/>
            <w:vAlign w:val="center"/>
          </w:tcPr>
          <w:p w14:paraId="00B6C98F">
            <w:pPr>
              <w:wordWrap w:val="0"/>
              <w:rPr>
                <w:rFonts w:hint="eastAsia" w:ascii="宋体" w:hAnsi="宋体" w:eastAsia="宋体" w:cs="宋体"/>
                <w:color w:val="auto"/>
                <w:kern w:val="0"/>
                <w:sz w:val="18"/>
                <w:szCs w:val="18"/>
              </w:rPr>
            </w:pPr>
          </w:p>
        </w:tc>
        <w:tc>
          <w:tcPr>
            <w:tcW w:w="1805" w:type="dxa"/>
            <w:vMerge w:val="restart"/>
            <w:vAlign w:val="center"/>
          </w:tcPr>
          <w:p w14:paraId="7F5F29DE">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★A0206180203空调机</w:t>
            </w:r>
          </w:p>
        </w:tc>
        <w:tc>
          <w:tcPr>
            <w:tcW w:w="1618" w:type="dxa"/>
            <w:vAlign w:val="center"/>
          </w:tcPr>
          <w:p w14:paraId="00D62F53">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房间空气调节器</w:t>
            </w:r>
          </w:p>
        </w:tc>
        <w:tc>
          <w:tcPr>
            <w:tcW w:w="4156" w:type="dxa"/>
            <w:vAlign w:val="center"/>
          </w:tcPr>
          <w:p w14:paraId="33E243F7">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《转速可控型房间空气调节器能效限定值及能效等级》（GB21455-2013），待2019年修订发布后，按《房间空气调节器能效限定值及能效等级》（GB21455-2019实施。</w:t>
            </w:r>
          </w:p>
        </w:tc>
      </w:tr>
      <w:tr w14:paraId="437E3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3" w:hRule="exact"/>
          <w:jc w:val="center"/>
        </w:trPr>
        <w:tc>
          <w:tcPr>
            <w:tcW w:w="846" w:type="dxa"/>
            <w:vMerge w:val="continue"/>
            <w:vAlign w:val="center"/>
          </w:tcPr>
          <w:p w14:paraId="28DAFA53">
            <w:pPr>
              <w:wordWrap w:val="0"/>
              <w:rPr>
                <w:rFonts w:hint="eastAsia" w:ascii="宋体" w:hAnsi="宋体" w:eastAsia="宋体" w:cs="宋体"/>
                <w:color w:val="auto"/>
                <w:kern w:val="0"/>
                <w:sz w:val="18"/>
                <w:szCs w:val="18"/>
              </w:rPr>
            </w:pPr>
          </w:p>
        </w:tc>
        <w:tc>
          <w:tcPr>
            <w:tcW w:w="891" w:type="dxa"/>
            <w:vMerge w:val="continue"/>
            <w:vAlign w:val="center"/>
          </w:tcPr>
          <w:p w14:paraId="73C214FC">
            <w:pPr>
              <w:wordWrap w:val="0"/>
              <w:rPr>
                <w:rFonts w:hint="eastAsia" w:ascii="宋体" w:hAnsi="宋体" w:eastAsia="宋体" w:cs="宋体"/>
                <w:color w:val="auto"/>
                <w:kern w:val="0"/>
                <w:sz w:val="18"/>
                <w:szCs w:val="18"/>
              </w:rPr>
            </w:pPr>
          </w:p>
        </w:tc>
        <w:tc>
          <w:tcPr>
            <w:tcW w:w="1805" w:type="dxa"/>
            <w:vMerge w:val="continue"/>
            <w:vAlign w:val="center"/>
          </w:tcPr>
          <w:p w14:paraId="77ABED09">
            <w:pPr>
              <w:wordWrap w:val="0"/>
              <w:rPr>
                <w:rFonts w:hint="eastAsia" w:ascii="宋体" w:hAnsi="宋体" w:eastAsia="宋体" w:cs="宋体"/>
                <w:color w:val="auto"/>
                <w:kern w:val="0"/>
                <w:sz w:val="18"/>
                <w:szCs w:val="18"/>
              </w:rPr>
            </w:pPr>
          </w:p>
        </w:tc>
        <w:tc>
          <w:tcPr>
            <w:tcW w:w="1618" w:type="dxa"/>
            <w:vAlign w:val="center"/>
          </w:tcPr>
          <w:p w14:paraId="19B160A4">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多联式空调（热泵）机组（制冷量≤14000W）</w:t>
            </w:r>
          </w:p>
        </w:tc>
        <w:tc>
          <w:tcPr>
            <w:tcW w:w="4156" w:type="dxa"/>
            <w:vAlign w:val="center"/>
          </w:tcPr>
          <w:p w14:paraId="44D53C7C">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《多联式空调（热泵）机组能效限定值及能源效率等级》（GB21454）</w:t>
            </w:r>
          </w:p>
        </w:tc>
      </w:tr>
      <w:tr w14:paraId="66FCE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846" w:type="dxa"/>
            <w:vMerge w:val="continue"/>
            <w:vAlign w:val="center"/>
          </w:tcPr>
          <w:p w14:paraId="5B21D998">
            <w:pPr>
              <w:wordWrap w:val="0"/>
              <w:rPr>
                <w:rFonts w:hint="eastAsia" w:ascii="宋体" w:hAnsi="宋体" w:eastAsia="宋体" w:cs="宋体"/>
                <w:color w:val="auto"/>
                <w:kern w:val="0"/>
                <w:sz w:val="18"/>
                <w:szCs w:val="18"/>
              </w:rPr>
            </w:pPr>
          </w:p>
        </w:tc>
        <w:tc>
          <w:tcPr>
            <w:tcW w:w="891" w:type="dxa"/>
            <w:vMerge w:val="continue"/>
            <w:vAlign w:val="center"/>
          </w:tcPr>
          <w:p w14:paraId="3CA588DE">
            <w:pPr>
              <w:wordWrap w:val="0"/>
              <w:rPr>
                <w:rFonts w:hint="eastAsia" w:ascii="宋体" w:hAnsi="宋体" w:eastAsia="宋体" w:cs="宋体"/>
                <w:color w:val="auto"/>
                <w:kern w:val="0"/>
                <w:sz w:val="18"/>
                <w:szCs w:val="18"/>
              </w:rPr>
            </w:pPr>
          </w:p>
        </w:tc>
        <w:tc>
          <w:tcPr>
            <w:tcW w:w="1805" w:type="dxa"/>
            <w:vMerge w:val="continue"/>
            <w:vAlign w:val="center"/>
          </w:tcPr>
          <w:p w14:paraId="35806EA9">
            <w:pPr>
              <w:wordWrap w:val="0"/>
              <w:rPr>
                <w:rFonts w:hint="eastAsia" w:ascii="宋体" w:hAnsi="宋体" w:eastAsia="宋体" w:cs="宋体"/>
                <w:color w:val="auto"/>
                <w:kern w:val="0"/>
                <w:sz w:val="18"/>
                <w:szCs w:val="18"/>
              </w:rPr>
            </w:pPr>
          </w:p>
        </w:tc>
        <w:tc>
          <w:tcPr>
            <w:tcW w:w="1618" w:type="dxa"/>
            <w:vAlign w:val="center"/>
          </w:tcPr>
          <w:p w14:paraId="1B222436">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单元式空气调节机</w:t>
            </w:r>
          </w:p>
        </w:tc>
        <w:tc>
          <w:tcPr>
            <w:tcW w:w="4156" w:type="dxa"/>
            <w:vMerge w:val="restart"/>
            <w:vAlign w:val="center"/>
          </w:tcPr>
          <w:p w14:paraId="07D3E4CB">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《单元式空气调节机能效限定值及能源效率等级》（GB19576）《风管送风式空调机组能效限定值及能效等级》（GB37479）</w:t>
            </w:r>
          </w:p>
        </w:tc>
      </w:tr>
      <w:tr w14:paraId="7B17A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46" w:type="dxa"/>
            <w:vMerge w:val="continue"/>
            <w:vAlign w:val="center"/>
          </w:tcPr>
          <w:p w14:paraId="0EB2DE69">
            <w:pPr>
              <w:wordWrap w:val="0"/>
              <w:rPr>
                <w:rFonts w:hint="eastAsia" w:ascii="宋体" w:hAnsi="宋体" w:eastAsia="宋体" w:cs="宋体"/>
                <w:color w:val="auto"/>
                <w:kern w:val="0"/>
                <w:sz w:val="18"/>
                <w:szCs w:val="18"/>
              </w:rPr>
            </w:pPr>
          </w:p>
        </w:tc>
        <w:tc>
          <w:tcPr>
            <w:tcW w:w="891" w:type="dxa"/>
            <w:vMerge w:val="continue"/>
            <w:vAlign w:val="center"/>
          </w:tcPr>
          <w:p w14:paraId="7F0B267A">
            <w:pPr>
              <w:wordWrap w:val="0"/>
              <w:rPr>
                <w:rFonts w:hint="eastAsia" w:ascii="宋体" w:hAnsi="宋体" w:eastAsia="宋体" w:cs="宋体"/>
                <w:color w:val="auto"/>
                <w:kern w:val="0"/>
                <w:sz w:val="18"/>
                <w:szCs w:val="18"/>
              </w:rPr>
            </w:pPr>
          </w:p>
        </w:tc>
        <w:tc>
          <w:tcPr>
            <w:tcW w:w="1805" w:type="dxa"/>
            <w:vMerge w:val="continue"/>
            <w:vAlign w:val="center"/>
          </w:tcPr>
          <w:p w14:paraId="69D00955">
            <w:pPr>
              <w:wordWrap w:val="0"/>
              <w:rPr>
                <w:rFonts w:hint="eastAsia" w:ascii="宋体" w:hAnsi="宋体" w:eastAsia="宋体" w:cs="宋体"/>
                <w:color w:val="auto"/>
                <w:kern w:val="0"/>
                <w:sz w:val="18"/>
                <w:szCs w:val="18"/>
              </w:rPr>
            </w:pPr>
          </w:p>
        </w:tc>
        <w:tc>
          <w:tcPr>
            <w:tcW w:w="1618" w:type="dxa"/>
            <w:vAlign w:val="center"/>
          </w:tcPr>
          <w:p w14:paraId="6D02FB2F">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(制冷量≤14000W)</w:t>
            </w:r>
          </w:p>
        </w:tc>
        <w:tc>
          <w:tcPr>
            <w:tcW w:w="4156" w:type="dxa"/>
            <w:vMerge w:val="continue"/>
            <w:vAlign w:val="center"/>
          </w:tcPr>
          <w:p w14:paraId="266B3D33">
            <w:pPr>
              <w:wordWrap w:val="0"/>
              <w:rPr>
                <w:rFonts w:hint="eastAsia" w:ascii="宋体" w:hAnsi="宋体" w:eastAsia="宋体" w:cs="宋体"/>
                <w:color w:val="auto"/>
                <w:kern w:val="0"/>
                <w:sz w:val="18"/>
                <w:szCs w:val="18"/>
                <w:lang w:eastAsia="en-US"/>
              </w:rPr>
            </w:pPr>
          </w:p>
        </w:tc>
      </w:tr>
      <w:tr w14:paraId="0D06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846" w:type="dxa"/>
            <w:vMerge w:val="continue"/>
            <w:vAlign w:val="center"/>
          </w:tcPr>
          <w:p w14:paraId="54C49B19">
            <w:pPr>
              <w:wordWrap w:val="0"/>
              <w:rPr>
                <w:rFonts w:hint="eastAsia" w:ascii="宋体" w:hAnsi="宋体" w:eastAsia="宋体" w:cs="宋体"/>
                <w:color w:val="auto"/>
                <w:kern w:val="0"/>
                <w:sz w:val="18"/>
                <w:szCs w:val="18"/>
                <w:lang w:eastAsia="en-US"/>
              </w:rPr>
            </w:pPr>
          </w:p>
        </w:tc>
        <w:tc>
          <w:tcPr>
            <w:tcW w:w="891" w:type="dxa"/>
            <w:vMerge w:val="continue"/>
            <w:vAlign w:val="center"/>
          </w:tcPr>
          <w:p w14:paraId="157EE2D4">
            <w:pPr>
              <w:wordWrap w:val="0"/>
              <w:rPr>
                <w:rFonts w:hint="eastAsia" w:ascii="宋体" w:hAnsi="宋体" w:eastAsia="宋体" w:cs="宋体"/>
                <w:color w:val="auto"/>
                <w:kern w:val="0"/>
                <w:sz w:val="18"/>
                <w:szCs w:val="18"/>
                <w:lang w:eastAsia="en-US"/>
              </w:rPr>
            </w:pPr>
          </w:p>
        </w:tc>
        <w:tc>
          <w:tcPr>
            <w:tcW w:w="1805" w:type="dxa"/>
            <w:vAlign w:val="center"/>
          </w:tcPr>
          <w:p w14:paraId="3FD0A333">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A0206180301洗衣机</w:t>
            </w:r>
          </w:p>
        </w:tc>
        <w:tc>
          <w:tcPr>
            <w:tcW w:w="1618" w:type="dxa"/>
            <w:vAlign w:val="center"/>
          </w:tcPr>
          <w:p w14:paraId="4211C09B">
            <w:pPr>
              <w:wordWrap w:val="0"/>
              <w:rPr>
                <w:rFonts w:hint="eastAsia" w:ascii="宋体" w:hAnsi="宋体" w:eastAsia="宋体" w:cs="宋体"/>
                <w:color w:val="auto"/>
                <w:kern w:val="0"/>
                <w:sz w:val="18"/>
                <w:szCs w:val="18"/>
                <w:lang w:eastAsia="en-US"/>
              </w:rPr>
            </w:pPr>
          </w:p>
        </w:tc>
        <w:tc>
          <w:tcPr>
            <w:tcW w:w="4156" w:type="dxa"/>
            <w:vAlign w:val="center"/>
          </w:tcPr>
          <w:p w14:paraId="3E16D56C">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《电动洗衣机能效水效限定值及等级》（GB12021.4）</w:t>
            </w:r>
          </w:p>
        </w:tc>
      </w:tr>
      <w:tr w14:paraId="2251C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exact"/>
          <w:jc w:val="center"/>
        </w:trPr>
        <w:tc>
          <w:tcPr>
            <w:tcW w:w="846" w:type="dxa"/>
            <w:vMerge w:val="continue"/>
            <w:vAlign w:val="center"/>
          </w:tcPr>
          <w:p w14:paraId="496834DA">
            <w:pPr>
              <w:wordWrap w:val="0"/>
              <w:rPr>
                <w:rFonts w:hint="eastAsia" w:ascii="宋体" w:hAnsi="宋体" w:eastAsia="宋体" w:cs="宋体"/>
                <w:color w:val="auto"/>
                <w:kern w:val="0"/>
                <w:sz w:val="18"/>
                <w:szCs w:val="18"/>
              </w:rPr>
            </w:pPr>
          </w:p>
        </w:tc>
        <w:tc>
          <w:tcPr>
            <w:tcW w:w="891" w:type="dxa"/>
            <w:vMerge w:val="continue"/>
            <w:vAlign w:val="center"/>
          </w:tcPr>
          <w:p w14:paraId="3DC063CA">
            <w:pPr>
              <w:wordWrap w:val="0"/>
              <w:rPr>
                <w:rFonts w:hint="eastAsia" w:ascii="宋体" w:hAnsi="宋体" w:eastAsia="宋体" w:cs="宋体"/>
                <w:color w:val="auto"/>
                <w:kern w:val="0"/>
                <w:sz w:val="18"/>
                <w:szCs w:val="18"/>
              </w:rPr>
            </w:pPr>
          </w:p>
        </w:tc>
        <w:tc>
          <w:tcPr>
            <w:tcW w:w="1805" w:type="dxa"/>
            <w:vMerge w:val="restart"/>
            <w:vAlign w:val="center"/>
          </w:tcPr>
          <w:p w14:paraId="18C118FF">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A02061808热水器</w:t>
            </w:r>
          </w:p>
        </w:tc>
        <w:tc>
          <w:tcPr>
            <w:tcW w:w="1618" w:type="dxa"/>
            <w:vAlign w:val="center"/>
          </w:tcPr>
          <w:p w14:paraId="42E8B598">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★电热水器</w:t>
            </w:r>
          </w:p>
        </w:tc>
        <w:tc>
          <w:tcPr>
            <w:tcW w:w="4156" w:type="dxa"/>
            <w:vAlign w:val="center"/>
          </w:tcPr>
          <w:p w14:paraId="748B6294">
            <w:pPr>
              <w:tabs>
                <w:tab w:val="left" w:pos="1608"/>
              </w:tabs>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《储水式电热水器能效限定值及能效等级》（GB21519）</w:t>
            </w:r>
          </w:p>
        </w:tc>
      </w:tr>
      <w:tr w14:paraId="6246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3" w:hRule="exact"/>
          <w:jc w:val="center"/>
        </w:trPr>
        <w:tc>
          <w:tcPr>
            <w:tcW w:w="846" w:type="dxa"/>
            <w:vMerge w:val="continue"/>
            <w:vAlign w:val="center"/>
          </w:tcPr>
          <w:p w14:paraId="36C782F6">
            <w:pPr>
              <w:wordWrap w:val="0"/>
              <w:rPr>
                <w:rFonts w:hint="eastAsia" w:ascii="宋体" w:hAnsi="宋体" w:eastAsia="宋体" w:cs="宋体"/>
                <w:color w:val="auto"/>
                <w:kern w:val="0"/>
                <w:sz w:val="18"/>
                <w:szCs w:val="18"/>
              </w:rPr>
            </w:pPr>
          </w:p>
        </w:tc>
        <w:tc>
          <w:tcPr>
            <w:tcW w:w="891" w:type="dxa"/>
            <w:vMerge w:val="continue"/>
            <w:vAlign w:val="center"/>
          </w:tcPr>
          <w:p w14:paraId="1EF7EF2F">
            <w:pPr>
              <w:wordWrap w:val="0"/>
              <w:rPr>
                <w:rFonts w:hint="eastAsia" w:ascii="宋体" w:hAnsi="宋体" w:eastAsia="宋体" w:cs="宋体"/>
                <w:color w:val="auto"/>
                <w:kern w:val="0"/>
                <w:sz w:val="18"/>
                <w:szCs w:val="18"/>
              </w:rPr>
            </w:pPr>
          </w:p>
        </w:tc>
        <w:tc>
          <w:tcPr>
            <w:tcW w:w="1805" w:type="dxa"/>
            <w:vMerge w:val="continue"/>
            <w:vAlign w:val="center"/>
          </w:tcPr>
          <w:p w14:paraId="289FB36B">
            <w:pPr>
              <w:wordWrap w:val="0"/>
              <w:rPr>
                <w:rFonts w:hint="eastAsia" w:ascii="宋体" w:hAnsi="宋体" w:eastAsia="宋体" w:cs="宋体"/>
                <w:color w:val="auto"/>
                <w:kern w:val="0"/>
                <w:sz w:val="18"/>
                <w:szCs w:val="18"/>
              </w:rPr>
            </w:pPr>
          </w:p>
        </w:tc>
        <w:tc>
          <w:tcPr>
            <w:tcW w:w="1618" w:type="dxa"/>
            <w:vAlign w:val="center"/>
          </w:tcPr>
          <w:p w14:paraId="11B2E571">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燃气热水器</w:t>
            </w:r>
          </w:p>
        </w:tc>
        <w:tc>
          <w:tcPr>
            <w:tcW w:w="4156" w:type="dxa"/>
            <w:vAlign w:val="center"/>
          </w:tcPr>
          <w:p w14:paraId="1718E42A">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《家用燃气快速热水器和燃气采暖热水炉能效限定值及能效等级</w:t>
            </w:r>
          </w:p>
          <w:p w14:paraId="30F5D701">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（GB20665）</w:t>
            </w:r>
          </w:p>
        </w:tc>
      </w:tr>
      <w:tr w14:paraId="6A9FF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846" w:type="dxa"/>
            <w:vMerge w:val="continue"/>
            <w:vAlign w:val="center"/>
          </w:tcPr>
          <w:p w14:paraId="375D6240">
            <w:pPr>
              <w:wordWrap w:val="0"/>
              <w:rPr>
                <w:rFonts w:hint="eastAsia" w:ascii="宋体" w:hAnsi="宋体" w:eastAsia="宋体" w:cs="宋体"/>
                <w:color w:val="auto"/>
                <w:kern w:val="0"/>
                <w:sz w:val="18"/>
                <w:szCs w:val="18"/>
                <w:lang w:eastAsia="en-US"/>
              </w:rPr>
            </w:pPr>
          </w:p>
        </w:tc>
        <w:tc>
          <w:tcPr>
            <w:tcW w:w="891" w:type="dxa"/>
            <w:vMerge w:val="continue"/>
            <w:vAlign w:val="center"/>
          </w:tcPr>
          <w:p w14:paraId="148F14D5">
            <w:pPr>
              <w:wordWrap w:val="0"/>
              <w:rPr>
                <w:rFonts w:hint="eastAsia" w:ascii="宋体" w:hAnsi="宋体" w:eastAsia="宋体" w:cs="宋体"/>
                <w:color w:val="auto"/>
                <w:kern w:val="0"/>
                <w:sz w:val="18"/>
                <w:szCs w:val="18"/>
                <w:lang w:eastAsia="en-US"/>
              </w:rPr>
            </w:pPr>
          </w:p>
        </w:tc>
        <w:tc>
          <w:tcPr>
            <w:tcW w:w="1805" w:type="dxa"/>
            <w:vMerge w:val="continue"/>
            <w:vAlign w:val="center"/>
          </w:tcPr>
          <w:p w14:paraId="501EF237">
            <w:pPr>
              <w:wordWrap w:val="0"/>
              <w:rPr>
                <w:rFonts w:hint="eastAsia" w:ascii="宋体" w:hAnsi="宋体" w:eastAsia="宋体" w:cs="宋体"/>
                <w:color w:val="auto"/>
                <w:kern w:val="0"/>
                <w:sz w:val="18"/>
                <w:szCs w:val="18"/>
                <w:lang w:eastAsia="en-US"/>
              </w:rPr>
            </w:pPr>
          </w:p>
        </w:tc>
        <w:tc>
          <w:tcPr>
            <w:tcW w:w="1618" w:type="dxa"/>
            <w:vAlign w:val="center"/>
          </w:tcPr>
          <w:p w14:paraId="4E3F02B8">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热泵热水器</w:t>
            </w:r>
          </w:p>
        </w:tc>
        <w:tc>
          <w:tcPr>
            <w:tcW w:w="4156" w:type="dxa"/>
            <w:vAlign w:val="center"/>
          </w:tcPr>
          <w:p w14:paraId="62582568">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《热泵热水机（器）能效限定值及能效等级》（GB29541）</w:t>
            </w:r>
          </w:p>
        </w:tc>
      </w:tr>
      <w:tr w14:paraId="5E1D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846" w:type="dxa"/>
            <w:vMerge w:val="continue"/>
            <w:vAlign w:val="center"/>
          </w:tcPr>
          <w:p w14:paraId="167E1723">
            <w:pPr>
              <w:wordWrap w:val="0"/>
              <w:rPr>
                <w:rFonts w:hint="eastAsia" w:ascii="宋体" w:hAnsi="宋体" w:eastAsia="宋体" w:cs="宋体"/>
                <w:color w:val="auto"/>
                <w:kern w:val="0"/>
                <w:sz w:val="18"/>
                <w:szCs w:val="18"/>
              </w:rPr>
            </w:pPr>
          </w:p>
        </w:tc>
        <w:tc>
          <w:tcPr>
            <w:tcW w:w="891" w:type="dxa"/>
            <w:vMerge w:val="continue"/>
            <w:vAlign w:val="center"/>
          </w:tcPr>
          <w:p w14:paraId="7E4A6191">
            <w:pPr>
              <w:wordWrap w:val="0"/>
              <w:rPr>
                <w:rFonts w:hint="eastAsia" w:ascii="宋体" w:hAnsi="宋体" w:eastAsia="宋体" w:cs="宋体"/>
                <w:color w:val="auto"/>
                <w:kern w:val="0"/>
                <w:sz w:val="18"/>
                <w:szCs w:val="18"/>
              </w:rPr>
            </w:pPr>
          </w:p>
        </w:tc>
        <w:tc>
          <w:tcPr>
            <w:tcW w:w="1805" w:type="dxa"/>
            <w:vMerge w:val="continue"/>
            <w:vAlign w:val="center"/>
          </w:tcPr>
          <w:p w14:paraId="068DFF4D">
            <w:pPr>
              <w:wordWrap w:val="0"/>
              <w:rPr>
                <w:rFonts w:hint="eastAsia" w:ascii="宋体" w:hAnsi="宋体" w:eastAsia="宋体" w:cs="宋体"/>
                <w:color w:val="auto"/>
                <w:kern w:val="0"/>
                <w:sz w:val="18"/>
                <w:szCs w:val="18"/>
              </w:rPr>
            </w:pPr>
          </w:p>
        </w:tc>
        <w:tc>
          <w:tcPr>
            <w:tcW w:w="1618" w:type="dxa"/>
            <w:vAlign w:val="center"/>
          </w:tcPr>
          <w:p w14:paraId="1087D7C3">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太阳能热水系统</w:t>
            </w:r>
          </w:p>
        </w:tc>
        <w:tc>
          <w:tcPr>
            <w:tcW w:w="4156" w:type="dxa"/>
            <w:vAlign w:val="center"/>
          </w:tcPr>
          <w:p w14:paraId="466CFC73">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《家用太阳能热水系统能效限定值及能效等级》（GB26969）</w:t>
            </w:r>
          </w:p>
        </w:tc>
      </w:tr>
      <w:tr w14:paraId="63C2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exact"/>
          <w:jc w:val="center"/>
        </w:trPr>
        <w:tc>
          <w:tcPr>
            <w:tcW w:w="846" w:type="dxa"/>
            <w:vMerge w:val="restart"/>
            <w:vAlign w:val="center"/>
          </w:tcPr>
          <w:p w14:paraId="34631E54">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11</w:t>
            </w:r>
          </w:p>
        </w:tc>
        <w:tc>
          <w:tcPr>
            <w:tcW w:w="891" w:type="dxa"/>
            <w:vMerge w:val="restart"/>
            <w:vAlign w:val="center"/>
          </w:tcPr>
          <w:p w14:paraId="598F3AC8">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A020619照明设备</w:t>
            </w:r>
          </w:p>
        </w:tc>
        <w:tc>
          <w:tcPr>
            <w:tcW w:w="1805" w:type="dxa"/>
            <w:vAlign w:val="center"/>
          </w:tcPr>
          <w:p w14:paraId="66CEE252">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★普通照明用双端荧光灯</w:t>
            </w:r>
          </w:p>
        </w:tc>
        <w:tc>
          <w:tcPr>
            <w:tcW w:w="1618" w:type="dxa"/>
            <w:vAlign w:val="center"/>
          </w:tcPr>
          <w:p w14:paraId="29CD5190">
            <w:pPr>
              <w:wordWrap w:val="0"/>
              <w:rPr>
                <w:rFonts w:hint="eastAsia" w:ascii="宋体" w:hAnsi="宋体" w:eastAsia="宋体" w:cs="宋体"/>
                <w:color w:val="auto"/>
                <w:kern w:val="0"/>
                <w:sz w:val="18"/>
                <w:szCs w:val="18"/>
              </w:rPr>
            </w:pPr>
          </w:p>
        </w:tc>
        <w:tc>
          <w:tcPr>
            <w:tcW w:w="4156" w:type="dxa"/>
            <w:vAlign w:val="center"/>
          </w:tcPr>
          <w:p w14:paraId="44BEB8C2">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《普通照明用双端荧光灯能效限定值及能效等级》（GB19043）</w:t>
            </w:r>
          </w:p>
        </w:tc>
      </w:tr>
      <w:tr w14:paraId="209E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exact"/>
          <w:jc w:val="center"/>
        </w:trPr>
        <w:tc>
          <w:tcPr>
            <w:tcW w:w="846" w:type="dxa"/>
            <w:vMerge w:val="continue"/>
            <w:vAlign w:val="center"/>
          </w:tcPr>
          <w:p w14:paraId="44538DAE">
            <w:pPr>
              <w:wordWrap w:val="0"/>
              <w:rPr>
                <w:rFonts w:hint="eastAsia" w:ascii="宋体" w:hAnsi="宋体" w:eastAsia="宋体" w:cs="宋体"/>
                <w:color w:val="auto"/>
                <w:kern w:val="0"/>
                <w:sz w:val="18"/>
                <w:szCs w:val="18"/>
              </w:rPr>
            </w:pPr>
          </w:p>
        </w:tc>
        <w:tc>
          <w:tcPr>
            <w:tcW w:w="891" w:type="dxa"/>
            <w:vMerge w:val="continue"/>
            <w:vAlign w:val="center"/>
          </w:tcPr>
          <w:p w14:paraId="546F2E4B">
            <w:pPr>
              <w:wordWrap w:val="0"/>
              <w:rPr>
                <w:rFonts w:hint="eastAsia" w:ascii="宋体" w:hAnsi="宋体" w:eastAsia="宋体" w:cs="宋体"/>
                <w:color w:val="auto"/>
                <w:kern w:val="0"/>
                <w:sz w:val="18"/>
                <w:szCs w:val="18"/>
              </w:rPr>
            </w:pPr>
          </w:p>
        </w:tc>
        <w:tc>
          <w:tcPr>
            <w:tcW w:w="1805" w:type="dxa"/>
            <w:vAlign w:val="center"/>
          </w:tcPr>
          <w:p w14:paraId="484FC42B">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LED道路/隧道照明产品</w:t>
            </w:r>
          </w:p>
        </w:tc>
        <w:tc>
          <w:tcPr>
            <w:tcW w:w="1618" w:type="dxa"/>
            <w:vAlign w:val="center"/>
          </w:tcPr>
          <w:p w14:paraId="3725860E">
            <w:pPr>
              <w:wordWrap w:val="0"/>
              <w:rPr>
                <w:rFonts w:hint="eastAsia" w:ascii="宋体" w:hAnsi="宋体" w:eastAsia="宋体" w:cs="宋体"/>
                <w:color w:val="auto"/>
                <w:kern w:val="0"/>
                <w:sz w:val="18"/>
                <w:szCs w:val="18"/>
                <w:lang w:eastAsia="en-US"/>
              </w:rPr>
            </w:pPr>
          </w:p>
        </w:tc>
        <w:tc>
          <w:tcPr>
            <w:tcW w:w="4156" w:type="dxa"/>
            <w:vAlign w:val="center"/>
          </w:tcPr>
          <w:p w14:paraId="35949829">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《道路和隧道照明用LED灯具能效限定值及能效等级》（GB37478</w:t>
            </w:r>
            <w:r>
              <w:rPr>
                <w:rFonts w:hint="eastAsia" w:ascii="宋体" w:hAnsi="宋体" w:eastAsia="宋体" w:cs="宋体"/>
                <w:color w:val="auto"/>
                <w:kern w:val="0"/>
                <w:sz w:val="18"/>
                <w:szCs w:val="18"/>
              </w:rPr>
              <w:t>）</w:t>
            </w:r>
          </w:p>
        </w:tc>
      </w:tr>
      <w:tr w14:paraId="3D72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exact"/>
          <w:jc w:val="center"/>
        </w:trPr>
        <w:tc>
          <w:tcPr>
            <w:tcW w:w="846" w:type="dxa"/>
            <w:vMerge w:val="continue"/>
            <w:vAlign w:val="center"/>
          </w:tcPr>
          <w:p w14:paraId="6DFA7ABF">
            <w:pPr>
              <w:wordWrap w:val="0"/>
              <w:rPr>
                <w:rFonts w:hint="eastAsia" w:ascii="宋体" w:hAnsi="宋体" w:eastAsia="宋体" w:cs="宋体"/>
                <w:color w:val="auto"/>
                <w:kern w:val="0"/>
                <w:sz w:val="18"/>
                <w:szCs w:val="18"/>
              </w:rPr>
            </w:pPr>
          </w:p>
        </w:tc>
        <w:tc>
          <w:tcPr>
            <w:tcW w:w="891" w:type="dxa"/>
            <w:vMerge w:val="continue"/>
            <w:vAlign w:val="center"/>
          </w:tcPr>
          <w:p w14:paraId="3D43E082">
            <w:pPr>
              <w:wordWrap w:val="0"/>
              <w:rPr>
                <w:rFonts w:hint="eastAsia" w:ascii="宋体" w:hAnsi="宋体" w:eastAsia="宋体" w:cs="宋体"/>
                <w:color w:val="auto"/>
                <w:kern w:val="0"/>
                <w:sz w:val="18"/>
                <w:szCs w:val="18"/>
              </w:rPr>
            </w:pPr>
          </w:p>
        </w:tc>
        <w:tc>
          <w:tcPr>
            <w:tcW w:w="1805" w:type="dxa"/>
            <w:vAlign w:val="center"/>
          </w:tcPr>
          <w:p w14:paraId="70089D16">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LED筒灯</w:t>
            </w:r>
          </w:p>
        </w:tc>
        <w:tc>
          <w:tcPr>
            <w:tcW w:w="1618" w:type="dxa"/>
            <w:vAlign w:val="center"/>
          </w:tcPr>
          <w:p w14:paraId="157F483C">
            <w:pPr>
              <w:wordWrap w:val="0"/>
              <w:rPr>
                <w:rFonts w:hint="eastAsia" w:ascii="宋体" w:hAnsi="宋体" w:eastAsia="宋体" w:cs="宋体"/>
                <w:color w:val="auto"/>
                <w:kern w:val="0"/>
                <w:sz w:val="18"/>
                <w:szCs w:val="18"/>
                <w:lang w:eastAsia="en-US"/>
              </w:rPr>
            </w:pPr>
          </w:p>
        </w:tc>
        <w:tc>
          <w:tcPr>
            <w:tcW w:w="4156" w:type="dxa"/>
            <w:vAlign w:val="center"/>
          </w:tcPr>
          <w:p w14:paraId="4F02E75C">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《室内照明用LED产品能效限定值及能效等级》（GB30255）</w:t>
            </w:r>
          </w:p>
        </w:tc>
      </w:tr>
      <w:tr w14:paraId="2EBB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exact"/>
          <w:jc w:val="center"/>
        </w:trPr>
        <w:tc>
          <w:tcPr>
            <w:tcW w:w="846" w:type="dxa"/>
            <w:vMerge w:val="continue"/>
            <w:vAlign w:val="center"/>
          </w:tcPr>
          <w:p w14:paraId="6E699647">
            <w:pPr>
              <w:wordWrap w:val="0"/>
              <w:rPr>
                <w:rFonts w:hint="eastAsia" w:ascii="宋体" w:hAnsi="宋体" w:eastAsia="宋体" w:cs="宋体"/>
                <w:color w:val="auto"/>
                <w:kern w:val="0"/>
                <w:sz w:val="18"/>
                <w:szCs w:val="18"/>
              </w:rPr>
            </w:pPr>
          </w:p>
        </w:tc>
        <w:tc>
          <w:tcPr>
            <w:tcW w:w="891" w:type="dxa"/>
            <w:vMerge w:val="continue"/>
            <w:vAlign w:val="center"/>
          </w:tcPr>
          <w:p w14:paraId="63B71016">
            <w:pPr>
              <w:wordWrap w:val="0"/>
              <w:rPr>
                <w:rFonts w:hint="eastAsia" w:ascii="宋体" w:hAnsi="宋体" w:eastAsia="宋体" w:cs="宋体"/>
                <w:color w:val="auto"/>
                <w:kern w:val="0"/>
                <w:sz w:val="18"/>
                <w:szCs w:val="18"/>
              </w:rPr>
            </w:pPr>
          </w:p>
        </w:tc>
        <w:tc>
          <w:tcPr>
            <w:tcW w:w="1805" w:type="dxa"/>
            <w:vAlign w:val="center"/>
          </w:tcPr>
          <w:p w14:paraId="00F10439">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普通照明用非定向自镇流LED灯</w:t>
            </w:r>
          </w:p>
        </w:tc>
        <w:tc>
          <w:tcPr>
            <w:tcW w:w="1618" w:type="dxa"/>
            <w:vAlign w:val="center"/>
          </w:tcPr>
          <w:p w14:paraId="393BA539">
            <w:pPr>
              <w:wordWrap w:val="0"/>
              <w:rPr>
                <w:rFonts w:hint="eastAsia" w:ascii="宋体" w:hAnsi="宋体" w:eastAsia="宋体" w:cs="宋体"/>
                <w:color w:val="auto"/>
                <w:kern w:val="0"/>
                <w:sz w:val="18"/>
                <w:szCs w:val="18"/>
              </w:rPr>
            </w:pPr>
          </w:p>
        </w:tc>
        <w:tc>
          <w:tcPr>
            <w:tcW w:w="4156" w:type="dxa"/>
            <w:vAlign w:val="center"/>
          </w:tcPr>
          <w:p w14:paraId="403E3D1F">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《室内照明用LED产品能效限定值及能效等级》（GB30255）</w:t>
            </w:r>
          </w:p>
        </w:tc>
      </w:tr>
      <w:tr w14:paraId="0A30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846" w:type="dxa"/>
            <w:vAlign w:val="center"/>
          </w:tcPr>
          <w:p w14:paraId="6F6F07A6">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12</w:t>
            </w:r>
          </w:p>
        </w:tc>
        <w:tc>
          <w:tcPr>
            <w:tcW w:w="891" w:type="dxa"/>
            <w:vAlign w:val="center"/>
          </w:tcPr>
          <w:p w14:paraId="11856E82">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★A020910电视设备</w:t>
            </w:r>
          </w:p>
        </w:tc>
        <w:tc>
          <w:tcPr>
            <w:tcW w:w="1805" w:type="dxa"/>
            <w:vAlign w:val="center"/>
          </w:tcPr>
          <w:p w14:paraId="46ED26CD">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A02091001普通电视设备（电视机）</w:t>
            </w:r>
          </w:p>
        </w:tc>
        <w:tc>
          <w:tcPr>
            <w:tcW w:w="1618" w:type="dxa"/>
            <w:vAlign w:val="center"/>
          </w:tcPr>
          <w:p w14:paraId="12F65B72">
            <w:pPr>
              <w:wordWrap w:val="0"/>
              <w:rPr>
                <w:rFonts w:hint="eastAsia" w:ascii="宋体" w:hAnsi="宋体" w:eastAsia="宋体" w:cs="宋体"/>
                <w:color w:val="auto"/>
                <w:kern w:val="0"/>
                <w:sz w:val="18"/>
                <w:szCs w:val="18"/>
              </w:rPr>
            </w:pPr>
          </w:p>
        </w:tc>
        <w:tc>
          <w:tcPr>
            <w:tcW w:w="4156" w:type="dxa"/>
            <w:vAlign w:val="center"/>
          </w:tcPr>
          <w:p w14:paraId="101ED725">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《平板电视能效限定值及能效等级》（GB24850）</w:t>
            </w:r>
          </w:p>
        </w:tc>
      </w:tr>
      <w:tr w14:paraId="3F131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846" w:type="dxa"/>
            <w:vAlign w:val="center"/>
          </w:tcPr>
          <w:p w14:paraId="7BCB3FFB">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13</w:t>
            </w:r>
          </w:p>
        </w:tc>
        <w:tc>
          <w:tcPr>
            <w:tcW w:w="891" w:type="dxa"/>
            <w:vAlign w:val="center"/>
          </w:tcPr>
          <w:p w14:paraId="3F627107">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★A020911视频设备</w:t>
            </w:r>
          </w:p>
        </w:tc>
        <w:tc>
          <w:tcPr>
            <w:tcW w:w="1805" w:type="dxa"/>
            <w:vAlign w:val="center"/>
          </w:tcPr>
          <w:p w14:paraId="3E96E24C">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A02091107视频监控设备</w:t>
            </w:r>
          </w:p>
        </w:tc>
        <w:tc>
          <w:tcPr>
            <w:tcW w:w="1618" w:type="dxa"/>
            <w:vAlign w:val="center"/>
          </w:tcPr>
          <w:p w14:paraId="3D7465C3">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监视器</w:t>
            </w:r>
          </w:p>
        </w:tc>
        <w:tc>
          <w:tcPr>
            <w:tcW w:w="4156" w:type="dxa"/>
            <w:vAlign w:val="center"/>
          </w:tcPr>
          <w:p w14:paraId="3570AFC0">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以射频信号为主要信号输入的监视器应符合《平板电视能效限定值及能效等级》（GB24850），以数字信号为主要信号输入的监视器应符合《计算机显示器能效限定值及能效等级》（GB21520）</w:t>
            </w:r>
          </w:p>
        </w:tc>
      </w:tr>
      <w:tr w14:paraId="7B54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exact"/>
          <w:jc w:val="center"/>
        </w:trPr>
        <w:tc>
          <w:tcPr>
            <w:tcW w:w="846" w:type="dxa"/>
            <w:vAlign w:val="center"/>
          </w:tcPr>
          <w:p w14:paraId="5B7D9F93">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14</w:t>
            </w:r>
          </w:p>
        </w:tc>
        <w:tc>
          <w:tcPr>
            <w:tcW w:w="891" w:type="dxa"/>
            <w:vAlign w:val="center"/>
          </w:tcPr>
          <w:p w14:paraId="7D5FA80F">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A031210饮食</w:t>
            </w:r>
          </w:p>
          <w:p w14:paraId="59BF4999">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炊事机械</w:t>
            </w:r>
          </w:p>
        </w:tc>
        <w:tc>
          <w:tcPr>
            <w:tcW w:w="1805" w:type="dxa"/>
            <w:vAlign w:val="center"/>
          </w:tcPr>
          <w:p w14:paraId="1A77600E">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商用燃气灶具</w:t>
            </w:r>
          </w:p>
        </w:tc>
        <w:tc>
          <w:tcPr>
            <w:tcW w:w="1618" w:type="dxa"/>
            <w:vAlign w:val="center"/>
          </w:tcPr>
          <w:p w14:paraId="70ACBB05">
            <w:pPr>
              <w:wordWrap w:val="0"/>
              <w:rPr>
                <w:rFonts w:hint="eastAsia" w:ascii="宋体" w:hAnsi="宋体" w:eastAsia="宋体" w:cs="宋体"/>
                <w:color w:val="auto"/>
                <w:kern w:val="0"/>
                <w:sz w:val="18"/>
                <w:szCs w:val="18"/>
                <w:lang w:eastAsia="en-US"/>
              </w:rPr>
            </w:pPr>
          </w:p>
        </w:tc>
        <w:tc>
          <w:tcPr>
            <w:tcW w:w="4156" w:type="dxa"/>
            <w:vAlign w:val="center"/>
          </w:tcPr>
          <w:p w14:paraId="2D8FA907">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《商用燃气灶具能效限定值及能效等级》（GB30531）</w:t>
            </w:r>
          </w:p>
        </w:tc>
      </w:tr>
      <w:tr w14:paraId="71EBD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846" w:type="dxa"/>
            <w:vMerge w:val="restart"/>
            <w:vAlign w:val="center"/>
          </w:tcPr>
          <w:p w14:paraId="6798716A">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15</w:t>
            </w:r>
          </w:p>
        </w:tc>
        <w:tc>
          <w:tcPr>
            <w:tcW w:w="891" w:type="dxa"/>
            <w:vMerge w:val="restart"/>
            <w:vAlign w:val="center"/>
          </w:tcPr>
          <w:p w14:paraId="5E43E884">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★A060805便器</w:t>
            </w:r>
          </w:p>
        </w:tc>
        <w:tc>
          <w:tcPr>
            <w:tcW w:w="1805" w:type="dxa"/>
            <w:vAlign w:val="center"/>
          </w:tcPr>
          <w:p w14:paraId="6E3BF734">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坐便器</w:t>
            </w:r>
          </w:p>
        </w:tc>
        <w:tc>
          <w:tcPr>
            <w:tcW w:w="1618" w:type="dxa"/>
            <w:vAlign w:val="center"/>
          </w:tcPr>
          <w:p w14:paraId="0D876B46">
            <w:pPr>
              <w:wordWrap w:val="0"/>
              <w:rPr>
                <w:rFonts w:hint="eastAsia" w:ascii="宋体" w:hAnsi="宋体" w:eastAsia="宋体" w:cs="宋体"/>
                <w:color w:val="auto"/>
                <w:kern w:val="0"/>
                <w:sz w:val="18"/>
                <w:szCs w:val="18"/>
                <w:lang w:eastAsia="en-US"/>
              </w:rPr>
            </w:pPr>
          </w:p>
        </w:tc>
        <w:tc>
          <w:tcPr>
            <w:tcW w:w="4156" w:type="dxa"/>
            <w:vAlign w:val="center"/>
          </w:tcPr>
          <w:p w14:paraId="1F2B06C4">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《坐便器水效限定值及水效等级</w:t>
            </w:r>
          </w:p>
          <w:p w14:paraId="50AF58BB">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（GB25502）</w:t>
            </w:r>
          </w:p>
        </w:tc>
      </w:tr>
      <w:tr w14:paraId="22FF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846" w:type="dxa"/>
            <w:vMerge w:val="continue"/>
            <w:vAlign w:val="center"/>
          </w:tcPr>
          <w:p w14:paraId="004B9266">
            <w:pPr>
              <w:wordWrap w:val="0"/>
              <w:rPr>
                <w:rFonts w:hint="eastAsia" w:ascii="宋体" w:hAnsi="宋体" w:eastAsia="宋体" w:cs="宋体"/>
                <w:color w:val="auto"/>
                <w:kern w:val="0"/>
                <w:sz w:val="18"/>
                <w:szCs w:val="18"/>
                <w:lang w:eastAsia="en-US"/>
              </w:rPr>
            </w:pPr>
          </w:p>
        </w:tc>
        <w:tc>
          <w:tcPr>
            <w:tcW w:w="891" w:type="dxa"/>
            <w:vMerge w:val="continue"/>
            <w:vAlign w:val="center"/>
          </w:tcPr>
          <w:p w14:paraId="6E3C003C">
            <w:pPr>
              <w:wordWrap w:val="0"/>
              <w:rPr>
                <w:rFonts w:hint="eastAsia" w:ascii="宋体" w:hAnsi="宋体" w:eastAsia="宋体" w:cs="宋体"/>
                <w:color w:val="auto"/>
                <w:kern w:val="0"/>
                <w:sz w:val="18"/>
                <w:szCs w:val="18"/>
                <w:lang w:eastAsia="en-US"/>
              </w:rPr>
            </w:pPr>
          </w:p>
        </w:tc>
        <w:tc>
          <w:tcPr>
            <w:tcW w:w="1805" w:type="dxa"/>
            <w:vAlign w:val="center"/>
          </w:tcPr>
          <w:p w14:paraId="0EE1EBF2">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蹲便器</w:t>
            </w:r>
          </w:p>
        </w:tc>
        <w:tc>
          <w:tcPr>
            <w:tcW w:w="1618" w:type="dxa"/>
            <w:vAlign w:val="center"/>
          </w:tcPr>
          <w:p w14:paraId="0C25653B">
            <w:pPr>
              <w:wordWrap w:val="0"/>
              <w:rPr>
                <w:rFonts w:hint="eastAsia" w:ascii="宋体" w:hAnsi="宋体" w:eastAsia="宋体" w:cs="宋体"/>
                <w:color w:val="auto"/>
                <w:kern w:val="0"/>
                <w:sz w:val="18"/>
                <w:szCs w:val="18"/>
                <w:lang w:eastAsia="en-US"/>
              </w:rPr>
            </w:pPr>
          </w:p>
        </w:tc>
        <w:tc>
          <w:tcPr>
            <w:tcW w:w="4156" w:type="dxa"/>
            <w:vAlign w:val="center"/>
          </w:tcPr>
          <w:p w14:paraId="11A93266">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《蹲便器用水效率限定值及用水效率等级》（GB30717）</w:t>
            </w:r>
          </w:p>
        </w:tc>
      </w:tr>
      <w:tr w14:paraId="0F08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46" w:type="dxa"/>
            <w:vMerge w:val="continue"/>
            <w:vAlign w:val="center"/>
          </w:tcPr>
          <w:p w14:paraId="2FD813B4">
            <w:pPr>
              <w:wordWrap w:val="0"/>
              <w:rPr>
                <w:rFonts w:hint="eastAsia" w:ascii="宋体" w:hAnsi="宋体" w:eastAsia="宋体" w:cs="宋体"/>
                <w:color w:val="auto"/>
                <w:kern w:val="0"/>
                <w:sz w:val="18"/>
                <w:szCs w:val="18"/>
              </w:rPr>
            </w:pPr>
          </w:p>
        </w:tc>
        <w:tc>
          <w:tcPr>
            <w:tcW w:w="891" w:type="dxa"/>
            <w:vMerge w:val="continue"/>
            <w:vAlign w:val="center"/>
          </w:tcPr>
          <w:p w14:paraId="0F78A567">
            <w:pPr>
              <w:wordWrap w:val="0"/>
              <w:rPr>
                <w:rFonts w:hint="eastAsia" w:ascii="宋体" w:hAnsi="宋体" w:eastAsia="宋体" w:cs="宋体"/>
                <w:color w:val="auto"/>
                <w:kern w:val="0"/>
                <w:sz w:val="18"/>
                <w:szCs w:val="18"/>
              </w:rPr>
            </w:pPr>
          </w:p>
        </w:tc>
        <w:tc>
          <w:tcPr>
            <w:tcW w:w="1805" w:type="dxa"/>
            <w:vAlign w:val="center"/>
          </w:tcPr>
          <w:p w14:paraId="226E1F0F">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小便器</w:t>
            </w:r>
          </w:p>
        </w:tc>
        <w:tc>
          <w:tcPr>
            <w:tcW w:w="1618" w:type="dxa"/>
            <w:vAlign w:val="center"/>
          </w:tcPr>
          <w:p w14:paraId="75AA5697">
            <w:pPr>
              <w:wordWrap w:val="0"/>
              <w:rPr>
                <w:rFonts w:hint="eastAsia" w:ascii="宋体" w:hAnsi="宋体" w:eastAsia="宋体" w:cs="宋体"/>
                <w:color w:val="auto"/>
                <w:kern w:val="0"/>
                <w:sz w:val="18"/>
                <w:szCs w:val="18"/>
                <w:lang w:eastAsia="en-US"/>
              </w:rPr>
            </w:pPr>
          </w:p>
        </w:tc>
        <w:tc>
          <w:tcPr>
            <w:tcW w:w="4156" w:type="dxa"/>
            <w:vAlign w:val="center"/>
          </w:tcPr>
          <w:p w14:paraId="22C8DE63">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《小便器用水效率限定值及用水效率等级》（GB28377）</w:t>
            </w:r>
          </w:p>
        </w:tc>
      </w:tr>
      <w:tr w14:paraId="725F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846" w:type="dxa"/>
            <w:vAlign w:val="center"/>
          </w:tcPr>
          <w:p w14:paraId="48F6C960">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16</w:t>
            </w:r>
          </w:p>
        </w:tc>
        <w:tc>
          <w:tcPr>
            <w:tcW w:w="891" w:type="dxa"/>
            <w:vAlign w:val="center"/>
          </w:tcPr>
          <w:p w14:paraId="3E9850DA">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★A060806水嘴</w:t>
            </w:r>
          </w:p>
        </w:tc>
        <w:tc>
          <w:tcPr>
            <w:tcW w:w="1805" w:type="dxa"/>
            <w:vAlign w:val="center"/>
          </w:tcPr>
          <w:p w14:paraId="74628107">
            <w:pPr>
              <w:wordWrap w:val="0"/>
              <w:rPr>
                <w:rFonts w:hint="eastAsia" w:ascii="宋体" w:hAnsi="宋体" w:eastAsia="宋体" w:cs="宋体"/>
                <w:color w:val="auto"/>
                <w:kern w:val="0"/>
                <w:sz w:val="18"/>
                <w:szCs w:val="18"/>
                <w:lang w:eastAsia="en-US"/>
              </w:rPr>
            </w:pPr>
          </w:p>
        </w:tc>
        <w:tc>
          <w:tcPr>
            <w:tcW w:w="1618" w:type="dxa"/>
            <w:vAlign w:val="center"/>
          </w:tcPr>
          <w:p w14:paraId="01FCCE7A">
            <w:pPr>
              <w:wordWrap w:val="0"/>
              <w:rPr>
                <w:rFonts w:hint="eastAsia" w:ascii="宋体" w:hAnsi="宋体" w:eastAsia="宋体" w:cs="宋体"/>
                <w:color w:val="auto"/>
                <w:kern w:val="0"/>
                <w:sz w:val="18"/>
                <w:szCs w:val="18"/>
                <w:lang w:eastAsia="en-US"/>
              </w:rPr>
            </w:pPr>
          </w:p>
        </w:tc>
        <w:tc>
          <w:tcPr>
            <w:tcW w:w="4156" w:type="dxa"/>
            <w:vAlign w:val="center"/>
          </w:tcPr>
          <w:p w14:paraId="5A89C535">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《水嘴用水效率限定值及用水效率等级》（GB25501）</w:t>
            </w:r>
          </w:p>
        </w:tc>
      </w:tr>
      <w:tr w14:paraId="71551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846" w:type="dxa"/>
            <w:vAlign w:val="center"/>
          </w:tcPr>
          <w:p w14:paraId="50EC7B6B">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17</w:t>
            </w:r>
          </w:p>
        </w:tc>
        <w:tc>
          <w:tcPr>
            <w:tcW w:w="891" w:type="dxa"/>
            <w:vAlign w:val="center"/>
          </w:tcPr>
          <w:p w14:paraId="1B478AD2">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A060807便器冲洗阀</w:t>
            </w:r>
          </w:p>
        </w:tc>
        <w:tc>
          <w:tcPr>
            <w:tcW w:w="1805" w:type="dxa"/>
            <w:vAlign w:val="center"/>
          </w:tcPr>
          <w:p w14:paraId="22A550B0">
            <w:pPr>
              <w:wordWrap w:val="0"/>
              <w:rPr>
                <w:rFonts w:hint="eastAsia" w:ascii="宋体" w:hAnsi="宋体" w:eastAsia="宋体" w:cs="宋体"/>
                <w:color w:val="auto"/>
                <w:kern w:val="0"/>
                <w:sz w:val="18"/>
                <w:szCs w:val="18"/>
                <w:lang w:eastAsia="en-US"/>
              </w:rPr>
            </w:pPr>
          </w:p>
        </w:tc>
        <w:tc>
          <w:tcPr>
            <w:tcW w:w="1618" w:type="dxa"/>
            <w:vAlign w:val="center"/>
          </w:tcPr>
          <w:p w14:paraId="3B1544D5">
            <w:pPr>
              <w:wordWrap w:val="0"/>
              <w:rPr>
                <w:rFonts w:hint="eastAsia" w:ascii="宋体" w:hAnsi="宋体" w:eastAsia="宋体" w:cs="宋体"/>
                <w:color w:val="auto"/>
                <w:kern w:val="0"/>
                <w:sz w:val="18"/>
                <w:szCs w:val="18"/>
                <w:lang w:eastAsia="en-US"/>
              </w:rPr>
            </w:pPr>
          </w:p>
        </w:tc>
        <w:tc>
          <w:tcPr>
            <w:tcW w:w="4156" w:type="dxa"/>
            <w:vAlign w:val="center"/>
          </w:tcPr>
          <w:p w14:paraId="39FE7180">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《便器冲洗阀用水效率限定值及用水效率等级》（GB28379）</w:t>
            </w:r>
          </w:p>
        </w:tc>
      </w:tr>
      <w:tr w14:paraId="6DB85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846" w:type="dxa"/>
            <w:vAlign w:val="center"/>
          </w:tcPr>
          <w:p w14:paraId="6893771A">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18</w:t>
            </w:r>
          </w:p>
        </w:tc>
        <w:tc>
          <w:tcPr>
            <w:tcW w:w="891" w:type="dxa"/>
            <w:vAlign w:val="center"/>
          </w:tcPr>
          <w:p w14:paraId="7C4D14F5">
            <w:pPr>
              <w:wordWrap w:val="0"/>
              <w:rPr>
                <w:rFonts w:hint="eastAsia" w:ascii="宋体" w:hAnsi="宋体" w:eastAsia="宋体" w:cs="宋体"/>
                <w:color w:val="auto"/>
                <w:kern w:val="0"/>
                <w:sz w:val="18"/>
                <w:szCs w:val="18"/>
                <w:lang w:eastAsia="en-US"/>
              </w:rPr>
            </w:pPr>
            <w:r>
              <w:rPr>
                <w:rFonts w:hint="eastAsia" w:ascii="宋体" w:hAnsi="宋体" w:eastAsia="宋体" w:cs="宋体"/>
                <w:color w:val="auto"/>
                <w:kern w:val="0"/>
                <w:sz w:val="18"/>
                <w:szCs w:val="18"/>
                <w:lang w:eastAsia="en-US"/>
              </w:rPr>
              <w:t>A060810淋浴器</w:t>
            </w:r>
          </w:p>
        </w:tc>
        <w:tc>
          <w:tcPr>
            <w:tcW w:w="1805" w:type="dxa"/>
            <w:vAlign w:val="center"/>
          </w:tcPr>
          <w:p w14:paraId="3429E627">
            <w:pPr>
              <w:wordWrap w:val="0"/>
              <w:rPr>
                <w:rFonts w:hint="eastAsia" w:ascii="宋体" w:hAnsi="宋体" w:eastAsia="宋体" w:cs="宋体"/>
                <w:color w:val="auto"/>
                <w:kern w:val="0"/>
                <w:sz w:val="18"/>
                <w:szCs w:val="18"/>
                <w:lang w:eastAsia="en-US"/>
              </w:rPr>
            </w:pPr>
          </w:p>
        </w:tc>
        <w:tc>
          <w:tcPr>
            <w:tcW w:w="1618" w:type="dxa"/>
            <w:vAlign w:val="center"/>
          </w:tcPr>
          <w:p w14:paraId="466F366B">
            <w:pPr>
              <w:wordWrap w:val="0"/>
              <w:rPr>
                <w:rFonts w:hint="eastAsia" w:ascii="宋体" w:hAnsi="宋体" w:eastAsia="宋体" w:cs="宋体"/>
                <w:color w:val="auto"/>
                <w:kern w:val="0"/>
                <w:sz w:val="18"/>
                <w:szCs w:val="18"/>
                <w:lang w:eastAsia="en-US"/>
              </w:rPr>
            </w:pPr>
          </w:p>
        </w:tc>
        <w:tc>
          <w:tcPr>
            <w:tcW w:w="4156" w:type="dxa"/>
            <w:vAlign w:val="center"/>
          </w:tcPr>
          <w:p w14:paraId="33876EF4">
            <w:pPr>
              <w:wordWrap w:val="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《淋浴器用水效率限定值及用水效率等级》（GB28378）</w:t>
            </w:r>
          </w:p>
        </w:tc>
      </w:tr>
    </w:tbl>
    <w:p w14:paraId="53D8F1AF">
      <w:pPr>
        <w:wordWrap w:val="0"/>
        <w:spacing w:line="440" w:lineRule="exact"/>
        <w:rPr>
          <w:rFonts w:hint="eastAsia" w:ascii="宋体" w:hAnsi="宋体" w:eastAsia="宋体" w:cs="宋体"/>
          <w:color w:val="auto"/>
          <w:szCs w:val="21"/>
        </w:rPr>
      </w:pPr>
      <w:r>
        <w:rPr>
          <w:rFonts w:hint="eastAsia" w:ascii="宋体" w:hAnsi="宋体" w:eastAsia="宋体" w:cs="宋体"/>
          <w:color w:val="auto"/>
          <w:spacing w:val="-3"/>
          <w:szCs w:val="21"/>
        </w:rPr>
        <w:t>注：</w:t>
      </w:r>
      <w:r>
        <w:rPr>
          <w:rFonts w:hint="eastAsia" w:ascii="宋体" w:hAnsi="宋体" w:eastAsia="宋体" w:cs="宋体"/>
          <w:color w:val="auto"/>
          <w:spacing w:val="-3"/>
          <w:szCs w:val="21"/>
        </w:rPr>
        <w:t>1.</w:t>
      </w:r>
      <w:r>
        <w:rPr>
          <w:rFonts w:hint="eastAsia" w:ascii="宋体" w:hAnsi="宋体" w:eastAsia="宋体" w:cs="宋体"/>
          <w:color w:val="auto"/>
          <w:spacing w:val="-3"/>
          <w:szCs w:val="21"/>
        </w:rPr>
        <w:t>节能产品认证应依据相关国家标准的最新版本，依据国家标准中二级能效（水效）</w:t>
      </w:r>
      <w:r>
        <w:rPr>
          <w:rFonts w:hint="eastAsia" w:ascii="宋体" w:hAnsi="宋体" w:eastAsia="宋体" w:cs="宋体"/>
          <w:color w:val="auto"/>
          <w:szCs w:val="21"/>
        </w:rPr>
        <w:t>指标。</w:t>
      </w:r>
    </w:p>
    <w:p w14:paraId="44BCAF19">
      <w:pPr>
        <w:wordWrap w:val="0"/>
        <w:spacing w:line="440" w:lineRule="exact"/>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Cs w:val="21"/>
        </w:rPr>
        <w:t>以</w:t>
      </w:r>
      <w:r>
        <w:rPr>
          <w:rFonts w:hint="eastAsia" w:ascii="宋体" w:hAnsi="宋体" w:eastAsia="宋体" w:cs="宋体"/>
          <w:color w:val="auto"/>
          <w:szCs w:val="21"/>
        </w:rPr>
        <w:t>“</w:t>
      </w:r>
      <w:r>
        <w:rPr>
          <w:rFonts w:hint="eastAsia" w:ascii="宋体" w:hAnsi="宋体" w:eastAsia="宋体" w:cs="宋体"/>
          <w:color w:val="auto"/>
          <w:szCs w:val="21"/>
        </w:rPr>
        <w:t>★</w:t>
      </w:r>
      <w:r>
        <w:rPr>
          <w:rFonts w:hint="eastAsia" w:ascii="宋体" w:hAnsi="宋体" w:eastAsia="宋体" w:cs="宋体"/>
          <w:color w:val="auto"/>
          <w:szCs w:val="21"/>
        </w:rPr>
        <w:t>”</w:t>
      </w:r>
      <w:r>
        <w:rPr>
          <w:rFonts w:hint="eastAsia" w:ascii="宋体" w:hAnsi="宋体" w:eastAsia="宋体" w:cs="宋体"/>
          <w:color w:val="auto"/>
          <w:szCs w:val="21"/>
        </w:rPr>
        <w:t>标注的为政府强制采购产品。</w:t>
      </w:r>
    </w:p>
    <w:p w14:paraId="15963AD6">
      <w:pPr>
        <w:widowControl/>
        <w:wordWrap w:val="0"/>
        <w:rPr>
          <w:rFonts w:hint="eastAsia" w:ascii="宋体" w:hAnsi="宋体" w:eastAsia="宋体" w:cs="宋体"/>
          <w:b/>
          <w:color w:val="auto"/>
          <w:sz w:val="24"/>
          <w:szCs w:val="21"/>
        </w:rPr>
      </w:pPr>
      <w:r>
        <w:rPr>
          <w:rFonts w:hint="eastAsia" w:ascii="宋体" w:hAnsi="宋体" w:eastAsia="宋体" w:cs="宋体"/>
          <w:b/>
          <w:color w:val="auto"/>
          <w:sz w:val="24"/>
          <w:szCs w:val="21"/>
        </w:rPr>
        <w:br w:type="page"/>
      </w:r>
    </w:p>
    <w:p w14:paraId="3F5BD4AC">
      <w:pPr>
        <w:wordWrap w:val="0"/>
        <w:spacing w:line="400" w:lineRule="exact"/>
        <w:rPr>
          <w:rFonts w:hint="eastAsia" w:ascii="宋体" w:hAnsi="宋体" w:eastAsia="宋体" w:cs="宋体"/>
          <w:b/>
          <w:color w:val="auto"/>
          <w:sz w:val="24"/>
          <w:szCs w:val="21"/>
        </w:rPr>
      </w:pPr>
      <w:r>
        <w:rPr>
          <w:rFonts w:hint="eastAsia" w:ascii="宋体" w:hAnsi="宋体" w:eastAsia="宋体" w:cs="宋体"/>
          <w:b/>
          <w:color w:val="auto"/>
          <w:sz w:val="24"/>
          <w:szCs w:val="21"/>
        </w:rPr>
        <w:t>附件2：</w:t>
      </w:r>
    </w:p>
    <w:p w14:paraId="40FA956A">
      <w:pPr>
        <w:spacing w:line="528"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中小微企业划型标准</w:t>
      </w:r>
    </w:p>
    <w:tbl>
      <w:tblPr>
        <w:tblStyle w:val="48"/>
        <w:tblW w:w="9140" w:type="dxa"/>
        <w:jc w:val="center"/>
        <w:tblLayout w:type="fixed"/>
        <w:tblCellMar>
          <w:top w:w="0" w:type="dxa"/>
          <w:left w:w="108" w:type="dxa"/>
          <w:bottom w:w="0" w:type="dxa"/>
          <w:right w:w="108" w:type="dxa"/>
        </w:tblCellMar>
      </w:tblPr>
      <w:tblGrid>
        <w:gridCol w:w="1764"/>
        <w:gridCol w:w="1497"/>
        <w:gridCol w:w="1179"/>
        <w:gridCol w:w="1798"/>
        <w:gridCol w:w="1701"/>
        <w:gridCol w:w="1201"/>
      </w:tblGrid>
      <w:tr w14:paraId="2285D985">
        <w:tblPrEx>
          <w:tblCellMar>
            <w:top w:w="0" w:type="dxa"/>
            <w:left w:w="108" w:type="dxa"/>
            <w:bottom w:w="0" w:type="dxa"/>
            <w:right w:w="108" w:type="dxa"/>
          </w:tblCellMar>
        </w:tblPrEx>
        <w:trPr>
          <w:trHeight w:val="285"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6842CF8F">
            <w:pPr>
              <w:widowControl/>
              <w:wordWrap w:val="0"/>
              <w:spacing w:line="340" w:lineRule="exact"/>
              <w:rPr>
                <w:rFonts w:hint="eastAsia" w:ascii="宋体" w:hAnsi="宋体" w:eastAsia="宋体" w:cs="宋体"/>
                <w:b/>
                <w:color w:val="auto"/>
                <w:kern w:val="0"/>
                <w:szCs w:val="21"/>
              </w:rPr>
            </w:pPr>
            <w:r>
              <w:rPr>
                <w:rFonts w:hint="eastAsia" w:ascii="宋体" w:hAnsi="宋体" w:eastAsia="宋体" w:cs="宋体"/>
                <w:b/>
                <w:color w:val="auto"/>
                <w:kern w:val="0"/>
                <w:szCs w:val="21"/>
              </w:rPr>
              <w:t>行业名称</w:t>
            </w:r>
          </w:p>
        </w:tc>
        <w:tc>
          <w:tcPr>
            <w:tcW w:w="1497" w:type="dxa"/>
            <w:tcBorders>
              <w:top w:val="single" w:color="auto" w:sz="4" w:space="0"/>
              <w:left w:val="nil"/>
              <w:bottom w:val="single" w:color="auto" w:sz="4" w:space="0"/>
              <w:right w:val="single" w:color="auto" w:sz="4" w:space="0"/>
            </w:tcBorders>
            <w:vAlign w:val="center"/>
          </w:tcPr>
          <w:p w14:paraId="662188CC">
            <w:pPr>
              <w:widowControl/>
              <w:wordWrap w:val="0"/>
              <w:spacing w:line="340" w:lineRule="exact"/>
              <w:rPr>
                <w:rFonts w:hint="eastAsia" w:ascii="宋体" w:hAnsi="宋体" w:eastAsia="宋体" w:cs="宋体"/>
                <w:b/>
                <w:color w:val="auto"/>
                <w:kern w:val="0"/>
                <w:szCs w:val="21"/>
              </w:rPr>
            </w:pPr>
            <w:r>
              <w:rPr>
                <w:rFonts w:hint="eastAsia" w:ascii="宋体" w:hAnsi="宋体" w:eastAsia="宋体" w:cs="宋体"/>
                <w:b/>
                <w:color w:val="auto"/>
                <w:kern w:val="0"/>
                <w:szCs w:val="21"/>
              </w:rPr>
              <w:t>指标名称</w:t>
            </w:r>
          </w:p>
        </w:tc>
        <w:tc>
          <w:tcPr>
            <w:tcW w:w="1179" w:type="dxa"/>
            <w:tcBorders>
              <w:top w:val="single" w:color="auto" w:sz="4" w:space="0"/>
              <w:left w:val="nil"/>
              <w:bottom w:val="single" w:color="auto" w:sz="4" w:space="0"/>
              <w:right w:val="single" w:color="auto" w:sz="4" w:space="0"/>
            </w:tcBorders>
            <w:vAlign w:val="center"/>
          </w:tcPr>
          <w:p w14:paraId="2F89F0DF">
            <w:pPr>
              <w:widowControl/>
              <w:wordWrap w:val="0"/>
              <w:spacing w:line="340" w:lineRule="exact"/>
              <w:rPr>
                <w:rFonts w:hint="eastAsia" w:ascii="宋体" w:hAnsi="宋体" w:eastAsia="宋体" w:cs="宋体"/>
                <w:b/>
                <w:color w:val="auto"/>
                <w:kern w:val="0"/>
                <w:szCs w:val="21"/>
              </w:rPr>
            </w:pPr>
            <w:r>
              <w:rPr>
                <w:rFonts w:hint="eastAsia" w:ascii="宋体" w:hAnsi="宋体" w:eastAsia="宋体" w:cs="宋体"/>
                <w:b/>
                <w:color w:val="auto"/>
                <w:kern w:val="0"/>
                <w:szCs w:val="21"/>
              </w:rPr>
              <w:t>计量单位</w:t>
            </w:r>
          </w:p>
        </w:tc>
        <w:tc>
          <w:tcPr>
            <w:tcW w:w="1798" w:type="dxa"/>
            <w:tcBorders>
              <w:top w:val="single" w:color="auto" w:sz="4" w:space="0"/>
              <w:left w:val="nil"/>
              <w:bottom w:val="single" w:color="auto" w:sz="4" w:space="0"/>
              <w:right w:val="single" w:color="auto" w:sz="4" w:space="0"/>
            </w:tcBorders>
            <w:vAlign w:val="center"/>
          </w:tcPr>
          <w:p w14:paraId="59EA7107">
            <w:pPr>
              <w:widowControl/>
              <w:wordWrap w:val="0"/>
              <w:spacing w:line="340" w:lineRule="exact"/>
              <w:rPr>
                <w:rFonts w:hint="eastAsia" w:ascii="宋体" w:hAnsi="宋体" w:eastAsia="宋体" w:cs="宋体"/>
                <w:b/>
                <w:color w:val="auto"/>
                <w:kern w:val="0"/>
                <w:szCs w:val="21"/>
              </w:rPr>
            </w:pPr>
            <w:r>
              <w:rPr>
                <w:rFonts w:hint="eastAsia" w:ascii="宋体" w:hAnsi="宋体" w:eastAsia="宋体" w:cs="宋体"/>
                <w:b/>
                <w:color w:val="auto"/>
                <w:kern w:val="0"/>
                <w:szCs w:val="21"/>
              </w:rPr>
              <w:t>中型</w:t>
            </w:r>
          </w:p>
        </w:tc>
        <w:tc>
          <w:tcPr>
            <w:tcW w:w="1701" w:type="dxa"/>
            <w:tcBorders>
              <w:top w:val="single" w:color="auto" w:sz="4" w:space="0"/>
              <w:left w:val="nil"/>
              <w:bottom w:val="single" w:color="auto" w:sz="4" w:space="0"/>
              <w:right w:val="single" w:color="auto" w:sz="4" w:space="0"/>
            </w:tcBorders>
            <w:vAlign w:val="center"/>
          </w:tcPr>
          <w:p w14:paraId="11FF0777">
            <w:pPr>
              <w:widowControl/>
              <w:wordWrap w:val="0"/>
              <w:spacing w:line="340" w:lineRule="exact"/>
              <w:rPr>
                <w:rFonts w:hint="eastAsia" w:ascii="宋体" w:hAnsi="宋体" w:eastAsia="宋体" w:cs="宋体"/>
                <w:b/>
                <w:color w:val="auto"/>
                <w:kern w:val="0"/>
                <w:szCs w:val="21"/>
              </w:rPr>
            </w:pPr>
            <w:r>
              <w:rPr>
                <w:rFonts w:hint="eastAsia" w:ascii="宋体" w:hAnsi="宋体" w:eastAsia="宋体" w:cs="宋体"/>
                <w:b/>
                <w:color w:val="auto"/>
                <w:kern w:val="0"/>
                <w:szCs w:val="21"/>
              </w:rPr>
              <w:t>小型</w:t>
            </w:r>
          </w:p>
        </w:tc>
        <w:tc>
          <w:tcPr>
            <w:tcW w:w="1201" w:type="dxa"/>
            <w:tcBorders>
              <w:top w:val="single" w:color="auto" w:sz="4" w:space="0"/>
              <w:left w:val="nil"/>
              <w:bottom w:val="single" w:color="auto" w:sz="4" w:space="0"/>
              <w:right w:val="single" w:color="auto" w:sz="4" w:space="0"/>
            </w:tcBorders>
            <w:vAlign w:val="center"/>
          </w:tcPr>
          <w:p w14:paraId="7FCE259C">
            <w:pPr>
              <w:widowControl/>
              <w:wordWrap w:val="0"/>
              <w:spacing w:line="340" w:lineRule="exact"/>
              <w:rPr>
                <w:rFonts w:hint="eastAsia" w:ascii="宋体" w:hAnsi="宋体" w:eastAsia="宋体" w:cs="宋体"/>
                <w:b/>
                <w:color w:val="auto"/>
                <w:kern w:val="0"/>
                <w:szCs w:val="21"/>
              </w:rPr>
            </w:pPr>
            <w:r>
              <w:rPr>
                <w:rFonts w:hint="eastAsia" w:ascii="宋体" w:hAnsi="宋体" w:eastAsia="宋体" w:cs="宋体"/>
                <w:b/>
                <w:color w:val="auto"/>
                <w:kern w:val="0"/>
                <w:szCs w:val="21"/>
              </w:rPr>
              <w:t>微型</w:t>
            </w:r>
          </w:p>
        </w:tc>
      </w:tr>
      <w:tr w14:paraId="2E050B0A">
        <w:tblPrEx>
          <w:tblCellMar>
            <w:top w:w="0" w:type="dxa"/>
            <w:left w:w="108" w:type="dxa"/>
            <w:bottom w:w="0" w:type="dxa"/>
            <w:right w:w="108" w:type="dxa"/>
          </w:tblCellMar>
        </w:tblPrEx>
        <w:trPr>
          <w:trHeight w:val="225" w:hRule="atLeast"/>
          <w:jc w:val="center"/>
        </w:trPr>
        <w:tc>
          <w:tcPr>
            <w:tcW w:w="1764" w:type="dxa"/>
            <w:tcBorders>
              <w:top w:val="nil"/>
              <w:left w:val="single" w:color="auto" w:sz="4" w:space="0"/>
              <w:bottom w:val="single" w:color="auto" w:sz="4" w:space="0"/>
              <w:right w:val="single" w:color="auto" w:sz="4" w:space="0"/>
            </w:tcBorders>
            <w:vAlign w:val="center"/>
          </w:tcPr>
          <w:p w14:paraId="03F682EF">
            <w:pPr>
              <w:widowControl/>
              <w:wordWrap w:val="0"/>
              <w:spacing w:line="34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农、林、牧、渔</w:t>
            </w:r>
          </w:p>
        </w:tc>
        <w:tc>
          <w:tcPr>
            <w:tcW w:w="1497" w:type="dxa"/>
            <w:tcBorders>
              <w:top w:val="nil"/>
              <w:left w:val="nil"/>
              <w:bottom w:val="single" w:color="auto" w:sz="4" w:space="0"/>
              <w:right w:val="single" w:color="auto" w:sz="4" w:space="0"/>
            </w:tcBorders>
            <w:vAlign w:val="center"/>
          </w:tcPr>
          <w:p w14:paraId="2309C678">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营业收入（Y）</w:t>
            </w:r>
          </w:p>
        </w:tc>
        <w:tc>
          <w:tcPr>
            <w:tcW w:w="1179" w:type="dxa"/>
            <w:tcBorders>
              <w:top w:val="nil"/>
              <w:left w:val="nil"/>
              <w:bottom w:val="single" w:color="auto" w:sz="4" w:space="0"/>
              <w:right w:val="single" w:color="auto" w:sz="4" w:space="0"/>
            </w:tcBorders>
            <w:vAlign w:val="center"/>
          </w:tcPr>
          <w:p w14:paraId="490FB38C">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万元</w:t>
            </w:r>
          </w:p>
        </w:tc>
        <w:tc>
          <w:tcPr>
            <w:tcW w:w="1798" w:type="dxa"/>
            <w:tcBorders>
              <w:top w:val="nil"/>
              <w:left w:val="nil"/>
              <w:bottom w:val="single" w:color="auto" w:sz="4" w:space="0"/>
              <w:right w:val="single" w:color="auto" w:sz="4" w:space="0"/>
            </w:tcBorders>
            <w:vAlign w:val="center"/>
          </w:tcPr>
          <w:p w14:paraId="7A67E669">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500≤Y＜20000</w:t>
            </w:r>
          </w:p>
        </w:tc>
        <w:tc>
          <w:tcPr>
            <w:tcW w:w="1701" w:type="dxa"/>
            <w:tcBorders>
              <w:top w:val="nil"/>
              <w:left w:val="nil"/>
              <w:bottom w:val="single" w:color="auto" w:sz="4" w:space="0"/>
              <w:right w:val="single" w:color="auto" w:sz="4" w:space="0"/>
            </w:tcBorders>
            <w:vAlign w:val="center"/>
          </w:tcPr>
          <w:p w14:paraId="7EFF4134">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50≤Y＜500</w:t>
            </w:r>
          </w:p>
        </w:tc>
        <w:tc>
          <w:tcPr>
            <w:tcW w:w="1201" w:type="dxa"/>
            <w:tcBorders>
              <w:top w:val="nil"/>
              <w:left w:val="nil"/>
              <w:bottom w:val="single" w:color="auto" w:sz="4" w:space="0"/>
              <w:right w:val="single" w:color="auto" w:sz="4" w:space="0"/>
            </w:tcBorders>
            <w:vAlign w:val="center"/>
          </w:tcPr>
          <w:p w14:paraId="217559DC">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Y＜50</w:t>
            </w:r>
          </w:p>
        </w:tc>
      </w:tr>
      <w:tr w14:paraId="572A9AED">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1285485E">
            <w:pPr>
              <w:widowControl/>
              <w:wordWrap w:val="0"/>
              <w:spacing w:line="34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工业</w:t>
            </w:r>
          </w:p>
        </w:tc>
        <w:tc>
          <w:tcPr>
            <w:tcW w:w="1497" w:type="dxa"/>
            <w:tcBorders>
              <w:top w:val="nil"/>
              <w:left w:val="nil"/>
              <w:bottom w:val="single" w:color="auto" w:sz="4" w:space="0"/>
              <w:right w:val="single" w:color="auto" w:sz="4" w:space="0"/>
            </w:tcBorders>
            <w:vAlign w:val="center"/>
          </w:tcPr>
          <w:p w14:paraId="1E35E770">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从业人员（X）</w:t>
            </w:r>
          </w:p>
        </w:tc>
        <w:tc>
          <w:tcPr>
            <w:tcW w:w="1179" w:type="dxa"/>
            <w:tcBorders>
              <w:top w:val="nil"/>
              <w:left w:val="nil"/>
              <w:bottom w:val="single" w:color="auto" w:sz="4" w:space="0"/>
              <w:right w:val="single" w:color="auto" w:sz="4" w:space="0"/>
            </w:tcBorders>
            <w:vAlign w:val="center"/>
          </w:tcPr>
          <w:p w14:paraId="14FC6A63">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人</w:t>
            </w:r>
          </w:p>
        </w:tc>
        <w:tc>
          <w:tcPr>
            <w:tcW w:w="1798" w:type="dxa"/>
            <w:tcBorders>
              <w:top w:val="nil"/>
              <w:left w:val="nil"/>
              <w:bottom w:val="single" w:color="auto" w:sz="4" w:space="0"/>
              <w:right w:val="single" w:color="auto" w:sz="4" w:space="0"/>
            </w:tcBorders>
            <w:vAlign w:val="center"/>
          </w:tcPr>
          <w:p w14:paraId="328A225F">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300≤X＜1000</w:t>
            </w:r>
          </w:p>
        </w:tc>
        <w:tc>
          <w:tcPr>
            <w:tcW w:w="1701" w:type="dxa"/>
            <w:tcBorders>
              <w:top w:val="nil"/>
              <w:left w:val="nil"/>
              <w:bottom w:val="single" w:color="auto" w:sz="4" w:space="0"/>
              <w:right w:val="single" w:color="auto" w:sz="4" w:space="0"/>
            </w:tcBorders>
            <w:vAlign w:val="center"/>
          </w:tcPr>
          <w:p w14:paraId="78555825">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20≤X＜300</w:t>
            </w:r>
          </w:p>
        </w:tc>
        <w:tc>
          <w:tcPr>
            <w:tcW w:w="1201" w:type="dxa"/>
            <w:tcBorders>
              <w:top w:val="nil"/>
              <w:left w:val="nil"/>
              <w:bottom w:val="single" w:color="auto" w:sz="4" w:space="0"/>
              <w:right w:val="single" w:color="auto" w:sz="4" w:space="0"/>
            </w:tcBorders>
            <w:vAlign w:val="center"/>
          </w:tcPr>
          <w:p w14:paraId="7D238823">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X＜20</w:t>
            </w:r>
          </w:p>
        </w:tc>
      </w:tr>
      <w:tr w14:paraId="57076058">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18866BD0">
            <w:pPr>
              <w:widowControl/>
              <w:wordWrap w:val="0"/>
              <w:spacing w:line="340" w:lineRule="exact"/>
              <w:rPr>
                <w:rFonts w:hint="eastAsia" w:ascii="宋体" w:hAnsi="宋体" w:eastAsia="宋体" w:cs="宋体"/>
                <w:b/>
                <w:bCs/>
                <w:color w:val="auto"/>
                <w:kern w:val="0"/>
                <w:szCs w:val="21"/>
              </w:rPr>
            </w:pPr>
          </w:p>
        </w:tc>
        <w:tc>
          <w:tcPr>
            <w:tcW w:w="1497" w:type="dxa"/>
            <w:tcBorders>
              <w:top w:val="nil"/>
              <w:left w:val="nil"/>
              <w:bottom w:val="single" w:color="auto" w:sz="4" w:space="0"/>
              <w:right w:val="single" w:color="auto" w:sz="4" w:space="0"/>
            </w:tcBorders>
            <w:vAlign w:val="center"/>
          </w:tcPr>
          <w:p w14:paraId="77E2CBBF">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营业收入（Y）</w:t>
            </w:r>
          </w:p>
        </w:tc>
        <w:tc>
          <w:tcPr>
            <w:tcW w:w="1179" w:type="dxa"/>
            <w:tcBorders>
              <w:top w:val="nil"/>
              <w:left w:val="nil"/>
              <w:bottom w:val="single" w:color="auto" w:sz="4" w:space="0"/>
              <w:right w:val="single" w:color="auto" w:sz="4" w:space="0"/>
            </w:tcBorders>
            <w:vAlign w:val="center"/>
          </w:tcPr>
          <w:p w14:paraId="52AF5FA3">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万元</w:t>
            </w:r>
          </w:p>
        </w:tc>
        <w:tc>
          <w:tcPr>
            <w:tcW w:w="1798" w:type="dxa"/>
            <w:tcBorders>
              <w:top w:val="nil"/>
              <w:left w:val="nil"/>
              <w:bottom w:val="single" w:color="auto" w:sz="4" w:space="0"/>
              <w:right w:val="single" w:color="auto" w:sz="4" w:space="0"/>
            </w:tcBorders>
            <w:vAlign w:val="center"/>
          </w:tcPr>
          <w:p w14:paraId="2CF4D6CB">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2000≤Y＜40000</w:t>
            </w:r>
          </w:p>
        </w:tc>
        <w:tc>
          <w:tcPr>
            <w:tcW w:w="1701" w:type="dxa"/>
            <w:tcBorders>
              <w:top w:val="nil"/>
              <w:left w:val="nil"/>
              <w:bottom w:val="single" w:color="auto" w:sz="4" w:space="0"/>
              <w:right w:val="single" w:color="auto" w:sz="4" w:space="0"/>
            </w:tcBorders>
            <w:vAlign w:val="center"/>
          </w:tcPr>
          <w:p w14:paraId="47E0F6C6">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300≤Y＜2000</w:t>
            </w:r>
          </w:p>
        </w:tc>
        <w:tc>
          <w:tcPr>
            <w:tcW w:w="1201" w:type="dxa"/>
            <w:tcBorders>
              <w:top w:val="nil"/>
              <w:left w:val="nil"/>
              <w:bottom w:val="single" w:color="auto" w:sz="4" w:space="0"/>
              <w:right w:val="single" w:color="auto" w:sz="4" w:space="0"/>
            </w:tcBorders>
            <w:vAlign w:val="center"/>
          </w:tcPr>
          <w:p w14:paraId="1C67D948">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Y＜300</w:t>
            </w:r>
          </w:p>
        </w:tc>
      </w:tr>
      <w:tr w14:paraId="2B3E8FA0">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5107EADB">
            <w:pPr>
              <w:widowControl/>
              <w:wordWrap w:val="0"/>
              <w:spacing w:line="34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建筑业</w:t>
            </w:r>
          </w:p>
        </w:tc>
        <w:tc>
          <w:tcPr>
            <w:tcW w:w="1497" w:type="dxa"/>
            <w:tcBorders>
              <w:top w:val="nil"/>
              <w:left w:val="nil"/>
              <w:bottom w:val="single" w:color="auto" w:sz="4" w:space="0"/>
              <w:right w:val="single" w:color="auto" w:sz="4" w:space="0"/>
            </w:tcBorders>
            <w:vAlign w:val="center"/>
          </w:tcPr>
          <w:p w14:paraId="37C9BA10">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营业收入（Y）</w:t>
            </w:r>
          </w:p>
        </w:tc>
        <w:tc>
          <w:tcPr>
            <w:tcW w:w="1179" w:type="dxa"/>
            <w:tcBorders>
              <w:top w:val="nil"/>
              <w:left w:val="nil"/>
              <w:bottom w:val="single" w:color="auto" w:sz="4" w:space="0"/>
              <w:right w:val="single" w:color="auto" w:sz="4" w:space="0"/>
            </w:tcBorders>
            <w:vAlign w:val="center"/>
          </w:tcPr>
          <w:p w14:paraId="50F3BDDF">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万元</w:t>
            </w:r>
          </w:p>
        </w:tc>
        <w:tc>
          <w:tcPr>
            <w:tcW w:w="1798" w:type="dxa"/>
            <w:tcBorders>
              <w:top w:val="nil"/>
              <w:left w:val="nil"/>
              <w:bottom w:val="single" w:color="auto" w:sz="4" w:space="0"/>
              <w:right w:val="single" w:color="auto" w:sz="4" w:space="0"/>
            </w:tcBorders>
            <w:vAlign w:val="center"/>
          </w:tcPr>
          <w:p w14:paraId="31C7E77C">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6000≤Y＜80000</w:t>
            </w:r>
          </w:p>
        </w:tc>
        <w:tc>
          <w:tcPr>
            <w:tcW w:w="1701" w:type="dxa"/>
            <w:tcBorders>
              <w:top w:val="nil"/>
              <w:left w:val="nil"/>
              <w:bottom w:val="single" w:color="auto" w:sz="4" w:space="0"/>
              <w:right w:val="single" w:color="auto" w:sz="4" w:space="0"/>
            </w:tcBorders>
            <w:vAlign w:val="center"/>
          </w:tcPr>
          <w:p w14:paraId="5D0840DC">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300≤Y＜6000</w:t>
            </w:r>
          </w:p>
        </w:tc>
        <w:tc>
          <w:tcPr>
            <w:tcW w:w="1201" w:type="dxa"/>
            <w:tcBorders>
              <w:top w:val="nil"/>
              <w:left w:val="nil"/>
              <w:bottom w:val="single" w:color="auto" w:sz="4" w:space="0"/>
              <w:right w:val="single" w:color="auto" w:sz="4" w:space="0"/>
            </w:tcBorders>
            <w:vAlign w:val="center"/>
          </w:tcPr>
          <w:p w14:paraId="20AD1655">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Y＜300</w:t>
            </w:r>
          </w:p>
        </w:tc>
      </w:tr>
      <w:tr w14:paraId="19CD39CE">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1A18B150">
            <w:pPr>
              <w:widowControl/>
              <w:wordWrap w:val="0"/>
              <w:spacing w:line="340" w:lineRule="exact"/>
              <w:rPr>
                <w:rFonts w:hint="eastAsia" w:ascii="宋体" w:hAnsi="宋体" w:eastAsia="宋体" w:cs="宋体"/>
                <w:b/>
                <w:bCs/>
                <w:color w:val="auto"/>
                <w:kern w:val="0"/>
                <w:szCs w:val="21"/>
              </w:rPr>
            </w:pPr>
          </w:p>
        </w:tc>
        <w:tc>
          <w:tcPr>
            <w:tcW w:w="1497" w:type="dxa"/>
            <w:tcBorders>
              <w:top w:val="nil"/>
              <w:left w:val="nil"/>
              <w:bottom w:val="single" w:color="auto" w:sz="4" w:space="0"/>
              <w:right w:val="single" w:color="auto" w:sz="4" w:space="0"/>
            </w:tcBorders>
            <w:vAlign w:val="center"/>
          </w:tcPr>
          <w:p w14:paraId="405708C7">
            <w:pPr>
              <w:widowControl/>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资产总额（Z）</w:t>
            </w:r>
          </w:p>
        </w:tc>
        <w:tc>
          <w:tcPr>
            <w:tcW w:w="1179" w:type="dxa"/>
            <w:tcBorders>
              <w:top w:val="nil"/>
              <w:left w:val="nil"/>
              <w:bottom w:val="single" w:color="auto" w:sz="4" w:space="0"/>
              <w:right w:val="single" w:color="auto" w:sz="4" w:space="0"/>
            </w:tcBorders>
            <w:vAlign w:val="center"/>
          </w:tcPr>
          <w:p w14:paraId="65F89567">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万元</w:t>
            </w:r>
          </w:p>
        </w:tc>
        <w:tc>
          <w:tcPr>
            <w:tcW w:w="1798" w:type="dxa"/>
            <w:tcBorders>
              <w:top w:val="nil"/>
              <w:left w:val="nil"/>
              <w:bottom w:val="single" w:color="auto" w:sz="4" w:space="0"/>
              <w:right w:val="single" w:color="auto" w:sz="4" w:space="0"/>
            </w:tcBorders>
            <w:vAlign w:val="center"/>
          </w:tcPr>
          <w:p w14:paraId="0C888BD4">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5000≤Z＜80000</w:t>
            </w:r>
          </w:p>
        </w:tc>
        <w:tc>
          <w:tcPr>
            <w:tcW w:w="1701" w:type="dxa"/>
            <w:tcBorders>
              <w:top w:val="nil"/>
              <w:left w:val="nil"/>
              <w:bottom w:val="single" w:color="auto" w:sz="4" w:space="0"/>
              <w:right w:val="single" w:color="auto" w:sz="4" w:space="0"/>
            </w:tcBorders>
            <w:vAlign w:val="center"/>
          </w:tcPr>
          <w:p w14:paraId="6D68FDB5">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300≤Z＜5000</w:t>
            </w:r>
          </w:p>
        </w:tc>
        <w:tc>
          <w:tcPr>
            <w:tcW w:w="1201" w:type="dxa"/>
            <w:tcBorders>
              <w:top w:val="nil"/>
              <w:left w:val="nil"/>
              <w:bottom w:val="single" w:color="auto" w:sz="4" w:space="0"/>
              <w:right w:val="single" w:color="auto" w:sz="4" w:space="0"/>
            </w:tcBorders>
            <w:vAlign w:val="center"/>
          </w:tcPr>
          <w:p w14:paraId="6FDA03B5">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Z＜300</w:t>
            </w:r>
          </w:p>
        </w:tc>
      </w:tr>
      <w:tr w14:paraId="22A3B5BD">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712F61D5">
            <w:pPr>
              <w:widowControl/>
              <w:wordWrap w:val="0"/>
              <w:spacing w:line="34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批发业</w:t>
            </w:r>
          </w:p>
        </w:tc>
        <w:tc>
          <w:tcPr>
            <w:tcW w:w="1497" w:type="dxa"/>
            <w:tcBorders>
              <w:top w:val="nil"/>
              <w:left w:val="nil"/>
              <w:bottom w:val="single" w:color="auto" w:sz="4" w:space="0"/>
              <w:right w:val="single" w:color="auto" w:sz="4" w:space="0"/>
            </w:tcBorders>
            <w:vAlign w:val="center"/>
          </w:tcPr>
          <w:p w14:paraId="41C92BF4">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从业人员（X）</w:t>
            </w:r>
          </w:p>
        </w:tc>
        <w:tc>
          <w:tcPr>
            <w:tcW w:w="1179" w:type="dxa"/>
            <w:tcBorders>
              <w:top w:val="nil"/>
              <w:left w:val="nil"/>
              <w:bottom w:val="single" w:color="auto" w:sz="4" w:space="0"/>
              <w:right w:val="single" w:color="auto" w:sz="4" w:space="0"/>
            </w:tcBorders>
            <w:vAlign w:val="center"/>
          </w:tcPr>
          <w:p w14:paraId="5DA807FB">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人</w:t>
            </w:r>
          </w:p>
        </w:tc>
        <w:tc>
          <w:tcPr>
            <w:tcW w:w="1798" w:type="dxa"/>
            <w:tcBorders>
              <w:top w:val="nil"/>
              <w:left w:val="nil"/>
              <w:bottom w:val="single" w:color="auto" w:sz="4" w:space="0"/>
              <w:right w:val="single" w:color="auto" w:sz="4" w:space="0"/>
            </w:tcBorders>
            <w:vAlign w:val="center"/>
          </w:tcPr>
          <w:p w14:paraId="124707F2">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20≤X＜200</w:t>
            </w:r>
          </w:p>
        </w:tc>
        <w:tc>
          <w:tcPr>
            <w:tcW w:w="1701" w:type="dxa"/>
            <w:tcBorders>
              <w:top w:val="nil"/>
              <w:left w:val="nil"/>
              <w:bottom w:val="single" w:color="auto" w:sz="4" w:space="0"/>
              <w:right w:val="single" w:color="auto" w:sz="4" w:space="0"/>
            </w:tcBorders>
            <w:vAlign w:val="center"/>
          </w:tcPr>
          <w:p w14:paraId="4A0887A2">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5≤X＜20</w:t>
            </w:r>
          </w:p>
        </w:tc>
        <w:tc>
          <w:tcPr>
            <w:tcW w:w="1201" w:type="dxa"/>
            <w:tcBorders>
              <w:top w:val="nil"/>
              <w:left w:val="nil"/>
              <w:bottom w:val="single" w:color="auto" w:sz="4" w:space="0"/>
              <w:right w:val="single" w:color="auto" w:sz="4" w:space="0"/>
            </w:tcBorders>
            <w:vAlign w:val="center"/>
          </w:tcPr>
          <w:p w14:paraId="44483EF2">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X＜5</w:t>
            </w:r>
          </w:p>
        </w:tc>
      </w:tr>
      <w:tr w14:paraId="5FB82026">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7D7FD5BE">
            <w:pPr>
              <w:widowControl/>
              <w:wordWrap w:val="0"/>
              <w:spacing w:line="340" w:lineRule="exact"/>
              <w:rPr>
                <w:rFonts w:hint="eastAsia" w:ascii="宋体" w:hAnsi="宋体" w:eastAsia="宋体" w:cs="宋体"/>
                <w:b/>
                <w:bCs/>
                <w:color w:val="auto"/>
                <w:kern w:val="0"/>
                <w:szCs w:val="21"/>
              </w:rPr>
            </w:pPr>
          </w:p>
        </w:tc>
        <w:tc>
          <w:tcPr>
            <w:tcW w:w="1497" w:type="dxa"/>
            <w:tcBorders>
              <w:top w:val="nil"/>
              <w:left w:val="nil"/>
              <w:bottom w:val="single" w:color="auto" w:sz="4" w:space="0"/>
              <w:right w:val="single" w:color="auto" w:sz="4" w:space="0"/>
            </w:tcBorders>
            <w:vAlign w:val="center"/>
          </w:tcPr>
          <w:p w14:paraId="2C37E22B">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营业收入（Y）</w:t>
            </w:r>
          </w:p>
        </w:tc>
        <w:tc>
          <w:tcPr>
            <w:tcW w:w="1179" w:type="dxa"/>
            <w:tcBorders>
              <w:top w:val="nil"/>
              <w:left w:val="nil"/>
              <w:bottom w:val="single" w:color="auto" w:sz="4" w:space="0"/>
              <w:right w:val="single" w:color="auto" w:sz="4" w:space="0"/>
            </w:tcBorders>
            <w:vAlign w:val="center"/>
          </w:tcPr>
          <w:p w14:paraId="76EC671B">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万元</w:t>
            </w:r>
          </w:p>
        </w:tc>
        <w:tc>
          <w:tcPr>
            <w:tcW w:w="1798" w:type="dxa"/>
            <w:tcBorders>
              <w:top w:val="nil"/>
              <w:left w:val="nil"/>
              <w:bottom w:val="single" w:color="auto" w:sz="4" w:space="0"/>
              <w:right w:val="single" w:color="auto" w:sz="4" w:space="0"/>
            </w:tcBorders>
            <w:vAlign w:val="center"/>
          </w:tcPr>
          <w:p w14:paraId="663C6EB1">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5000≤Y＜40000</w:t>
            </w:r>
          </w:p>
        </w:tc>
        <w:tc>
          <w:tcPr>
            <w:tcW w:w="1701" w:type="dxa"/>
            <w:tcBorders>
              <w:top w:val="nil"/>
              <w:left w:val="nil"/>
              <w:bottom w:val="single" w:color="auto" w:sz="4" w:space="0"/>
              <w:right w:val="single" w:color="auto" w:sz="4" w:space="0"/>
            </w:tcBorders>
            <w:vAlign w:val="center"/>
          </w:tcPr>
          <w:p w14:paraId="376F6E1E">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1000≤Y＜5000</w:t>
            </w:r>
          </w:p>
        </w:tc>
        <w:tc>
          <w:tcPr>
            <w:tcW w:w="1201" w:type="dxa"/>
            <w:tcBorders>
              <w:top w:val="nil"/>
              <w:left w:val="nil"/>
              <w:bottom w:val="single" w:color="auto" w:sz="4" w:space="0"/>
              <w:right w:val="single" w:color="auto" w:sz="4" w:space="0"/>
            </w:tcBorders>
            <w:vAlign w:val="center"/>
          </w:tcPr>
          <w:p w14:paraId="48E04B5E">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Y＜1000</w:t>
            </w:r>
          </w:p>
        </w:tc>
      </w:tr>
      <w:tr w14:paraId="7FEC5C75">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35B64B31">
            <w:pPr>
              <w:widowControl/>
              <w:wordWrap w:val="0"/>
              <w:spacing w:line="34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零售业</w:t>
            </w:r>
          </w:p>
        </w:tc>
        <w:tc>
          <w:tcPr>
            <w:tcW w:w="1497" w:type="dxa"/>
            <w:tcBorders>
              <w:top w:val="nil"/>
              <w:left w:val="nil"/>
              <w:bottom w:val="single" w:color="auto" w:sz="4" w:space="0"/>
              <w:right w:val="single" w:color="auto" w:sz="4" w:space="0"/>
            </w:tcBorders>
            <w:vAlign w:val="center"/>
          </w:tcPr>
          <w:p w14:paraId="2D6F542B">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从业人员（X）</w:t>
            </w:r>
          </w:p>
        </w:tc>
        <w:tc>
          <w:tcPr>
            <w:tcW w:w="1179" w:type="dxa"/>
            <w:tcBorders>
              <w:top w:val="nil"/>
              <w:left w:val="nil"/>
              <w:bottom w:val="single" w:color="auto" w:sz="4" w:space="0"/>
              <w:right w:val="single" w:color="auto" w:sz="4" w:space="0"/>
            </w:tcBorders>
            <w:vAlign w:val="center"/>
          </w:tcPr>
          <w:p w14:paraId="22FCC665">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人</w:t>
            </w:r>
          </w:p>
        </w:tc>
        <w:tc>
          <w:tcPr>
            <w:tcW w:w="1798" w:type="dxa"/>
            <w:tcBorders>
              <w:top w:val="nil"/>
              <w:left w:val="nil"/>
              <w:bottom w:val="single" w:color="auto" w:sz="4" w:space="0"/>
              <w:right w:val="single" w:color="auto" w:sz="4" w:space="0"/>
            </w:tcBorders>
            <w:vAlign w:val="center"/>
          </w:tcPr>
          <w:p w14:paraId="5653E330">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50≤X＜300</w:t>
            </w:r>
          </w:p>
        </w:tc>
        <w:tc>
          <w:tcPr>
            <w:tcW w:w="1701" w:type="dxa"/>
            <w:tcBorders>
              <w:top w:val="nil"/>
              <w:left w:val="nil"/>
              <w:bottom w:val="single" w:color="auto" w:sz="4" w:space="0"/>
              <w:right w:val="single" w:color="auto" w:sz="4" w:space="0"/>
            </w:tcBorders>
            <w:vAlign w:val="center"/>
          </w:tcPr>
          <w:p w14:paraId="6B3F81C0">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10≤X＜50</w:t>
            </w:r>
          </w:p>
        </w:tc>
        <w:tc>
          <w:tcPr>
            <w:tcW w:w="1201" w:type="dxa"/>
            <w:tcBorders>
              <w:top w:val="nil"/>
              <w:left w:val="nil"/>
              <w:bottom w:val="single" w:color="auto" w:sz="4" w:space="0"/>
              <w:right w:val="single" w:color="auto" w:sz="4" w:space="0"/>
            </w:tcBorders>
            <w:vAlign w:val="center"/>
          </w:tcPr>
          <w:p w14:paraId="7E61905E">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X＜10</w:t>
            </w:r>
          </w:p>
        </w:tc>
      </w:tr>
      <w:tr w14:paraId="725031FF">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29A3ED84">
            <w:pPr>
              <w:widowControl/>
              <w:wordWrap w:val="0"/>
              <w:spacing w:line="340" w:lineRule="exact"/>
              <w:rPr>
                <w:rFonts w:hint="eastAsia" w:ascii="宋体" w:hAnsi="宋体" w:eastAsia="宋体" w:cs="宋体"/>
                <w:b/>
                <w:bCs/>
                <w:color w:val="auto"/>
                <w:kern w:val="0"/>
                <w:szCs w:val="21"/>
              </w:rPr>
            </w:pPr>
          </w:p>
        </w:tc>
        <w:tc>
          <w:tcPr>
            <w:tcW w:w="1497" w:type="dxa"/>
            <w:tcBorders>
              <w:top w:val="nil"/>
              <w:left w:val="nil"/>
              <w:bottom w:val="single" w:color="auto" w:sz="4" w:space="0"/>
              <w:right w:val="single" w:color="auto" w:sz="4" w:space="0"/>
            </w:tcBorders>
            <w:vAlign w:val="center"/>
          </w:tcPr>
          <w:p w14:paraId="10DBA1EB">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营业收入（Y）</w:t>
            </w:r>
          </w:p>
        </w:tc>
        <w:tc>
          <w:tcPr>
            <w:tcW w:w="1179" w:type="dxa"/>
            <w:tcBorders>
              <w:top w:val="nil"/>
              <w:left w:val="nil"/>
              <w:bottom w:val="single" w:color="auto" w:sz="4" w:space="0"/>
              <w:right w:val="single" w:color="auto" w:sz="4" w:space="0"/>
            </w:tcBorders>
            <w:vAlign w:val="center"/>
          </w:tcPr>
          <w:p w14:paraId="54DF7A5A">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万元</w:t>
            </w:r>
          </w:p>
        </w:tc>
        <w:tc>
          <w:tcPr>
            <w:tcW w:w="1798" w:type="dxa"/>
            <w:tcBorders>
              <w:top w:val="nil"/>
              <w:left w:val="nil"/>
              <w:bottom w:val="single" w:color="auto" w:sz="4" w:space="0"/>
              <w:right w:val="single" w:color="auto" w:sz="4" w:space="0"/>
            </w:tcBorders>
            <w:vAlign w:val="center"/>
          </w:tcPr>
          <w:p w14:paraId="1C65C190">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500≤Y＜20000</w:t>
            </w:r>
          </w:p>
        </w:tc>
        <w:tc>
          <w:tcPr>
            <w:tcW w:w="1701" w:type="dxa"/>
            <w:tcBorders>
              <w:top w:val="nil"/>
              <w:left w:val="nil"/>
              <w:bottom w:val="single" w:color="auto" w:sz="4" w:space="0"/>
              <w:right w:val="single" w:color="auto" w:sz="4" w:space="0"/>
            </w:tcBorders>
            <w:vAlign w:val="center"/>
          </w:tcPr>
          <w:p w14:paraId="06BF7640">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100≤Y＜500</w:t>
            </w:r>
          </w:p>
        </w:tc>
        <w:tc>
          <w:tcPr>
            <w:tcW w:w="1201" w:type="dxa"/>
            <w:tcBorders>
              <w:top w:val="nil"/>
              <w:left w:val="nil"/>
              <w:bottom w:val="single" w:color="auto" w:sz="4" w:space="0"/>
              <w:right w:val="single" w:color="auto" w:sz="4" w:space="0"/>
            </w:tcBorders>
            <w:vAlign w:val="center"/>
          </w:tcPr>
          <w:p w14:paraId="7A282CEB">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Y＜100</w:t>
            </w:r>
          </w:p>
        </w:tc>
      </w:tr>
      <w:tr w14:paraId="6535594B">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099B02F2">
            <w:pPr>
              <w:widowControl/>
              <w:wordWrap w:val="0"/>
              <w:spacing w:line="34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交通运输业</w:t>
            </w:r>
          </w:p>
        </w:tc>
        <w:tc>
          <w:tcPr>
            <w:tcW w:w="1497" w:type="dxa"/>
            <w:tcBorders>
              <w:top w:val="nil"/>
              <w:left w:val="nil"/>
              <w:bottom w:val="single" w:color="auto" w:sz="4" w:space="0"/>
              <w:right w:val="single" w:color="auto" w:sz="4" w:space="0"/>
            </w:tcBorders>
            <w:vAlign w:val="center"/>
          </w:tcPr>
          <w:p w14:paraId="1ACCA268">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从业人员（X）</w:t>
            </w:r>
          </w:p>
        </w:tc>
        <w:tc>
          <w:tcPr>
            <w:tcW w:w="1179" w:type="dxa"/>
            <w:tcBorders>
              <w:top w:val="nil"/>
              <w:left w:val="nil"/>
              <w:bottom w:val="single" w:color="auto" w:sz="4" w:space="0"/>
              <w:right w:val="single" w:color="auto" w:sz="4" w:space="0"/>
            </w:tcBorders>
            <w:vAlign w:val="center"/>
          </w:tcPr>
          <w:p w14:paraId="377F34DE">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人</w:t>
            </w:r>
          </w:p>
        </w:tc>
        <w:tc>
          <w:tcPr>
            <w:tcW w:w="1798" w:type="dxa"/>
            <w:tcBorders>
              <w:top w:val="nil"/>
              <w:left w:val="nil"/>
              <w:bottom w:val="single" w:color="auto" w:sz="4" w:space="0"/>
              <w:right w:val="single" w:color="auto" w:sz="4" w:space="0"/>
            </w:tcBorders>
            <w:vAlign w:val="center"/>
          </w:tcPr>
          <w:p w14:paraId="261BEE42">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300≤X＜1000</w:t>
            </w:r>
          </w:p>
        </w:tc>
        <w:tc>
          <w:tcPr>
            <w:tcW w:w="1701" w:type="dxa"/>
            <w:tcBorders>
              <w:top w:val="nil"/>
              <w:left w:val="nil"/>
              <w:bottom w:val="single" w:color="auto" w:sz="4" w:space="0"/>
              <w:right w:val="single" w:color="auto" w:sz="4" w:space="0"/>
            </w:tcBorders>
            <w:vAlign w:val="center"/>
          </w:tcPr>
          <w:p w14:paraId="18902A01">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20≤X＜300</w:t>
            </w:r>
          </w:p>
        </w:tc>
        <w:tc>
          <w:tcPr>
            <w:tcW w:w="1201" w:type="dxa"/>
            <w:tcBorders>
              <w:top w:val="nil"/>
              <w:left w:val="nil"/>
              <w:bottom w:val="single" w:color="auto" w:sz="4" w:space="0"/>
              <w:right w:val="single" w:color="auto" w:sz="4" w:space="0"/>
            </w:tcBorders>
            <w:vAlign w:val="center"/>
          </w:tcPr>
          <w:p w14:paraId="6DA81B89">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X＜20</w:t>
            </w:r>
          </w:p>
        </w:tc>
      </w:tr>
      <w:tr w14:paraId="07B697C3">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4AAF7C45">
            <w:pPr>
              <w:widowControl/>
              <w:wordWrap w:val="0"/>
              <w:spacing w:line="340" w:lineRule="exact"/>
              <w:rPr>
                <w:rFonts w:hint="eastAsia" w:ascii="宋体" w:hAnsi="宋体" w:eastAsia="宋体" w:cs="宋体"/>
                <w:b/>
                <w:bCs/>
                <w:color w:val="auto"/>
                <w:kern w:val="0"/>
                <w:szCs w:val="21"/>
              </w:rPr>
            </w:pPr>
          </w:p>
        </w:tc>
        <w:tc>
          <w:tcPr>
            <w:tcW w:w="1497" w:type="dxa"/>
            <w:tcBorders>
              <w:top w:val="nil"/>
              <w:left w:val="nil"/>
              <w:bottom w:val="single" w:color="auto" w:sz="4" w:space="0"/>
              <w:right w:val="single" w:color="auto" w:sz="4" w:space="0"/>
            </w:tcBorders>
            <w:vAlign w:val="center"/>
          </w:tcPr>
          <w:p w14:paraId="493F3DBB">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营业收入（Y）</w:t>
            </w:r>
          </w:p>
        </w:tc>
        <w:tc>
          <w:tcPr>
            <w:tcW w:w="1179" w:type="dxa"/>
            <w:tcBorders>
              <w:top w:val="nil"/>
              <w:left w:val="nil"/>
              <w:bottom w:val="single" w:color="auto" w:sz="4" w:space="0"/>
              <w:right w:val="single" w:color="auto" w:sz="4" w:space="0"/>
            </w:tcBorders>
            <w:vAlign w:val="center"/>
          </w:tcPr>
          <w:p w14:paraId="1A300088">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万元</w:t>
            </w:r>
          </w:p>
        </w:tc>
        <w:tc>
          <w:tcPr>
            <w:tcW w:w="1798" w:type="dxa"/>
            <w:tcBorders>
              <w:top w:val="nil"/>
              <w:left w:val="nil"/>
              <w:bottom w:val="single" w:color="auto" w:sz="4" w:space="0"/>
              <w:right w:val="single" w:color="auto" w:sz="4" w:space="0"/>
            </w:tcBorders>
            <w:vAlign w:val="center"/>
          </w:tcPr>
          <w:p w14:paraId="3E9133D4">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3000≤Y＜30000</w:t>
            </w:r>
          </w:p>
        </w:tc>
        <w:tc>
          <w:tcPr>
            <w:tcW w:w="1701" w:type="dxa"/>
            <w:tcBorders>
              <w:top w:val="nil"/>
              <w:left w:val="nil"/>
              <w:bottom w:val="single" w:color="auto" w:sz="4" w:space="0"/>
              <w:right w:val="single" w:color="auto" w:sz="4" w:space="0"/>
            </w:tcBorders>
            <w:vAlign w:val="center"/>
          </w:tcPr>
          <w:p w14:paraId="637E1E5C">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200≤Y＜3000</w:t>
            </w:r>
          </w:p>
        </w:tc>
        <w:tc>
          <w:tcPr>
            <w:tcW w:w="1201" w:type="dxa"/>
            <w:tcBorders>
              <w:top w:val="nil"/>
              <w:left w:val="nil"/>
              <w:bottom w:val="single" w:color="auto" w:sz="4" w:space="0"/>
              <w:right w:val="single" w:color="auto" w:sz="4" w:space="0"/>
            </w:tcBorders>
            <w:vAlign w:val="center"/>
          </w:tcPr>
          <w:p w14:paraId="785FA129">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Y＜200</w:t>
            </w:r>
          </w:p>
        </w:tc>
      </w:tr>
      <w:tr w14:paraId="5E96E778">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02E8BCAE">
            <w:pPr>
              <w:widowControl/>
              <w:wordWrap w:val="0"/>
              <w:spacing w:line="34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仓储业</w:t>
            </w:r>
          </w:p>
        </w:tc>
        <w:tc>
          <w:tcPr>
            <w:tcW w:w="1497" w:type="dxa"/>
            <w:tcBorders>
              <w:top w:val="nil"/>
              <w:left w:val="nil"/>
              <w:bottom w:val="single" w:color="auto" w:sz="4" w:space="0"/>
              <w:right w:val="single" w:color="auto" w:sz="4" w:space="0"/>
            </w:tcBorders>
            <w:vAlign w:val="center"/>
          </w:tcPr>
          <w:p w14:paraId="359B1276">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从业人员（X）</w:t>
            </w:r>
          </w:p>
        </w:tc>
        <w:tc>
          <w:tcPr>
            <w:tcW w:w="1179" w:type="dxa"/>
            <w:tcBorders>
              <w:top w:val="nil"/>
              <w:left w:val="nil"/>
              <w:bottom w:val="single" w:color="auto" w:sz="4" w:space="0"/>
              <w:right w:val="single" w:color="auto" w:sz="4" w:space="0"/>
            </w:tcBorders>
            <w:vAlign w:val="center"/>
          </w:tcPr>
          <w:p w14:paraId="19201C01">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人</w:t>
            </w:r>
          </w:p>
        </w:tc>
        <w:tc>
          <w:tcPr>
            <w:tcW w:w="1798" w:type="dxa"/>
            <w:tcBorders>
              <w:top w:val="nil"/>
              <w:left w:val="nil"/>
              <w:bottom w:val="single" w:color="auto" w:sz="4" w:space="0"/>
              <w:right w:val="single" w:color="auto" w:sz="4" w:space="0"/>
            </w:tcBorders>
            <w:vAlign w:val="center"/>
          </w:tcPr>
          <w:p w14:paraId="7FDF0264">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100≤X＜200</w:t>
            </w:r>
          </w:p>
        </w:tc>
        <w:tc>
          <w:tcPr>
            <w:tcW w:w="1701" w:type="dxa"/>
            <w:tcBorders>
              <w:top w:val="nil"/>
              <w:left w:val="nil"/>
              <w:bottom w:val="single" w:color="auto" w:sz="4" w:space="0"/>
              <w:right w:val="single" w:color="auto" w:sz="4" w:space="0"/>
            </w:tcBorders>
            <w:vAlign w:val="center"/>
          </w:tcPr>
          <w:p w14:paraId="296BA0BA">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20≤X＜100</w:t>
            </w:r>
          </w:p>
        </w:tc>
        <w:tc>
          <w:tcPr>
            <w:tcW w:w="1201" w:type="dxa"/>
            <w:tcBorders>
              <w:top w:val="nil"/>
              <w:left w:val="nil"/>
              <w:bottom w:val="single" w:color="auto" w:sz="4" w:space="0"/>
              <w:right w:val="single" w:color="auto" w:sz="4" w:space="0"/>
            </w:tcBorders>
            <w:vAlign w:val="center"/>
          </w:tcPr>
          <w:p w14:paraId="2101D6B7">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X＜20</w:t>
            </w:r>
          </w:p>
        </w:tc>
      </w:tr>
      <w:tr w14:paraId="1F15C6BD">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5E3AE140">
            <w:pPr>
              <w:widowControl/>
              <w:wordWrap w:val="0"/>
              <w:spacing w:line="340" w:lineRule="exact"/>
              <w:rPr>
                <w:rFonts w:hint="eastAsia" w:ascii="宋体" w:hAnsi="宋体" w:eastAsia="宋体" w:cs="宋体"/>
                <w:b/>
                <w:bCs/>
                <w:color w:val="auto"/>
                <w:kern w:val="0"/>
                <w:szCs w:val="21"/>
              </w:rPr>
            </w:pPr>
          </w:p>
        </w:tc>
        <w:tc>
          <w:tcPr>
            <w:tcW w:w="1497" w:type="dxa"/>
            <w:tcBorders>
              <w:top w:val="nil"/>
              <w:left w:val="nil"/>
              <w:bottom w:val="single" w:color="auto" w:sz="4" w:space="0"/>
              <w:right w:val="single" w:color="auto" w:sz="4" w:space="0"/>
            </w:tcBorders>
            <w:vAlign w:val="center"/>
          </w:tcPr>
          <w:p w14:paraId="13E03B5B">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营业收入（Y）</w:t>
            </w:r>
          </w:p>
        </w:tc>
        <w:tc>
          <w:tcPr>
            <w:tcW w:w="1179" w:type="dxa"/>
            <w:tcBorders>
              <w:top w:val="nil"/>
              <w:left w:val="nil"/>
              <w:bottom w:val="single" w:color="auto" w:sz="4" w:space="0"/>
              <w:right w:val="single" w:color="auto" w:sz="4" w:space="0"/>
            </w:tcBorders>
            <w:vAlign w:val="center"/>
          </w:tcPr>
          <w:p w14:paraId="1C51C324">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万元</w:t>
            </w:r>
          </w:p>
        </w:tc>
        <w:tc>
          <w:tcPr>
            <w:tcW w:w="1798" w:type="dxa"/>
            <w:tcBorders>
              <w:top w:val="nil"/>
              <w:left w:val="nil"/>
              <w:bottom w:val="single" w:color="auto" w:sz="4" w:space="0"/>
              <w:right w:val="single" w:color="auto" w:sz="4" w:space="0"/>
            </w:tcBorders>
            <w:vAlign w:val="center"/>
          </w:tcPr>
          <w:p w14:paraId="07B7EE95">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1000≤Y＜30000</w:t>
            </w:r>
          </w:p>
        </w:tc>
        <w:tc>
          <w:tcPr>
            <w:tcW w:w="1701" w:type="dxa"/>
            <w:tcBorders>
              <w:top w:val="nil"/>
              <w:left w:val="nil"/>
              <w:bottom w:val="single" w:color="auto" w:sz="4" w:space="0"/>
              <w:right w:val="single" w:color="auto" w:sz="4" w:space="0"/>
            </w:tcBorders>
            <w:vAlign w:val="center"/>
          </w:tcPr>
          <w:p w14:paraId="36488DF1">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100≤Y＜1000</w:t>
            </w:r>
          </w:p>
        </w:tc>
        <w:tc>
          <w:tcPr>
            <w:tcW w:w="1201" w:type="dxa"/>
            <w:tcBorders>
              <w:top w:val="nil"/>
              <w:left w:val="nil"/>
              <w:bottom w:val="single" w:color="auto" w:sz="4" w:space="0"/>
              <w:right w:val="single" w:color="auto" w:sz="4" w:space="0"/>
            </w:tcBorders>
            <w:vAlign w:val="center"/>
          </w:tcPr>
          <w:p w14:paraId="187A18CA">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Y＜100</w:t>
            </w:r>
          </w:p>
        </w:tc>
      </w:tr>
      <w:tr w14:paraId="603290BD">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217613D5">
            <w:pPr>
              <w:widowControl/>
              <w:wordWrap w:val="0"/>
              <w:spacing w:line="34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邮政业</w:t>
            </w:r>
          </w:p>
        </w:tc>
        <w:tc>
          <w:tcPr>
            <w:tcW w:w="1497" w:type="dxa"/>
            <w:tcBorders>
              <w:top w:val="nil"/>
              <w:left w:val="nil"/>
              <w:bottom w:val="single" w:color="auto" w:sz="4" w:space="0"/>
              <w:right w:val="single" w:color="auto" w:sz="4" w:space="0"/>
            </w:tcBorders>
            <w:vAlign w:val="center"/>
          </w:tcPr>
          <w:p w14:paraId="49E39DAE">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从业人员（X）</w:t>
            </w:r>
          </w:p>
        </w:tc>
        <w:tc>
          <w:tcPr>
            <w:tcW w:w="1179" w:type="dxa"/>
            <w:tcBorders>
              <w:top w:val="nil"/>
              <w:left w:val="nil"/>
              <w:bottom w:val="single" w:color="auto" w:sz="4" w:space="0"/>
              <w:right w:val="single" w:color="auto" w:sz="4" w:space="0"/>
            </w:tcBorders>
            <w:vAlign w:val="center"/>
          </w:tcPr>
          <w:p w14:paraId="3C250B1B">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人</w:t>
            </w:r>
          </w:p>
        </w:tc>
        <w:tc>
          <w:tcPr>
            <w:tcW w:w="1798" w:type="dxa"/>
            <w:tcBorders>
              <w:top w:val="nil"/>
              <w:left w:val="nil"/>
              <w:bottom w:val="single" w:color="auto" w:sz="4" w:space="0"/>
              <w:right w:val="single" w:color="auto" w:sz="4" w:space="0"/>
            </w:tcBorders>
            <w:vAlign w:val="center"/>
          </w:tcPr>
          <w:p w14:paraId="7427DE0D">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300≤X＜1000</w:t>
            </w:r>
          </w:p>
        </w:tc>
        <w:tc>
          <w:tcPr>
            <w:tcW w:w="1701" w:type="dxa"/>
            <w:tcBorders>
              <w:top w:val="nil"/>
              <w:left w:val="nil"/>
              <w:bottom w:val="single" w:color="auto" w:sz="4" w:space="0"/>
              <w:right w:val="single" w:color="auto" w:sz="4" w:space="0"/>
            </w:tcBorders>
            <w:vAlign w:val="center"/>
          </w:tcPr>
          <w:p w14:paraId="387E915C">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20≤X＜300</w:t>
            </w:r>
          </w:p>
        </w:tc>
        <w:tc>
          <w:tcPr>
            <w:tcW w:w="1201" w:type="dxa"/>
            <w:tcBorders>
              <w:top w:val="nil"/>
              <w:left w:val="nil"/>
              <w:bottom w:val="single" w:color="auto" w:sz="4" w:space="0"/>
              <w:right w:val="single" w:color="auto" w:sz="4" w:space="0"/>
            </w:tcBorders>
            <w:vAlign w:val="center"/>
          </w:tcPr>
          <w:p w14:paraId="6A9B3AFB">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X＜20</w:t>
            </w:r>
          </w:p>
        </w:tc>
      </w:tr>
      <w:tr w14:paraId="02ACD7FB">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0EE78F89">
            <w:pPr>
              <w:widowControl/>
              <w:wordWrap w:val="0"/>
              <w:spacing w:line="340" w:lineRule="exact"/>
              <w:rPr>
                <w:rFonts w:hint="eastAsia" w:ascii="宋体" w:hAnsi="宋体" w:eastAsia="宋体" w:cs="宋体"/>
                <w:b/>
                <w:bCs/>
                <w:color w:val="auto"/>
                <w:kern w:val="0"/>
                <w:szCs w:val="21"/>
              </w:rPr>
            </w:pPr>
          </w:p>
        </w:tc>
        <w:tc>
          <w:tcPr>
            <w:tcW w:w="1497" w:type="dxa"/>
            <w:tcBorders>
              <w:top w:val="nil"/>
              <w:left w:val="nil"/>
              <w:bottom w:val="single" w:color="auto" w:sz="4" w:space="0"/>
              <w:right w:val="single" w:color="auto" w:sz="4" w:space="0"/>
            </w:tcBorders>
            <w:vAlign w:val="center"/>
          </w:tcPr>
          <w:p w14:paraId="647A2B52">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营业收入（Y）</w:t>
            </w:r>
          </w:p>
        </w:tc>
        <w:tc>
          <w:tcPr>
            <w:tcW w:w="1179" w:type="dxa"/>
            <w:tcBorders>
              <w:top w:val="nil"/>
              <w:left w:val="nil"/>
              <w:bottom w:val="single" w:color="auto" w:sz="4" w:space="0"/>
              <w:right w:val="single" w:color="auto" w:sz="4" w:space="0"/>
            </w:tcBorders>
            <w:vAlign w:val="center"/>
          </w:tcPr>
          <w:p w14:paraId="3DDCDD9A">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万元</w:t>
            </w:r>
          </w:p>
        </w:tc>
        <w:tc>
          <w:tcPr>
            <w:tcW w:w="1798" w:type="dxa"/>
            <w:tcBorders>
              <w:top w:val="nil"/>
              <w:left w:val="nil"/>
              <w:bottom w:val="single" w:color="auto" w:sz="4" w:space="0"/>
              <w:right w:val="single" w:color="auto" w:sz="4" w:space="0"/>
            </w:tcBorders>
            <w:vAlign w:val="center"/>
          </w:tcPr>
          <w:p w14:paraId="5D2E3D9A">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2000≤Y＜30000</w:t>
            </w:r>
          </w:p>
        </w:tc>
        <w:tc>
          <w:tcPr>
            <w:tcW w:w="1701" w:type="dxa"/>
            <w:tcBorders>
              <w:top w:val="nil"/>
              <w:left w:val="nil"/>
              <w:bottom w:val="single" w:color="auto" w:sz="4" w:space="0"/>
              <w:right w:val="single" w:color="auto" w:sz="4" w:space="0"/>
            </w:tcBorders>
            <w:vAlign w:val="center"/>
          </w:tcPr>
          <w:p w14:paraId="51FE22EC">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100≤Y＜2000</w:t>
            </w:r>
          </w:p>
        </w:tc>
        <w:tc>
          <w:tcPr>
            <w:tcW w:w="1201" w:type="dxa"/>
            <w:tcBorders>
              <w:top w:val="nil"/>
              <w:left w:val="nil"/>
              <w:bottom w:val="single" w:color="auto" w:sz="4" w:space="0"/>
              <w:right w:val="single" w:color="auto" w:sz="4" w:space="0"/>
            </w:tcBorders>
            <w:vAlign w:val="center"/>
          </w:tcPr>
          <w:p w14:paraId="1D8E99BE">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Y＜100</w:t>
            </w:r>
          </w:p>
        </w:tc>
      </w:tr>
      <w:tr w14:paraId="0B13781F">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3BE67660">
            <w:pPr>
              <w:widowControl/>
              <w:wordWrap w:val="0"/>
              <w:spacing w:line="34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住宿业</w:t>
            </w:r>
          </w:p>
        </w:tc>
        <w:tc>
          <w:tcPr>
            <w:tcW w:w="1497" w:type="dxa"/>
            <w:tcBorders>
              <w:top w:val="nil"/>
              <w:left w:val="nil"/>
              <w:bottom w:val="single" w:color="auto" w:sz="4" w:space="0"/>
              <w:right w:val="single" w:color="auto" w:sz="4" w:space="0"/>
            </w:tcBorders>
            <w:vAlign w:val="center"/>
          </w:tcPr>
          <w:p w14:paraId="13581194">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从业人员（X）</w:t>
            </w:r>
          </w:p>
        </w:tc>
        <w:tc>
          <w:tcPr>
            <w:tcW w:w="1179" w:type="dxa"/>
            <w:tcBorders>
              <w:top w:val="nil"/>
              <w:left w:val="nil"/>
              <w:bottom w:val="single" w:color="auto" w:sz="4" w:space="0"/>
              <w:right w:val="single" w:color="auto" w:sz="4" w:space="0"/>
            </w:tcBorders>
            <w:vAlign w:val="center"/>
          </w:tcPr>
          <w:p w14:paraId="34A716EF">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人</w:t>
            </w:r>
          </w:p>
        </w:tc>
        <w:tc>
          <w:tcPr>
            <w:tcW w:w="1798" w:type="dxa"/>
            <w:tcBorders>
              <w:top w:val="nil"/>
              <w:left w:val="nil"/>
              <w:bottom w:val="single" w:color="auto" w:sz="4" w:space="0"/>
              <w:right w:val="single" w:color="auto" w:sz="4" w:space="0"/>
            </w:tcBorders>
            <w:vAlign w:val="center"/>
          </w:tcPr>
          <w:p w14:paraId="0927A332">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100≤X＜300</w:t>
            </w:r>
          </w:p>
        </w:tc>
        <w:tc>
          <w:tcPr>
            <w:tcW w:w="1701" w:type="dxa"/>
            <w:tcBorders>
              <w:top w:val="nil"/>
              <w:left w:val="nil"/>
              <w:bottom w:val="single" w:color="auto" w:sz="4" w:space="0"/>
              <w:right w:val="single" w:color="auto" w:sz="4" w:space="0"/>
            </w:tcBorders>
            <w:vAlign w:val="center"/>
          </w:tcPr>
          <w:p w14:paraId="50AC7CDF">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10≤X＜100</w:t>
            </w:r>
          </w:p>
        </w:tc>
        <w:tc>
          <w:tcPr>
            <w:tcW w:w="1201" w:type="dxa"/>
            <w:tcBorders>
              <w:top w:val="nil"/>
              <w:left w:val="nil"/>
              <w:bottom w:val="single" w:color="auto" w:sz="4" w:space="0"/>
              <w:right w:val="single" w:color="auto" w:sz="4" w:space="0"/>
            </w:tcBorders>
            <w:vAlign w:val="center"/>
          </w:tcPr>
          <w:p w14:paraId="043F4A56">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X＜10</w:t>
            </w:r>
          </w:p>
        </w:tc>
      </w:tr>
      <w:tr w14:paraId="405234EE">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04F3FD8E">
            <w:pPr>
              <w:widowControl/>
              <w:wordWrap w:val="0"/>
              <w:spacing w:line="340" w:lineRule="exact"/>
              <w:rPr>
                <w:rFonts w:hint="eastAsia" w:ascii="宋体" w:hAnsi="宋体" w:eastAsia="宋体" w:cs="宋体"/>
                <w:b/>
                <w:bCs/>
                <w:color w:val="auto"/>
                <w:kern w:val="0"/>
                <w:szCs w:val="21"/>
              </w:rPr>
            </w:pPr>
          </w:p>
        </w:tc>
        <w:tc>
          <w:tcPr>
            <w:tcW w:w="1497" w:type="dxa"/>
            <w:tcBorders>
              <w:top w:val="nil"/>
              <w:left w:val="nil"/>
              <w:bottom w:val="single" w:color="auto" w:sz="4" w:space="0"/>
              <w:right w:val="single" w:color="auto" w:sz="4" w:space="0"/>
            </w:tcBorders>
            <w:vAlign w:val="center"/>
          </w:tcPr>
          <w:p w14:paraId="1F52DE38">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营业收入（Y）</w:t>
            </w:r>
          </w:p>
        </w:tc>
        <w:tc>
          <w:tcPr>
            <w:tcW w:w="1179" w:type="dxa"/>
            <w:tcBorders>
              <w:top w:val="nil"/>
              <w:left w:val="nil"/>
              <w:bottom w:val="single" w:color="auto" w:sz="4" w:space="0"/>
              <w:right w:val="single" w:color="auto" w:sz="4" w:space="0"/>
            </w:tcBorders>
            <w:vAlign w:val="center"/>
          </w:tcPr>
          <w:p w14:paraId="4923D592">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万元</w:t>
            </w:r>
          </w:p>
        </w:tc>
        <w:tc>
          <w:tcPr>
            <w:tcW w:w="1798" w:type="dxa"/>
            <w:tcBorders>
              <w:top w:val="nil"/>
              <w:left w:val="nil"/>
              <w:bottom w:val="single" w:color="auto" w:sz="4" w:space="0"/>
              <w:right w:val="single" w:color="auto" w:sz="4" w:space="0"/>
            </w:tcBorders>
            <w:vAlign w:val="center"/>
          </w:tcPr>
          <w:p w14:paraId="7EC529F6">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2000≤Y＜10000</w:t>
            </w:r>
          </w:p>
        </w:tc>
        <w:tc>
          <w:tcPr>
            <w:tcW w:w="1701" w:type="dxa"/>
            <w:tcBorders>
              <w:top w:val="nil"/>
              <w:left w:val="nil"/>
              <w:bottom w:val="single" w:color="auto" w:sz="4" w:space="0"/>
              <w:right w:val="single" w:color="auto" w:sz="4" w:space="0"/>
            </w:tcBorders>
            <w:vAlign w:val="center"/>
          </w:tcPr>
          <w:p w14:paraId="6CE7C018">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100≤Y＜2000</w:t>
            </w:r>
          </w:p>
        </w:tc>
        <w:tc>
          <w:tcPr>
            <w:tcW w:w="1201" w:type="dxa"/>
            <w:tcBorders>
              <w:top w:val="nil"/>
              <w:left w:val="nil"/>
              <w:bottom w:val="single" w:color="auto" w:sz="4" w:space="0"/>
              <w:right w:val="single" w:color="auto" w:sz="4" w:space="0"/>
            </w:tcBorders>
            <w:vAlign w:val="center"/>
          </w:tcPr>
          <w:p w14:paraId="11C15122">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Y＜100</w:t>
            </w:r>
          </w:p>
        </w:tc>
      </w:tr>
      <w:tr w14:paraId="0D4F8CB0">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2CC5756A">
            <w:pPr>
              <w:widowControl/>
              <w:wordWrap w:val="0"/>
              <w:spacing w:line="34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餐饮业</w:t>
            </w:r>
          </w:p>
        </w:tc>
        <w:tc>
          <w:tcPr>
            <w:tcW w:w="1497" w:type="dxa"/>
            <w:tcBorders>
              <w:top w:val="nil"/>
              <w:left w:val="nil"/>
              <w:bottom w:val="single" w:color="auto" w:sz="4" w:space="0"/>
              <w:right w:val="single" w:color="auto" w:sz="4" w:space="0"/>
            </w:tcBorders>
            <w:vAlign w:val="center"/>
          </w:tcPr>
          <w:p w14:paraId="2E362D04">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从业人员（X）</w:t>
            </w:r>
          </w:p>
        </w:tc>
        <w:tc>
          <w:tcPr>
            <w:tcW w:w="1179" w:type="dxa"/>
            <w:tcBorders>
              <w:top w:val="nil"/>
              <w:left w:val="nil"/>
              <w:bottom w:val="single" w:color="auto" w:sz="4" w:space="0"/>
              <w:right w:val="single" w:color="auto" w:sz="4" w:space="0"/>
            </w:tcBorders>
            <w:vAlign w:val="center"/>
          </w:tcPr>
          <w:p w14:paraId="6F69AD32">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人</w:t>
            </w:r>
          </w:p>
        </w:tc>
        <w:tc>
          <w:tcPr>
            <w:tcW w:w="1798" w:type="dxa"/>
            <w:tcBorders>
              <w:top w:val="nil"/>
              <w:left w:val="nil"/>
              <w:bottom w:val="single" w:color="auto" w:sz="4" w:space="0"/>
              <w:right w:val="single" w:color="auto" w:sz="4" w:space="0"/>
            </w:tcBorders>
            <w:vAlign w:val="center"/>
          </w:tcPr>
          <w:p w14:paraId="44264097">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100≤X＜300</w:t>
            </w:r>
          </w:p>
        </w:tc>
        <w:tc>
          <w:tcPr>
            <w:tcW w:w="1701" w:type="dxa"/>
            <w:tcBorders>
              <w:top w:val="nil"/>
              <w:left w:val="nil"/>
              <w:bottom w:val="single" w:color="auto" w:sz="4" w:space="0"/>
              <w:right w:val="single" w:color="auto" w:sz="4" w:space="0"/>
            </w:tcBorders>
            <w:vAlign w:val="center"/>
          </w:tcPr>
          <w:p w14:paraId="0A88AA37">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10≤X＜100</w:t>
            </w:r>
          </w:p>
        </w:tc>
        <w:tc>
          <w:tcPr>
            <w:tcW w:w="1201" w:type="dxa"/>
            <w:tcBorders>
              <w:top w:val="nil"/>
              <w:left w:val="nil"/>
              <w:bottom w:val="single" w:color="auto" w:sz="4" w:space="0"/>
              <w:right w:val="single" w:color="auto" w:sz="4" w:space="0"/>
            </w:tcBorders>
            <w:vAlign w:val="center"/>
          </w:tcPr>
          <w:p w14:paraId="37F6ACCA">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X＜10</w:t>
            </w:r>
          </w:p>
        </w:tc>
      </w:tr>
      <w:tr w14:paraId="5DFD7500">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3FD50478">
            <w:pPr>
              <w:widowControl/>
              <w:wordWrap w:val="0"/>
              <w:spacing w:line="340" w:lineRule="exact"/>
              <w:rPr>
                <w:rFonts w:hint="eastAsia" w:ascii="宋体" w:hAnsi="宋体" w:eastAsia="宋体" w:cs="宋体"/>
                <w:b/>
                <w:bCs/>
                <w:color w:val="auto"/>
                <w:kern w:val="0"/>
                <w:szCs w:val="21"/>
              </w:rPr>
            </w:pPr>
          </w:p>
        </w:tc>
        <w:tc>
          <w:tcPr>
            <w:tcW w:w="1497" w:type="dxa"/>
            <w:tcBorders>
              <w:top w:val="nil"/>
              <w:left w:val="nil"/>
              <w:bottom w:val="single" w:color="auto" w:sz="4" w:space="0"/>
              <w:right w:val="single" w:color="auto" w:sz="4" w:space="0"/>
            </w:tcBorders>
            <w:vAlign w:val="center"/>
          </w:tcPr>
          <w:p w14:paraId="6A1942D6">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营业收入（Y）</w:t>
            </w:r>
          </w:p>
        </w:tc>
        <w:tc>
          <w:tcPr>
            <w:tcW w:w="1179" w:type="dxa"/>
            <w:tcBorders>
              <w:top w:val="nil"/>
              <w:left w:val="nil"/>
              <w:bottom w:val="single" w:color="auto" w:sz="4" w:space="0"/>
              <w:right w:val="single" w:color="auto" w:sz="4" w:space="0"/>
            </w:tcBorders>
            <w:vAlign w:val="center"/>
          </w:tcPr>
          <w:p w14:paraId="66260460">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万元</w:t>
            </w:r>
          </w:p>
        </w:tc>
        <w:tc>
          <w:tcPr>
            <w:tcW w:w="1798" w:type="dxa"/>
            <w:tcBorders>
              <w:top w:val="nil"/>
              <w:left w:val="nil"/>
              <w:bottom w:val="single" w:color="auto" w:sz="4" w:space="0"/>
              <w:right w:val="single" w:color="auto" w:sz="4" w:space="0"/>
            </w:tcBorders>
            <w:vAlign w:val="center"/>
          </w:tcPr>
          <w:p w14:paraId="5B82C1A5">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2000≤Y＜10000</w:t>
            </w:r>
          </w:p>
        </w:tc>
        <w:tc>
          <w:tcPr>
            <w:tcW w:w="1701" w:type="dxa"/>
            <w:tcBorders>
              <w:top w:val="nil"/>
              <w:left w:val="nil"/>
              <w:bottom w:val="single" w:color="auto" w:sz="4" w:space="0"/>
              <w:right w:val="single" w:color="auto" w:sz="4" w:space="0"/>
            </w:tcBorders>
            <w:vAlign w:val="center"/>
          </w:tcPr>
          <w:p w14:paraId="424BD0ED">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100≤Y＜2000</w:t>
            </w:r>
          </w:p>
        </w:tc>
        <w:tc>
          <w:tcPr>
            <w:tcW w:w="1201" w:type="dxa"/>
            <w:tcBorders>
              <w:top w:val="nil"/>
              <w:left w:val="nil"/>
              <w:bottom w:val="single" w:color="auto" w:sz="4" w:space="0"/>
              <w:right w:val="single" w:color="auto" w:sz="4" w:space="0"/>
            </w:tcBorders>
            <w:vAlign w:val="center"/>
          </w:tcPr>
          <w:p w14:paraId="719AE2D8">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Y＜100</w:t>
            </w:r>
          </w:p>
        </w:tc>
      </w:tr>
      <w:tr w14:paraId="42218E98">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5F7E56A4">
            <w:pPr>
              <w:widowControl/>
              <w:wordWrap w:val="0"/>
              <w:spacing w:line="34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信息传输业</w:t>
            </w:r>
          </w:p>
        </w:tc>
        <w:tc>
          <w:tcPr>
            <w:tcW w:w="1497" w:type="dxa"/>
            <w:tcBorders>
              <w:top w:val="nil"/>
              <w:left w:val="nil"/>
              <w:bottom w:val="single" w:color="auto" w:sz="4" w:space="0"/>
              <w:right w:val="single" w:color="auto" w:sz="4" w:space="0"/>
            </w:tcBorders>
            <w:vAlign w:val="center"/>
          </w:tcPr>
          <w:p w14:paraId="0CCEC306">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从业人员（X）</w:t>
            </w:r>
          </w:p>
        </w:tc>
        <w:tc>
          <w:tcPr>
            <w:tcW w:w="1179" w:type="dxa"/>
            <w:tcBorders>
              <w:top w:val="nil"/>
              <w:left w:val="nil"/>
              <w:bottom w:val="single" w:color="auto" w:sz="4" w:space="0"/>
              <w:right w:val="single" w:color="auto" w:sz="4" w:space="0"/>
            </w:tcBorders>
            <w:vAlign w:val="center"/>
          </w:tcPr>
          <w:p w14:paraId="731C70CD">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人</w:t>
            </w:r>
          </w:p>
        </w:tc>
        <w:tc>
          <w:tcPr>
            <w:tcW w:w="1798" w:type="dxa"/>
            <w:tcBorders>
              <w:top w:val="nil"/>
              <w:left w:val="nil"/>
              <w:bottom w:val="single" w:color="auto" w:sz="4" w:space="0"/>
              <w:right w:val="single" w:color="auto" w:sz="4" w:space="0"/>
            </w:tcBorders>
            <w:vAlign w:val="center"/>
          </w:tcPr>
          <w:p w14:paraId="25206E72">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100≤X＜2000</w:t>
            </w:r>
          </w:p>
        </w:tc>
        <w:tc>
          <w:tcPr>
            <w:tcW w:w="1701" w:type="dxa"/>
            <w:tcBorders>
              <w:top w:val="nil"/>
              <w:left w:val="nil"/>
              <w:bottom w:val="single" w:color="auto" w:sz="4" w:space="0"/>
              <w:right w:val="single" w:color="auto" w:sz="4" w:space="0"/>
            </w:tcBorders>
            <w:vAlign w:val="center"/>
          </w:tcPr>
          <w:p w14:paraId="6839DC8F">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10≤X＜100</w:t>
            </w:r>
          </w:p>
        </w:tc>
        <w:tc>
          <w:tcPr>
            <w:tcW w:w="1201" w:type="dxa"/>
            <w:tcBorders>
              <w:top w:val="nil"/>
              <w:left w:val="nil"/>
              <w:bottom w:val="single" w:color="auto" w:sz="4" w:space="0"/>
              <w:right w:val="single" w:color="auto" w:sz="4" w:space="0"/>
            </w:tcBorders>
            <w:vAlign w:val="center"/>
          </w:tcPr>
          <w:p w14:paraId="0ECF4F4A">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X＜10</w:t>
            </w:r>
          </w:p>
        </w:tc>
      </w:tr>
      <w:tr w14:paraId="76743643">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1C68265A">
            <w:pPr>
              <w:widowControl/>
              <w:wordWrap w:val="0"/>
              <w:spacing w:line="340" w:lineRule="exact"/>
              <w:rPr>
                <w:rFonts w:hint="eastAsia" w:ascii="宋体" w:hAnsi="宋体" w:eastAsia="宋体" w:cs="宋体"/>
                <w:b/>
                <w:bCs/>
                <w:color w:val="auto"/>
                <w:kern w:val="0"/>
                <w:szCs w:val="21"/>
              </w:rPr>
            </w:pPr>
          </w:p>
        </w:tc>
        <w:tc>
          <w:tcPr>
            <w:tcW w:w="1497" w:type="dxa"/>
            <w:tcBorders>
              <w:top w:val="nil"/>
              <w:left w:val="nil"/>
              <w:bottom w:val="single" w:color="auto" w:sz="4" w:space="0"/>
              <w:right w:val="single" w:color="auto" w:sz="4" w:space="0"/>
            </w:tcBorders>
            <w:vAlign w:val="center"/>
          </w:tcPr>
          <w:p w14:paraId="629408F5">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营业收入（Y）</w:t>
            </w:r>
          </w:p>
        </w:tc>
        <w:tc>
          <w:tcPr>
            <w:tcW w:w="1179" w:type="dxa"/>
            <w:tcBorders>
              <w:top w:val="nil"/>
              <w:left w:val="nil"/>
              <w:bottom w:val="single" w:color="auto" w:sz="4" w:space="0"/>
              <w:right w:val="single" w:color="auto" w:sz="4" w:space="0"/>
            </w:tcBorders>
            <w:vAlign w:val="center"/>
          </w:tcPr>
          <w:p w14:paraId="64289D08">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万元</w:t>
            </w:r>
          </w:p>
        </w:tc>
        <w:tc>
          <w:tcPr>
            <w:tcW w:w="1798" w:type="dxa"/>
            <w:tcBorders>
              <w:top w:val="nil"/>
              <w:left w:val="nil"/>
              <w:bottom w:val="single" w:color="auto" w:sz="4" w:space="0"/>
              <w:right w:val="single" w:color="auto" w:sz="4" w:space="0"/>
            </w:tcBorders>
            <w:vAlign w:val="center"/>
          </w:tcPr>
          <w:p w14:paraId="051D29AE">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1000≤Y＜100000</w:t>
            </w:r>
          </w:p>
        </w:tc>
        <w:tc>
          <w:tcPr>
            <w:tcW w:w="1701" w:type="dxa"/>
            <w:tcBorders>
              <w:top w:val="nil"/>
              <w:left w:val="nil"/>
              <w:bottom w:val="single" w:color="auto" w:sz="4" w:space="0"/>
              <w:right w:val="single" w:color="auto" w:sz="4" w:space="0"/>
            </w:tcBorders>
            <w:vAlign w:val="center"/>
          </w:tcPr>
          <w:p w14:paraId="4AD4AFA8">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100≤Y＜1000</w:t>
            </w:r>
          </w:p>
        </w:tc>
        <w:tc>
          <w:tcPr>
            <w:tcW w:w="1201" w:type="dxa"/>
            <w:tcBorders>
              <w:top w:val="nil"/>
              <w:left w:val="nil"/>
              <w:bottom w:val="single" w:color="auto" w:sz="4" w:space="0"/>
              <w:right w:val="single" w:color="auto" w:sz="4" w:space="0"/>
            </w:tcBorders>
            <w:vAlign w:val="center"/>
          </w:tcPr>
          <w:p w14:paraId="5C63A9C1">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Y＜100</w:t>
            </w:r>
          </w:p>
        </w:tc>
      </w:tr>
      <w:tr w14:paraId="075E41B8">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6352B0C8">
            <w:pPr>
              <w:widowControl/>
              <w:wordWrap w:val="0"/>
              <w:spacing w:line="34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软件和信息技术服务业</w:t>
            </w:r>
          </w:p>
        </w:tc>
        <w:tc>
          <w:tcPr>
            <w:tcW w:w="1497" w:type="dxa"/>
            <w:tcBorders>
              <w:top w:val="nil"/>
              <w:left w:val="nil"/>
              <w:bottom w:val="single" w:color="auto" w:sz="4" w:space="0"/>
              <w:right w:val="single" w:color="auto" w:sz="4" w:space="0"/>
            </w:tcBorders>
            <w:vAlign w:val="center"/>
          </w:tcPr>
          <w:p w14:paraId="7654E004">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从业人员（X）</w:t>
            </w:r>
          </w:p>
        </w:tc>
        <w:tc>
          <w:tcPr>
            <w:tcW w:w="1179" w:type="dxa"/>
            <w:tcBorders>
              <w:top w:val="nil"/>
              <w:left w:val="nil"/>
              <w:bottom w:val="single" w:color="auto" w:sz="4" w:space="0"/>
              <w:right w:val="single" w:color="auto" w:sz="4" w:space="0"/>
            </w:tcBorders>
            <w:vAlign w:val="center"/>
          </w:tcPr>
          <w:p w14:paraId="3122E0DB">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人</w:t>
            </w:r>
          </w:p>
        </w:tc>
        <w:tc>
          <w:tcPr>
            <w:tcW w:w="1798" w:type="dxa"/>
            <w:tcBorders>
              <w:top w:val="nil"/>
              <w:left w:val="nil"/>
              <w:bottom w:val="single" w:color="auto" w:sz="4" w:space="0"/>
              <w:right w:val="single" w:color="auto" w:sz="4" w:space="0"/>
            </w:tcBorders>
            <w:vAlign w:val="center"/>
          </w:tcPr>
          <w:p w14:paraId="2218FE83">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100≤X＜300</w:t>
            </w:r>
          </w:p>
        </w:tc>
        <w:tc>
          <w:tcPr>
            <w:tcW w:w="1701" w:type="dxa"/>
            <w:tcBorders>
              <w:top w:val="nil"/>
              <w:left w:val="nil"/>
              <w:bottom w:val="single" w:color="auto" w:sz="4" w:space="0"/>
              <w:right w:val="single" w:color="auto" w:sz="4" w:space="0"/>
            </w:tcBorders>
            <w:vAlign w:val="center"/>
          </w:tcPr>
          <w:p w14:paraId="33E8AFF9">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10≤X＜100</w:t>
            </w:r>
          </w:p>
        </w:tc>
        <w:tc>
          <w:tcPr>
            <w:tcW w:w="1201" w:type="dxa"/>
            <w:tcBorders>
              <w:top w:val="nil"/>
              <w:left w:val="nil"/>
              <w:bottom w:val="single" w:color="auto" w:sz="4" w:space="0"/>
              <w:right w:val="single" w:color="auto" w:sz="4" w:space="0"/>
            </w:tcBorders>
            <w:vAlign w:val="center"/>
          </w:tcPr>
          <w:p w14:paraId="00B3A8C5">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X＜10</w:t>
            </w:r>
          </w:p>
        </w:tc>
      </w:tr>
      <w:tr w14:paraId="5CCBAF25">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460BF381">
            <w:pPr>
              <w:widowControl/>
              <w:wordWrap w:val="0"/>
              <w:spacing w:line="340" w:lineRule="exact"/>
              <w:rPr>
                <w:rFonts w:hint="eastAsia" w:ascii="宋体" w:hAnsi="宋体" w:eastAsia="宋体" w:cs="宋体"/>
                <w:b/>
                <w:bCs/>
                <w:color w:val="auto"/>
                <w:kern w:val="0"/>
                <w:szCs w:val="21"/>
              </w:rPr>
            </w:pPr>
          </w:p>
        </w:tc>
        <w:tc>
          <w:tcPr>
            <w:tcW w:w="1497" w:type="dxa"/>
            <w:tcBorders>
              <w:top w:val="nil"/>
              <w:left w:val="nil"/>
              <w:bottom w:val="single" w:color="auto" w:sz="4" w:space="0"/>
              <w:right w:val="single" w:color="auto" w:sz="4" w:space="0"/>
            </w:tcBorders>
            <w:vAlign w:val="center"/>
          </w:tcPr>
          <w:p w14:paraId="53898207">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营业收入（Y）</w:t>
            </w:r>
          </w:p>
        </w:tc>
        <w:tc>
          <w:tcPr>
            <w:tcW w:w="1179" w:type="dxa"/>
            <w:tcBorders>
              <w:top w:val="nil"/>
              <w:left w:val="nil"/>
              <w:bottom w:val="single" w:color="auto" w:sz="4" w:space="0"/>
              <w:right w:val="single" w:color="auto" w:sz="4" w:space="0"/>
            </w:tcBorders>
            <w:vAlign w:val="center"/>
          </w:tcPr>
          <w:p w14:paraId="5D4E26C0">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万元</w:t>
            </w:r>
          </w:p>
        </w:tc>
        <w:tc>
          <w:tcPr>
            <w:tcW w:w="1798" w:type="dxa"/>
            <w:tcBorders>
              <w:top w:val="nil"/>
              <w:left w:val="nil"/>
              <w:bottom w:val="single" w:color="auto" w:sz="4" w:space="0"/>
              <w:right w:val="single" w:color="auto" w:sz="4" w:space="0"/>
            </w:tcBorders>
            <w:vAlign w:val="center"/>
          </w:tcPr>
          <w:p w14:paraId="1A317649">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1000≤Y＜10000</w:t>
            </w:r>
          </w:p>
        </w:tc>
        <w:tc>
          <w:tcPr>
            <w:tcW w:w="1701" w:type="dxa"/>
            <w:tcBorders>
              <w:top w:val="nil"/>
              <w:left w:val="nil"/>
              <w:bottom w:val="single" w:color="auto" w:sz="4" w:space="0"/>
              <w:right w:val="single" w:color="auto" w:sz="4" w:space="0"/>
            </w:tcBorders>
            <w:vAlign w:val="center"/>
          </w:tcPr>
          <w:p w14:paraId="76937C86">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50≤Y＜1000</w:t>
            </w:r>
          </w:p>
        </w:tc>
        <w:tc>
          <w:tcPr>
            <w:tcW w:w="1201" w:type="dxa"/>
            <w:tcBorders>
              <w:top w:val="nil"/>
              <w:left w:val="nil"/>
              <w:bottom w:val="single" w:color="auto" w:sz="4" w:space="0"/>
              <w:right w:val="single" w:color="auto" w:sz="4" w:space="0"/>
            </w:tcBorders>
            <w:vAlign w:val="center"/>
          </w:tcPr>
          <w:p w14:paraId="131D0EC1">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Y＜50</w:t>
            </w:r>
          </w:p>
        </w:tc>
      </w:tr>
      <w:tr w14:paraId="0BCA9EB5">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0D0AFEA7">
            <w:pPr>
              <w:widowControl/>
              <w:wordWrap w:val="0"/>
              <w:spacing w:line="34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房地产开发经营</w:t>
            </w:r>
          </w:p>
        </w:tc>
        <w:tc>
          <w:tcPr>
            <w:tcW w:w="1497" w:type="dxa"/>
            <w:tcBorders>
              <w:top w:val="nil"/>
              <w:left w:val="nil"/>
              <w:bottom w:val="single" w:color="auto" w:sz="4" w:space="0"/>
              <w:right w:val="single" w:color="auto" w:sz="4" w:space="0"/>
            </w:tcBorders>
            <w:vAlign w:val="center"/>
          </w:tcPr>
          <w:p w14:paraId="79D808D5">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营业收入（Y）</w:t>
            </w:r>
          </w:p>
        </w:tc>
        <w:tc>
          <w:tcPr>
            <w:tcW w:w="1179" w:type="dxa"/>
            <w:tcBorders>
              <w:top w:val="nil"/>
              <w:left w:val="nil"/>
              <w:bottom w:val="single" w:color="auto" w:sz="4" w:space="0"/>
              <w:right w:val="single" w:color="auto" w:sz="4" w:space="0"/>
            </w:tcBorders>
            <w:vAlign w:val="center"/>
          </w:tcPr>
          <w:p w14:paraId="6FD7CE1C">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万元</w:t>
            </w:r>
          </w:p>
        </w:tc>
        <w:tc>
          <w:tcPr>
            <w:tcW w:w="1798" w:type="dxa"/>
            <w:tcBorders>
              <w:top w:val="nil"/>
              <w:left w:val="nil"/>
              <w:bottom w:val="single" w:color="auto" w:sz="4" w:space="0"/>
              <w:right w:val="single" w:color="auto" w:sz="4" w:space="0"/>
            </w:tcBorders>
            <w:vAlign w:val="center"/>
          </w:tcPr>
          <w:p w14:paraId="450AF664">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1000≤Y＜200000</w:t>
            </w:r>
          </w:p>
        </w:tc>
        <w:tc>
          <w:tcPr>
            <w:tcW w:w="1701" w:type="dxa"/>
            <w:tcBorders>
              <w:top w:val="nil"/>
              <w:left w:val="nil"/>
              <w:bottom w:val="single" w:color="auto" w:sz="4" w:space="0"/>
              <w:right w:val="single" w:color="auto" w:sz="4" w:space="0"/>
            </w:tcBorders>
            <w:vAlign w:val="center"/>
          </w:tcPr>
          <w:p w14:paraId="509B3BA9">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100≤X＜1000</w:t>
            </w:r>
          </w:p>
        </w:tc>
        <w:tc>
          <w:tcPr>
            <w:tcW w:w="1201" w:type="dxa"/>
            <w:tcBorders>
              <w:top w:val="nil"/>
              <w:left w:val="nil"/>
              <w:bottom w:val="single" w:color="auto" w:sz="4" w:space="0"/>
              <w:right w:val="single" w:color="auto" w:sz="4" w:space="0"/>
            </w:tcBorders>
            <w:vAlign w:val="center"/>
          </w:tcPr>
          <w:p w14:paraId="6E4C9A5C">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X＜100</w:t>
            </w:r>
          </w:p>
        </w:tc>
      </w:tr>
      <w:tr w14:paraId="1EE9F55F">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77372CCA">
            <w:pPr>
              <w:widowControl/>
              <w:wordWrap w:val="0"/>
              <w:spacing w:line="340" w:lineRule="exact"/>
              <w:rPr>
                <w:rFonts w:hint="eastAsia" w:ascii="宋体" w:hAnsi="宋体" w:eastAsia="宋体" w:cs="宋体"/>
                <w:b/>
                <w:bCs/>
                <w:color w:val="auto"/>
                <w:kern w:val="0"/>
                <w:szCs w:val="21"/>
              </w:rPr>
            </w:pPr>
          </w:p>
        </w:tc>
        <w:tc>
          <w:tcPr>
            <w:tcW w:w="1497" w:type="dxa"/>
            <w:tcBorders>
              <w:top w:val="nil"/>
              <w:left w:val="nil"/>
              <w:bottom w:val="single" w:color="auto" w:sz="4" w:space="0"/>
              <w:right w:val="single" w:color="auto" w:sz="4" w:space="0"/>
            </w:tcBorders>
            <w:vAlign w:val="center"/>
          </w:tcPr>
          <w:p w14:paraId="1ABE3393">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资产总额（Z）</w:t>
            </w:r>
          </w:p>
        </w:tc>
        <w:tc>
          <w:tcPr>
            <w:tcW w:w="1179" w:type="dxa"/>
            <w:tcBorders>
              <w:top w:val="nil"/>
              <w:left w:val="nil"/>
              <w:bottom w:val="single" w:color="auto" w:sz="4" w:space="0"/>
              <w:right w:val="single" w:color="auto" w:sz="4" w:space="0"/>
            </w:tcBorders>
            <w:vAlign w:val="center"/>
          </w:tcPr>
          <w:p w14:paraId="0DCD615A">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万元</w:t>
            </w:r>
          </w:p>
        </w:tc>
        <w:tc>
          <w:tcPr>
            <w:tcW w:w="1798" w:type="dxa"/>
            <w:tcBorders>
              <w:top w:val="nil"/>
              <w:left w:val="nil"/>
              <w:bottom w:val="single" w:color="auto" w:sz="4" w:space="0"/>
              <w:right w:val="single" w:color="auto" w:sz="4" w:space="0"/>
            </w:tcBorders>
            <w:vAlign w:val="center"/>
          </w:tcPr>
          <w:p w14:paraId="1B1C7019">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5000≤Z＜10000</w:t>
            </w:r>
          </w:p>
        </w:tc>
        <w:tc>
          <w:tcPr>
            <w:tcW w:w="1701" w:type="dxa"/>
            <w:tcBorders>
              <w:top w:val="nil"/>
              <w:left w:val="nil"/>
              <w:bottom w:val="single" w:color="auto" w:sz="4" w:space="0"/>
              <w:right w:val="single" w:color="auto" w:sz="4" w:space="0"/>
            </w:tcBorders>
            <w:vAlign w:val="center"/>
          </w:tcPr>
          <w:p w14:paraId="2D051D9D">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2000≤Y＜5000</w:t>
            </w:r>
          </w:p>
        </w:tc>
        <w:tc>
          <w:tcPr>
            <w:tcW w:w="1201" w:type="dxa"/>
            <w:tcBorders>
              <w:top w:val="nil"/>
              <w:left w:val="nil"/>
              <w:bottom w:val="single" w:color="auto" w:sz="4" w:space="0"/>
              <w:right w:val="single" w:color="auto" w:sz="4" w:space="0"/>
            </w:tcBorders>
            <w:vAlign w:val="center"/>
          </w:tcPr>
          <w:p w14:paraId="384DE228">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Y＜2000</w:t>
            </w:r>
          </w:p>
        </w:tc>
      </w:tr>
      <w:tr w14:paraId="2425CF2A">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1076F304">
            <w:pPr>
              <w:widowControl/>
              <w:wordWrap w:val="0"/>
              <w:spacing w:line="34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物业管理</w:t>
            </w:r>
          </w:p>
        </w:tc>
        <w:tc>
          <w:tcPr>
            <w:tcW w:w="1497" w:type="dxa"/>
            <w:tcBorders>
              <w:top w:val="nil"/>
              <w:left w:val="nil"/>
              <w:bottom w:val="single" w:color="auto" w:sz="4" w:space="0"/>
              <w:right w:val="single" w:color="auto" w:sz="4" w:space="0"/>
            </w:tcBorders>
            <w:vAlign w:val="center"/>
          </w:tcPr>
          <w:p w14:paraId="3E558817">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从业人员（X）</w:t>
            </w:r>
          </w:p>
        </w:tc>
        <w:tc>
          <w:tcPr>
            <w:tcW w:w="1179" w:type="dxa"/>
            <w:tcBorders>
              <w:top w:val="nil"/>
              <w:left w:val="nil"/>
              <w:bottom w:val="single" w:color="auto" w:sz="4" w:space="0"/>
              <w:right w:val="single" w:color="auto" w:sz="4" w:space="0"/>
            </w:tcBorders>
            <w:vAlign w:val="center"/>
          </w:tcPr>
          <w:p w14:paraId="7252B790">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人</w:t>
            </w:r>
          </w:p>
        </w:tc>
        <w:tc>
          <w:tcPr>
            <w:tcW w:w="1798" w:type="dxa"/>
            <w:tcBorders>
              <w:top w:val="nil"/>
              <w:left w:val="nil"/>
              <w:bottom w:val="single" w:color="auto" w:sz="4" w:space="0"/>
              <w:right w:val="single" w:color="auto" w:sz="4" w:space="0"/>
            </w:tcBorders>
            <w:vAlign w:val="center"/>
          </w:tcPr>
          <w:p w14:paraId="6A590E04">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300≤X＜1000</w:t>
            </w:r>
          </w:p>
        </w:tc>
        <w:tc>
          <w:tcPr>
            <w:tcW w:w="1701" w:type="dxa"/>
            <w:tcBorders>
              <w:top w:val="nil"/>
              <w:left w:val="nil"/>
              <w:bottom w:val="single" w:color="auto" w:sz="4" w:space="0"/>
              <w:right w:val="single" w:color="auto" w:sz="4" w:space="0"/>
            </w:tcBorders>
            <w:vAlign w:val="center"/>
          </w:tcPr>
          <w:p w14:paraId="757B8F49">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100≤X＜300</w:t>
            </w:r>
          </w:p>
        </w:tc>
        <w:tc>
          <w:tcPr>
            <w:tcW w:w="1201" w:type="dxa"/>
            <w:tcBorders>
              <w:top w:val="nil"/>
              <w:left w:val="nil"/>
              <w:bottom w:val="single" w:color="auto" w:sz="4" w:space="0"/>
              <w:right w:val="single" w:color="auto" w:sz="4" w:space="0"/>
            </w:tcBorders>
            <w:vAlign w:val="center"/>
          </w:tcPr>
          <w:p w14:paraId="2034C993">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X＜100</w:t>
            </w:r>
          </w:p>
        </w:tc>
      </w:tr>
      <w:tr w14:paraId="413D262D">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59895207">
            <w:pPr>
              <w:widowControl/>
              <w:wordWrap w:val="0"/>
              <w:spacing w:line="340" w:lineRule="exact"/>
              <w:rPr>
                <w:rFonts w:hint="eastAsia" w:ascii="宋体" w:hAnsi="宋体" w:eastAsia="宋体" w:cs="宋体"/>
                <w:b/>
                <w:bCs/>
                <w:color w:val="auto"/>
                <w:kern w:val="0"/>
                <w:szCs w:val="21"/>
              </w:rPr>
            </w:pPr>
          </w:p>
        </w:tc>
        <w:tc>
          <w:tcPr>
            <w:tcW w:w="1497" w:type="dxa"/>
            <w:tcBorders>
              <w:top w:val="nil"/>
              <w:left w:val="nil"/>
              <w:bottom w:val="single" w:color="auto" w:sz="4" w:space="0"/>
              <w:right w:val="single" w:color="auto" w:sz="4" w:space="0"/>
            </w:tcBorders>
            <w:vAlign w:val="center"/>
          </w:tcPr>
          <w:p w14:paraId="041CB33C">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营业收入（Y）</w:t>
            </w:r>
          </w:p>
        </w:tc>
        <w:tc>
          <w:tcPr>
            <w:tcW w:w="1179" w:type="dxa"/>
            <w:tcBorders>
              <w:top w:val="nil"/>
              <w:left w:val="nil"/>
              <w:bottom w:val="single" w:color="auto" w:sz="4" w:space="0"/>
              <w:right w:val="single" w:color="auto" w:sz="4" w:space="0"/>
            </w:tcBorders>
            <w:vAlign w:val="center"/>
          </w:tcPr>
          <w:p w14:paraId="5C14AC5C">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万元</w:t>
            </w:r>
          </w:p>
        </w:tc>
        <w:tc>
          <w:tcPr>
            <w:tcW w:w="1798" w:type="dxa"/>
            <w:tcBorders>
              <w:top w:val="nil"/>
              <w:left w:val="nil"/>
              <w:bottom w:val="single" w:color="auto" w:sz="4" w:space="0"/>
              <w:right w:val="single" w:color="auto" w:sz="4" w:space="0"/>
            </w:tcBorders>
            <w:vAlign w:val="center"/>
          </w:tcPr>
          <w:p w14:paraId="20251BAB">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1000≤Y＜5000</w:t>
            </w:r>
          </w:p>
        </w:tc>
        <w:tc>
          <w:tcPr>
            <w:tcW w:w="1701" w:type="dxa"/>
            <w:tcBorders>
              <w:top w:val="nil"/>
              <w:left w:val="nil"/>
              <w:bottom w:val="single" w:color="auto" w:sz="4" w:space="0"/>
              <w:right w:val="single" w:color="auto" w:sz="4" w:space="0"/>
            </w:tcBorders>
            <w:vAlign w:val="center"/>
          </w:tcPr>
          <w:p w14:paraId="4AA32538">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500≤Y＜1000</w:t>
            </w:r>
          </w:p>
        </w:tc>
        <w:tc>
          <w:tcPr>
            <w:tcW w:w="1201" w:type="dxa"/>
            <w:tcBorders>
              <w:top w:val="nil"/>
              <w:left w:val="nil"/>
              <w:bottom w:val="single" w:color="auto" w:sz="4" w:space="0"/>
              <w:right w:val="single" w:color="auto" w:sz="4" w:space="0"/>
            </w:tcBorders>
            <w:vAlign w:val="center"/>
          </w:tcPr>
          <w:p w14:paraId="6FD7B4BA">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Y＜500</w:t>
            </w:r>
          </w:p>
        </w:tc>
      </w:tr>
      <w:tr w14:paraId="63B10605">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61EE67AF">
            <w:pPr>
              <w:widowControl/>
              <w:wordWrap w:val="0"/>
              <w:spacing w:line="34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租赁和商务服务业</w:t>
            </w:r>
          </w:p>
        </w:tc>
        <w:tc>
          <w:tcPr>
            <w:tcW w:w="1497" w:type="dxa"/>
            <w:tcBorders>
              <w:top w:val="nil"/>
              <w:left w:val="nil"/>
              <w:bottom w:val="single" w:color="auto" w:sz="4" w:space="0"/>
              <w:right w:val="single" w:color="auto" w:sz="4" w:space="0"/>
            </w:tcBorders>
            <w:vAlign w:val="center"/>
          </w:tcPr>
          <w:p w14:paraId="120C8E87">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从业人员（X）</w:t>
            </w:r>
          </w:p>
        </w:tc>
        <w:tc>
          <w:tcPr>
            <w:tcW w:w="1179" w:type="dxa"/>
            <w:tcBorders>
              <w:top w:val="nil"/>
              <w:left w:val="nil"/>
              <w:bottom w:val="single" w:color="auto" w:sz="4" w:space="0"/>
              <w:right w:val="single" w:color="auto" w:sz="4" w:space="0"/>
            </w:tcBorders>
            <w:vAlign w:val="center"/>
          </w:tcPr>
          <w:p w14:paraId="06C47E61">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人</w:t>
            </w:r>
          </w:p>
        </w:tc>
        <w:tc>
          <w:tcPr>
            <w:tcW w:w="1798" w:type="dxa"/>
            <w:tcBorders>
              <w:top w:val="nil"/>
              <w:left w:val="nil"/>
              <w:bottom w:val="single" w:color="auto" w:sz="4" w:space="0"/>
              <w:right w:val="single" w:color="auto" w:sz="4" w:space="0"/>
            </w:tcBorders>
            <w:vAlign w:val="center"/>
          </w:tcPr>
          <w:p w14:paraId="3B30FE98">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100≤X＜300</w:t>
            </w:r>
          </w:p>
        </w:tc>
        <w:tc>
          <w:tcPr>
            <w:tcW w:w="1701" w:type="dxa"/>
            <w:tcBorders>
              <w:top w:val="nil"/>
              <w:left w:val="nil"/>
              <w:bottom w:val="single" w:color="auto" w:sz="4" w:space="0"/>
              <w:right w:val="single" w:color="auto" w:sz="4" w:space="0"/>
            </w:tcBorders>
            <w:vAlign w:val="center"/>
          </w:tcPr>
          <w:p w14:paraId="61A3DF43">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10≤X＜100</w:t>
            </w:r>
          </w:p>
        </w:tc>
        <w:tc>
          <w:tcPr>
            <w:tcW w:w="1201" w:type="dxa"/>
            <w:tcBorders>
              <w:top w:val="nil"/>
              <w:left w:val="nil"/>
              <w:bottom w:val="single" w:color="auto" w:sz="4" w:space="0"/>
              <w:right w:val="single" w:color="auto" w:sz="4" w:space="0"/>
            </w:tcBorders>
            <w:vAlign w:val="center"/>
          </w:tcPr>
          <w:p w14:paraId="66B90992">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X＜10</w:t>
            </w:r>
          </w:p>
        </w:tc>
      </w:tr>
      <w:tr w14:paraId="2AF0FD8F">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1940E1CF">
            <w:pPr>
              <w:widowControl/>
              <w:wordWrap w:val="0"/>
              <w:spacing w:line="340" w:lineRule="exact"/>
              <w:rPr>
                <w:rFonts w:hint="eastAsia" w:ascii="宋体" w:hAnsi="宋体" w:eastAsia="宋体" w:cs="宋体"/>
                <w:b/>
                <w:bCs/>
                <w:color w:val="auto"/>
                <w:kern w:val="0"/>
                <w:szCs w:val="21"/>
              </w:rPr>
            </w:pPr>
          </w:p>
        </w:tc>
        <w:tc>
          <w:tcPr>
            <w:tcW w:w="1497" w:type="dxa"/>
            <w:tcBorders>
              <w:top w:val="nil"/>
              <w:left w:val="nil"/>
              <w:bottom w:val="single" w:color="auto" w:sz="4" w:space="0"/>
              <w:right w:val="single" w:color="auto" w:sz="4" w:space="0"/>
            </w:tcBorders>
            <w:vAlign w:val="center"/>
          </w:tcPr>
          <w:p w14:paraId="69237C91">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资产总额（Z）</w:t>
            </w:r>
          </w:p>
        </w:tc>
        <w:tc>
          <w:tcPr>
            <w:tcW w:w="1179" w:type="dxa"/>
            <w:tcBorders>
              <w:top w:val="nil"/>
              <w:left w:val="nil"/>
              <w:bottom w:val="single" w:color="auto" w:sz="4" w:space="0"/>
              <w:right w:val="single" w:color="auto" w:sz="4" w:space="0"/>
            </w:tcBorders>
            <w:vAlign w:val="center"/>
          </w:tcPr>
          <w:p w14:paraId="116EB3A0">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万元</w:t>
            </w:r>
          </w:p>
        </w:tc>
        <w:tc>
          <w:tcPr>
            <w:tcW w:w="1798" w:type="dxa"/>
            <w:tcBorders>
              <w:top w:val="nil"/>
              <w:left w:val="nil"/>
              <w:bottom w:val="single" w:color="auto" w:sz="4" w:space="0"/>
              <w:right w:val="single" w:color="auto" w:sz="4" w:space="0"/>
            </w:tcBorders>
            <w:vAlign w:val="center"/>
          </w:tcPr>
          <w:p w14:paraId="5EEDB8A5">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8000≤Z＜120000</w:t>
            </w:r>
          </w:p>
        </w:tc>
        <w:tc>
          <w:tcPr>
            <w:tcW w:w="1701" w:type="dxa"/>
            <w:tcBorders>
              <w:top w:val="nil"/>
              <w:left w:val="nil"/>
              <w:bottom w:val="single" w:color="auto" w:sz="4" w:space="0"/>
              <w:right w:val="single" w:color="auto" w:sz="4" w:space="0"/>
            </w:tcBorders>
            <w:vAlign w:val="center"/>
          </w:tcPr>
          <w:p w14:paraId="60D182A2">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100≤Z＜8000</w:t>
            </w:r>
          </w:p>
        </w:tc>
        <w:tc>
          <w:tcPr>
            <w:tcW w:w="1201" w:type="dxa"/>
            <w:tcBorders>
              <w:top w:val="nil"/>
              <w:left w:val="nil"/>
              <w:bottom w:val="single" w:color="auto" w:sz="4" w:space="0"/>
              <w:right w:val="single" w:color="auto" w:sz="4" w:space="0"/>
            </w:tcBorders>
            <w:vAlign w:val="center"/>
          </w:tcPr>
          <w:p w14:paraId="608D61E2">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Y＜100</w:t>
            </w:r>
          </w:p>
        </w:tc>
      </w:tr>
      <w:tr w14:paraId="0821A28A">
        <w:tblPrEx>
          <w:tblCellMar>
            <w:top w:w="0" w:type="dxa"/>
            <w:left w:w="108" w:type="dxa"/>
            <w:bottom w:w="0" w:type="dxa"/>
            <w:right w:w="108" w:type="dxa"/>
          </w:tblCellMar>
        </w:tblPrEx>
        <w:trPr>
          <w:trHeight w:val="225" w:hRule="atLeast"/>
          <w:jc w:val="center"/>
        </w:trPr>
        <w:tc>
          <w:tcPr>
            <w:tcW w:w="1764" w:type="dxa"/>
            <w:tcBorders>
              <w:top w:val="nil"/>
              <w:left w:val="single" w:color="auto" w:sz="4" w:space="0"/>
              <w:bottom w:val="single" w:color="auto" w:sz="4" w:space="0"/>
              <w:right w:val="single" w:color="auto" w:sz="4" w:space="0"/>
            </w:tcBorders>
            <w:vAlign w:val="center"/>
          </w:tcPr>
          <w:p w14:paraId="7A3C2459">
            <w:pPr>
              <w:widowControl/>
              <w:wordWrap w:val="0"/>
              <w:spacing w:line="34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其他未列明行业</w:t>
            </w:r>
          </w:p>
        </w:tc>
        <w:tc>
          <w:tcPr>
            <w:tcW w:w="1497" w:type="dxa"/>
            <w:tcBorders>
              <w:top w:val="nil"/>
              <w:left w:val="nil"/>
              <w:bottom w:val="single" w:color="auto" w:sz="4" w:space="0"/>
              <w:right w:val="single" w:color="auto" w:sz="4" w:space="0"/>
            </w:tcBorders>
            <w:vAlign w:val="center"/>
          </w:tcPr>
          <w:p w14:paraId="704B5C85">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从业人员（X）</w:t>
            </w:r>
          </w:p>
        </w:tc>
        <w:tc>
          <w:tcPr>
            <w:tcW w:w="1179" w:type="dxa"/>
            <w:tcBorders>
              <w:top w:val="nil"/>
              <w:left w:val="nil"/>
              <w:bottom w:val="single" w:color="auto" w:sz="4" w:space="0"/>
              <w:right w:val="single" w:color="auto" w:sz="4" w:space="0"/>
            </w:tcBorders>
            <w:vAlign w:val="center"/>
          </w:tcPr>
          <w:p w14:paraId="162953A1">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人</w:t>
            </w:r>
          </w:p>
        </w:tc>
        <w:tc>
          <w:tcPr>
            <w:tcW w:w="1798" w:type="dxa"/>
            <w:tcBorders>
              <w:top w:val="nil"/>
              <w:left w:val="nil"/>
              <w:bottom w:val="single" w:color="auto" w:sz="4" w:space="0"/>
              <w:right w:val="single" w:color="auto" w:sz="4" w:space="0"/>
            </w:tcBorders>
            <w:vAlign w:val="center"/>
          </w:tcPr>
          <w:p w14:paraId="4A79FDF6">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100≤X＜300</w:t>
            </w:r>
          </w:p>
        </w:tc>
        <w:tc>
          <w:tcPr>
            <w:tcW w:w="1701" w:type="dxa"/>
            <w:tcBorders>
              <w:top w:val="nil"/>
              <w:left w:val="nil"/>
              <w:bottom w:val="single" w:color="auto" w:sz="4" w:space="0"/>
              <w:right w:val="single" w:color="auto" w:sz="4" w:space="0"/>
            </w:tcBorders>
            <w:vAlign w:val="center"/>
          </w:tcPr>
          <w:p w14:paraId="4510A23B">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10≤X＜100</w:t>
            </w:r>
          </w:p>
        </w:tc>
        <w:tc>
          <w:tcPr>
            <w:tcW w:w="1201" w:type="dxa"/>
            <w:tcBorders>
              <w:top w:val="nil"/>
              <w:left w:val="nil"/>
              <w:bottom w:val="single" w:color="auto" w:sz="4" w:space="0"/>
              <w:right w:val="single" w:color="auto" w:sz="4" w:space="0"/>
            </w:tcBorders>
            <w:vAlign w:val="center"/>
          </w:tcPr>
          <w:p w14:paraId="2A2C7F70">
            <w:pPr>
              <w:widowControl/>
              <w:wordWrap w:val="0"/>
              <w:spacing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X＜10</w:t>
            </w:r>
          </w:p>
        </w:tc>
      </w:tr>
    </w:tbl>
    <w:p w14:paraId="0D653A1D">
      <w:pPr>
        <w:widowControl/>
        <w:wordWrap w:val="0"/>
        <w:spacing w:line="400" w:lineRule="exact"/>
        <w:ind w:firstLine="420" w:firstLineChars="200"/>
        <w:rPr>
          <w:rFonts w:hint="eastAsia" w:ascii="宋体" w:hAnsi="宋体" w:eastAsia="宋体" w:cs="宋体"/>
          <w:iCs/>
          <w:color w:val="auto"/>
          <w:szCs w:val="21"/>
        </w:rPr>
      </w:pPr>
      <w:r>
        <w:rPr>
          <w:rFonts w:hint="eastAsia" w:ascii="宋体" w:hAnsi="宋体" w:eastAsia="宋体" w:cs="宋体"/>
          <w:iCs/>
          <w:color w:val="auto"/>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7F7323ED">
      <w:pPr>
        <w:pStyle w:val="19"/>
        <w:wordWrap w:val="0"/>
        <w:rPr>
          <w:rFonts w:hint="eastAsia" w:ascii="宋体" w:hAnsi="宋体" w:eastAsia="宋体" w:cs="宋体"/>
          <w:color w:val="auto"/>
        </w:rPr>
      </w:pPr>
    </w:p>
    <w:p w14:paraId="13569583">
      <w:pPr>
        <w:wordWrap w:val="0"/>
        <w:rPr>
          <w:rFonts w:hint="eastAsia" w:ascii="宋体" w:hAnsi="宋体" w:eastAsia="宋体" w:cs="宋体"/>
          <w:color w:val="auto"/>
        </w:rPr>
        <w:sectPr>
          <w:footerReference r:id="rId9" w:type="first"/>
          <w:pgSz w:w="11906" w:h="16838"/>
          <w:pgMar w:top="1134" w:right="1247" w:bottom="1134" w:left="1247" w:header="737" w:footer="680" w:gutter="113"/>
          <w:pgNumType w:start="1"/>
          <w:cols w:space="720" w:num="1"/>
          <w:titlePg/>
          <w:docGrid w:linePitch="312" w:charSpace="0"/>
        </w:sectPr>
      </w:pPr>
    </w:p>
    <w:bookmarkEnd w:id="58"/>
    <w:bookmarkEnd w:id="59"/>
    <w:bookmarkEnd w:id="61"/>
    <w:p w14:paraId="5F5701AA">
      <w:pPr>
        <w:pStyle w:val="2"/>
        <w:keepNext w:val="0"/>
        <w:keepLines w:val="0"/>
        <w:tabs>
          <w:tab w:val="left" w:pos="0"/>
          <w:tab w:val="left" w:pos="3165"/>
          <w:tab w:val="center" w:pos="4153"/>
        </w:tabs>
        <w:autoSpaceDE w:val="0"/>
        <w:autoSpaceDN w:val="0"/>
        <w:adjustRightInd w:val="0"/>
        <w:spacing w:before="0" w:after="0" w:line="360" w:lineRule="auto"/>
        <w:rPr>
          <w:rFonts w:hint="eastAsia" w:ascii="宋体" w:hAnsi="宋体" w:eastAsia="宋体" w:cs="宋体"/>
          <w:color w:val="auto"/>
        </w:rPr>
      </w:pPr>
      <w:bookmarkStart w:id="62" w:name="_Toc148453334"/>
      <w:r>
        <w:rPr>
          <w:rFonts w:hint="eastAsia" w:ascii="宋体" w:hAnsi="宋体" w:eastAsia="宋体" w:cs="宋体"/>
          <w:color w:val="auto"/>
        </w:rPr>
        <w:t>第三章 投标人须知</w:t>
      </w:r>
      <w:bookmarkEnd w:id="62"/>
    </w:p>
    <w:p w14:paraId="27E7C9A0">
      <w:pPr>
        <w:spacing w:line="360" w:lineRule="auto"/>
        <w:jc w:val="center"/>
        <w:outlineLvl w:val="1"/>
        <w:rPr>
          <w:rFonts w:hint="eastAsia" w:ascii="宋体" w:hAnsi="宋体" w:eastAsia="宋体" w:cs="宋体"/>
          <w:b/>
          <w:color w:val="auto"/>
          <w:kern w:val="0"/>
          <w:sz w:val="30"/>
          <w:szCs w:val="30"/>
        </w:rPr>
      </w:pPr>
      <w:bookmarkStart w:id="63" w:name="_Toc254970526"/>
      <w:bookmarkStart w:id="64" w:name="_Toc254970667"/>
      <w:r>
        <w:rPr>
          <w:rFonts w:hint="eastAsia" w:ascii="宋体" w:hAnsi="宋体" w:eastAsia="宋体" w:cs="宋体"/>
          <w:b/>
          <w:color w:val="auto"/>
          <w:kern w:val="0"/>
          <w:sz w:val="30"/>
          <w:szCs w:val="30"/>
        </w:rPr>
        <w:t>投标人须知前附表</w:t>
      </w:r>
      <w:bookmarkEnd w:id="63"/>
      <w:bookmarkEnd w:id="64"/>
    </w:p>
    <w:tbl>
      <w:tblPr>
        <w:tblStyle w:val="48"/>
        <w:tblW w:w="92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376"/>
      </w:tblGrid>
      <w:tr w14:paraId="2756DA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22EC410">
            <w:pPr>
              <w:wordWrap w:val="0"/>
              <w:snapToGrid w:val="0"/>
              <w:spacing w:line="400" w:lineRule="exact"/>
              <w:rPr>
                <w:rFonts w:hint="eastAsia" w:ascii="宋体" w:hAnsi="宋体" w:eastAsia="宋体" w:cs="宋体"/>
                <w:b/>
                <w:color w:val="auto"/>
                <w:szCs w:val="21"/>
              </w:rPr>
            </w:pPr>
            <w:r>
              <w:rPr>
                <w:rFonts w:hint="eastAsia" w:ascii="宋体" w:hAnsi="宋体" w:eastAsia="宋体" w:cs="宋体"/>
                <w:b/>
                <w:color w:val="auto"/>
                <w:szCs w:val="21"/>
              </w:rPr>
              <w:t>条款号</w:t>
            </w:r>
          </w:p>
        </w:tc>
        <w:tc>
          <w:tcPr>
            <w:tcW w:w="8376" w:type="dxa"/>
            <w:tcBorders>
              <w:top w:val="single" w:color="auto" w:sz="4" w:space="0"/>
              <w:left w:val="single" w:color="auto" w:sz="4" w:space="0"/>
              <w:bottom w:val="single" w:color="auto" w:sz="4" w:space="0"/>
              <w:right w:val="single" w:color="auto" w:sz="4" w:space="0"/>
            </w:tcBorders>
            <w:vAlign w:val="center"/>
          </w:tcPr>
          <w:p w14:paraId="5724517C">
            <w:pPr>
              <w:wordWrap w:val="0"/>
              <w:snapToGrid w:val="0"/>
              <w:spacing w:line="400" w:lineRule="exact"/>
              <w:rPr>
                <w:rFonts w:hint="eastAsia" w:ascii="宋体" w:hAnsi="宋体" w:eastAsia="宋体" w:cs="宋体"/>
                <w:b/>
                <w:color w:val="auto"/>
                <w:szCs w:val="21"/>
              </w:rPr>
            </w:pPr>
            <w:r>
              <w:rPr>
                <w:rFonts w:hint="eastAsia" w:ascii="宋体" w:hAnsi="宋体" w:eastAsia="宋体" w:cs="宋体"/>
                <w:b/>
                <w:color w:val="auto"/>
                <w:szCs w:val="21"/>
              </w:rPr>
              <w:t>编列内容</w:t>
            </w:r>
          </w:p>
        </w:tc>
      </w:tr>
      <w:tr w14:paraId="4FF04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A021EDB">
            <w:pPr>
              <w:wordWrap w:val="0"/>
              <w:spacing w:line="400" w:lineRule="exact"/>
              <w:rPr>
                <w:rFonts w:hint="eastAsia" w:ascii="宋体" w:hAnsi="宋体" w:eastAsia="宋体" w:cs="宋体"/>
                <w:color w:val="auto"/>
                <w:szCs w:val="21"/>
              </w:rPr>
            </w:pPr>
            <w:r>
              <w:rPr>
                <w:rFonts w:hint="eastAsia" w:ascii="宋体" w:hAnsi="宋体" w:eastAsia="宋体" w:cs="宋体"/>
                <w:color w:val="auto"/>
                <w:szCs w:val="21"/>
              </w:rPr>
              <w:t>3</w:t>
            </w:r>
          </w:p>
        </w:tc>
        <w:tc>
          <w:tcPr>
            <w:tcW w:w="8376" w:type="dxa"/>
            <w:tcBorders>
              <w:top w:val="single" w:color="auto" w:sz="4" w:space="0"/>
              <w:left w:val="single" w:color="auto" w:sz="4" w:space="0"/>
              <w:bottom w:val="single" w:color="auto" w:sz="4" w:space="0"/>
              <w:right w:val="single" w:color="auto" w:sz="4" w:space="0"/>
            </w:tcBorders>
            <w:vAlign w:val="center"/>
          </w:tcPr>
          <w:p w14:paraId="4E6691B2">
            <w:pPr>
              <w:wordWrap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申请人的资格要求：详见“招标公告”。</w:t>
            </w:r>
          </w:p>
        </w:tc>
      </w:tr>
      <w:tr w14:paraId="70D46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FE8AB86">
            <w:pPr>
              <w:wordWrap w:val="0"/>
              <w:spacing w:line="400" w:lineRule="exact"/>
              <w:rPr>
                <w:rFonts w:hint="eastAsia" w:ascii="宋体" w:hAnsi="宋体" w:eastAsia="宋体" w:cs="宋体"/>
                <w:color w:val="auto"/>
                <w:szCs w:val="21"/>
              </w:rPr>
            </w:pPr>
            <w:bookmarkStart w:id="65" w:name="_8.1"/>
            <w:bookmarkEnd w:id="65"/>
            <w:bookmarkStart w:id="66" w:name="_9.2"/>
            <w:bookmarkEnd w:id="66"/>
            <w:bookmarkStart w:id="67" w:name="_5"/>
            <w:bookmarkEnd w:id="67"/>
            <w:r>
              <w:rPr>
                <w:rFonts w:hint="eastAsia" w:ascii="宋体" w:hAnsi="宋体" w:eastAsia="宋体" w:cs="宋体"/>
                <w:color w:val="auto"/>
                <w:szCs w:val="21"/>
              </w:rPr>
              <w:t>6.1</w:t>
            </w:r>
          </w:p>
        </w:tc>
        <w:tc>
          <w:tcPr>
            <w:tcW w:w="8376" w:type="dxa"/>
            <w:tcBorders>
              <w:top w:val="single" w:color="auto" w:sz="4" w:space="0"/>
              <w:left w:val="single" w:color="auto" w:sz="4" w:space="0"/>
              <w:bottom w:val="single" w:color="auto" w:sz="4" w:space="0"/>
              <w:right w:val="single" w:color="auto" w:sz="4" w:space="0"/>
            </w:tcBorders>
            <w:vAlign w:val="center"/>
          </w:tcPr>
          <w:p w14:paraId="2C090368">
            <w:pPr>
              <w:pStyle w:val="17"/>
              <w:wordWrap w:val="0"/>
              <w:spacing w:line="400" w:lineRule="exact"/>
              <w:jc w:val="both"/>
              <w:rPr>
                <w:rFonts w:hint="eastAsia" w:ascii="宋体" w:hAnsi="宋体" w:eastAsia="宋体" w:cs="宋体"/>
                <w:color w:val="auto"/>
                <w:szCs w:val="21"/>
              </w:rPr>
            </w:pPr>
            <w:r>
              <w:rPr>
                <w:rFonts w:hint="eastAsia" w:ascii="宋体" w:hAnsi="宋体" w:eastAsia="宋体" w:cs="宋体"/>
                <w:color w:val="auto"/>
                <w:szCs w:val="21"/>
              </w:rPr>
              <w:t>本项目是否接受联合体投标：详见招标公告。</w:t>
            </w:r>
          </w:p>
        </w:tc>
      </w:tr>
      <w:tr w14:paraId="29420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0048410">
            <w:pPr>
              <w:wordWrap w:val="0"/>
              <w:spacing w:line="400" w:lineRule="exact"/>
              <w:rPr>
                <w:rFonts w:hint="eastAsia" w:ascii="宋体" w:hAnsi="宋体" w:eastAsia="宋体" w:cs="宋体"/>
                <w:color w:val="auto"/>
                <w:szCs w:val="21"/>
              </w:rPr>
            </w:pPr>
            <w:r>
              <w:rPr>
                <w:rFonts w:hint="eastAsia" w:ascii="宋体" w:hAnsi="宋体" w:eastAsia="宋体" w:cs="宋体"/>
                <w:color w:val="auto"/>
                <w:szCs w:val="21"/>
              </w:rPr>
              <w:t>6.2</w:t>
            </w:r>
          </w:p>
        </w:tc>
        <w:tc>
          <w:tcPr>
            <w:tcW w:w="8376" w:type="dxa"/>
            <w:tcBorders>
              <w:top w:val="single" w:color="auto" w:sz="4" w:space="0"/>
              <w:left w:val="single" w:color="auto" w:sz="4" w:space="0"/>
              <w:bottom w:val="single" w:color="auto" w:sz="4" w:space="0"/>
              <w:right w:val="single" w:color="auto" w:sz="4" w:space="0"/>
            </w:tcBorders>
            <w:vAlign w:val="center"/>
          </w:tcPr>
          <w:p w14:paraId="684B1BF9">
            <w:pPr>
              <w:pStyle w:val="17"/>
              <w:wordWrap w:val="0"/>
              <w:spacing w:line="400" w:lineRule="exact"/>
              <w:jc w:val="both"/>
              <w:rPr>
                <w:rFonts w:hint="eastAsia" w:ascii="宋体" w:hAnsi="宋体" w:eastAsia="宋体" w:cs="宋体"/>
                <w:b/>
                <w:color w:val="auto"/>
                <w:szCs w:val="21"/>
              </w:rPr>
            </w:pPr>
            <w:bookmarkStart w:id="68" w:name="_Hlk54105293"/>
            <w:r>
              <w:rPr>
                <w:rFonts w:hint="eastAsia" w:ascii="宋体" w:hAnsi="宋体" w:eastAsia="宋体" w:cs="宋体"/>
                <w:b/>
                <w:color w:val="auto"/>
                <w:szCs w:val="21"/>
              </w:rPr>
              <w:t>如接受联合体投标，</w:t>
            </w:r>
            <w:bookmarkEnd w:id="68"/>
            <w:r>
              <w:rPr>
                <w:rFonts w:hint="eastAsia" w:ascii="宋体" w:hAnsi="宋体" w:eastAsia="宋体" w:cs="宋体"/>
                <w:b/>
                <w:color w:val="auto"/>
                <w:szCs w:val="21"/>
              </w:rPr>
              <w:t>联合体投标要求如下：</w:t>
            </w:r>
          </w:p>
          <w:p w14:paraId="247D0835">
            <w:pPr>
              <w:pStyle w:val="17"/>
              <w:wordWrap w:val="0"/>
              <w:spacing w:line="400" w:lineRule="exact"/>
              <w:jc w:val="both"/>
              <w:rPr>
                <w:rFonts w:hint="eastAsia" w:ascii="宋体" w:hAnsi="宋体" w:eastAsia="宋体" w:cs="宋体"/>
                <w:color w:val="auto"/>
                <w:szCs w:val="21"/>
              </w:rPr>
            </w:pPr>
            <w:r>
              <w:rPr>
                <w:rFonts w:hint="eastAsia" w:ascii="宋体" w:hAnsi="宋体" w:eastAsia="宋体" w:cs="宋体"/>
                <w:color w:val="auto"/>
                <w:szCs w:val="21"/>
              </w:rPr>
              <w:t>1.两个以上投标人可以组成一个投标联合体，以一个投标人的身份共同参加投标。联合体投标的，须提供《联合体投标协议书》（格式后附）。</w:t>
            </w:r>
          </w:p>
          <w:p w14:paraId="6BB0B08B">
            <w:pPr>
              <w:pStyle w:val="17"/>
              <w:wordWrap w:val="0"/>
              <w:spacing w:line="400" w:lineRule="exact"/>
              <w:jc w:val="both"/>
              <w:rPr>
                <w:rFonts w:hint="eastAsia" w:ascii="宋体" w:hAnsi="宋体" w:eastAsia="宋体" w:cs="宋体"/>
                <w:color w:val="auto"/>
                <w:szCs w:val="21"/>
              </w:rPr>
            </w:pPr>
            <w:r>
              <w:rPr>
                <w:rFonts w:hint="eastAsia" w:ascii="宋体" w:hAnsi="宋体" w:eastAsia="宋体" w:cs="宋体"/>
                <w:color w:val="auto"/>
                <w:szCs w:val="21"/>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7471B5C9">
            <w:pPr>
              <w:pStyle w:val="17"/>
              <w:wordWrap w:val="0"/>
              <w:spacing w:line="400" w:lineRule="exact"/>
              <w:jc w:val="both"/>
              <w:rPr>
                <w:rFonts w:hint="eastAsia" w:ascii="宋体" w:hAnsi="宋体" w:eastAsia="宋体" w:cs="宋体"/>
                <w:color w:val="auto"/>
                <w:szCs w:val="21"/>
              </w:rPr>
            </w:pPr>
            <w:r>
              <w:rPr>
                <w:rFonts w:hint="eastAsia" w:ascii="宋体" w:hAnsi="宋体" w:eastAsia="宋体" w:cs="宋体"/>
                <w:color w:val="auto"/>
                <w:szCs w:val="21"/>
              </w:rPr>
              <w:t>3.联合体各方之间必须签订联合投标协议，协议书</w:t>
            </w:r>
            <w:r>
              <w:rPr>
                <w:rFonts w:hint="eastAsia" w:ascii="宋体" w:hAnsi="宋体" w:eastAsia="宋体" w:cs="宋体"/>
                <w:b/>
                <w:color w:val="auto"/>
                <w:szCs w:val="21"/>
              </w:rPr>
              <w:t>必须明确主体方（或者牵头方）并明确约定联合体各方承担的工作和相应的责任（各方承担责任与义务的分工必须符合采购需求，否则，联合体投标无效）</w:t>
            </w:r>
            <w:r>
              <w:rPr>
                <w:rFonts w:hint="eastAsia" w:ascii="宋体" w:hAnsi="宋体" w:eastAsia="宋体" w:cs="宋体"/>
                <w:color w:val="auto"/>
                <w:szCs w:val="21"/>
              </w:rPr>
              <w:t>，并将联合投标协议放入投标文件。联合体各方必须共同与采购人签订采购合同，就采购合同约定的事项对采购人承担连带责任。</w:t>
            </w:r>
          </w:p>
          <w:p w14:paraId="4957D26F">
            <w:pPr>
              <w:pStyle w:val="17"/>
              <w:wordWrap w:val="0"/>
              <w:spacing w:line="400" w:lineRule="exact"/>
              <w:jc w:val="both"/>
              <w:rPr>
                <w:rFonts w:hint="eastAsia" w:ascii="宋体" w:hAnsi="宋体" w:eastAsia="宋体" w:cs="宋体"/>
                <w:color w:val="auto"/>
                <w:szCs w:val="21"/>
              </w:rPr>
            </w:pPr>
            <w:r>
              <w:rPr>
                <w:rFonts w:hint="eastAsia" w:ascii="宋体" w:hAnsi="宋体" w:eastAsia="宋体" w:cs="宋体"/>
                <w:color w:val="auto"/>
                <w:szCs w:val="21"/>
              </w:rPr>
              <w:t>4.以联合体形式参加政府采购活动的，联合体各方不得再单独参加或者与其他投标人另外组成联合体参加同一合同项下的政府采购活动。</w:t>
            </w:r>
          </w:p>
          <w:p w14:paraId="4930D440">
            <w:pPr>
              <w:pStyle w:val="17"/>
              <w:wordWrap w:val="0"/>
              <w:spacing w:line="400" w:lineRule="exact"/>
              <w:jc w:val="both"/>
              <w:rPr>
                <w:rFonts w:hint="eastAsia" w:ascii="宋体" w:hAnsi="宋体" w:eastAsia="宋体" w:cs="宋体"/>
                <w:color w:val="auto"/>
                <w:szCs w:val="21"/>
              </w:rPr>
            </w:pPr>
            <w:r>
              <w:rPr>
                <w:rFonts w:hint="eastAsia" w:ascii="宋体" w:hAnsi="宋体" w:eastAsia="宋体" w:cs="宋体"/>
                <w:color w:val="auto"/>
                <w:szCs w:val="21"/>
              </w:rPr>
              <w:t>5.联合体中有同类资质的投标人按照联合体分工承担相同工作的，应当按照资质等级较低的投标人确定资质等级。</w:t>
            </w:r>
          </w:p>
          <w:p w14:paraId="714B729D">
            <w:pPr>
              <w:pStyle w:val="17"/>
              <w:wordWrap w:val="0"/>
              <w:spacing w:line="400" w:lineRule="exact"/>
              <w:jc w:val="both"/>
              <w:rPr>
                <w:rFonts w:hint="eastAsia" w:ascii="宋体" w:hAnsi="宋体" w:eastAsia="宋体" w:cs="宋体"/>
                <w:color w:val="auto"/>
                <w:szCs w:val="21"/>
              </w:rPr>
            </w:pPr>
            <w:r>
              <w:rPr>
                <w:rFonts w:hint="eastAsia" w:ascii="宋体" w:hAnsi="宋体" w:eastAsia="宋体" w:cs="宋体"/>
                <w:color w:val="auto"/>
                <w:szCs w:val="21"/>
              </w:rPr>
              <w:t>6.联合体投标业绩、履约能力按照联合体任何一方认定并计算（招标文件另有规定的除外）。</w:t>
            </w:r>
          </w:p>
          <w:p w14:paraId="7678E94B">
            <w:pPr>
              <w:pStyle w:val="17"/>
              <w:wordWrap w:val="0"/>
              <w:spacing w:line="400" w:lineRule="exact"/>
              <w:jc w:val="both"/>
              <w:rPr>
                <w:rFonts w:hint="eastAsia" w:ascii="宋体" w:hAnsi="宋体" w:eastAsia="宋体" w:cs="宋体"/>
                <w:color w:val="auto"/>
                <w:szCs w:val="21"/>
              </w:rPr>
            </w:pPr>
            <w:r>
              <w:rPr>
                <w:rFonts w:hint="eastAsia" w:ascii="宋体" w:hAnsi="宋体" w:eastAsia="宋体" w:cs="宋体"/>
                <w:color w:val="auto"/>
                <w:szCs w:val="21"/>
              </w:rPr>
              <w:t>7.投标人为联合体的，可以由联合体中的一方或者多方共同交纳投标保证金，其交纳的保证金对联合体各方均具有约束力。</w:t>
            </w:r>
          </w:p>
          <w:p w14:paraId="179AD09E">
            <w:pPr>
              <w:pStyle w:val="17"/>
              <w:wordWrap w:val="0"/>
              <w:spacing w:line="400" w:lineRule="exact"/>
              <w:jc w:val="both"/>
              <w:rPr>
                <w:rFonts w:hint="eastAsia" w:ascii="宋体" w:hAnsi="宋体" w:eastAsia="宋体" w:cs="宋体"/>
                <w:color w:val="auto"/>
                <w:szCs w:val="21"/>
              </w:rPr>
            </w:pPr>
            <w:r>
              <w:rPr>
                <w:rFonts w:hint="eastAsia" w:ascii="宋体" w:hAnsi="宋体" w:eastAsia="宋体" w:cs="宋体"/>
                <w:color w:val="auto"/>
                <w:szCs w:val="21"/>
              </w:rPr>
              <w:t>8.联合体各方均应按照招标文件的规定提交资格证明文件。</w:t>
            </w:r>
          </w:p>
        </w:tc>
      </w:tr>
      <w:tr w14:paraId="6C883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4F8AE0F">
            <w:pPr>
              <w:wordWrap w:val="0"/>
              <w:spacing w:line="400" w:lineRule="exact"/>
              <w:rPr>
                <w:rFonts w:hint="eastAsia" w:ascii="宋体" w:hAnsi="宋体" w:eastAsia="宋体" w:cs="宋体"/>
                <w:color w:val="auto"/>
                <w:szCs w:val="21"/>
              </w:rPr>
            </w:pPr>
            <w:r>
              <w:rPr>
                <w:rFonts w:hint="eastAsia" w:ascii="宋体" w:hAnsi="宋体" w:eastAsia="宋体" w:cs="宋体"/>
                <w:color w:val="auto"/>
                <w:szCs w:val="21"/>
              </w:rPr>
              <w:t>7.2</w:t>
            </w:r>
          </w:p>
        </w:tc>
        <w:tc>
          <w:tcPr>
            <w:tcW w:w="8376" w:type="dxa"/>
            <w:tcBorders>
              <w:top w:val="single" w:color="auto" w:sz="4" w:space="0"/>
              <w:left w:val="single" w:color="auto" w:sz="4" w:space="0"/>
              <w:bottom w:val="single" w:color="auto" w:sz="4" w:space="0"/>
              <w:right w:val="single" w:color="auto" w:sz="4" w:space="0"/>
            </w:tcBorders>
            <w:vAlign w:val="center"/>
          </w:tcPr>
          <w:p w14:paraId="333A597B">
            <w:pPr>
              <w:pStyle w:val="17"/>
              <w:wordWrap w:val="0"/>
              <w:spacing w:line="400" w:lineRule="exact"/>
              <w:jc w:val="both"/>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不允许分包</w:t>
            </w:r>
          </w:p>
          <w:p w14:paraId="608789F7">
            <w:pPr>
              <w:pStyle w:val="17"/>
              <w:wordWrap w:val="0"/>
              <w:spacing w:line="400" w:lineRule="exact"/>
              <w:jc w:val="both"/>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允许分包</w:t>
            </w:r>
          </w:p>
          <w:p w14:paraId="4AC4B11B">
            <w:pPr>
              <w:pStyle w:val="17"/>
              <w:wordWrap w:val="0"/>
              <w:spacing w:line="400" w:lineRule="exact"/>
              <w:jc w:val="both"/>
              <w:rPr>
                <w:rFonts w:hint="eastAsia" w:ascii="宋体" w:hAnsi="宋体" w:eastAsia="宋体" w:cs="宋体"/>
                <w:color w:val="auto"/>
                <w:szCs w:val="21"/>
                <w:u w:val="single"/>
              </w:rPr>
            </w:pPr>
            <w:r>
              <w:rPr>
                <w:rFonts w:hint="eastAsia" w:ascii="宋体" w:hAnsi="宋体" w:eastAsia="宋体" w:cs="宋体"/>
                <w:color w:val="auto"/>
                <w:szCs w:val="21"/>
              </w:rPr>
              <w:t>分包内容：</w:t>
            </w:r>
          </w:p>
          <w:p w14:paraId="76CB339E">
            <w:pPr>
              <w:pStyle w:val="17"/>
              <w:wordWrap w:val="0"/>
              <w:spacing w:line="400" w:lineRule="exact"/>
              <w:jc w:val="both"/>
              <w:rPr>
                <w:rFonts w:hint="eastAsia" w:ascii="宋体" w:hAnsi="宋体" w:eastAsia="宋体" w:cs="宋体"/>
                <w:color w:val="auto"/>
                <w:szCs w:val="21"/>
              </w:rPr>
            </w:pPr>
            <w:r>
              <w:rPr>
                <w:rFonts w:hint="eastAsia" w:ascii="宋体" w:hAnsi="宋体" w:eastAsia="宋体" w:cs="宋体"/>
                <w:color w:val="auto"/>
                <w:szCs w:val="21"/>
              </w:rPr>
              <w:t>分包金额或者比例：</w:t>
            </w:r>
          </w:p>
        </w:tc>
      </w:tr>
      <w:tr w14:paraId="14A6BA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895" w:type="dxa"/>
            <w:tcBorders>
              <w:top w:val="single" w:color="auto" w:sz="4" w:space="0"/>
              <w:left w:val="single" w:color="auto" w:sz="4" w:space="0"/>
              <w:right w:val="single" w:color="auto" w:sz="4" w:space="0"/>
            </w:tcBorders>
            <w:vAlign w:val="center"/>
          </w:tcPr>
          <w:p w14:paraId="41313FDD">
            <w:pPr>
              <w:wordWrap w:val="0"/>
              <w:spacing w:line="400" w:lineRule="exact"/>
              <w:rPr>
                <w:rFonts w:hint="eastAsia" w:ascii="宋体" w:hAnsi="宋体" w:eastAsia="宋体" w:cs="宋体"/>
                <w:color w:val="auto"/>
                <w:szCs w:val="21"/>
              </w:rPr>
            </w:pPr>
            <w:r>
              <w:rPr>
                <w:rFonts w:hint="eastAsia" w:ascii="宋体" w:hAnsi="宋体" w:eastAsia="宋体" w:cs="宋体"/>
                <w:color w:val="auto"/>
                <w:szCs w:val="21"/>
              </w:rPr>
              <w:t>11.2</w:t>
            </w:r>
          </w:p>
        </w:tc>
        <w:tc>
          <w:tcPr>
            <w:tcW w:w="8376" w:type="dxa"/>
            <w:tcBorders>
              <w:top w:val="single" w:color="auto" w:sz="4" w:space="0"/>
              <w:left w:val="single" w:color="auto" w:sz="4" w:space="0"/>
              <w:bottom w:val="single" w:color="auto" w:sz="4" w:space="0"/>
              <w:right w:val="single" w:color="auto" w:sz="4" w:space="0"/>
            </w:tcBorders>
            <w:vAlign w:val="center"/>
          </w:tcPr>
          <w:p w14:paraId="196BDB6D">
            <w:pPr>
              <w:wordWrap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不组织现场考察</w:t>
            </w:r>
          </w:p>
          <w:p w14:paraId="59CDABC7">
            <w:pPr>
              <w:wordWrap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□组织现场考察：</w:t>
            </w:r>
          </w:p>
          <w:p w14:paraId="4243E090">
            <w:pPr>
              <w:wordWrap w:val="0"/>
              <w:snapToGrid w:val="0"/>
              <w:spacing w:line="400" w:lineRule="exact"/>
              <w:rPr>
                <w:rFonts w:hint="eastAsia" w:ascii="宋体" w:hAnsi="宋体" w:eastAsia="宋体" w:cs="宋体"/>
                <w:color w:val="auto"/>
                <w:szCs w:val="21"/>
                <w:u w:val="single"/>
              </w:rPr>
            </w:pPr>
            <w:r>
              <w:rPr>
                <w:rFonts w:hint="eastAsia" w:ascii="宋体" w:hAnsi="宋体" w:eastAsia="宋体" w:cs="宋体"/>
                <w:color w:val="auto"/>
                <w:szCs w:val="21"/>
              </w:rPr>
              <w:t>集中时间：年月日时</w:t>
            </w:r>
            <w:r>
              <w:rPr>
                <w:rFonts w:hint="eastAsia" w:ascii="宋体" w:hAnsi="宋体" w:eastAsia="宋体" w:cs="宋体"/>
                <w:color w:val="auto"/>
                <w:szCs w:val="21"/>
                <w:u w:val="single"/>
              </w:rPr>
              <w:t>分</w:t>
            </w:r>
            <w:r>
              <w:rPr>
                <w:rFonts w:hint="eastAsia" w:ascii="宋体" w:hAnsi="宋体" w:eastAsia="宋体" w:cs="宋体"/>
                <w:color w:val="auto"/>
                <w:szCs w:val="21"/>
              </w:rPr>
              <w:t>，逾期后果自负。集中地点：</w:t>
            </w:r>
          </w:p>
          <w:p w14:paraId="410AC409">
            <w:pPr>
              <w:wordWrap w:val="0"/>
              <w:snapToGrid w:val="0"/>
              <w:spacing w:line="400" w:lineRule="exact"/>
              <w:rPr>
                <w:rFonts w:hint="eastAsia" w:ascii="宋体" w:hAnsi="宋体" w:eastAsia="宋体" w:cs="宋体"/>
                <w:color w:val="auto"/>
                <w:szCs w:val="21"/>
                <w:u w:val="single"/>
              </w:rPr>
            </w:pPr>
            <w:r>
              <w:rPr>
                <w:rFonts w:hint="eastAsia" w:ascii="宋体" w:hAnsi="宋体" w:eastAsia="宋体" w:cs="宋体"/>
                <w:color w:val="auto"/>
                <w:szCs w:val="21"/>
              </w:rPr>
              <w:t>联系人：；联系电话：</w:t>
            </w:r>
          </w:p>
          <w:p w14:paraId="550F714C">
            <w:pPr>
              <w:wordWrap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不组织召开开标前答疑会</w:t>
            </w:r>
          </w:p>
          <w:p w14:paraId="4C7A5D41">
            <w:pPr>
              <w:wordWrap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□组织召开开标前答疑会</w:t>
            </w:r>
          </w:p>
          <w:p w14:paraId="0D586EFE">
            <w:pPr>
              <w:wordWrap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会议开始时间：年月日时</w:t>
            </w:r>
            <w:r>
              <w:rPr>
                <w:rFonts w:hint="eastAsia" w:ascii="宋体" w:hAnsi="宋体" w:eastAsia="宋体" w:cs="宋体"/>
                <w:color w:val="auto"/>
                <w:szCs w:val="21"/>
                <w:u w:val="single"/>
              </w:rPr>
              <w:t>分</w:t>
            </w:r>
            <w:r>
              <w:rPr>
                <w:rFonts w:hint="eastAsia" w:ascii="宋体" w:hAnsi="宋体" w:eastAsia="宋体" w:cs="宋体"/>
                <w:color w:val="auto"/>
                <w:szCs w:val="21"/>
              </w:rPr>
              <w:t>，逾期后果自负。会议地点：</w:t>
            </w:r>
          </w:p>
        </w:tc>
      </w:tr>
      <w:tr w14:paraId="6EBE52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restart"/>
            <w:tcBorders>
              <w:top w:val="single" w:color="auto" w:sz="4" w:space="0"/>
              <w:left w:val="single" w:color="auto" w:sz="4" w:space="0"/>
              <w:right w:val="single" w:color="auto" w:sz="4" w:space="0"/>
            </w:tcBorders>
            <w:vAlign w:val="center"/>
          </w:tcPr>
          <w:p w14:paraId="5B562ABD">
            <w:pPr>
              <w:wordWrap w:val="0"/>
              <w:spacing w:line="400" w:lineRule="exact"/>
              <w:rPr>
                <w:rFonts w:hint="eastAsia" w:ascii="宋体" w:hAnsi="宋体" w:eastAsia="宋体" w:cs="宋体"/>
                <w:color w:val="auto"/>
                <w:szCs w:val="21"/>
              </w:rPr>
            </w:pPr>
            <w:bookmarkStart w:id="69" w:name="_13.1"/>
            <w:bookmarkEnd w:id="69"/>
            <w:r>
              <w:rPr>
                <w:rFonts w:hint="eastAsia" w:ascii="宋体" w:hAnsi="宋体" w:eastAsia="宋体" w:cs="宋体"/>
                <w:color w:val="auto"/>
                <w:szCs w:val="21"/>
              </w:rPr>
              <w:t>13</w:t>
            </w:r>
          </w:p>
        </w:tc>
        <w:tc>
          <w:tcPr>
            <w:tcW w:w="8376" w:type="dxa"/>
            <w:tcBorders>
              <w:top w:val="single" w:color="auto" w:sz="4" w:space="0"/>
              <w:left w:val="single" w:color="auto" w:sz="4" w:space="0"/>
              <w:bottom w:val="single" w:color="auto" w:sz="4" w:space="0"/>
              <w:right w:val="single" w:color="auto" w:sz="4" w:space="0"/>
            </w:tcBorders>
            <w:vAlign w:val="center"/>
          </w:tcPr>
          <w:p w14:paraId="13B28535">
            <w:pPr>
              <w:wordWrap w:val="0"/>
              <w:snapToGrid w:val="0"/>
              <w:spacing w:line="400" w:lineRule="exact"/>
              <w:rPr>
                <w:rFonts w:hint="eastAsia" w:ascii="宋体" w:hAnsi="宋体" w:eastAsia="宋体" w:cs="宋体"/>
                <w:b/>
                <w:color w:val="auto"/>
                <w:szCs w:val="21"/>
              </w:rPr>
            </w:pPr>
            <w:r>
              <w:rPr>
                <w:rFonts w:hint="eastAsia" w:ascii="宋体" w:hAnsi="宋体" w:eastAsia="宋体" w:cs="宋体"/>
                <w:b/>
                <w:color w:val="auto"/>
                <w:szCs w:val="21"/>
              </w:rPr>
              <w:t>报价文件：</w:t>
            </w:r>
          </w:p>
          <w:p w14:paraId="42ACEEFC">
            <w:pPr>
              <w:wordWrap w:val="0"/>
              <w:snapToGrid w:val="0"/>
              <w:spacing w:line="400" w:lineRule="exact"/>
              <w:rPr>
                <w:rFonts w:hint="eastAsia" w:ascii="宋体" w:hAnsi="宋体" w:eastAsia="宋体" w:cs="宋体"/>
                <w:b/>
                <w:color w:val="auto"/>
                <w:szCs w:val="21"/>
              </w:rPr>
            </w:pPr>
            <w:bookmarkStart w:id="70" w:name="OLE_LINK105"/>
            <w:bookmarkStart w:id="71" w:name="OLE_LINK106"/>
            <w:r>
              <w:rPr>
                <w:rFonts w:hint="eastAsia" w:ascii="宋体" w:hAnsi="宋体" w:eastAsia="宋体" w:cs="宋体"/>
                <w:color w:val="auto"/>
                <w:szCs w:val="21"/>
              </w:rPr>
              <w:t>1.投标函（格式后附）；</w:t>
            </w:r>
            <w:bookmarkEnd w:id="70"/>
            <w:bookmarkEnd w:id="71"/>
            <w:r>
              <w:rPr>
                <w:rFonts w:hint="eastAsia" w:ascii="宋体" w:hAnsi="宋体" w:eastAsia="宋体" w:cs="宋体"/>
                <w:b/>
                <w:color w:val="auto"/>
                <w:szCs w:val="21"/>
              </w:rPr>
              <w:t>（必须提供，否则作无效投标处理）</w:t>
            </w:r>
          </w:p>
          <w:p w14:paraId="7F59243E">
            <w:pPr>
              <w:wordWrap w:val="0"/>
              <w:snapToGrid w:val="0"/>
              <w:spacing w:line="400" w:lineRule="exact"/>
              <w:rPr>
                <w:rFonts w:hint="eastAsia" w:ascii="宋体" w:hAnsi="宋体" w:eastAsia="宋体" w:cs="宋体"/>
                <w:color w:val="auto"/>
                <w:szCs w:val="21"/>
              </w:rPr>
            </w:pPr>
            <w:bookmarkStart w:id="72" w:name="OLE_LINK108"/>
            <w:bookmarkStart w:id="73" w:name="OLE_LINK107"/>
            <w:r>
              <w:rPr>
                <w:rFonts w:hint="eastAsia" w:ascii="宋体" w:hAnsi="宋体" w:eastAsia="宋体" w:cs="宋体"/>
                <w:color w:val="auto"/>
                <w:szCs w:val="21"/>
              </w:rPr>
              <w:t>2.开标一览表（格式后附）；</w:t>
            </w:r>
            <w:bookmarkEnd w:id="72"/>
            <w:bookmarkEnd w:id="73"/>
            <w:bookmarkStart w:id="74" w:name="OLE_LINK104"/>
            <w:bookmarkStart w:id="75" w:name="OLE_LINK103"/>
            <w:r>
              <w:rPr>
                <w:rFonts w:hint="eastAsia" w:ascii="宋体" w:hAnsi="宋体" w:eastAsia="宋体" w:cs="宋体"/>
                <w:b/>
                <w:color w:val="auto"/>
                <w:szCs w:val="21"/>
              </w:rPr>
              <w:t>（必须提供，否则作无效投标处理）</w:t>
            </w:r>
            <w:bookmarkEnd w:id="74"/>
            <w:bookmarkEnd w:id="75"/>
          </w:p>
          <w:p w14:paraId="19D0518B">
            <w:pPr>
              <w:wordWrap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3.</w:t>
            </w:r>
            <w:bookmarkStart w:id="76" w:name="OLE_LINK16"/>
            <w:bookmarkStart w:id="77" w:name="OLE_LINK17"/>
            <w:r>
              <w:rPr>
                <w:rFonts w:hint="eastAsia" w:ascii="宋体" w:hAnsi="宋体" w:eastAsia="宋体" w:cs="宋体"/>
                <w:color w:val="auto"/>
                <w:szCs w:val="21"/>
              </w:rPr>
              <w:t>投标人针对报价需要说明的其他文件（如中小企业声明函、残疾人福利性单位声明函、监狱企业声明函等）和说明（格式自拟）。</w:t>
            </w:r>
            <w:bookmarkEnd w:id="76"/>
            <w:bookmarkEnd w:id="77"/>
            <w:r>
              <w:rPr>
                <w:rFonts w:hint="eastAsia" w:ascii="宋体" w:hAnsi="宋体" w:eastAsia="宋体" w:cs="宋体"/>
                <w:b/>
                <w:color w:val="auto"/>
                <w:szCs w:val="21"/>
              </w:rPr>
              <w:t>（根据投标人自身情况自行提供，部分格式详见招标文件）</w:t>
            </w:r>
          </w:p>
          <w:p w14:paraId="67D4EE14">
            <w:pPr>
              <w:wordWrap w:val="0"/>
              <w:snapToGrid w:val="0"/>
              <w:spacing w:line="400" w:lineRule="exact"/>
              <w:rPr>
                <w:rFonts w:hint="eastAsia" w:ascii="宋体" w:hAnsi="宋体" w:eastAsia="宋体" w:cs="宋体"/>
                <w:color w:val="auto"/>
                <w:szCs w:val="21"/>
              </w:rPr>
            </w:pPr>
            <w:r>
              <w:rPr>
                <w:rFonts w:hint="eastAsia" w:ascii="宋体" w:hAnsi="宋体" w:eastAsia="宋体" w:cs="宋体"/>
                <w:b/>
                <w:color w:val="auto"/>
                <w:szCs w:val="21"/>
              </w:rPr>
              <w:t>注：投标函、开标一览表及标明“必须提供”的材料属于复印件的扫描件的，必须加盖投标人公章（或电子签章），否则作无效投标处理。</w:t>
            </w:r>
          </w:p>
        </w:tc>
      </w:tr>
      <w:tr w14:paraId="60F03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165DAB71">
            <w:pPr>
              <w:wordWrap w:val="0"/>
              <w:spacing w:line="400" w:lineRule="exact"/>
              <w:rPr>
                <w:rFonts w:hint="eastAsia" w:ascii="宋体" w:hAnsi="宋体" w:eastAsia="宋体" w:cs="宋体"/>
                <w:color w:val="auto"/>
                <w:szCs w:val="21"/>
              </w:rPr>
            </w:pPr>
            <w:bookmarkStart w:id="78" w:name="_13.2"/>
            <w:bookmarkEnd w:id="78"/>
          </w:p>
        </w:tc>
        <w:tc>
          <w:tcPr>
            <w:tcW w:w="8376" w:type="dxa"/>
            <w:tcBorders>
              <w:top w:val="single" w:color="auto" w:sz="4" w:space="0"/>
              <w:left w:val="single" w:color="auto" w:sz="4" w:space="0"/>
              <w:bottom w:val="single" w:color="auto" w:sz="4" w:space="0"/>
              <w:right w:val="single" w:color="auto" w:sz="4" w:space="0"/>
            </w:tcBorders>
            <w:vAlign w:val="center"/>
          </w:tcPr>
          <w:p w14:paraId="2286B9E3">
            <w:pPr>
              <w:wordWrap w:val="0"/>
              <w:snapToGrid w:val="0"/>
              <w:spacing w:line="400" w:lineRule="exact"/>
              <w:rPr>
                <w:rFonts w:hint="eastAsia" w:ascii="宋体" w:hAnsi="宋体" w:eastAsia="宋体" w:cs="宋体"/>
                <w:b/>
                <w:color w:val="auto"/>
                <w:szCs w:val="21"/>
              </w:rPr>
            </w:pPr>
            <w:r>
              <w:rPr>
                <w:rFonts w:hint="eastAsia" w:ascii="宋体" w:hAnsi="宋体" w:eastAsia="宋体" w:cs="宋体"/>
                <w:b/>
                <w:color w:val="auto"/>
                <w:szCs w:val="21"/>
              </w:rPr>
              <w:t>资格证明文件</w:t>
            </w:r>
          </w:p>
          <w:p w14:paraId="2595F6E8">
            <w:pPr>
              <w:wordWrap w:val="0"/>
              <w:snapToGrid w:val="0"/>
              <w:spacing w:line="400" w:lineRule="exact"/>
              <w:rPr>
                <w:rFonts w:hint="eastAsia" w:ascii="宋体" w:hAnsi="宋体" w:eastAsia="宋体" w:cs="宋体"/>
                <w:color w:val="auto"/>
                <w:szCs w:val="21"/>
              </w:rPr>
            </w:pPr>
            <w:bookmarkStart w:id="79" w:name="OLE_LINK65"/>
            <w:bookmarkStart w:id="80" w:name="OLE_LINK64"/>
            <w:r>
              <w:rPr>
                <w:rFonts w:hint="eastAsia" w:ascii="宋体" w:hAnsi="宋体" w:eastAsia="宋体" w:cs="宋体"/>
                <w:color w:val="auto"/>
                <w:szCs w:val="21"/>
              </w:rPr>
              <w:t>1.</w:t>
            </w:r>
            <w:bookmarkStart w:id="81" w:name="OLE_LINK63"/>
            <w:bookmarkStart w:id="82" w:name="OLE_LINK62"/>
            <w:r>
              <w:rPr>
                <w:rFonts w:hint="eastAsia" w:ascii="宋体" w:hAnsi="宋体" w:eastAsia="宋体" w:cs="宋体"/>
                <w:color w:val="auto"/>
                <w:szCs w:val="21"/>
              </w:rPr>
              <w:t>投标人为法人或者其他组织的，提供营业执照等证明文件（如营业执照或者事业单位法人证书或者</w:t>
            </w:r>
            <w:r>
              <w:rPr>
                <w:rFonts w:hint="eastAsia" w:ascii="宋体" w:hAnsi="宋体" w:eastAsia="宋体" w:cs="宋体"/>
                <w:color w:val="auto"/>
                <w:szCs w:val="21"/>
                <w:lang w:val="zh-CN" w:bidi="zh-CN"/>
              </w:rPr>
              <w:t>执业许可证</w:t>
            </w:r>
            <w:r>
              <w:rPr>
                <w:rFonts w:hint="eastAsia" w:ascii="宋体" w:hAnsi="宋体" w:eastAsia="宋体" w:cs="宋体"/>
                <w:color w:val="auto"/>
                <w:szCs w:val="21"/>
              </w:rPr>
              <w:t>等），投标人为自然人的，提供身份证复印件；</w:t>
            </w:r>
            <w:bookmarkEnd w:id="79"/>
            <w:bookmarkEnd w:id="80"/>
            <w:bookmarkEnd w:id="81"/>
            <w:bookmarkEnd w:id="82"/>
            <w:bookmarkStart w:id="83" w:name="OLE_LINK67"/>
            <w:bookmarkStart w:id="84" w:name="OLE_LINK66"/>
            <w:r>
              <w:rPr>
                <w:rFonts w:hint="eastAsia" w:ascii="宋体" w:hAnsi="宋体" w:eastAsia="宋体" w:cs="宋体"/>
                <w:color w:val="auto"/>
                <w:szCs w:val="21"/>
              </w:rPr>
              <w:t>（</w:t>
            </w:r>
            <w:r>
              <w:rPr>
                <w:rFonts w:hint="eastAsia" w:ascii="宋体" w:hAnsi="宋体" w:eastAsia="宋体" w:cs="宋体"/>
                <w:b/>
                <w:color w:val="auto"/>
                <w:szCs w:val="21"/>
              </w:rPr>
              <w:t>必须提供，否则作无效投标处理</w:t>
            </w:r>
            <w:r>
              <w:rPr>
                <w:rFonts w:hint="eastAsia" w:ascii="宋体" w:hAnsi="宋体" w:eastAsia="宋体" w:cs="宋体"/>
                <w:color w:val="auto"/>
                <w:szCs w:val="21"/>
              </w:rPr>
              <w:t>）</w:t>
            </w:r>
          </w:p>
          <w:bookmarkEnd w:id="83"/>
          <w:bookmarkEnd w:id="84"/>
          <w:p w14:paraId="052DFA07">
            <w:pPr>
              <w:wordWrap w:val="0"/>
              <w:snapToGrid w:val="0"/>
              <w:spacing w:line="400" w:lineRule="exact"/>
              <w:rPr>
                <w:rFonts w:hint="eastAsia" w:ascii="宋体" w:hAnsi="宋体" w:eastAsia="宋体" w:cs="宋体"/>
                <w:color w:val="auto"/>
                <w:szCs w:val="21"/>
              </w:rPr>
            </w:pPr>
            <w:bookmarkStart w:id="85" w:name="OLE_LINK76"/>
            <w:bookmarkStart w:id="86" w:name="OLE_LINK74"/>
            <w:bookmarkStart w:id="87" w:name="OLE_LINK83"/>
            <w:r>
              <w:rPr>
                <w:rFonts w:hint="eastAsia" w:ascii="宋体" w:hAnsi="宋体" w:eastAsia="宋体" w:cs="宋体"/>
                <w:color w:val="auto"/>
                <w:szCs w:val="21"/>
              </w:rPr>
              <w:t>2.投标人依法缴纳税收的相关材料（</w:t>
            </w:r>
            <w:bookmarkStart w:id="88" w:name="OLE_LINK266"/>
            <w:bookmarkStart w:id="89" w:name="OLE_LINK259"/>
            <w:bookmarkStart w:id="90" w:name="OLE_LINK258"/>
            <w:r>
              <w:rPr>
                <w:rFonts w:hint="eastAsia" w:ascii="宋体" w:hAnsi="宋体" w:eastAsia="宋体" w:cs="宋体"/>
                <w:color w:val="auto"/>
                <w:szCs w:val="21"/>
              </w:rPr>
              <w:t>投标截止之日止半年内任意连续</w:t>
            </w:r>
            <w:r>
              <w:rPr>
                <w:rFonts w:hint="eastAsia" w:ascii="宋体" w:hAnsi="宋体" w:eastAsia="宋体" w:cs="宋体"/>
                <w:color w:val="auto"/>
                <w:szCs w:val="21"/>
                <w:u w:val="single"/>
              </w:rPr>
              <w:t>3个</w:t>
            </w:r>
            <w:r>
              <w:rPr>
                <w:rFonts w:hint="eastAsia" w:ascii="宋体" w:hAnsi="宋体" w:eastAsia="宋体" w:cs="宋体"/>
                <w:color w:val="auto"/>
                <w:szCs w:val="21"/>
              </w:rPr>
              <w:t>月</w:t>
            </w:r>
            <w:bookmarkEnd w:id="88"/>
            <w:bookmarkEnd w:id="89"/>
            <w:bookmarkEnd w:id="90"/>
            <w:r>
              <w:rPr>
                <w:rFonts w:hint="eastAsia" w:ascii="宋体" w:hAnsi="宋体" w:eastAsia="宋体" w:cs="宋体"/>
                <w:color w:val="auto"/>
                <w:szCs w:val="21"/>
              </w:rPr>
              <w:t>的依法缴纳税收的凭据复印件</w:t>
            </w:r>
            <w:r>
              <w:rPr>
                <w:rFonts w:hint="eastAsia" w:ascii="宋体" w:hAnsi="宋体" w:eastAsia="宋体" w:cs="宋体"/>
                <w:b/>
                <w:color w:val="auto"/>
                <w:szCs w:val="21"/>
                <w:u w:val="single"/>
              </w:rPr>
              <w:t>（如税务部门开具的完税银行缴税付款凭证或缴款回单等；如投标人在项目截标前连续三个月零纳税的，应出具截标前半年内的缴纳税收凭证，如半年内仍为零纳税的，投标人应出具其具备经验能力的相关证明材料）</w:t>
            </w:r>
            <w:r>
              <w:rPr>
                <w:rFonts w:hint="eastAsia" w:ascii="宋体" w:hAnsi="宋体" w:eastAsia="宋体" w:cs="宋体"/>
                <w:color w:val="auto"/>
                <w:szCs w:val="21"/>
              </w:rPr>
              <w:t>；依法免税的投标人，必须提供相应文件证明其依法免税。从取得营业执照时间起到投标文件提交截止时间为止不足要求月数的，只需提供从取得营业执照起的依法缴纳税收相应证明文件）；</w:t>
            </w:r>
            <w:bookmarkEnd w:id="85"/>
            <w:bookmarkEnd w:id="86"/>
            <w:bookmarkEnd w:id="87"/>
            <w:bookmarkStart w:id="91" w:name="OLE_LINK78"/>
            <w:bookmarkStart w:id="92" w:name="OLE_LINK77"/>
            <w:r>
              <w:rPr>
                <w:rFonts w:hint="eastAsia" w:ascii="宋体" w:hAnsi="宋体" w:eastAsia="宋体" w:cs="宋体"/>
                <w:color w:val="auto"/>
                <w:szCs w:val="21"/>
              </w:rPr>
              <w:t>（</w:t>
            </w:r>
            <w:r>
              <w:rPr>
                <w:rFonts w:hint="eastAsia" w:ascii="宋体" w:hAnsi="宋体" w:eastAsia="宋体" w:cs="宋体"/>
                <w:b/>
                <w:color w:val="auto"/>
                <w:szCs w:val="21"/>
              </w:rPr>
              <w:t>必须提供，否则作无效投标处理</w:t>
            </w:r>
            <w:r>
              <w:rPr>
                <w:rFonts w:hint="eastAsia" w:ascii="宋体" w:hAnsi="宋体" w:eastAsia="宋体" w:cs="宋体"/>
                <w:color w:val="auto"/>
                <w:szCs w:val="21"/>
              </w:rPr>
              <w:t>）</w:t>
            </w:r>
            <w:bookmarkEnd w:id="91"/>
            <w:bookmarkEnd w:id="92"/>
          </w:p>
          <w:p w14:paraId="4FDD868E">
            <w:pPr>
              <w:wordWrap w:val="0"/>
              <w:snapToGrid w:val="0"/>
              <w:spacing w:line="400" w:lineRule="exact"/>
              <w:rPr>
                <w:rFonts w:hint="eastAsia" w:ascii="宋体" w:hAnsi="宋体" w:eastAsia="宋体" w:cs="宋体"/>
                <w:color w:val="auto"/>
                <w:szCs w:val="21"/>
              </w:rPr>
            </w:pPr>
            <w:bookmarkStart w:id="93" w:name="OLE_LINK82"/>
            <w:bookmarkStart w:id="94" w:name="OLE_LINK84"/>
            <w:bookmarkStart w:id="95" w:name="OLE_LINK81"/>
            <w:bookmarkStart w:id="96" w:name="OLE_LINK79"/>
            <w:bookmarkStart w:id="97" w:name="OLE_LINK80"/>
            <w:r>
              <w:rPr>
                <w:rFonts w:hint="eastAsia" w:ascii="宋体" w:hAnsi="宋体" w:eastAsia="宋体" w:cs="宋体"/>
                <w:color w:val="auto"/>
                <w:szCs w:val="21"/>
              </w:rPr>
              <w:t>3.投标人依法缴纳社会保障资金的相关材料[</w:t>
            </w:r>
            <w:r>
              <w:rPr>
                <w:rFonts w:hint="eastAsia" w:ascii="宋体" w:hAnsi="宋体" w:eastAsia="宋体" w:cs="宋体"/>
                <w:color w:val="auto"/>
                <w:szCs w:val="21"/>
              </w:rPr>
              <w:t>投标截止之日止半年内任意连续</w:t>
            </w:r>
            <w:r>
              <w:rPr>
                <w:rFonts w:hint="eastAsia" w:ascii="宋体" w:hAnsi="宋体" w:eastAsia="宋体" w:cs="宋体"/>
                <w:color w:val="auto"/>
                <w:szCs w:val="21"/>
                <w:u w:val="single"/>
              </w:rPr>
              <w:t>3个</w:t>
            </w:r>
            <w:r>
              <w:rPr>
                <w:rFonts w:hint="eastAsia" w:ascii="宋体" w:hAnsi="宋体" w:eastAsia="宋体" w:cs="宋体"/>
                <w:color w:val="auto"/>
                <w:szCs w:val="21"/>
              </w:rPr>
              <w:t>月的</w:t>
            </w:r>
            <w:r>
              <w:rPr>
                <w:rFonts w:hint="eastAsia" w:ascii="宋体" w:hAnsi="宋体" w:eastAsia="宋体" w:cs="宋体"/>
                <w:b/>
                <w:color w:val="auto"/>
                <w:szCs w:val="21"/>
                <w:u w:val="single"/>
              </w:rPr>
              <w:t>依法缴纳社会保障资金的缴费凭证</w:t>
            </w:r>
            <w:r>
              <w:rPr>
                <w:rFonts w:hint="eastAsia" w:ascii="宋体" w:hAnsi="宋体" w:eastAsia="宋体" w:cs="宋体"/>
                <w:color w:val="auto"/>
                <w:szCs w:val="21"/>
              </w:rPr>
              <w:t>（专用收据或者社会保险缴纳清单）复印件；依法不需要缴纳社会保障资金的投标人，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eastAsia="宋体" w:cs="宋体"/>
                <w:color w:val="auto"/>
                <w:szCs w:val="21"/>
              </w:rPr>
              <w:t>]</w:t>
            </w:r>
            <w:r>
              <w:rPr>
                <w:rFonts w:hint="eastAsia" w:ascii="宋体" w:hAnsi="宋体" w:eastAsia="宋体" w:cs="宋体"/>
                <w:color w:val="auto"/>
                <w:szCs w:val="21"/>
              </w:rPr>
              <w:t>；</w:t>
            </w:r>
            <w:bookmarkEnd w:id="93"/>
            <w:bookmarkEnd w:id="94"/>
            <w:bookmarkEnd w:id="95"/>
            <w:r>
              <w:rPr>
                <w:rFonts w:hint="eastAsia" w:ascii="宋体" w:hAnsi="宋体" w:eastAsia="宋体" w:cs="宋体"/>
                <w:color w:val="auto"/>
                <w:szCs w:val="21"/>
              </w:rPr>
              <w:t>（</w:t>
            </w:r>
            <w:r>
              <w:rPr>
                <w:rFonts w:hint="eastAsia" w:ascii="宋体" w:hAnsi="宋体" w:eastAsia="宋体" w:cs="宋体"/>
                <w:b/>
                <w:color w:val="auto"/>
                <w:szCs w:val="21"/>
              </w:rPr>
              <w:t>必须提供，否则作无效投标处理</w:t>
            </w:r>
            <w:r>
              <w:rPr>
                <w:rFonts w:hint="eastAsia" w:ascii="宋体" w:hAnsi="宋体" w:eastAsia="宋体" w:cs="宋体"/>
                <w:color w:val="auto"/>
                <w:szCs w:val="21"/>
              </w:rPr>
              <w:t>）</w:t>
            </w:r>
          </w:p>
          <w:p w14:paraId="007FCF48">
            <w:pPr>
              <w:wordWrap w:val="0"/>
              <w:snapToGrid w:val="0"/>
              <w:spacing w:line="400" w:lineRule="exact"/>
              <w:rPr>
                <w:rFonts w:hint="eastAsia" w:ascii="宋体" w:hAnsi="宋体" w:eastAsia="宋体" w:cs="宋体"/>
                <w:color w:val="auto"/>
                <w:szCs w:val="21"/>
              </w:rPr>
            </w:pPr>
            <w:bookmarkStart w:id="98" w:name="OLE_LINK85"/>
            <w:bookmarkStart w:id="99" w:name="OLE_LINK86"/>
            <w:r>
              <w:rPr>
                <w:rFonts w:hint="eastAsia" w:ascii="宋体" w:hAnsi="宋体" w:eastAsia="宋体" w:cs="宋体"/>
                <w:color w:val="auto"/>
                <w:szCs w:val="21"/>
              </w:rPr>
              <w:t>4.投标人</w:t>
            </w:r>
            <w:bookmarkStart w:id="100" w:name="OLE_LINK51"/>
            <w:bookmarkStart w:id="101" w:name="OLE_LINK52"/>
            <w:r>
              <w:rPr>
                <w:rFonts w:hint="eastAsia" w:ascii="宋体" w:hAnsi="宋体" w:eastAsia="宋体" w:cs="宋体"/>
                <w:color w:val="auto"/>
                <w:szCs w:val="21"/>
              </w:rPr>
              <w:t>[</w:t>
            </w:r>
            <w:bookmarkEnd w:id="100"/>
            <w:bookmarkEnd w:id="101"/>
            <w:r>
              <w:rPr>
                <w:rFonts w:hint="eastAsia" w:ascii="宋体" w:hAnsi="宋体" w:eastAsia="宋体" w:cs="宋体"/>
                <w:color w:val="auto"/>
                <w:szCs w:val="21"/>
                <w:u w:val="single"/>
              </w:rPr>
              <w:t>2023年</w:t>
            </w:r>
            <w:r>
              <w:rPr>
                <w:rFonts w:hint="eastAsia" w:ascii="宋体" w:hAnsi="宋体" w:eastAsia="宋体" w:cs="宋体"/>
                <w:color w:val="auto"/>
                <w:szCs w:val="21"/>
              </w:rPr>
              <w:t>]</w:t>
            </w:r>
            <w:r>
              <w:rPr>
                <w:rFonts w:hint="eastAsia" w:ascii="宋体" w:hAnsi="宋体" w:eastAsia="宋体" w:cs="宋体"/>
                <w:color w:val="auto"/>
                <w:szCs w:val="21"/>
              </w:rPr>
              <w:t>财务状况报告复印件（成立不满一年的应按提供投标文件提交截止时间上一个月的财务状况报告复印件）或者其银行出具的资信证明（注明有效期的，应在有效期内；未注明有效期的，出具时间至投标截止时间不超过一年）</w:t>
            </w:r>
            <w:r>
              <w:rPr>
                <w:rFonts w:hint="eastAsia" w:ascii="宋体" w:hAnsi="宋体" w:eastAsia="宋体" w:cs="宋体"/>
                <w:color w:val="auto"/>
                <w:szCs w:val="21"/>
              </w:rPr>
              <w:t>]</w:t>
            </w:r>
            <w:r>
              <w:rPr>
                <w:rFonts w:hint="eastAsia" w:ascii="宋体" w:hAnsi="宋体" w:eastAsia="宋体" w:cs="宋体"/>
                <w:color w:val="auto"/>
                <w:szCs w:val="21"/>
              </w:rPr>
              <w:t>。（上述财务状况报告包括：</w:t>
            </w:r>
            <w:r>
              <w:rPr>
                <w:rFonts w:hint="eastAsia" w:ascii="宋体" w:hAnsi="宋体" w:eastAsia="宋体" w:cs="宋体"/>
                <w:b/>
                <w:color w:val="auto"/>
                <w:szCs w:val="21"/>
              </w:rPr>
              <w:t>投标人执行《企业会计准则》的，提供资产负债表、利润表、现金流量表、所有者权益变动表及其附注（以下称“四表一注”）；投标人执行《小企业会计准则》的，提供资产负债表、利润表、现金流量表及其附注（以下称“三表一注”）；投标人执行《政府会计制度》的，提供资产负债表、收入费用表和净资产变动表及其附注</w:t>
            </w:r>
            <w:r>
              <w:rPr>
                <w:rFonts w:hint="eastAsia" w:ascii="宋体" w:hAnsi="宋体" w:eastAsia="宋体" w:cs="宋体"/>
                <w:b/>
                <w:color w:val="auto"/>
                <w:szCs w:val="21"/>
              </w:rPr>
              <w:t>)</w:t>
            </w:r>
            <w:r>
              <w:rPr>
                <w:rFonts w:hint="eastAsia" w:ascii="宋体" w:hAnsi="宋体" w:eastAsia="宋体" w:cs="宋体"/>
                <w:color w:val="auto"/>
                <w:szCs w:val="21"/>
              </w:rPr>
              <w:t>；</w:t>
            </w:r>
            <w:bookmarkEnd w:id="96"/>
            <w:bookmarkEnd w:id="97"/>
            <w:bookmarkEnd w:id="98"/>
            <w:bookmarkEnd w:id="99"/>
            <w:bookmarkStart w:id="102" w:name="OLE_LINK87"/>
            <w:bookmarkStart w:id="103" w:name="OLE_LINK88"/>
            <w:r>
              <w:rPr>
                <w:rFonts w:hint="eastAsia" w:ascii="宋体" w:hAnsi="宋体" w:eastAsia="宋体" w:cs="宋体"/>
                <w:color w:val="auto"/>
                <w:szCs w:val="21"/>
              </w:rPr>
              <w:t>（</w:t>
            </w:r>
            <w:r>
              <w:rPr>
                <w:rFonts w:hint="eastAsia" w:ascii="宋体" w:hAnsi="宋体" w:eastAsia="宋体" w:cs="宋体"/>
                <w:b/>
                <w:color w:val="auto"/>
                <w:szCs w:val="21"/>
              </w:rPr>
              <w:t>必须提供，否则作无效投标处理</w:t>
            </w:r>
            <w:r>
              <w:rPr>
                <w:rFonts w:hint="eastAsia" w:ascii="宋体" w:hAnsi="宋体" w:eastAsia="宋体" w:cs="宋体"/>
                <w:color w:val="auto"/>
                <w:szCs w:val="21"/>
              </w:rPr>
              <w:t>）</w:t>
            </w:r>
          </w:p>
          <w:bookmarkEnd w:id="102"/>
          <w:bookmarkEnd w:id="103"/>
          <w:p w14:paraId="423F9A87">
            <w:pPr>
              <w:wordWrap w:val="0"/>
              <w:snapToGrid w:val="0"/>
              <w:spacing w:line="400" w:lineRule="exact"/>
              <w:rPr>
                <w:rFonts w:hint="eastAsia" w:ascii="宋体" w:hAnsi="宋体" w:eastAsia="宋体" w:cs="宋体"/>
                <w:color w:val="auto"/>
                <w:szCs w:val="21"/>
              </w:rPr>
            </w:pPr>
            <w:bookmarkStart w:id="104" w:name="OLE_LINK94"/>
            <w:bookmarkStart w:id="105" w:name="OLE_LINK93"/>
            <w:r>
              <w:rPr>
                <w:rFonts w:hint="eastAsia" w:ascii="宋体" w:hAnsi="宋体" w:eastAsia="宋体" w:cs="宋体"/>
                <w:color w:val="auto"/>
                <w:szCs w:val="21"/>
              </w:rPr>
              <w:t>5.投标人直接控股、管理关系信息表（格式后附）；</w:t>
            </w:r>
            <w:bookmarkEnd w:id="104"/>
            <w:bookmarkEnd w:id="105"/>
            <w:r>
              <w:rPr>
                <w:rFonts w:hint="eastAsia" w:ascii="宋体" w:hAnsi="宋体" w:eastAsia="宋体" w:cs="宋体"/>
                <w:color w:val="auto"/>
                <w:szCs w:val="21"/>
              </w:rPr>
              <w:t>（</w:t>
            </w:r>
            <w:r>
              <w:rPr>
                <w:rFonts w:hint="eastAsia" w:ascii="宋体" w:hAnsi="宋体" w:eastAsia="宋体" w:cs="宋体"/>
                <w:b/>
                <w:color w:val="auto"/>
                <w:szCs w:val="21"/>
              </w:rPr>
              <w:t>必须提供，否则作无效投标处理</w:t>
            </w:r>
            <w:r>
              <w:rPr>
                <w:rFonts w:hint="eastAsia" w:ascii="宋体" w:hAnsi="宋体" w:eastAsia="宋体" w:cs="宋体"/>
                <w:color w:val="auto"/>
                <w:szCs w:val="21"/>
              </w:rPr>
              <w:t>）</w:t>
            </w:r>
          </w:p>
          <w:p w14:paraId="1D180EAE">
            <w:pPr>
              <w:wordWrap w:val="0"/>
              <w:snapToGrid w:val="0"/>
              <w:spacing w:line="400" w:lineRule="exact"/>
              <w:rPr>
                <w:rFonts w:hint="eastAsia" w:ascii="宋体" w:hAnsi="宋体" w:eastAsia="宋体" w:cs="宋体"/>
                <w:color w:val="auto"/>
                <w:szCs w:val="21"/>
              </w:rPr>
            </w:pPr>
            <w:bookmarkStart w:id="106" w:name="OLE_LINK89"/>
            <w:bookmarkStart w:id="107" w:name="OLE_LINK92"/>
            <w:r>
              <w:rPr>
                <w:rFonts w:hint="eastAsia" w:ascii="宋体" w:hAnsi="宋体" w:eastAsia="宋体" w:cs="宋体"/>
                <w:color w:val="auto"/>
                <w:szCs w:val="21"/>
              </w:rPr>
              <w:t>6.投标资格声明函（格式后附）</w:t>
            </w:r>
            <w:bookmarkEnd w:id="106"/>
            <w:bookmarkEnd w:id="107"/>
            <w:r>
              <w:rPr>
                <w:rFonts w:hint="eastAsia" w:ascii="宋体" w:hAnsi="宋体" w:eastAsia="宋体" w:cs="宋体"/>
                <w:color w:val="auto"/>
                <w:szCs w:val="21"/>
              </w:rPr>
              <w:t>；（</w:t>
            </w:r>
            <w:r>
              <w:rPr>
                <w:rFonts w:hint="eastAsia" w:ascii="宋体" w:hAnsi="宋体" w:eastAsia="宋体" w:cs="宋体"/>
                <w:b/>
                <w:color w:val="auto"/>
                <w:szCs w:val="21"/>
              </w:rPr>
              <w:t>必须提供，否则作无效投标处理</w:t>
            </w:r>
            <w:r>
              <w:rPr>
                <w:rFonts w:hint="eastAsia" w:ascii="宋体" w:hAnsi="宋体" w:eastAsia="宋体" w:cs="宋体"/>
                <w:color w:val="auto"/>
                <w:szCs w:val="21"/>
              </w:rPr>
              <w:t>）</w:t>
            </w:r>
          </w:p>
          <w:p w14:paraId="3EF7DBCA">
            <w:pPr>
              <w:wordWrap w:val="0"/>
              <w:snapToGrid w:val="0"/>
              <w:spacing w:line="400" w:lineRule="exact"/>
              <w:rPr>
                <w:rFonts w:hint="eastAsia" w:ascii="宋体" w:hAnsi="宋体" w:eastAsia="宋体" w:cs="宋体"/>
                <w:color w:val="auto"/>
                <w:szCs w:val="21"/>
              </w:rPr>
            </w:pPr>
            <w:bookmarkStart w:id="108" w:name="OLE_LINK96"/>
            <w:bookmarkStart w:id="109" w:name="OLE_LINK95"/>
            <w:r>
              <w:rPr>
                <w:rFonts w:hint="eastAsia" w:ascii="宋体" w:hAnsi="宋体" w:eastAsia="宋体" w:cs="宋体"/>
                <w:color w:val="auto"/>
                <w:szCs w:val="21"/>
              </w:rPr>
              <w:t>7.联合体协议书（格式后附）；</w:t>
            </w:r>
            <w:bookmarkStart w:id="110" w:name="OLE_LINK97"/>
            <w:bookmarkStart w:id="111" w:name="OLE_LINK98"/>
            <w:r>
              <w:rPr>
                <w:rFonts w:hint="eastAsia" w:ascii="宋体" w:hAnsi="宋体" w:eastAsia="宋体" w:cs="宋体"/>
                <w:color w:val="auto"/>
                <w:szCs w:val="21"/>
              </w:rPr>
              <w:t>（</w:t>
            </w:r>
            <w:bookmarkEnd w:id="108"/>
            <w:bookmarkEnd w:id="109"/>
            <w:r>
              <w:rPr>
                <w:rFonts w:hint="eastAsia" w:ascii="宋体" w:hAnsi="宋体" w:eastAsia="宋体" w:cs="宋体"/>
                <w:b/>
                <w:color w:val="auto"/>
                <w:szCs w:val="21"/>
              </w:rPr>
              <w:t>联合体投标时必须提供，否则按无效投标处理</w:t>
            </w:r>
            <w:r>
              <w:rPr>
                <w:rFonts w:hint="eastAsia" w:ascii="宋体" w:hAnsi="宋体" w:eastAsia="宋体" w:cs="宋体"/>
                <w:color w:val="auto"/>
                <w:szCs w:val="21"/>
              </w:rPr>
              <w:t>）</w:t>
            </w:r>
            <w:bookmarkEnd w:id="110"/>
            <w:bookmarkEnd w:id="111"/>
          </w:p>
          <w:p w14:paraId="45B79F29">
            <w:pPr>
              <w:wordWrap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8.</w:t>
            </w:r>
            <w:bookmarkStart w:id="112" w:name="OLE_LINK99"/>
            <w:bookmarkStart w:id="113" w:name="OLE_LINK100"/>
            <w:r>
              <w:rPr>
                <w:rFonts w:hint="eastAsia" w:ascii="宋体" w:hAnsi="宋体" w:eastAsia="宋体" w:cs="宋体"/>
                <w:color w:val="auto"/>
                <w:szCs w:val="21"/>
              </w:rPr>
              <w:t>（采购人或采购代理机构根据招标公告对应的特定资格要求及特定条件设置投标人提供的资格证明材料）；</w:t>
            </w:r>
            <w:bookmarkEnd w:id="112"/>
            <w:bookmarkEnd w:id="113"/>
            <w:bookmarkStart w:id="114" w:name="OLE_LINK101"/>
            <w:bookmarkStart w:id="115" w:name="OLE_LINK102"/>
            <w:r>
              <w:rPr>
                <w:rFonts w:hint="eastAsia" w:ascii="宋体" w:hAnsi="宋体" w:eastAsia="宋体" w:cs="宋体"/>
                <w:b/>
                <w:bCs/>
                <w:color w:val="auto"/>
                <w:szCs w:val="21"/>
              </w:rPr>
              <w:t>（公告如有则必须提供，</w:t>
            </w:r>
            <w:r>
              <w:rPr>
                <w:rFonts w:hint="eastAsia" w:ascii="宋体" w:hAnsi="宋体" w:eastAsia="宋体" w:cs="宋体"/>
                <w:b/>
                <w:color w:val="auto"/>
                <w:szCs w:val="21"/>
              </w:rPr>
              <w:t>否则作无效投标处理</w:t>
            </w:r>
            <w:r>
              <w:rPr>
                <w:rFonts w:hint="eastAsia" w:ascii="宋体" w:hAnsi="宋体" w:eastAsia="宋体" w:cs="宋体"/>
                <w:color w:val="auto"/>
                <w:szCs w:val="21"/>
              </w:rPr>
              <w:t>）</w:t>
            </w:r>
            <w:bookmarkEnd w:id="114"/>
            <w:bookmarkEnd w:id="115"/>
          </w:p>
          <w:p w14:paraId="3061CC60">
            <w:pPr>
              <w:wordWrap w:val="0"/>
              <w:snapToGrid w:val="0"/>
              <w:spacing w:line="400" w:lineRule="exact"/>
              <w:rPr>
                <w:rFonts w:hint="eastAsia" w:ascii="宋体" w:hAnsi="宋体" w:eastAsia="宋体" w:cs="宋体"/>
                <w:b/>
                <w:color w:val="auto"/>
                <w:szCs w:val="21"/>
              </w:rPr>
            </w:pPr>
            <w:r>
              <w:rPr>
                <w:rFonts w:hint="eastAsia" w:ascii="宋体" w:hAnsi="宋体" w:eastAsia="宋体" w:cs="宋体"/>
                <w:b/>
                <w:bCs/>
                <w:color w:val="auto"/>
                <w:szCs w:val="21"/>
              </w:rPr>
              <w:t>注：</w:t>
            </w:r>
            <w:r>
              <w:rPr>
                <w:rFonts w:hint="eastAsia" w:ascii="宋体" w:hAnsi="宋体" w:eastAsia="宋体" w:cs="宋体"/>
                <w:b/>
                <w:bCs/>
                <w:color w:val="auto"/>
                <w:szCs w:val="21"/>
              </w:rPr>
              <w:t>1.以上标明“必须提供”的材料属于复印件的，必须加盖投标人电子签章，否则按无效投标</w:t>
            </w:r>
            <w:r>
              <w:rPr>
                <w:rFonts w:hint="eastAsia" w:ascii="宋体" w:hAnsi="宋体" w:eastAsia="宋体" w:cs="宋体"/>
                <w:b/>
                <w:color w:val="auto"/>
                <w:szCs w:val="21"/>
              </w:rPr>
              <w:t>处理。</w:t>
            </w:r>
          </w:p>
          <w:p w14:paraId="32EA489B">
            <w:pPr>
              <w:wordWrap w:val="0"/>
              <w:snapToGrid w:val="0"/>
              <w:spacing w:line="400" w:lineRule="exact"/>
              <w:rPr>
                <w:rFonts w:hint="eastAsia" w:ascii="宋体" w:hAnsi="宋体" w:eastAsia="宋体" w:cs="宋体"/>
                <w:color w:val="auto"/>
                <w:szCs w:val="21"/>
              </w:rPr>
            </w:pPr>
            <w:r>
              <w:rPr>
                <w:rFonts w:hint="eastAsia" w:ascii="宋体" w:hAnsi="宋体" w:eastAsia="宋体" w:cs="宋体"/>
                <w:b/>
                <w:bCs/>
                <w:color w:val="auto"/>
                <w:szCs w:val="21"/>
              </w:rPr>
              <w:t>2.联合体投标时，第1-5项资格证明文件联合体各方均必须分别提供，并由联合体牵头人加盖电子签章，规定签字处签字（或者电子签名），否则按无效投标处理。</w:t>
            </w:r>
          </w:p>
        </w:tc>
      </w:tr>
      <w:tr w14:paraId="5742F8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79B96110">
            <w:pPr>
              <w:wordWrap w:val="0"/>
              <w:spacing w:line="400" w:lineRule="exact"/>
              <w:rPr>
                <w:rFonts w:hint="eastAsia" w:ascii="宋体" w:hAnsi="宋体" w:eastAsia="宋体" w:cs="宋体"/>
                <w:color w:val="auto"/>
                <w:szCs w:val="21"/>
              </w:rPr>
            </w:pPr>
            <w:bookmarkStart w:id="116" w:name="_13.3"/>
            <w:bookmarkEnd w:id="116"/>
          </w:p>
        </w:tc>
        <w:tc>
          <w:tcPr>
            <w:tcW w:w="8376" w:type="dxa"/>
            <w:tcBorders>
              <w:top w:val="single" w:color="auto" w:sz="4" w:space="0"/>
              <w:left w:val="single" w:color="auto" w:sz="4" w:space="0"/>
              <w:bottom w:val="single" w:color="auto" w:sz="4" w:space="0"/>
              <w:right w:val="single" w:color="auto" w:sz="4" w:space="0"/>
            </w:tcBorders>
            <w:vAlign w:val="center"/>
          </w:tcPr>
          <w:p w14:paraId="57CD9394">
            <w:pPr>
              <w:wordWrap w:val="0"/>
              <w:snapToGrid w:val="0"/>
              <w:spacing w:line="400" w:lineRule="exact"/>
              <w:rPr>
                <w:rFonts w:hint="eastAsia" w:ascii="宋体" w:hAnsi="宋体" w:eastAsia="宋体" w:cs="宋体"/>
                <w:b/>
                <w:color w:val="auto"/>
                <w:szCs w:val="21"/>
              </w:rPr>
            </w:pPr>
            <w:bookmarkStart w:id="117" w:name="OLE_LINK6"/>
            <w:bookmarkStart w:id="118" w:name="OLE_LINK7"/>
            <w:r>
              <w:rPr>
                <w:rFonts w:hint="eastAsia" w:ascii="宋体" w:hAnsi="宋体" w:eastAsia="宋体" w:cs="宋体"/>
                <w:b/>
                <w:color w:val="auto"/>
                <w:szCs w:val="21"/>
              </w:rPr>
              <w:t>商务文件</w:t>
            </w:r>
            <w:bookmarkEnd w:id="117"/>
            <w:bookmarkEnd w:id="118"/>
            <w:r>
              <w:rPr>
                <w:rFonts w:hint="eastAsia" w:ascii="宋体" w:hAnsi="宋体" w:eastAsia="宋体" w:cs="宋体"/>
                <w:b/>
                <w:color w:val="auto"/>
                <w:szCs w:val="21"/>
              </w:rPr>
              <w:t>：</w:t>
            </w:r>
          </w:p>
          <w:p w14:paraId="04A37CD8">
            <w:pPr>
              <w:wordWrap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1.无串通投标行为的承诺函（格式后附）；（</w:t>
            </w:r>
            <w:r>
              <w:rPr>
                <w:rFonts w:hint="eastAsia" w:ascii="宋体" w:hAnsi="宋体" w:eastAsia="宋体" w:cs="宋体"/>
                <w:b/>
                <w:color w:val="auto"/>
                <w:szCs w:val="21"/>
              </w:rPr>
              <w:t>必须提供，否则作无效投标处理</w:t>
            </w:r>
            <w:r>
              <w:rPr>
                <w:rFonts w:hint="eastAsia" w:ascii="宋体" w:hAnsi="宋体" w:eastAsia="宋体" w:cs="宋体"/>
                <w:color w:val="auto"/>
                <w:szCs w:val="21"/>
              </w:rPr>
              <w:t>）</w:t>
            </w:r>
          </w:p>
          <w:p w14:paraId="0EF92969">
            <w:pPr>
              <w:wordWrap w:val="0"/>
              <w:snapToGrid w:val="0"/>
              <w:spacing w:line="400" w:lineRule="exact"/>
              <w:rPr>
                <w:rFonts w:hint="eastAsia" w:ascii="宋体" w:hAnsi="宋体" w:eastAsia="宋体" w:cs="宋体"/>
                <w:color w:val="auto"/>
                <w:szCs w:val="21"/>
              </w:rPr>
            </w:pPr>
            <w:bookmarkStart w:id="119" w:name="OLE_LINK112"/>
            <w:bookmarkStart w:id="120" w:name="OLE_LINK111"/>
            <w:r>
              <w:rPr>
                <w:rFonts w:hint="eastAsia" w:ascii="宋体" w:hAnsi="宋体" w:eastAsia="宋体" w:cs="宋体"/>
                <w:color w:val="auto"/>
                <w:szCs w:val="21"/>
              </w:rPr>
              <w:t>2.投标保证金提交凭证；</w:t>
            </w:r>
            <w:bookmarkEnd w:id="119"/>
            <w:bookmarkEnd w:id="120"/>
            <w:r>
              <w:rPr>
                <w:rFonts w:hint="eastAsia" w:ascii="宋体" w:hAnsi="宋体" w:eastAsia="宋体" w:cs="宋体"/>
                <w:b/>
                <w:color w:val="auto"/>
                <w:szCs w:val="21"/>
              </w:rPr>
              <w:t>（按照公告要求提供，否则作无效投标处理）</w:t>
            </w:r>
          </w:p>
          <w:p w14:paraId="07B66ACE">
            <w:pPr>
              <w:wordWrap w:val="0"/>
              <w:snapToGrid w:val="0"/>
              <w:spacing w:line="400" w:lineRule="exact"/>
              <w:rPr>
                <w:rFonts w:hint="eastAsia" w:ascii="宋体" w:hAnsi="宋体" w:eastAsia="宋体" w:cs="宋体"/>
                <w:color w:val="auto"/>
                <w:szCs w:val="21"/>
              </w:rPr>
            </w:pPr>
            <w:bookmarkStart w:id="121" w:name="OLE_LINK114"/>
            <w:bookmarkStart w:id="122" w:name="OLE_LINK113"/>
            <w:r>
              <w:rPr>
                <w:rFonts w:hint="eastAsia" w:ascii="宋体" w:hAnsi="宋体" w:eastAsia="宋体" w:cs="宋体"/>
                <w:color w:val="auto"/>
                <w:szCs w:val="21"/>
              </w:rPr>
              <w:t>3.法定代表人身份证明及法定代表人有效身份证正反面复印件（格式后附）；</w:t>
            </w:r>
            <w:bookmarkEnd w:id="121"/>
            <w:bookmarkEnd w:id="122"/>
            <w:bookmarkStart w:id="123" w:name="OLE_LINK115"/>
            <w:bookmarkStart w:id="124" w:name="OLE_LINK116"/>
            <w:r>
              <w:rPr>
                <w:rFonts w:hint="eastAsia" w:ascii="宋体" w:hAnsi="宋体" w:eastAsia="宋体" w:cs="宋体"/>
                <w:color w:val="auto"/>
                <w:szCs w:val="21"/>
              </w:rPr>
              <w:t>（</w:t>
            </w:r>
            <w:r>
              <w:rPr>
                <w:rFonts w:hint="eastAsia" w:ascii="宋体" w:hAnsi="宋体" w:eastAsia="宋体" w:cs="宋体"/>
                <w:b/>
                <w:bCs/>
                <w:color w:val="auto"/>
                <w:szCs w:val="21"/>
              </w:rPr>
              <w:t>除自然人投标外</w:t>
            </w:r>
            <w:r>
              <w:rPr>
                <w:rFonts w:hint="eastAsia" w:ascii="宋体" w:hAnsi="宋体" w:eastAsia="宋体" w:cs="宋体"/>
                <w:b/>
                <w:color w:val="auto"/>
                <w:szCs w:val="21"/>
              </w:rPr>
              <w:t>必须提供，否则作无效投标处理</w:t>
            </w:r>
            <w:r>
              <w:rPr>
                <w:rFonts w:hint="eastAsia" w:ascii="宋体" w:hAnsi="宋体" w:eastAsia="宋体" w:cs="宋体"/>
                <w:color w:val="auto"/>
                <w:szCs w:val="21"/>
              </w:rPr>
              <w:t>）</w:t>
            </w:r>
            <w:bookmarkEnd w:id="123"/>
            <w:bookmarkEnd w:id="124"/>
          </w:p>
          <w:p w14:paraId="7C2C0326">
            <w:pPr>
              <w:wordWrap w:val="0"/>
              <w:snapToGrid w:val="0"/>
              <w:spacing w:line="400" w:lineRule="exact"/>
              <w:rPr>
                <w:rFonts w:hint="eastAsia" w:ascii="宋体" w:hAnsi="宋体" w:eastAsia="宋体" w:cs="宋体"/>
                <w:color w:val="auto"/>
                <w:szCs w:val="21"/>
              </w:rPr>
            </w:pPr>
            <w:bookmarkStart w:id="125" w:name="OLE_LINK118"/>
            <w:bookmarkStart w:id="126" w:name="OLE_LINK117"/>
            <w:r>
              <w:rPr>
                <w:rFonts w:hint="eastAsia" w:ascii="宋体" w:hAnsi="宋体" w:eastAsia="宋体" w:cs="宋体"/>
                <w:color w:val="auto"/>
                <w:szCs w:val="21"/>
              </w:rPr>
              <w:t>4.法定代表人授权委托书及委托代理人有效身份证正反面复印件（格式后附）；</w:t>
            </w:r>
            <w:bookmarkStart w:id="127" w:name="OLE_LINK119"/>
            <w:bookmarkStart w:id="128" w:name="OLE_LINK120"/>
            <w:r>
              <w:rPr>
                <w:rFonts w:hint="eastAsia" w:ascii="宋体" w:hAnsi="宋体" w:eastAsia="宋体" w:cs="宋体"/>
                <w:color w:val="auto"/>
                <w:szCs w:val="21"/>
              </w:rPr>
              <w:t>（</w:t>
            </w:r>
            <w:bookmarkEnd w:id="125"/>
            <w:bookmarkEnd w:id="126"/>
            <w:r>
              <w:rPr>
                <w:rFonts w:hint="eastAsia" w:ascii="宋体" w:hAnsi="宋体" w:eastAsia="宋体" w:cs="宋体"/>
                <w:b/>
                <w:color w:val="auto"/>
                <w:szCs w:val="21"/>
              </w:rPr>
              <w:t>委托时必须提供，否则作无效投标处理</w:t>
            </w:r>
            <w:r>
              <w:rPr>
                <w:rFonts w:hint="eastAsia" w:ascii="宋体" w:hAnsi="宋体" w:eastAsia="宋体" w:cs="宋体"/>
                <w:color w:val="auto"/>
                <w:szCs w:val="21"/>
              </w:rPr>
              <w:t>）</w:t>
            </w:r>
            <w:bookmarkEnd w:id="127"/>
            <w:bookmarkEnd w:id="128"/>
          </w:p>
          <w:p w14:paraId="3F81D05A">
            <w:pPr>
              <w:wordWrap w:val="0"/>
              <w:snapToGrid w:val="0"/>
              <w:spacing w:line="400" w:lineRule="exact"/>
              <w:rPr>
                <w:rFonts w:hint="eastAsia" w:ascii="宋体" w:hAnsi="宋体" w:eastAsia="宋体" w:cs="宋体"/>
                <w:color w:val="auto"/>
                <w:szCs w:val="21"/>
              </w:rPr>
            </w:pPr>
            <w:bookmarkStart w:id="129" w:name="OLE_LINK122"/>
            <w:bookmarkStart w:id="130" w:name="OLE_LINK121"/>
            <w:r>
              <w:rPr>
                <w:rFonts w:hint="eastAsia" w:ascii="宋体" w:hAnsi="宋体" w:eastAsia="宋体" w:cs="宋体"/>
                <w:color w:val="auto"/>
                <w:szCs w:val="21"/>
              </w:rPr>
              <w:t>5.</w:t>
            </w:r>
            <w:r>
              <w:rPr>
                <w:rFonts w:hint="eastAsia" w:ascii="宋体" w:hAnsi="宋体" w:eastAsia="宋体" w:cs="宋体"/>
                <w:color w:val="auto"/>
                <w:szCs w:val="21"/>
              </w:rPr>
              <w:t>商务条款偏离表（格式后附）；</w:t>
            </w:r>
            <w:bookmarkEnd w:id="129"/>
            <w:bookmarkEnd w:id="130"/>
            <w:bookmarkStart w:id="131" w:name="OLE_LINK124"/>
            <w:bookmarkStart w:id="132" w:name="OLE_LINK123"/>
            <w:r>
              <w:rPr>
                <w:rFonts w:hint="eastAsia" w:ascii="宋体" w:hAnsi="宋体" w:eastAsia="宋体" w:cs="宋体"/>
                <w:color w:val="auto"/>
                <w:szCs w:val="21"/>
              </w:rPr>
              <w:t>（</w:t>
            </w:r>
            <w:r>
              <w:rPr>
                <w:rFonts w:hint="eastAsia" w:ascii="宋体" w:hAnsi="宋体" w:eastAsia="宋体" w:cs="宋体"/>
                <w:b/>
                <w:color w:val="auto"/>
                <w:szCs w:val="21"/>
              </w:rPr>
              <w:t>必须提供，否则作无效投标处理</w:t>
            </w:r>
            <w:r>
              <w:rPr>
                <w:rFonts w:hint="eastAsia" w:ascii="宋体" w:hAnsi="宋体" w:eastAsia="宋体" w:cs="宋体"/>
                <w:color w:val="auto"/>
                <w:szCs w:val="21"/>
              </w:rPr>
              <w:t>）</w:t>
            </w:r>
            <w:bookmarkEnd w:id="131"/>
            <w:bookmarkEnd w:id="132"/>
          </w:p>
          <w:p w14:paraId="7222D6CC">
            <w:pPr>
              <w:wordWrap w:val="0"/>
              <w:snapToGrid w:val="0"/>
              <w:spacing w:line="400" w:lineRule="exact"/>
              <w:rPr>
                <w:rFonts w:hint="eastAsia" w:ascii="宋体" w:hAnsi="宋体" w:eastAsia="宋体" w:cs="宋体"/>
                <w:color w:val="auto"/>
              </w:rPr>
            </w:pPr>
            <w:bookmarkStart w:id="133" w:name="OLE_LINK126"/>
            <w:bookmarkStart w:id="134" w:name="OLE_LINK125"/>
            <w:r>
              <w:rPr>
                <w:rFonts w:hint="eastAsia" w:ascii="宋体" w:hAnsi="宋体" w:eastAsia="宋体" w:cs="宋体"/>
                <w:color w:val="auto"/>
                <w:szCs w:val="21"/>
              </w:rPr>
              <w:t>6.</w:t>
            </w:r>
            <w:r>
              <w:rPr>
                <w:rFonts w:hint="eastAsia" w:ascii="宋体" w:hAnsi="宋体" w:eastAsia="宋体" w:cs="宋体"/>
                <w:color w:val="auto"/>
                <w:szCs w:val="21"/>
              </w:rPr>
              <w:t>售后服务承诺</w:t>
            </w:r>
            <w:r>
              <w:rPr>
                <w:rFonts w:hint="eastAsia" w:ascii="宋体" w:hAnsi="宋体" w:eastAsia="宋体" w:cs="宋体"/>
                <w:color w:val="auto"/>
                <w:szCs w:val="21"/>
              </w:rPr>
              <w:t>（格式自拟）；</w:t>
            </w:r>
            <w:bookmarkEnd w:id="133"/>
            <w:bookmarkEnd w:id="134"/>
            <w:bookmarkStart w:id="135" w:name="OLE_LINK128"/>
            <w:bookmarkStart w:id="136" w:name="OLE_LINK127"/>
            <w:r>
              <w:rPr>
                <w:rFonts w:hint="eastAsia" w:ascii="宋体" w:hAnsi="宋体" w:eastAsia="宋体" w:cs="宋体"/>
                <w:color w:val="auto"/>
                <w:szCs w:val="21"/>
              </w:rPr>
              <w:t>（</w:t>
            </w:r>
            <w:r>
              <w:rPr>
                <w:rFonts w:hint="eastAsia" w:ascii="宋体" w:hAnsi="宋体" w:eastAsia="宋体" w:cs="宋体"/>
                <w:b/>
                <w:color w:val="auto"/>
                <w:szCs w:val="21"/>
              </w:rPr>
              <w:t>必须提供，否则作无效投标处理</w:t>
            </w:r>
            <w:r>
              <w:rPr>
                <w:rFonts w:hint="eastAsia" w:ascii="宋体" w:hAnsi="宋体" w:eastAsia="宋体" w:cs="宋体"/>
                <w:color w:val="auto"/>
                <w:szCs w:val="21"/>
              </w:rPr>
              <w:t>）</w:t>
            </w:r>
            <w:bookmarkEnd w:id="135"/>
            <w:bookmarkEnd w:id="136"/>
          </w:p>
          <w:p w14:paraId="3D97429A">
            <w:pPr>
              <w:wordWrap w:val="0"/>
              <w:snapToGrid w:val="0"/>
              <w:spacing w:line="400" w:lineRule="exact"/>
              <w:rPr>
                <w:rFonts w:hint="eastAsia" w:ascii="宋体" w:hAnsi="宋体" w:eastAsia="宋体" w:cs="宋体"/>
                <w:color w:val="auto"/>
                <w:szCs w:val="21"/>
              </w:rPr>
            </w:pPr>
            <w:bookmarkStart w:id="137" w:name="OLE_LINK131"/>
            <w:bookmarkStart w:id="138" w:name="OLE_LINK132"/>
            <w:r>
              <w:rPr>
                <w:rFonts w:hint="eastAsia" w:ascii="宋体" w:hAnsi="宋体" w:eastAsia="宋体" w:cs="宋体"/>
                <w:color w:val="auto"/>
                <w:szCs w:val="21"/>
              </w:rPr>
              <w:t>7</w:t>
            </w:r>
            <w:r>
              <w:rPr>
                <w:rFonts w:hint="eastAsia" w:ascii="宋体" w:hAnsi="宋体" w:eastAsia="宋体" w:cs="宋体"/>
                <w:color w:val="auto"/>
                <w:szCs w:val="21"/>
              </w:rPr>
              <w:t>.联合体协议书（格式后附）；</w:t>
            </w:r>
            <w:bookmarkEnd w:id="137"/>
            <w:bookmarkEnd w:id="138"/>
            <w:bookmarkStart w:id="139" w:name="OLE_LINK134"/>
            <w:bookmarkStart w:id="140" w:name="OLE_LINK133"/>
            <w:r>
              <w:rPr>
                <w:rFonts w:hint="eastAsia" w:ascii="宋体" w:hAnsi="宋体" w:eastAsia="宋体" w:cs="宋体"/>
                <w:color w:val="auto"/>
                <w:szCs w:val="21"/>
              </w:rPr>
              <w:t>（</w:t>
            </w:r>
            <w:r>
              <w:rPr>
                <w:rFonts w:hint="eastAsia" w:ascii="宋体" w:hAnsi="宋体" w:eastAsia="宋体" w:cs="宋体"/>
                <w:b/>
                <w:color w:val="auto"/>
                <w:szCs w:val="21"/>
              </w:rPr>
              <w:t>联合体投标时必须提供，否则作无效投标处理</w:t>
            </w:r>
            <w:r>
              <w:rPr>
                <w:rFonts w:hint="eastAsia" w:ascii="宋体" w:hAnsi="宋体" w:eastAsia="宋体" w:cs="宋体"/>
                <w:color w:val="auto"/>
                <w:szCs w:val="21"/>
              </w:rPr>
              <w:t>）</w:t>
            </w:r>
            <w:bookmarkEnd w:id="139"/>
            <w:bookmarkEnd w:id="140"/>
          </w:p>
          <w:p w14:paraId="6EE2D666">
            <w:pPr>
              <w:wordWrap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8</w:t>
            </w:r>
            <w:r>
              <w:rPr>
                <w:rFonts w:hint="eastAsia" w:ascii="宋体" w:hAnsi="宋体" w:eastAsia="宋体" w:cs="宋体"/>
                <w:color w:val="auto"/>
                <w:szCs w:val="21"/>
              </w:rPr>
              <w:t>.除招标文件规定必须提供以外，投标人认为需要提供的其他证明材料（格式自拟）。（投标人根据“第二章采购需求”及“第四章评标方法及评标标准”提供有关证明材料）。</w:t>
            </w:r>
          </w:p>
          <w:p w14:paraId="0F47F9B3">
            <w:pPr>
              <w:wordWrap w:val="0"/>
              <w:snapToGrid w:val="0"/>
              <w:spacing w:line="400" w:lineRule="exact"/>
              <w:rPr>
                <w:rFonts w:hint="eastAsia" w:ascii="宋体" w:hAnsi="宋体" w:eastAsia="宋体" w:cs="宋体"/>
                <w:color w:val="auto"/>
                <w:szCs w:val="21"/>
              </w:rPr>
            </w:pPr>
            <w:r>
              <w:rPr>
                <w:rFonts w:hint="eastAsia" w:ascii="宋体" w:hAnsi="宋体" w:eastAsia="宋体" w:cs="宋体"/>
                <w:b/>
                <w:bCs/>
                <w:color w:val="auto"/>
                <w:szCs w:val="21"/>
              </w:rPr>
              <w:t>注：以上标明“必须提供”的材料属于复印件的，必须加盖投标人公章，否则</w:t>
            </w:r>
            <w:r>
              <w:rPr>
                <w:rFonts w:hint="eastAsia" w:ascii="宋体" w:hAnsi="宋体" w:eastAsia="宋体" w:cs="宋体"/>
                <w:b/>
                <w:color w:val="auto"/>
                <w:szCs w:val="21"/>
              </w:rPr>
              <w:t>作无效投标处理</w:t>
            </w:r>
            <w:r>
              <w:rPr>
                <w:rFonts w:hint="eastAsia" w:ascii="宋体" w:hAnsi="宋体" w:eastAsia="宋体" w:cs="宋体"/>
                <w:b/>
                <w:bCs/>
                <w:color w:val="auto"/>
                <w:szCs w:val="21"/>
              </w:rPr>
              <w:t>。</w:t>
            </w:r>
          </w:p>
        </w:tc>
      </w:tr>
      <w:tr w14:paraId="63E28C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bottom w:val="single" w:color="auto" w:sz="4" w:space="0"/>
              <w:right w:val="single" w:color="auto" w:sz="4" w:space="0"/>
            </w:tcBorders>
            <w:vAlign w:val="center"/>
          </w:tcPr>
          <w:p w14:paraId="3F38DB3A">
            <w:pPr>
              <w:wordWrap w:val="0"/>
              <w:spacing w:line="400" w:lineRule="exact"/>
              <w:rPr>
                <w:rFonts w:hint="eastAsia" w:ascii="宋体" w:hAnsi="宋体" w:eastAsia="宋体" w:cs="宋体"/>
                <w:color w:val="auto"/>
                <w:szCs w:val="21"/>
              </w:rPr>
            </w:pPr>
            <w:bookmarkStart w:id="141" w:name="_13.4"/>
            <w:bookmarkEnd w:id="141"/>
          </w:p>
        </w:tc>
        <w:tc>
          <w:tcPr>
            <w:tcW w:w="8376" w:type="dxa"/>
            <w:tcBorders>
              <w:top w:val="single" w:color="auto" w:sz="4" w:space="0"/>
              <w:left w:val="single" w:color="auto" w:sz="4" w:space="0"/>
              <w:bottom w:val="single" w:color="auto" w:sz="4" w:space="0"/>
              <w:right w:val="single" w:color="auto" w:sz="4" w:space="0"/>
            </w:tcBorders>
            <w:vAlign w:val="center"/>
          </w:tcPr>
          <w:p w14:paraId="033F0EF9">
            <w:pPr>
              <w:wordWrap w:val="0"/>
              <w:snapToGrid w:val="0"/>
              <w:spacing w:line="400" w:lineRule="exact"/>
              <w:rPr>
                <w:rFonts w:hint="eastAsia" w:ascii="宋体" w:hAnsi="宋体" w:eastAsia="宋体" w:cs="宋体"/>
                <w:b/>
                <w:color w:val="auto"/>
                <w:szCs w:val="21"/>
              </w:rPr>
            </w:pPr>
            <w:r>
              <w:rPr>
                <w:rFonts w:hint="eastAsia" w:ascii="宋体" w:hAnsi="宋体" w:eastAsia="宋体" w:cs="宋体"/>
                <w:b/>
                <w:color w:val="auto"/>
                <w:szCs w:val="21"/>
              </w:rPr>
              <w:t>技术文件：</w:t>
            </w:r>
          </w:p>
          <w:p w14:paraId="252E2433">
            <w:pPr>
              <w:wordWrap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1.技术要求偏离表（格式后附）；（</w:t>
            </w:r>
            <w:r>
              <w:rPr>
                <w:rFonts w:hint="eastAsia" w:ascii="宋体" w:hAnsi="宋体" w:eastAsia="宋体" w:cs="宋体"/>
                <w:b/>
                <w:color w:val="auto"/>
                <w:szCs w:val="21"/>
              </w:rPr>
              <w:t>必须提供，否则按无效投标处理</w:t>
            </w:r>
            <w:r>
              <w:rPr>
                <w:rFonts w:hint="eastAsia" w:ascii="宋体" w:hAnsi="宋体" w:eastAsia="宋体" w:cs="宋体"/>
                <w:color w:val="auto"/>
                <w:szCs w:val="21"/>
              </w:rPr>
              <w:t>）</w:t>
            </w:r>
          </w:p>
          <w:p w14:paraId="762F85C7">
            <w:pPr>
              <w:wordWrap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Cs w:val="21"/>
              </w:rPr>
              <w:t>标的性能配置清单（格式后附）</w:t>
            </w:r>
            <w:r>
              <w:rPr>
                <w:rFonts w:hint="eastAsia" w:ascii="宋体" w:hAnsi="宋体" w:eastAsia="宋体" w:cs="宋体"/>
                <w:color w:val="auto"/>
                <w:szCs w:val="21"/>
              </w:rPr>
              <w:t>；（</w:t>
            </w:r>
            <w:r>
              <w:rPr>
                <w:rFonts w:hint="eastAsia" w:ascii="宋体" w:hAnsi="宋体" w:eastAsia="宋体" w:cs="宋体"/>
                <w:b/>
                <w:color w:val="auto"/>
                <w:szCs w:val="21"/>
              </w:rPr>
              <w:t>必须提供，否则按无效投标处理</w:t>
            </w:r>
            <w:r>
              <w:rPr>
                <w:rFonts w:hint="eastAsia" w:ascii="宋体" w:hAnsi="宋体" w:eastAsia="宋体" w:cs="宋体"/>
                <w:color w:val="auto"/>
                <w:szCs w:val="21"/>
              </w:rPr>
              <w:t>）</w:t>
            </w:r>
          </w:p>
          <w:p w14:paraId="182C1E8E">
            <w:pPr>
              <w:wordWrap w:val="0"/>
              <w:snapToGrid w:val="0"/>
              <w:spacing w:line="400" w:lineRule="exact"/>
              <w:rPr>
                <w:rFonts w:hint="eastAsia" w:ascii="宋体" w:hAnsi="宋体" w:eastAsia="宋体" w:cs="宋体"/>
                <w:color w:val="auto"/>
              </w:rPr>
            </w:pPr>
            <w:r>
              <w:rPr>
                <w:rFonts w:hint="eastAsia" w:ascii="宋体" w:hAnsi="宋体" w:eastAsia="宋体" w:cs="宋体"/>
                <w:color w:val="auto"/>
                <w:szCs w:val="21"/>
              </w:rPr>
              <w:t>3.项目技术、服务方案（格式自拟）；</w:t>
            </w:r>
          </w:p>
          <w:p w14:paraId="6F9CD96B">
            <w:pPr>
              <w:wordWrap w:val="0"/>
              <w:snapToGrid w:val="0"/>
              <w:spacing w:line="400" w:lineRule="exact"/>
              <w:rPr>
                <w:rFonts w:hint="eastAsia" w:ascii="宋体" w:hAnsi="宋体" w:eastAsia="宋体" w:cs="宋体"/>
                <w:color w:val="auto"/>
                <w:szCs w:val="21"/>
              </w:rPr>
            </w:pPr>
            <w:bookmarkStart w:id="142" w:name="OLE_LINK138"/>
            <w:bookmarkStart w:id="143" w:name="OLE_LINK137"/>
            <w:r>
              <w:rPr>
                <w:rFonts w:hint="eastAsia" w:ascii="宋体" w:hAnsi="宋体" w:eastAsia="宋体" w:cs="宋体"/>
                <w:color w:val="auto"/>
                <w:szCs w:val="21"/>
              </w:rPr>
              <w:t>4</w:t>
            </w:r>
            <w:r>
              <w:rPr>
                <w:rFonts w:hint="eastAsia" w:ascii="宋体" w:hAnsi="宋体" w:eastAsia="宋体" w:cs="宋体"/>
                <w:color w:val="auto"/>
                <w:szCs w:val="21"/>
              </w:rPr>
              <w:t>.</w:t>
            </w:r>
            <w:bookmarkEnd w:id="142"/>
            <w:bookmarkEnd w:id="143"/>
            <w:r>
              <w:rPr>
                <w:rFonts w:hint="eastAsia" w:ascii="宋体" w:hAnsi="宋体" w:eastAsia="宋体" w:cs="宋体"/>
                <w:color w:val="auto"/>
                <w:szCs w:val="21"/>
              </w:rPr>
              <w:t>产品出厂标准、质量检测报告（如有要求，必须提供）</w:t>
            </w:r>
          </w:p>
          <w:p w14:paraId="6F4DC1AC">
            <w:pPr>
              <w:wordWrap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5.优惠条件：投标人承诺给予招标人的各种优惠条件，包括售后服务、备品备件、专用耗材等方面的优惠；投标人不得给予赠品或者与采购无关的其他商品、服务；（格式后附,如有请提供）</w:t>
            </w:r>
          </w:p>
          <w:p w14:paraId="150BE197">
            <w:pPr>
              <w:wordWrap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6</w:t>
            </w:r>
            <w:r>
              <w:rPr>
                <w:rFonts w:hint="eastAsia" w:ascii="宋体" w:hAnsi="宋体" w:eastAsia="宋体" w:cs="宋体"/>
                <w:color w:val="auto"/>
                <w:szCs w:val="21"/>
              </w:rPr>
              <w:t>.除招标文件规定必须提供以外，投标人需要说明的其他文件和说明（格式自拟）。</w:t>
            </w:r>
          </w:p>
          <w:p w14:paraId="03DA2C4F">
            <w:pPr>
              <w:wordWrap w:val="0"/>
              <w:snapToGrid w:val="0"/>
              <w:spacing w:line="400" w:lineRule="exact"/>
              <w:rPr>
                <w:rFonts w:hint="eastAsia" w:ascii="宋体" w:hAnsi="宋体" w:eastAsia="宋体" w:cs="宋体"/>
                <w:b/>
                <w:bCs/>
                <w:color w:val="auto"/>
                <w:szCs w:val="21"/>
              </w:rPr>
            </w:pPr>
            <w:r>
              <w:rPr>
                <w:rFonts w:hint="eastAsia" w:ascii="宋体" w:hAnsi="宋体" w:eastAsia="宋体" w:cs="宋体"/>
                <w:b/>
                <w:bCs/>
                <w:color w:val="auto"/>
                <w:szCs w:val="21"/>
              </w:rPr>
              <w:t>注：以上标明“必须提供”的材料属于复印件的，必须加盖投标人电子签章，否则按无效投标</w:t>
            </w:r>
            <w:r>
              <w:rPr>
                <w:rFonts w:hint="eastAsia" w:ascii="宋体" w:hAnsi="宋体" w:eastAsia="宋体" w:cs="宋体"/>
                <w:b/>
                <w:color w:val="auto"/>
                <w:szCs w:val="21"/>
              </w:rPr>
              <w:t>处理</w:t>
            </w:r>
            <w:r>
              <w:rPr>
                <w:rFonts w:hint="eastAsia" w:ascii="宋体" w:hAnsi="宋体" w:eastAsia="宋体" w:cs="宋体"/>
                <w:b/>
                <w:bCs/>
                <w:color w:val="auto"/>
                <w:szCs w:val="21"/>
              </w:rPr>
              <w:t>。</w:t>
            </w:r>
          </w:p>
        </w:tc>
      </w:tr>
      <w:tr w14:paraId="21A484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547D241">
            <w:pPr>
              <w:wordWrap w:val="0"/>
              <w:spacing w:line="400" w:lineRule="exact"/>
              <w:rPr>
                <w:rFonts w:hint="eastAsia" w:ascii="宋体" w:hAnsi="宋体" w:eastAsia="宋体" w:cs="宋体"/>
                <w:color w:val="auto"/>
                <w:szCs w:val="21"/>
              </w:rPr>
            </w:pPr>
            <w:bookmarkStart w:id="144" w:name="_13.5"/>
            <w:bookmarkEnd w:id="144"/>
            <w:bookmarkStart w:id="145" w:name="_16.2"/>
            <w:bookmarkEnd w:id="145"/>
            <w:r>
              <w:rPr>
                <w:rFonts w:hint="eastAsia" w:ascii="宋体" w:hAnsi="宋体" w:eastAsia="宋体" w:cs="宋体"/>
                <w:color w:val="auto"/>
                <w:szCs w:val="21"/>
              </w:rPr>
              <w:t>16</w:t>
            </w:r>
            <w:bookmarkStart w:id="146" w:name="_Hlt19194066"/>
            <w:bookmarkStart w:id="147" w:name="_Hlt19693758"/>
            <w:bookmarkStart w:id="148" w:name="_Hlt19194067"/>
            <w:bookmarkStart w:id="149" w:name="_Hlt19693759"/>
            <w:r>
              <w:rPr>
                <w:rFonts w:hint="eastAsia" w:ascii="宋体" w:hAnsi="宋体" w:eastAsia="宋体" w:cs="宋体"/>
                <w:color w:val="auto"/>
                <w:szCs w:val="21"/>
              </w:rPr>
              <w:t>.</w:t>
            </w:r>
            <w:bookmarkEnd w:id="146"/>
            <w:bookmarkEnd w:id="147"/>
            <w:bookmarkEnd w:id="148"/>
            <w:bookmarkEnd w:id="149"/>
            <w:r>
              <w:rPr>
                <w:rFonts w:hint="eastAsia" w:ascii="宋体" w:hAnsi="宋体" w:eastAsia="宋体" w:cs="宋体"/>
                <w:color w:val="auto"/>
                <w:szCs w:val="21"/>
              </w:rPr>
              <w:t>2</w:t>
            </w:r>
          </w:p>
        </w:tc>
        <w:tc>
          <w:tcPr>
            <w:tcW w:w="8376" w:type="dxa"/>
            <w:tcBorders>
              <w:top w:val="single" w:color="auto" w:sz="4" w:space="0"/>
              <w:left w:val="single" w:color="auto" w:sz="4" w:space="0"/>
              <w:bottom w:val="single" w:color="auto" w:sz="4" w:space="0"/>
              <w:right w:val="single" w:color="auto" w:sz="4" w:space="0"/>
            </w:tcBorders>
            <w:vAlign w:val="center"/>
          </w:tcPr>
          <w:p w14:paraId="2F59C342">
            <w:pPr>
              <w:wordWrap w:val="0"/>
              <w:snapToGrid w:val="0"/>
              <w:spacing w:line="400" w:lineRule="exact"/>
              <w:rPr>
                <w:rFonts w:hint="eastAsia" w:ascii="宋体" w:hAnsi="宋体" w:eastAsia="宋体" w:cs="宋体"/>
                <w:b/>
                <w:color w:val="auto"/>
                <w:szCs w:val="21"/>
              </w:rPr>
            </w:pPr>
            <w:r>
              <w:rPr>
                <w:rFonts w:hint="eastAsia" w:ascii="宋体" w:hAnsi="宋体" w:eastAsia="宋体" w:cs="宋体"/>
                <w:color w:val="auto"/>
                <w:szCs w:val="21"/>
              </w:rPr>
              <w:t>投标报价是履行合同的最终价格，为按总包干报价，包括但不限于资料收集、现场踏勘、补充水文地质勘察、建井、采样、测试、方案编制、报批、项目评审及开展各项任务协调等工作所需的一切人工、机械、材料、利润、税金、保险、差旅费、劳务费、样品采集和分析测试费、钻探费、成井材料费、培训费、手续费、各项税金、由于市场价格波动增加的费用、不可预见费、验收等全部费用。除合同约定的变更以外，该费用不予增减。（采购需求另有约定的，从其约定）</w:t>
            </w:r>
          </w:p>
        </w:tc>
      </w:tr>
      <w:tr w14:paraId="4BB80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F8C8304">
            <w:pPr>
              <w:wordWrap w:val="0"/>
              <w:spacing w:line="400" w:lineRule="exact"/>
              <w:rPr>
                <w:rFonts w:hint="eastAsia" w:ascii="宋体" w:hAnsi="宋体" w:eastAsia="宋体" w:cs="宋体"/>
                <w:color w:val="auto"/>
                <w:szCs w:val="21"/>
              </w:rPr>
            </w:pPr>
            <w:bookmarkStart w:id="150" w:name="_17.1"/>
            <w:bookmarkEnd w:id="150"/>
            <w:r>
              <w:rPr>
                <w:rFonts w:hint="eastAsia" w:ascii="宋体" w:hAnsi="宋体" w:eastAsia="宋体" w:cs="宋体"/>
                <w:color w:val="auto"/>
                <w:szCs w:val="21"/>
              </w:rPr>
              <w:t>17.2</w:t>
            </w:r>
          </w:p>
        </w:tc>
        <w:tc>
          <w:tcPr>
            <w:tcW w:w="8376" w:type="dxa"/>
            <w:tcBorders>
              <w:top w:val="single" w:color="auto" w:sz="4" w:space="0"/>
              <w:left w:val="single" w:color="auto" w:sz="4" w:space="0"/>
              <w:bottom w:val="single" w:color="auto" w:sz="4" w:space="0"/>
              <w:right w:val="single" w:color="auto" w:sz="4" w:space="0"/>
            </w:tcBorders>
            <w:vAlign w:val="center"/>
          </w:tcPr>
          <w:p w14:paraId="0C8B0128">
            <w:pPr>
              <w:wordWrap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投标有效期：自投标截止之日起</w:t>
            </w:r>
            <w:r>
              <w:rPr>
                <w:rFonts w:hint="eastAsia" w:ascii="宋体" w:hAnsi="宋体" w:eastAsia="宋体" w:cs="宋体"/>
                <w:color w:val="auto"/>
                <w:szCs w:val="21"/>
                <w:u w:val="single"/>
              </w:rPr>
              <w:t>120</w:t>
            </w:r>
            <w:r>
              <w:rPr>
                <w:rFonts w:hint="eastAsia" w:ascii="宋体" w:hAnsi="宋体" w:eastAsia="宋体" w:cs="宋体"/>
                <w:color w:val="auto"/>
                <w:szCs w:val="21"/>
              </w:rPr>
              <w:t>日。</w:t>
            </w:r>
          </w:p>
        </w:tc>
      </w:tr>
      <w:tr w14:paraId="0B44C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CFF8A19">
            <w:pPr>
              <w:wordWrap w:val="0"/>
              <w:spacing w:line="400" w:lineRule="exact"/>
              <w:rPr>
                <w:rFonts w:hint="eastAsia" w:ascii="宋体" w:hAnsi="宋体" w:eastAsia="宋体" w:cs="宋体"/>
                <w:color w:val="auto"/>
                <w:szCs w:val="21"/>
              </w:rPr>
            </w:pPr>
            <w:bookmarkStart w:id="151" w:name="_18"/>
            <w:bookmarkEnd w:id="151"/>
            <w:r>
              <w:rPr>
                <w:rFonts w:hint="eastAsia" w:ascii="宋体" w:hAnsi="宋体" w:eastAsia="宋体" w:cs="宋体"/>
                <w:color w:val="auto"/>
                <w:szCs w:val="21"/>
              </w:rPr>
              <w:t>18.1</w:t>
            </w:r>
          </w:p>
        </w:tc>
        <w:tc>
          <w:tcPr>
            <w:tcW w:w="8376" w:type="dxa"/>
            <w:tcBorders>
              <w:top w:val="single" w:color="auto" w:sz="4" w:space="0"/>
              <w:left w:val="single" w:color="auto" w:sz="4" w:space="0"/>
              <w:bottom w:val="single" w:color="auto" w:sz="4" w:space="0"/>
              <w:right w:val="single" w:color="auto" w:sz="4" w:space="0"/>
            </w:tcBorders>
            <w:vAlign w:val="center"/>
          </w:tcPr>
          <w:p w14:paraId="2261CE54">
            <w:pPr>
              <w:wordWrap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□本项目不收取投标保证金。</w:t>
            </w:r>
          </w:p>
          <w:p w14:paraId="1D354010">
            <w:pPr>
              <w:wordWrap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本项目收取投标保证金，具体规定如下：</w:t>
            </w:r>
          </w:p>
          <w:p w14:paraId="1EE76D99">
            <w:pPr>
              <w:wordWrap w:val="0"/>
              <w:snapToGrid w:val="0"/>
              <w:spacing w:line="400" w:lineRule="exact"/>
              <w:rPr>
                <w:rFonts w:hint="eastAsia" w:ascii="宋体" w:hAnsi="宋体" w:eastAsia="宋体" w:cs="宋体"/>
                <w:color w:val="auto"/>
                <w:szCs w:val="21"/>
                <w:u w:val="single"/>
              </w:rPr>
            </w:pPr>
            <w:r>
              <w:rPr>
                <w:rFonts w:hint="eastAsia" w:ascii="宋体" w:hAnsi="宋体" w:eastAsia="宋体" w:cs="宋体"/>
                <w:color w:val="auto"/>
                <w:szCs w:val="21"/>
              </w:rPr>
              <w:t>投标保证金的交纳方式：</w:t>
            </w:r>
            <w:r>
              <w:rPr>
                <w:rFonts w:hint="eastAsia" w:ascii="宋体" w:hAnsi="宋体" w:eastAsia="宋体" w:cs="宋体"/>
                <w:color w:val="auto"/>
                <w:szCs w:val="21"/>
                <w:u w:val="single"/>
              </w:rPr>
              <w:t>银行转账、支票、汇票、本票或者金融机构、担保机构出具的保函等方式，禁止采用现钞方式。采用银行转账方式的，在投标截止时间前交至采购代理机构指定账户并且到账：【开户名称：广西建设工程机电设备招标中心有限公司，开户银行：招商银行南宁分行营业部，银行账号：7719 0142 3310 201】；采用支票、汇票、本票或者保函等方式的，在投标截止时间前，投标人应当递交单独密封的支票、汇票、本票或者保函原件。否则视为无效投标保证金。邮寄地址：广西南宁市良庆区凯旋路15号南宁绿地中心5号楼608室；收件人：刘雅婷；联系电话：0771-2821389</w:t>
            </w:r>
          </w:p>
          <w:p w14:paraId="2F643A82">
            <w:pPr>
              <w:wordWrap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u w:val="single"/>
              </w:rPr>
              <w:t>（注：广西政采云平台“金融服务”线上办理投标保险/保函的仅需上传电子保函，如在操作过程中遇到问题或者需要技术支持，请致电政采云金融服务专线：400-903-9583）。</w:t>
            </w:r>
          </w:p>
          <w:p w14:paraId="33256259">
            <w:pPr>
              <w:wordWrap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投标保证金的金额：</w:t>
            </w:r>
            <w:r>
              <w:rPr>
                <w:rFonts w:hint="eastAsia" w:ascii="宋体" w:hAnsi="宋体" w:eastAsia="宋体" w:cs="宋体"/>
                <w:color w:val="auto"/>
                <w:szCs w:val="21"/>
                <w:u w:val="single"/>
              </w:rPr>
              <w:t>详见招标公告</w:t>
            </w:r>
          </w:p>
          <w:p w14:paraId="3C3AB0FF">
            <w:pPr>
              <w:wordWrap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相关要求：</w:t>
            </w:r>
          </w:p>
          <w:p w14:paraId="32A4F71C">
            <w:pPr>
              <w:wordWrap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rPr>
              <w:t>投标保证金采用支票、汇票、本票或者金融、担保机构出具的保函交纳方式的，投标人应将支票、汇票、本票或者金融、担保机构出具的保函的复印件作为投标保证金提交凭证，放置于商务文件中，</w:t>
            </w:r>
            <w:r>
              <w:rPr>
                <w:rFonts w:hint="eastAsia" w:ascii="宋体" w:hAnsi="宋体" w:eastAsia="宋体" w:cs="宋体"/>
                <w:b/>
                <w:color w:val="auto"/>
                <w:szCs w:val="21"/>
              </w:rPr>
              <w:t>否则投标无效</w:t>
            </w:r>
            <w:r>
              <w:rPr>
                <w:rFonts w:hint="eastAsia" w:ascii="宋体" w:hAnsi="宋体" w:eastAsia="宋体" w:cs="宋体"/>
                <w:color w:val="auto"/>
                <w:szCs w:val="21"/>
              </w:rPr>
              <w:t>。投标人必须于递交投标文件时将支票、汇票、本票或者金融、担保机构出具的保函原件提交给采购人或者采购代理机构，并妥善保管。</w:t>
            </w:r>
          </w:p>
          <w:p w14:paraId="7DA8CA28">
            <w:pPr>
              <w:wordWrap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Cs w:val="21"/>
              </w:rPr>
              <w:t>投标人为联合体的，可以由联合体中的一方或者多方共同交纳投标保证金，其交纳的保证金对联合体各方均具有约束力。</w:t>
            </w:r>
          </w:p>
          <w:p w14:paraId="4F604A54">
            <w:pPr>
              <w:wordWrap w:val="0"/>
              <w:snapToGrid w:val="0"/>
              <w:spacing w:line="400" w:lineRule="exact"/>
              <w:rPr>
                <w:rFonts w:hint="eastAsia" w:ascii="宋体" w:hAnsi="宋体" w:eastAsia="宋体" w:cs="宋体"/>
                <w:b/>
                <w:color w:val="auto"/>
                <w:szCs w:val="21"/>
              </w:rPr>
            </w:pPr>
            <w:r>
              <w:rPr>
                <w:rFonts w:hint="eastAsia" w:ascii="宋体" w:hAnsi="宋体" w:eastAsia="宋体" w:cs="宋体"/>
                <w:b/>
                <w:color w:val="auto"/>
                <w:szCs w:val="21"/>
              </w:rPr>
              <w:t>备注：</w:t>
            </w:r>
            <w:r>
              <w:rPr>
                <w:rFonts w:hint="eastAsia" w:ascii="宋体" w:hAnsi="宋体" w:eastAsia="宋体" w:cs="宋体"/>
                <w:b/>
                <w:color w:val="auto"/>
                <w:szCs w:val="21"/>
              </w:rPr>
              <w:t xml:space="preserve">1. </w:t>
            </w:r>
            <w:r>
              <w:rPr>
                <w:rFonts w:hint="eastAsia" w:ascii="宋体" w:hAnsi="宋体" w:eastAsia="宋体" w:cs="宋体"/>
                <w:b/>
                <w:color w:val="auto"/>
                <w:szCs w:val="21"/>
              </w:rPr>
              <w:t>投标保证金在投标截止时间后提交的，或者不按规定交纳方式交纳的，或者未足额交纳的（包含保函额度不足的），视为无效投标保证金。</w:t>
            </w:r>
          </w:p>
          <w:p w14:paraId="3C1064A3">
            <w:pPr>
              <w:wordWrap w:val="0"/>
              <w:snapToGrid w:val="0"/>
              <w:spacing w:line="400" w:lineRule="exact"/>
              <w:rPr>
                <w:rFonts w:hint="eastAsia" w:ascii="宋体" w:hAnsi="宋体" w:eastAsia="宋体" w:cs="宋体"/>
                <w:b/>
                <w:color w:val="auto"/>
                <w:szCs w:val="21"/>
              </w:rPr>
            </w:pPr>
            <w:r>
              <w:rPr>
                <w:rFonts w:hint="eastAsia" w:ascii="宋体" w:hAnsi="宋体" w:eastAsia="宋体" w:cs="宋体"/>
                <w:b/>
                <w:color w:val="auto"/>
                <w:szCs w:val="21"/>
              </w:rPr>
              <w:t>2.投标人采用现钞方式或者从个人账户（自然人投标除外）转出的投标保证金，视为无效投标保证金。</w:t>
            </w:r>
          </w:p>
          <w:p w14:paraId="5BF19F2C">
            <w:pPr>
              <w:wordWrap w:val="0"/>
              <w:snapToGrid w:val="0"/>
              <w:spacing w:line="400" w:lineRule="exact"/>
              <w:rPr>
                <w:rFonts w:hint="eastAsia" w:ascii="宋体" w:hAnsi="宋体" w:eastAsia="宋体" w:cs="宋体"/>
                <w:b/>
                <w:color w:val="auto"/>
                <w:szCs w:val="21"/>
              </w:rPr>
            </w:pPr>
            <w:r>
              <w:rPr>
                <w:rFonts w:hint="eastAsia" w:ascii="宋体" w:hAnsi="宋体" w:eastAsia="宋体" w:cs="宋体"/>
                <w:b/>
                <w:color w:val="auto"/>
                <w:szCs w:val="21"/>
              </w:rPr>
              <w:t>3.支票、汇票或者本票出现无效或者背书情形的，视为无效投标保证金。</w:t>
            </w:r>
          </w:p>
          <w:p w14:paraId="5F7452A5">
            <w:pPr>
              <w:wordWrap w:val="0"/>
              <w:snapToGrid w:val="0"/>
              <w:spacing w:line="400" w:lineRule="exact"/>
              <w:rPr>
                <w:rFonts w:hint="eastAsia" w:ascii="宋体" w:hAnsi="宋体" w:eastAsia="宋体" w:cs="宋体"/>
                <w:b/>
                <w:color w:val="auto"/>
                <w:szCs w:val="21"/>
              </w:rPr>
            </w:pPr>
            <w:r>
              <w:rPr>
                <w:rFonts w:hint="eastAsia" w:ascii="宋体" w:hAnsi="宋体" w:eastAsia="宋体" w:cs="宋体"/>
                <w:b/>
                <w:color w:val="auto"/>
                <w:szCs w:val="21"/>
              </w:rPr>
              <w:t>4.保函有效期低于投标有效期的，视为无效投标保证金。</w:t>
            </w:r>
          </w:p>
          <w:p w14:paraId="0C9360DB">
            <w:pPr>
              <w:wordWrap w:val="0"/>
              <w:snapToGrid w:val="0"/>
              <w:spacing w:line="400" w:lineRule="exact"/>
              <w:rPr>
                <w:rFonts w:hint="eastAsia" w:ascii="宋体" w:hAnsi="宋体" w:eastAsia="宋体" w:cs="宋体"/>
                <w:b/>
                <w:color w:val="auto"/>
                <w:szCs w:val="21"/>
              </w:rPr>
            </w:pPr>
            <w:r>
              <w:rPr>
                <w:rFonts w:hint="eastAsia" w:ascii="宋体" w:hAnsi="宋体" w:eastAsia="宋体" w:cs="宋体"/>
                <w:b/>
                <w:color w:val="auto"/>
                <w:szCs w:val="21"/>
              </w:rPr>
              <w:t>5.采用银行、保险机构出具保函的，必须为无条件保函，否则视为无效投标保证金。</w:t>
            </w:r>
          </w:p>
          <w:p w14:paraId="0CF76E07">
            <w:pPr>
              <w:wordWrap w:val="0"/>
              <w:snapToGrid w:val="0"/>
              <w:spacing w:line="400" w:lineRule="exact"/>
              <w:rPr>
                <w:rFonts w:hint="eastAsia" w:ascii="宋体" w:hAnsi="宋体" w:eastAsia="宋体" w:cs="宋体"/>
                <w:color w:val="auto"/>
              </w:rPr>
            </w:pPr>
            <w:r>
              <w:rPr>
                <w:rFonts w:hint="eastAsia" w:ascii="宋体" w:hAnsi="宋体" w:eastAsia="宋体" w:cs="宋体"/>
                <w:b/>
                <w:color w:val="auto"/>
                <w:szCs w:val="21"/>
              </w:rPr>
              <w:t>6.广西政采云平台“金融服务”线上办理投标保险/保函的仅需上传电子保函，如在操作过程中遇到问题或者需要技术支持，请致电政采云金融服务专线：400-903-9583。</w:t>
            </w:r>
          </w:p>
        </w:tc>
      </w:tr>
      <w:tr w14:paraId="58F95E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96328D1">
            <w:pPr>
              <w:wordWrap w:val="0"/>
              <w:spacing w:line="400" w:lineRule="exact"/>
              <w:rPr>
                <w:rFonts w:hint="eastAsia" w:ascii="宋体" w:hAnsi="宋体" w:eastAsia="宋体" w:cs="宋体"/>
                <w:color w:val="auto"/>
                <w:szCs w:val="21"/>
              </w:rPr>
            </w:pPr>
            <w:bookmarkStart w:id="152" w:name="_19.2"/>
            <w:bookmarkEnd w:id="152"/>
            <w:r>
              <w:rPr>
                <w:rFonts w:hint="eastAsia" w:ascii="宋体" w:hAnsi="宋体" w:eastAsia="宋体" w:cs="宋体"/>
                <w:color w:val="auto"/>
                <w:szCs w:val="21"/>
              </w:rPr>
              <w:t>20</w:t>
            </w:r>
          </w:p>
        </w:tc>
        <w:tc>
          <w:tcPr>
            <w:tcW w:w="8376" w:type="dxa"/>
            <w:tcBorders>
              <w:top w:val="single" w:color="auto" w:sz="4" w:space="0"/>
              <w:left w:val="single" w:color="auto" w:sz="4" w:space="0"/>
              <w:bottom w:val="single" w:color="auto" w:sz="4" w:space="0"/>
              <w:right w:val="single" w:color="auto" w:sz="4" w:space="0"/>
            </w:tcBorders>
            <w:vAlign w:val="center"/>
          </w:tcPr>
          <w:p w14:paraId="1C21D51C">
            <w:pPr>
              <w:wordWrap w:val="0"/>
              <w:autoSpaceDE w:val="0"/>
              <w:autoSpaceDN w:val="0"/>
              <w:snapToGrid w:val="0"/>
              <w:spacing w:line="400" w:lineRule="exact"/>
              <w:textAlignment w:val="bottom"/>
              <w:rPr>
                <w:rFonts w:hint="eastAsia" w:ascii="宋体" w:hAnsi="宋体" w:eastAsia="宋体" w:cs="宋体"/>
                <w:b/>
                <w:color w:val="auto"/>
                <w:szCs w:val="21"/>
              </w:rPr>
            </w:pPr>
            <w:r>
              <w:rPr>
                <w:rFonts w:hint="eastAsia" w:ascii="宋体" w:hAnsi="宋体" w:eastAsia="宋体" w:cs="宋体"/>
                <w:b/>
                <w:color w:val="auto"/>
                <w:szCs w:val="21"/>
              </w:rPr>
              <w:t>本项目不接受电子备份投标文件。</w:t>
            </w:r>
          </w:p>
        </w:tc>
      </w:tr>
      <w:tr w14:paraId="435945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71A4771B">
            <w:pPr>
              <w:wordWrap w:val="0"/>
              <w:spacing w:line="400" w:lineRule="exact"/>
              <w:rPr>
                <w:rFonts w:hint="eastAsia" w:ascii="宋体" w:hAnsi="宋体" w:eastAsia="宋体" w:cs="宋体"/>
                <w:color w:val="auto"/>
                <w:szCs w:val="21"/>
              </w:rPr>
            </w:pPr>
            <w:bookmarkStart w:id="153" w:name="_21.1"/>
            <w:bookmarkEnd w:id="153"/>
            <w:r>
              <w:rPr>
                <w:rFonts w:hint="eastAsia" w:ascii="宋体" w:hAnsi="宋体" w:eastAsia="宋体" w:cs="宋体"/>
                <w:color w:val="auto"/>
                <w:szCs w:val="21"/>
              </w:rPr>
              <w:t>21.1</w:t>
            </w:r>
          </w:p>
        </w:tc>
        <w:tc>
          <w:tcPr>
            <w:tcW w:w="8376" w:type="dxa"/>
            <w:tcBorders>
              <w:top w:val="single" w:color="auto" w:sz="4" w:space="0"/>
              <w:left w:val="single" w:color="auto" w:sz="4" w:space="0"/>
              <w:bottom w:val="single" w:color="auto" w:sz="4" w:space="0"/>
              <w:right w:val="single" w:color="auto" w:sz="4" w:space="0"/>
            </w:tcBorders>
            <w:vAlign w:val="center"/>
          </w:tcPr>
          <w:p w14:paraId="4D7A48A9">
            <w:pPr>
              <w:wordWrap w:val="0"/>
              <w:snapToGrid w:val="0"/>
              <w:spacing w:line="400" w:lineRule="exact"/>
              <w:rPr>
                <w:rFonts w:hint="eastAsia" w:ascii="宋体" w:hAnsi="宋体" w:eastAsia="宋体" w:cs="宋体"/>
                <w:color w:val="auto"/>
                <w:szCs w:val="21"/>
                <w:u w:val="single"/>
              </w:rPr>
            </w:pPr>
            <w:r>
              <w:rPr>
                <w:rFonts w:hint="eastAsia" w:ascii="宋体" w:hAnsi="宋体" w:eastAsia="宋体" w:cs="宋体"/>
                <w:color w:val="auto"/>
                <w:szCs w:val="21"/>
              </w:rPr>
              <w:t>1.投标文件提交截止时间：详见招标公告</w:t>
            </w:r>
          </w:p>
          <w:p w14:paraId="67424CFD">
            <w:pPr>
              <w:wordWrap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2.投标地点：详见招标公告</w:t>
            </w:r>
          </w:p>
          <w:p w14:paraId="75907EB1">
            <w:pPr>
              <w:pStyle w:val="19"/>
              <w:wordWrap w:val="0"/>
              <w:spacing w:line="400" w:lineRule="exact"/>
              <w:rPr>
                <w:rFonts w:hint="eastAsia" w:ascii="宋体" w:hAnsi="宋体" w:eastAsia="宋体" w:cs="宋体"/>
                <w:b/>
                <w:color w:val="auto"/>
                <w:sz w:val="21"/>
                <w:szCs w:val="21"/>
              </w:rPr>
            </w:pPr>
            <w:r>
              <w:rPr>
                <w:rFonts w:hint="eastAsia" w:ascii="宋体" w:hAnsi="宋体" w:eastAsia="宋体" w:cs="宋体"/>
                <w:b/>
                <w:color w:val="auto"/>
                <w:kern w:val="2"/>
                <w:sz w:val="21"/>
                <w:szCs w:val="21"/>
              </w:rPr>
              <w:t>注：因档案保存要求，中标（成交）投标人必须在合同签订前提供</w:t>
            </w:r>
            <w:r>
              <w:rPr>
                <w:rFonts w:hint="eastAsia" w:ascii="宋体" w:hAnsi="宋体" w:eastAsia="宋体" w:cs="宋体"/>
                <w:b/>
                <w:color w:val="auto"/>
                <w:kern w:val="2"/>
                <w:sz w:val="21"/>
                <w:szCs w:val="21"/>
              </w:rPr>
              <w:t>2份响应（投标）文件纸制版至采购代理机构（必须与电子版一致）存档，否则采购人有权不予签订合同。</w:t>
            </w:r>
          </w:p>
        </w:tc>
      </w:tr>
      <w:tr w14:paraId="5F1BDA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2B94F8B">
            <w:pPr>
              <w:wordWrap w:val="0"/>
              <w:spacing w:line="400" w:lineRule="exact"/>
              <w:rPr>
                <w:rFonts w:hint="eastAsia" w:ascii="宋体" w:hAnsi="宋体" w:eastAsia="宋体" w:cs="宋体"/>
                <w:color w:val="auto"/>
                <w:szCs w:val="21"/>
              </w:rPr>
            </w:pPr>
            <w:bookmarkStart w:id="154" w:name="_23"/>
            <w:bookmarkEnd w:id="154"/>
            <w:r>
              <w:rPr>
                <w:rFonts w:hint="eastAsia" w:ascii="宋体" w:hAnsi="宋体" w:eastAsia="宋体" w:cs="宋体"/>
                <w:color w:val="auto"/>
                <w:szCs w:val="21"/>
              </w:rPr>
              <w:t>23</w:t>
            </w:r>
          </w:p>
        </w:tc>
        <w:tc>
          <w:tcPr>
            <w:tcW w:w="8376" w:type="dxa"/>
            <w:tcBorders>
              <w:top w:val="single" w:color="auto" w:sz="4" w:space="0"/>
              <w:left w:val="single" w:color="auto" w:sz="4" w:space="0"/>
              <w:bottom w:val="single" w:color="auto" w:sz="4" w:space="0"/>
              <w:right w:val="single" w:color="auto" w:sz="4" w:space="0"/>
            </w:tcBorders>
            <w:vAlign w:val="center"/>
          </w:tcPr>
          <w:p w14:paraId="2A2D5DF7">
            <w:pPr>
              <w:wordWrap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1.开标时间：详见招标公告</w:t>
            </w:r>
          </w:p>
          <w:p w14:paraId="297A97BC">
            <w:pPr>
              <w:wordWrap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2.开标地点：详见招标公告</w:t>
            </w:r>
          </w:p>
        </w:tc>
      </w:tr>
      <w:tr w14:paraId="01547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A933928">
            <w:pPr>
              <w:wordWrap w:val="0"/>
              <w:spacing w:line="400" w:lineRule="exact"/>
              <w:rPr>
                <w:rFonts w:hint="eastAsia" w:ascii="宋体" w:hAnsi="宋体" w:eastAsia="宋体" w:cs="宋体"/>
                <w:color w:val="auto"/>
                <w:szCs w:val="21"/>
              </w:rPr>
            </w:pPr>
            <w:r>
              <w:rPr>
                <w:rFonts w:hint="eastAsia" w:ascii="宋体" w:hAnsi="宋体" w:eastAsia="宋体" w:cs="宋体"/>
                <w:color w:val="auto"/>
                <w:szCs w:val="21"/>
              </w:rPr>
              <w:t>24.3（1）</w:t>
            </w:r>
          </w:p>
        </w:tc>
        <w:tc>
          <w:tcPr>
            <w:tcW w:w="8376" w:type="dxa"/>
            <w:tcBorders>
              <w:top w:val="single" w:color="auto" w:sz="4" w:space="0"/>
              <w:left w:val="single" w:color="auto" w:sz="4" w:space="0"/>
              <w:bottom w:val="single" w:color="auto" w:sz="4" w:space="0"/>
              <w:right w:val="single" w:color="auto" w:sz="4" w:space="0"/>
            </w:tcBorders>
            <w:vAlign w:val="center"/>
          </w:tcPr>
          <w:p w14:paraId="0D04844F">
            <w:pPr>
              <w:wordWrap w:val="0"/>
              <w:snapToGrid w:val="0"/>
              <w:spacing w:line="400" w:lineRule="exact"/>
              <w:rPr>
                <w:rFonts w:hint="eastAsia" w:ascii="宋体" w:hAnsi="宋体" w:eastAsia="宋体" w:cs="宋体"/>
                <w:color w:val="auto"/>
                <w:szCs w:val="21"/>
                <w:u w:val="single"/>
              </w:rPr>
            </w:pPr>
            <w:r>
              <w:rPr>
                <w:rFonts w:hint="eastAsia" w:ascii="宋体" w:hAnsi="宋体" w:eastAsia="宋体" w:cs="宋体"/>
                <w:color w:val="auto"/>
                <w:szCs w:val="21"/>
              </w:rPr>
              <w:t>电子投标文件解密时间：</w:t>
            </w:r>
            <w:r>
              <w:rPr>
                <w:rFonts w:hint="eastAsia" w:ascii="宋体" w:hAnsi="宋体" w:eastAsia="宋体" w:cs="宋体"/>
                <w:color w:val="auto"/>
                <w:szCs w:val="21"/>
                <w:u w:val="single"/>
              </w:rPr>
              <w:t>30</w:t>
            </w:r>
            <w:r>
              <w:rPr>
                <w:rFonts w:hint="eastAsia" w:ascii="宋体" w:hAnsi="宋体" w:eastAsia="宋体" w:cs="宋体"/>
                <w:color w:val="auto"/>
                <w:szCs w:val="21"/>
              </w:rPr>
              <w:t>分钟</w:t>
            </w:r>
          </w:p>
        </w:tc>
      </w:tr>
      <w:tr w14:paraId="374732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05FA2B2">
            <w:pPr>
              <w:wordWrap w:val="0"/>
              <w:spacing w:line="400" w:lineRule="exact"/>
              <w:rPr>
                <w:rFonts w:hint="eastAsia" w:ascii="宋体" w:hAnsi="宋体" w:eastAsia="宋体" w:cs="宋体"/>
                <w:color w:val="auto"/>
                <w:szCs w:val="21"/>
              </w:rPr>
            </w:pPr>
            <w:r>
              <w:rPr>
                <w:rFonts w:hint="eastAsia" w:ascii="宋体" w:hAnsi="宋体" w:eastAsia="宋体" w:cs="宋体"/>
                <w:color w:val="auto"/>
                <w:szCs w:val="21"/>
              </w:rPr>
              <w:t>24.3</w:t>
            </w:r>
            <w:r>
              <w:rPr>
                <w:rFonts w:hint="eastAsia" w:ascii="宋体" w:hAnsi="宋体" w:eastAsia="宋体" w:cs="宋体"/>
                <w:color w:val="auto"/>
                <w:szCs w:val="21"/>
              </w:rPr>
              <w:t>（</w:t>
            </w:r>
            <w:r>
              <w:rPr>
                <w:rFonts w:hint="eastAsia" w:ascii="宋体" w:hAnsi="宋体" w:eastAsia="宋体" w:cs="宋体"/>
                <w:color w:val="auto"/>
                <w:szCs w:val="21"/>
              </w:rPr>
              <w:t>2</w:t>
            </w:r>
            <w:r>
              <w:rPr>
                <w:rFonts w:hint="eastAsia" w:ascii="宋体" w:hAnsi="宋体" w:eastAsia="宋体" w:cs="宋体"/>
                <w:color w:val="auto"/>
                <w:szCs w:val="21"/>
              </w:rPr>
              <w:t>）</w:t>
            </w:r>
          </w:p>
        </w:tc>
        <w:tc>
          <w:tcPr>
            <w:tcW w:w="8376" w:type="dxa"/>
            <w:tcBorders>
              <w:top w:val="single" w:color="auto" w:sz="4" w:space="0"/>
              <w:left w:val="single" w:color="auto" w:sz="4" w:space="0"/>
              <w:bottom w:val="single" w:color="auto" w:sz="4" w:space="0"/>
              <w:right w:val="single" w:color="auto" w:sz="4" w:space="0"/>
            </w:tcBorders>
            <w:vAlign w:val="center"/>
          </w:tcPr>
          <w:p w14:paraId="0FF14DED">
            <w:pPr>
              <w:wordWrap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宣布的内容：投标人名称、投标价格、交付时间（具体按广西政采云系统执行）</w:t>
            </w:r>
          </w:p>
        </w:tc>
      </w:tr>
      <w:tr w14:paraId="163900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15A366C">
            <w:pPr>
              <w:wordWrap w:val="0"/>
              <w:spacing w:line="400" w:lineRule="exact"/>
              <w:rPr>
                <w:rFonts w:hint="eastAsia" w:ascii="宋体" w:hAnsi="宋体" w:eastAsia="宋体" w:cs="宋体"/>
                <w:color w:val="auto"/>
                <w:szCs w:val="21"/>
              </w:rPr>
            </w:pPr>
            <w:bookmarkStart w:id="155" w:name="_25.3"/>
            <w:bookmarkEnd w:id="155"/>
            <w:r>
              <w:rPr>
                <w:rFonts w:hint="eastAsia" w:ascii="宋体" w:hAnsi="宋体" w:eastAsia="宋体" w:cs="宋体"/>
                <w:color w:val="auto"/>
                <w:szCs w:val="21"/>
              </w:rPr>
              <w:t>25.3（2</w:t>
            </w:r>
            <w:r>
              <w:rPr>
                <w:rFonts w:hint="eastAsia" w:ascii="宋体" w:hAnsi="宋体" w:eastAsia="宋体" w:cs="宋体"/>
                <w:color w:val="auto"/>
                <w:szCs w:val="21"/>
              </w:rPr>
              <w:t>）</w:t>
            </w:r>
          </w:p>
        </w:tc>
        <w:tc>
          <w:tcPr>
            <w:tcW w:w="8376" w:type="dxa"/>
            <w:tcBorders>
              <w:top w:val="single" w:color="auto" w:sz="4" w:space="0"/>
              <w:left w:val="single" w:color="auto" w:sz="4" w:space="0"/>
              <w:bottom w:val="single" w:color="auto" w:sz="4" w:space="0"/>
              <w:right w:val="single" w:color="auto" w:sz="4" w:space="0"/>
            </w:tcBorders>
            <w:vAlign w:val="center"/>
          </w:tcPr>
          <w:p w14:paraId="3CE6B217">
            <w:pPr>
              <w:wordWrap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采购人或者采购代理机构在资格审查结束前，对投标人进行信用查询。</w:t>
            </w:r>
          </w:p>
          <w:p w14:paraId="794AE28F">
            <w:pPr>
              <w:wordWrap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查询渠道：“信用中国”网站（</w:t>
            </w:r>
            <w:r>
              <w:rPr>
                <w:rFonts w:hint="eastAsia" w:ascii="宋体" w:hAnsi="宋体" w:eastAsia="宋体" w:cs="宋体"/>
                <w:color w:val="auto"/>
                <w:szCs w:val="21"/>
              </w:rPr>
              <w:t>www.creditchina.gov.cn）、中国政府采购网（www.ccgp.gov.cn）。</w:t>
            </w:r>
          </w:p>
          <w:p w14:paraId="48E28FB8">
            <w:pPr>
              <w:wordWrap w:val="0"/>
              <w:snapToGrid w:val="0"/>
              <w:spacing w:line="400" w:lineRule="exact"/>
              <w:rPr>
                <w:rFonts w:hint="eastAsia" w:ascii="宋体" w:hAnsi="宋体" w:eastAsia="宋体" w:cs="宋体"/>
                <w:color w:val="auto"/>
                <w:szCs w:val="21"/>
              </w:rPr>
            </w:pPr>
            <w:bookmarkStart w:id="156" w:name="OLE_LINK57"/>
            <w:bookmarkStart w:id="157" w:name="OLE_LINK58"/>
            <w:r>
              <w:rPr>
                <w:rFonts w:hint="eastAsia" w:ascii="宋体" w:hAnsi="宋体" w:eastAsia="宋体" w:cs="宋体"/>
                <w:color w:val="auto"/>
                <w:szCs w:val="21"/>
              </w:rPr>
              <w:t>信用查询截止时点：资格审查结束前</w:t>
            </w:r>
          </w:p>
          <w:p w14:paraId="36B064C7">
            <w:pPr>
              <w:wordWrap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查询记录和证据留存方式：在查询网站中直接截图查询记录，截图作为在</w:t>
            </w:r>
            <w:r>
              <w:rPr>
                <w:rFonts w:hint="eastAsia" w:ascii="宋体" w:hAnsi="宋体" w:eastAsia="宋体" w:cs="宋体"/>
                <w:color w:val="auto"/>
                <w:kern w:val="0"/>
                <w:szCs w:val="21"/>
                <w:lang w:val="zh-TW" w:bidi="zh-TW"/>
              </w:rPr>
              <w:t>广西政府采购云</w:t>
            </w:r>
            <w:r>
              <w:rPr>
                <w:rFonts w:hint="eastAsia" w:ascii="宋体" w:hAnsi="宋体" w:eastAsia="宋体" w:cs="宋体"/>
                <w:color w:val="auto"/>
                <w:kern w:val="0"/>
                <w:szCs w:val="21"/>
                <w:lang w:val="zh-TW" w:eastAsia="zh-TW" w:bidi="zh-TW"/>
              </w:rPr>
              <w:t>平台</w:t>
            </w:r>
            <w:r>
              <w:rPr>
                <w:rFonts w:hint="eastAsia" w:ascii="宋体" w:hAnsi="宋体" w:eastAsia="宋体" w:cs="宋体"/>
                <w:color w:val="auto"/>
                <w:szCs w:val="21"/>
              </w:rPr>
              <w:t>作为附件上传保存。</w:t>
            </w:r>
          </w:p>
          <w:bookmarkEnd w:id="156"/>
          <w:bookmarkEnd w:id="157"/>
          <w:p w14:paraId="28170574">
            <w:pPr>
              <w:wordWrap w:val="0"/>
              <w:snapToGrid w:val="0"/>
              <w:spacing w:line="400" w:lineRule="exact"/>
              <w:rPr>
                <w:rFonts w:hint="eastAsia" w:ascii="宋体" w:hAnsi="宋体" w:eastAsia="宋体" w:cs="宋体"/>
                <w:b/>
                <w:color w:val="auto"/>
                <w:szCs w:val="21"/>
              </w:rPr>
            </w:pPr>
            <w:r>
              <w:rPr>
                <w:rFonts w:hint="eastAsia" w:ascii="宋体" w:hAnsi="宋体" w:eastAsia="宋体" w:cs="宋体"/>
                <w:color w:val="auto"/>
                <w:szCs w:val="21"/>
              </w:rPr>
              <w:t>信用信息使用规则：对在“信用中国”网站（</w:t>
            </w:r>
            <w:r>
              <w:rPr>
                <w:rFonts w:hint="eastAsia" w:ascii="宋体" w:hAnsi="宋体" w:eastAsia="宋体" w:cs="宋体"/>
                <w:color w:val="auto"/>
                <w:szCs w:val="21"/>
              </w:rPr>
              <w:t>www.creditchina.gov.cn）、中国政府采购网（www.ccgp.gov.cn）被列入失信被执行人、重大税收违法失信主体、政府采购严重违法失信行为记录名单及其他不符合《中华人民共和国政府采购法》第二十二条规定条件的</w:t>
            </w:r>
            <w:r>
              <w:rPr>
                <w:rFonts w:hint="eastAsia" w:ascii="宋体" w:hAnsi="宋体" w:eastAsia="宋体" w:cs="宋体"/>
                <w:color w:val="auto"/>
                <w:szCs w:val="21"/>
              </w:rPr>
              <w:t>投标人</w:t>
            </w:r>
            <w:r>
              <w:rPr>
                <w:rFonts w:hint="eastAsia" w:ascii="宋体" w:hAnsi="宋体" w:eastAsia="宋体" w:cs="宋体"/>
                <w:color w:val="auto"/>
                <w:szCs w:val="21"/>
              </w:rPr>
              <w:t>，采购人或者采购代理机构应当拒绝其参与政府采购活动。两个以上的自然人、法人或者其他组织组成一个联合体，以一个</w:t>
            </w:r>
            <w:r>
              <w:rPr>
                <w:rFonts w:hint="eastAsia" w:ascii="宋体" w:hAnsi="宋体" w:eastAsia="宋体" w:cs="宋体"/>
                <w:color w:val="auto"/>
                <w:szCs w:val="21"/>
              </w:rPr>
              <w:t>投标人</w:t>
            </w:r>
            <w:r>
              <w:rPr>
                <w:rFonts w:hint="eastAsia" w:ascii="宋体" w:hAnsi="宋体" w:eastAsia="宋体" w:cs="宋体"/>
                <w:color w:val="auto"/>
                <w:szCs w:val="21"/>
              </w:rPr>
              <w:t>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w:t>
            </w:r>
            <w:r>
              <w:rPr>
                <w:rFonts w:hint="eastAsia" w:ascii="宋体" w:hAnsi="宋体" w:eastAsia="宋体" w:cs="宋体"/>
                <w:color w:val="auto"/>
                <w:szCs w:val="21"/>
              </w:rPr>
              <w:t>投标人</w:t>
            </w:r>
            <w:r>
              <w:rPr>
                <w:rFonts w:hint="eastAsia" w:ascii="宋体" w:hAnsi="宋体" w:eastAsia="宋体" w:cs="宋体"/>
                <w:color w:val="auto"/>
                <w:szCs w:val="21"/>
              </w:rPr>
              <w:t>）的，视同联合体存在不良信用记录。</w:t>
            </w:r>
          </w:p>
        </w:tc>
      </w:tr>
      <w:tr w14:paraId="3804D3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3E21FCF">
            <w:pPr>
              <w:wordWrap w:val="0"/>
              <w:spacing w:line="400" w:lineRule="exact"/>
              <w:rPr>
                <w:rFonts w:hint="eastAsia" w:ascii="宋体" w:hAnsi="宋体" w:eastAsia="宋体" w:cs="宋体"/>
                <w:color w:val="auto"/>
                <w:szCs w:val="21"/>
              </w:rPr>
            </w:pPr>
            <w:bookmarkStart w:id="158" w:name="_26"/>
            <w:bookmarkEnd w:id="158"/>
            <w:r>
              <w:rPr>
                <w:rFonts w:hint="eastAsia" w:ascii="宋体" w:hAnsi="宋体" w:eastAsia="宋体" w:cs="宋体"/>
                <w:color w:val="auto"/>
                <w:szCs w:val="21"/>
              </w:rPr>
              <w:t>26.1</w:t>
            </w:r>
          </w:p>
        </w:tc>
        <w:tc>
          <w:tcPr>
            <w:tcW w:w="8376" w:type="dxa"/>
            <w:tcBorders>
              <w:top w:val="single" w:color="auto" w:sz="4" w:space="0"/>
              <w:left w:val="single" w:color="auto" w:sz="4" w:space="0"/>
              <w:bottom w:val="single" w:color="auto" w:sz="4" w:space="0"/>
              <w:right w:val="single" w:color="auto" w:sz="4" w:space="0"/>
            </w:tcBorders>
            <w:vAlign w:val="center"/>
          </w:tcPr>
          <w:p w14:paraId="34EB0AA9">
            <w:pPr>
              <w:wordWrap w:val="0"/>
              <w:autoSpaceDE w:val="0"/>
              <w:autoSpaceDN w:val="0"/>
              <w:snapToGrid w:val="0"/>
              <w:spacing w:line="400" w:lineRule="exact"/>
              <w:textAlignment w:val="bottom"/>
              <w:rPr>
                <w:rFonts w:hint="eastAsia" w:ascii="宋体" w:hAnsi="宋体" w:eastAsia="宋体" w:cs="宋体"/>
                <w:color w:val="auto"/>
                <w:szCs w:val="21"/>
              </w:rPr>
            </w:pPr>
            <w:r>
              <w:rPr>
                <w:rFonts w:hint="eastAsia" w:ascii="宋体" w:hAnsi="宋体" w:eastAsia="宋体" w:cs="宋体"/>
                <w:color w:val="auto"/>
                <w:szCs w:val="21"/>
              </w:rPr>
              <w:t>评标委员会的人数：</w:t>
            </w:r>
            <w:r>
              <w:rPr>
                <w:rFonts w:hint="eastAsia" w:ascii="宋体" w:hAnsi="宋体" w:eastAsia="宋体" w:cs="宋体"/>
                <w:color w:val="auto"/>
                <w:szCs w:val="21"/>
                <w:u w:val="single"/>
              </w:rPr>
              <w:t>5</w:t>
            </w:r>
            <w:r>
              <w:rPr>
                <w:rFonts w:hint="eastAsia" w:ascii="宋体" w:hAnsi="宋体" w:eastAsia="宋体" w:cs="宋体"/>
                <w:color w:val="auto"/>
                <w:szCs w:val="21"/>
              </w:rPr>
              <w:t>人</w:t>
            </w:r>
          </w:p>
        </w:tc>
      </w:tr>
      <w:tr w14:paraId="08594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C389AD7">
            <w:pPr>
              <w:wordWrap w:val="0"/>
              <w:spacing w:line="400" w:lineRule="exact"/>
              <w:rPr>
                <w:rFonts w:hint="eastAsia" w:ascii="宋体" w:hAnsi="宋体" w:eastAsia="宋体" w:cs="宋体"/>
                <w:color w:val="auto"/>
                <w:szCs w:val="21"/>
              </w:rPr>
            </w:pPr>
            <w:bookmarkStart w:id="159" w:name="_28.3"/>
            <w:bookmarkEnd w:id="159"/>
            <w:r>
              <w:rPr>
                <w:rFonts w:hint="eastAsia" w:ascii="宋体" w:hAnsi="宋体" w:eastAsia="宋体" w:cs="宋体"/>
                <w:color w:val="auto"/>
                <w:szCs w:val="21"/>
              </w:rPr>
              <w:t>29.1</w:t>
            </w:r>
          </w:p>
        </w:tc>
        <w:tc>
          <w:tcPr>
            <w:tcW w:w="8376" w:type="dxa"/>
            <w:tcBorders>
              <w:top w:val="single" w:color="auto" w:sz="4" w:space="0"/>
              <w:left w:val="single" w:color="auto" w:sz="4" w:space="0"/>
              <w:bottom w:val="single" w:color="auto" w:sz="4" w:space="0"/>
              <w:right w:val="single" w:color="auto" w:sz="4" w:space="0"/>
            </w:tcBorders>
            <w:vAlign w:val="center"/>
          </w:tcPr>
          <w:p w14:paraId="1298F689">
            <w:pPr>
              <w:wordWrap w:val="0"/>
              <w:autoSpaceDE w:val="0"/>
              <w:autoSpaceDN w:val="0"/>
              <w:snapToGrid w:val="0"/>
              <w:spacing w:line="400" w:lineRule="exact"/>
              <w:textAlignment w:val="bottom"/>
              <w:rPr>
                <w:rFonts w:hint="eastAsia" w:ascii="宋体" w:hAnsi="宋体" w:eastAsia="宋体" w:cs="宋体"/>
                <w:color w:val="auto"/>
                <w:szCs w:val="21"/>
              </w:rPr>
            </w:pPr>
            <w:r>
              <w:rPr>
                <w:rFonts w:hint="eastAsia" w:ascii="宋体" w:hAnsi="宋体" w:eastAsia="宋体" w:cs="宋体"/>
                <w:color w:val="auto"/>
                <w:szCs w:val="21"/>
              </w:rPr>
              <w:t>评标方法：</w:t>
            </w:r>
          </w:p>
          <w:p w14:paraId="1136A3BD">
            <w:pPr>
              <w:wordWrap w:val="0"/>
              <w:autoSpaceDE w:val="0"/>
              <w:autoSpaceDN w:val="0"/>
              <w:snapToGrid w:val="0"/>
              <w:spacing w:line="400" w:lineRule="exact"/>
              <w:textAlignment w:val="bottom"/>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综合评分法</w:t>
            </w:r>
          </w:p>
          <w:p w14:paraId="78344573">
            <w:pPr>
              <w:wordWrap w:val="0"/>
              <w:autoSpaceDE w:val="0"/>
              <w:autoSpaceDN w:val="0"/>
              <w:snapToGrid w:val="0"/>
              <w:spacing w:line="400" w:lineRule="exact"/>
              <w:textAlignment w:val="bottom"/>
              <w:rPr>
                <w:rFonts w:hint="eastAsia" w:ascii="宋体" w:hAnsi="宋体" w:eastAsia="宋体" w:cs="宋体"/>
                <w:color w:val="auto"/>
                <w:szCs w:val="21"/>
              </w:rPr>
            </w:pPr>
            <w:r>
              <w:rPr>
                <w:rFonts w:hint="eastAsia" w:ascii="宋体" w:hAnsi="宋体" w:eastAsia="宋体" w:cs="宋体"/>
                <w:color w:val="auto"/>
                <w:szCs w:val="21"/>
              </w:rPr>
              <w:t>□最低评标价法</w:t>
            </w:r>
          </w:p>
        </w:tc>
      </w:tr>
      <w:tr w14:paraId="13771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64A04E4A">
            <w:pPr>
              <w:wordWrap w:val="0"/>
              <w:spacing w:line="400" w:lineRule="exact"/>
              <w:rPr>
                <w:rFonts w:hint="eastAsia" w:ascii="宋体" w:hAnsi="宋体" w:eastAsia="宋体" w:cs="宋体"/>
                <w:color w:val="auto"/>
                <w:szCs w:val="21"/>
              </w:rPr>
            </w:pPr>
            <w:bookmarkStart w:id="160" w:name="_29.2.2（2）"/>
            <w:bookmarkEnd w:id="160"/>
            <w:r>
              <w:rPr>
                <w:rFonts w:hint="eastAsia" w:ascii="宋体" w:hAnsi="宋体" w:eastAsia="宋体" w:cs="宋体"/>
                <w:color w:val="auto"/>
                <w:szCs w:val="21"/>
              </w:rPr>
              <w:t>29.3</w:t>
            </w:r>
          </w:p>
        </w:tc>
        <w:tc>
          <w:tcPr>
            <w:tcW w:w="8376" w:type="dxa"/>
            <w:tcBorders>
              <w:top w:val="single" w:color="auto" w:sz="4" w:space="0"/>
              <w:left w:val="single" w:color="auto" w:sz="4" w:space="0"/>
              <w:right w:val="single" w:color="auto" w:sz="4" w:space="0"/>
            </w:tcBorders>
            <w:vAlign w:val="center"/>
          </w:tcPr>
          <w:p w14:paraId="74E86BA9">
            <w:pPr>
              <w:wordWrap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中标候选人推荐数量</w:t>
            </w:r>
            <w:r>
              <w:rPr>
                <w:rFonts w:hint="eastAsia" w:ascii="宋体" w:hAnsi="宋体" w:eastAsia="宋体" w:cs="宋体"/>
                <w:color w:val="auto"/>
                <w:szCs w:val="21"/>
              </w:rPr>
              <w:t>：</w:t>
            </w:r>
            <w:r>
              <w:rPr>
                <w:rFonts w:hint="eastAsia" w:ascii="宋体" w:hAnsi="宋体" w:eastAsia="宋体" w:cs="宋体"/>
                <w:color w:val="auto"/>
                <w:szCs w:val="21"/>
                <w:u w:val="single"/>
              </w:rPr>
              <w:t>3</w:t>
            </w:r>
            <w:r>
              <w:rPr>
                <w:rFonts w:hint="eastAsia" w:ascii="宋体" w:hAnsi="宋体" w:eastAsia="宋体" w:cs="宋体"/>
                <w:color w:val="auto"/>
                <w:szCs w:val="21"/>
              </w:rPr>
              <w:t>名</w:t>
            </w:r>
          </w:p>
        </w:tc>
      </w:tr>
      <w:tr w14:paraId="71E757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B0B954C">
            <w:pPr>
              <w:wordWrap w:val="0"/>
              <w:spacing w:line="400" w:lineRule="exact"/>
              <w:rPr>
                <w:rFonts w:hint="eastAsia" w:ascii="宋体" w:hAnsi="宋体" w:eastAsia="宋体" w:cs="宋体"/>
                <w:color w:val="auto"/>
                <w:szCs w:val="21"/>
              </w:rPr>
            </w:pPr>
            <w:r>
              <w:rPr>
                <w:rFonts w:hint="eastAsia" w:ascii="宋体" w:hAnsi="宋体" w:eastAsia="宋体" w:cs="宋体"/>
                <w:color w:val="auto"/>
                <w:szCs w:val="21"/>
              </w:rPr>
              <w:t>30.1</w:t>
            </w:r>
          </w:p>
        </w:tc>
        <w:tc>
          <w:tcPr>
            <w:tcW w:w="8376" w:type="dxa"/>
            <w:tcBorders>
              <w:top w:val="single" w:color="auto" w:sz="4" w:space="0"/>
              <w:left w:val="single" w:color="auto" w:sz="4" w:space="0"/>
              <w:bottom w:val="single" w:color="auto" w:sz="4" w:space="0"/>
              <w:right w:val="single" w:color="auto" w:sz="4" w:space="0"/>
            </w:tcBorders>
            <w:vAlign w:val="center"/>
          </w:tcPr>
          <w:p w14:paraId="666B790C">
            <w:pPr>
              <w:wordWrap w:val="0"/>
              <w:autoSpaceDE w:val="0"/>
              <w:autoSpaceDN w:val="0"/>
              <w:snapToGrid w:val="0"/>
              <w:spacing w:line="400" w:lineRule="exact"/>
              <w:textAlignment w:val="bottom"/>
              <w:rPr>
                <w:rFonts w:hint="eastAsia" w:ascii="宋体" w:hAnsi="宋体" w:eastAsia="宋体" w:cs="宋体"/>
                <w:color w:val="auto"/>
                <w:szCs w:val="21"/>
              </w:rPr>
            </w:pPr>
            <w:r>
              <w:rPr>
                <w:rFonts w:hint="eastAsia" w:ascii="宋体" w:hAnsi="宋体" w:eastAsia="宋体" w:cs="宋体"/>
                <w:color w:val="auto"/>
                <w:szCs w:val="21"/>
              </w:rPr>
              <w:t>采用综合评分法的采购项目，采购人确定中标人时，出现中标候选人并列的情形，采购人按以下的方式确定中标人：</w:t>
            </w:r>
          </w:p>
          <w:p w14:paraId="440FA58A">
            <w:pPr>
              <w:wordWrap w:val="0"/>
              <w:autoSpaceDE w:val="0"/>
              <w:autoSpaceDN w:val="0"/>
              <w:snapToGrid w:val="0"/>
              <w:spacing w:line="400" w:lineRule="exact"/>
              <w:textAlignment w:val="bottom"/>
              <w:rPr>
                <w:rFonts w:hint="eastAsia" w:ascii="宋体" w:hAnsi="宋体" w:eastAsia="宋体" w:cs="宋体"/>
                <w:color w:val="auto"/>
                <w:szCs w:val="21"/>
              </w:rPr>
            </w:pPr>
            <w:r>
              <w:rPr>
                <w:rFonts w:hint="eastAsia" w:ascii="宋体" w:hAnsi="宋体" w:eastAsia="宋体" w:cs="宋体"/>
                <w:color w:val="auto"/>
                <w:szCs w:val="21"/>
              </w:rPr>
              <w:t>□政策分得分高的优先、技术评分高的优先、商务评分高的优先、项目质保期长优先、交货期短优先、故障响应时间短优先的顺序；</w:t>
            </w:r>
          </w:p>
          <w:p w14:paraId="274E735B">
            <w:pPr>
              <w:wordWrap w:val="0"/>
              <w:autoSpaceDE w:val="0"/>
              <w:autoSpaceDN w:val="0"/>
              <w:snapToGrid w:val="0"/>
              <w:spacing w:line="400" w:lineRule="exact"/>
              <w:textAlignment w:val="bottom"/>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依次按投标报价低的优先、政策分得分高的优先、技术评分高的优先、商务评分高的优先、保修期长优先、交货期短优先、故障响应时间短优先的顺序确定；若以上相同的，由评标委员会采用不记名投票决定，票数高的优先推荐。</w:t>
            </w:r>
          </w:p>
          <w:p w14:paraId="07AC23D5">
            <w:pPr>
              <w:wordWrap w:val="0"/>
              <w:autoSpaceDE w:val="0"/>
              <w:autoSpaceDN w:val="0"/>
              <w:snapToGrid w:val="0"/>
              <w:spacing w:line="400" w:lineRule="exact"/>
              <w:textAlignment w:val="bottom"/>
              <w:rPr>
                <w:rFonts w:hint="eastAsia" w:ascii="宋体" w:hAnsi="宋体" w:eastAsia="宋体" w:cs="宋体"/>
                <w:color w:val="auto"/>
                <w:szCs w:val="21"/>
              </w:rPr>
            </w:pPr>
            <w:r>
              <w:rPr>
                <w:rFonts w:hint="eastAsia" w:ascii="宋体" w:hAnsi="宋体" w:eastAsia="宋体" w:cs="宋体"/>
                <w:color w:val="auto"/>
                <w:szCs w:val="21"/>
              </w:rPr>
              <w:t>□随机抽取</w:t>
            </w:r>
          </w:p>
        </w:tc>
      </w:tr>
      <w:tr w14:paraId="028554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5317A141">
            <w:pPr>
              <w:wordWrap w:val="0"/>
              <w:spacing w:line="400" w:lineRule="exact"/>
              <w:rPr>
                <w:rFonts w:hint="eastAsia" w:ascii="宋体" w:hAnsi="宋体" w:eastAsia="宋体" w:cs="宋体"/>
                <w:color w:val="auto"/>
                <w:szCs w:val="21"/>
              </w:rPr>
            </w:pPr>
            <w:bookmarkStart w:id="161" w:name="_39.1"/>
            <w:bookmarkEnd w:id="161"/>
            <w:r>
              <w:rPr>
                <w:rFonts w:hint="eastAsia" w:ascii="宋体" w:hAnsi="宋体" w:eastAsia="宋体" w:cs="宋体"/>
                <w:color w:val="auto"/>
                <w:szCs w:val="21"/>
              </w:rPr>
              <w:t>35.1</w:t>
            </w:r>
          </w:p>
        </w:tc>
        <w:tc>
          <w:tcPr>
            <w:tcW w:w="8376" w:type="dxa"/>
            <w:tcBorders>
              <w:top w:val="single" w:color="auto" w:sz="4" w:space="0"/>
              <w:left w:val="single" w:color="auto" w:sz="4" w:space="0"/>
              <w:bottom w:val="single" w:color="auto" w:sz="4" w:space="0"/>
              <w:right w:val="single" w:color="auto" w:sz="4" w:space="0"/>
            </w:tcBorders>
            <w:vAlign w:val="center"/>
          </w:tcPr>
          <w:p w14:paraId="4C922862">
            <w:pPr>
              <w:wordWrap w:val="0"/>
              <w:autoSpaceDE w:val="0"/>
              <w:autoSpaceDN w:val="0"/>
              <w:snapToGrid w:val="0"/>
              <w:spacing w:line="400" w:lineRule="exact"/>
              <w:textAlignment w:val="bottom"/>
              <w:rPr>
                <w:rFonts w:hint="eastAsia" w:ascii="宋体" w:hAnsi="宋体" w:eastAsia="宋体" w:cs="宋体"/>
                <w:color w:val="auto"/>
                <w:szCs w:val="21"/>
              </w:rPr>
            </w:pPr>
            <w:r>
              <w:rPr>
                <w:rFonts w:hint="eastAsia" w:ascii="宋体" w:hAnsi="宋体" w:eastAsia="宋体" w:cs="宋体"/>
                <w:color w:val="auto"/>
                <w:szCs w:val="21"/>
              </w:rPr>
              <w:t>1）履约保证金金额：</w:t>
            </w:r>
            <w:r>
              <w:rPr>
                <w:rFonts w:hint="eastAsia" w:ascii="宋体" w:hAnsi="宋体" w:eastAsia="宋体" w:cs="宋体"/>
                <w:color w:val="auto"/>
                <w:szCs w:val="21"/>
                <w:u w:val="single"/>
              </w:rPr>
              <w:t>详见第二章货物需求一览表</w:t>
            </w:r>
          </w:p>
          <w:p w14:paraId="1E24156A">
            <w:pPr>
              <w:wordWrap w:val="0"/>
              <w:autoSpaceDE w:val="0"/>
              <w:autoSpaceDN w:val="0"/>
              <w:snapToGrid w:val="0"/>
              <w:spacing w:line="400" w:lineRule="exact"/>
              <w:textAlignment w:val="bottom"/>
              <w:rPr>
                <w:rFonts w:hint="eastAsia" w:ascii="宋体" w:hAnsi="宋体" w:eastAsia="宋体" w:cs="宋体"/>
                <w:color w:val="auto"/>
                <w:szCs w:val="21"/>
              </w:rPr>
            </w:pPr>
            <w:r>
              <w:rPr>
                <w:rFonts w:hint="eastAsia" w:ascii="宋体" w:hAnsi="宋体" w:eastAsia="宋体" w:cs="宋体"/>
                <w:color w:val="auto"/>
                <w:szCs w:val="21"/>
              </w:rPr>
              <w:t>2）履约保证金递交方式：</w:t>
            </w:r>
            <w:r>
              <w:rPr>
                <w:rFonts w:hint="eastAsia" w:ascii="宋体" w:hAnsi="宋体" w:eastAsia="宋体" w:cs="宋体"/>
                <w:color w:val="auto"/>
                <w:szCs w:val="21"/>
                <w:u w:val="single"/>
              </w:rPr>
              <w:t>详见第二章货物需求一览表</w:t>
            </w:r>
          </w:p>
          <w:p w14:paraId="695646DE">
            <w:pPr>
              <w:wordWrap w:val="0"/>
              <w:autoSpaceDE w:val="0"/>
              <w:autoSpaceDN w:val="0"/>
              <w:snapToGrid w:val="0"/>
              <w:spacing w:line="400" w:lineRule="exact"/>
              <w:textAlignment w:val="bottom"/>
              <w:rPr>
                <w:rFonts w:hint="eastAsia" w:ascii="宋体" w:hAnsi="宋体" w:eastAsia="宋体" w:cs="宋体"/>
                <w:color w:val="auto"/>
                <w:szCs w:val="21"/>
              </w:rPr>
            </w:pPr>
            <w:r>
              <w:rPr>
                <w:rFonts w:hint="eastAsia" w:ascii="宋体" w:hAnsi="宋体" w:eastAsia="宋体" w:cs="宋体"/>
                <w:color w:val="auto"/>
                <w:szCs w:val="21"/>
              </w:rPr>
              <w:t>3）履约保证金退付方式、时间及条件：</w:t>
            </w:r>
            <w:r>
              <w:rPr>
                <w:rFonts w:hint="eastAsia" w:ascii="宋体" w:hAnsi="宋体" w:eastAsia="宋体" w:cs="宋体"/>
                <w:color w:val="auto"/>
                <w:szCs w:val="21"/>
                <w:u w:val="single"/>
              </w:rPr>
              <w:t>详见第二章货物需求一览表</w:t>
            </w:r>
          </w:p>
          <w:p w14:paraId="2DE997CE">
            <w:pPr>
              <w:wordWrap w:val="0"/>
              <w:autoSpaceDE w:val="0"/>
              <w:autoSpaceDN w:val="0"/>
              <w:snapToGrid w:val="0"/>
              <w:spacing w:line="400" w:lineRule="exact"/>
              <w:textAlignment w:val="bottom"/>
              <w:rPr>
                <w:rFonts w:hint="eastAsia" w:ascii="宋体" w:hAnsi="宋体" w:eastAsia="宋体" w:cs="宋体"/>
                <w:color w:val="auto"/>
                <w:szCs w:val="21"/>
              </w:rPr>
            </w:pPr>
            <w:r>
              <w:rPr>
                <w:rFonts w:hint="eastAsia" w:ascii="宋体" w:hAnsi="宋体" w:eastAsia="宋体" w:cs="宋体"/>
                <w:color w:val="auto"/>
                <w:szCs w:val="21"/>
              </w:rPr>
              <w:t>履约保证金指定账户：</w:t>
            </w:r>
            <w:r>
              <w:rPr>
                <w:rFonts w:hint="eastAsia" w:ascii="宋体" w:hAnsi="宋体" w:eastAsia="宋体" w:cs="宋体"/>
                <w:color w:val="auto"/>
                <w:szCs w:val="21"/>
                <w:u w:val="single"/>
              </w:rPr>
              <w:t>详见第二章货物需求一览表</w:t>
            </w:r>
          </w:p>
          <w:p w14:paraId="7571758D">
            <w:pPr>
              <w:wordWrap w:val="0"/>
              <w:spacing w:line="400" w:lineRule="exact"/>
              <w:rPr>
                <w:rFonts w:hint="eastAsia" w:ascii="宋体" w:hAnsi="宋体" w:eastAsia="宋体" w:cs="宋体"/>
                <w:b/>
                <w:color w:val="auto"/>
                <w:szCs w:val="21"/>
              </w:rPr>
            </w:pPr>
            <w:r>
              <w:rPr>
                <w:rFonts w:hint="eastAsia" w:ascii="宋体" w:hAnsi="宋体" w:eastAsia="宋体" w:cs="宋体"/>
                <w:color w:val="auto"/>
                <w:szCs w:val="21"/>
              </w:rPr>
              <w:t>备注：</w:t>
            </w:r>
            <w:r>
              <w:rPr>
                <w:rFonts w:hint="eastAsia" w:ascii="宋体" w:hAnsi="宋体" w:eastAsia="宋体" w:cs="宋体"/>
                <w:b/>
                <w:color w:val="auto"/>
                <w:szCs w:val="21"/>
              </w:rPr>
              <w:t>1.</w:t>
            </w:r>
            <w:r>
              <w:rPr>
                <w:rFonts w:hint="eastAsia" w:ascii="宋体" w:hAnsi="宋体" w:eastAsia="宋体" w:cs="宋体"/>
                <w:b/>
                <w:color w:val="auto"/>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1CB79983">
            <w:pPr>
              <w:wordWrap w:val="0"/>
              <w:spacing w:line="400" w:lineRule="exact"/>
              <w:rPr>
                <w:rFonts w:hint="eastAsia" w:ascii="宋体" w:hAnsi="宋体" w:eastAsia="宋体" w:cs="宋体"/>
                <w:b/>
                <w:color w:val="auto"/>
                <w:szCs w:val="21"/>
              </w:rPr>
            </w:pPr>
            <w:r>
              <w:rPr>
                <w:rFonts w:hint="eastAsia" w:ascii="宋体" w:hAnsi="宋体" w:eastAsia="宋体" w:cs="宋体"/>
                <w:b/>
                <w:color w:val="auto"/>
                <w:szCs w:val="21"/>
              </w:rPr>
              <w:t>2.采用金融、担保机构出具的保函的，必须为无条件保函，否则不予签订合同。</w:t>
            </w:r>
          </w:p>
          <w:p w14:paraId="4A88F0A9">
            <w:pPr>
              <w:wordWrap w:val="0"/>
              <w:autoSpaceDE w:val="0"/>
              <w:autoSpaceDN w:val="0"/>
              <w:snapToGrid w:val="0"/>
              <w:spacing w:line="400" w:lineRule="exact"/>
              <w:textAlignment w:val="bottom"/>
              <w:rPr>
                <w:rFonts w:hint="eastAsia" w:ascii="宋体" w:hAnsi="宋体" w:eastAsia="宋体" w:cs="宋体"/>
                <w:color w:val="auto"/>
                <w:szCs w:val="21"/>
              </w:rPr>
            </w:pPr>
            <w:r>
              <w:rPr>
                <w:rFonts w:hint="eastAsia" w:ascii="宋体" w:hAnsi="宋体" w:eastAsia="宋体" w:cs="宋体"/>
                <w:b/>
                <w:color w:val="auto"/>
                <w:szCs w:val="21"/>
              </w:rPr>
              <w:t>3.</w:t>
            </w:r>
            <w:r>
              <w:rPr>
                <w:rFonts w:hint="eastAsia" w:ascii="宋体" w:hAnsi="宋体" w:eastAsia="宋体" w:cs="宋体"/>
                <w:b/>
                <w:color w:val="auto"/>
                <w:szCs w:val="21"/>
              </w:rPr>
              <w:t>投标人为联合体的，由联合体其中一方按规定提交的履约保证金，视为有效履约保证金。</w:t>
            </w:r>
          </w:p>
        </w:tc>
      </w:tr>
      <w:tr w14:paraId="3A325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0064799">
            <w:pPr>
              <w:wordWrap w:val="0"/>
              <w:spacing w:line="400" w:lineRule="exact"/>
              <w:rPr>
                <w:rFonts w:hint="eastAsia" w:ascii="宋体" w:hAnsi="宋体" w:eastAsia="宋体" w:cs="宋体"/>
                <w:color w:val="auto"/>
                <w:szCs w:val="21"/>
              </w:rPr>
            </w:pPr>
            <w:bookmarkStart w:id="162" w:name="_40.1"/>
            <w:bookmarkEnd w:id="162"/>
            <w:r>
              <w:rPr>
                <w:rFonts w:hint="eastAsia" w:ascii="宋体" w:hAnsi="宋体" w:eastAsia="宋体" w:cs="宋体"/>
                <w:color w:val="auto"/>
                <w:szCs w:val="21"/>
              </w:rPr>
              <w:t>36.1</w:t>
            </w:r>
          </w:p>
        </w:tc>
        <w:tc>
          <w:tcPr>
            <w:tcW w:w="8376" w:type="dxa"/>
            <w:tcBorders>
              <w:top w:val="single" w:color="auto" w:sz="4" w:space="0"/>
              <w:left w:val="single" w:color="auto" w:sz="4" w:space="0"/>
              <w:bottom w:val="single" w:color="auto" w:sz="4" w:space="0"/>
              <w:right w:val="single" w:color="auto" w:sz="4" w:space="0"/>
            </w:tcBorders>
            <w:vAlign w:val="center"/>
          </w:tcPr>
          <w:p w14:paraId="1BF5A7C8">
            <w:pPr>
              <w:wordWrap w:val="0"/>
              <w:autoSpaceDE w:val="0"/>
              <w:autoSpaceDN w:val="0"/>
              <w:snapToGrid w:val="0"/>
              <w:spacing w:line="400" w:lineRule="exact"/>
              <w:textAlignment w:val="bottom"/>
              <w:rPr>
                <w:rFonts w:hint="eastAsia" w:ascii="宋体" w:hAnsi="宋体" w:eastAsia="宋体" w:cs="宋体"/>
                <w:color w:val="auto"/>
                <w:szCs w:val="21"/>
              </w:rPr>
            </w:pPr>
            <w:r>
              <w:rPr>
                <w:rFonts w:hint="eastAsia" w:ascii="宋体" w:hAnsi="宋体" w:eastAsia="宋体" w:cs="宋体"/>
                <w:color w:val="auto"/>
                <w:szCs w:val="21"/>
              </w:rPr>
              <w:t>签订合同携带的证明材料：委托代理人负责签订合同的，须携带授权委托书及委托代理人身份证原件等其他资格证件；法定代表人负责签订合同的，须携带法定代表人</w:t>
            </w:r>
            <w:r>
              <w:rPr>
                <w:rFonts w:hint="eastAsia" w:ascii="宋体" w:hAnsi="宋体" w:eastAsia="宋体" w:cs="宋体"/>
                <w:color w:val="auto"/>
                <w:szCs w:val="21"/>
              </w:rPr>
              <w:t>身份证明原件</w:t>
            </w:r>
            <w:r>
              <w:rPr>
                <w:rFonts w:hint="eastAsia" w:ascii="宋体" w:hAnsi="宋体" w:eastAsia="宋体" w:cs="宋体"/>
                <w:color w:val="auto"/>
                <w:szCs w:val="21"/>
              </w:rPr>
              <w:t>及</w:t>
            </w:r>
            <w:r>
              <w:rPr>
                <w:rFonts w:hint="eastAsia" w:ascii="宋体" w:hAnsi="宋体" w:eastAsia="宋体" w:cs="宋体"/>
                <w:color w:val="auto"/>
                <w:szCs w:val="21"/>
              </w:rPr>
              <w:t>身份证原件</w:t>
            </w:r>
            <w:r>
              <w:rPr>
                <w:rFonts w:hint="eastAsia" w:ascii="宋体" w:hAnsi="宋体" w:eastAsia="宋体" w:cs="宋体"/>
                <w:color w:val="auto"/>
                <w:szCs w:val="21"/>
              </w:rPr>
              <w:t>等其他证明材料。</w:t>
            </w:r>
          </w:p>
        </w:tc>
      </w:tr>
      <w:tr w14:paraId="689E3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9289ACF">
            <w:pPr>
              <w:wordWrap w:val="0"/>
              <w:spacing w:line="400" w:lineRule="exact"/>
              <w:rPr>
                <w:rFonts w:hint="eastAsia" w:ascii="宋体" w:hAnsi="宋体" w:eastAsia="宋体" w:cs="宋体"/>
                <w:color w:val="auto"/>
                <w:szCs w:val="21"/>
              </w:rPr>
            </w:pPr>
            <w:r>
              <w:rPr>
                <w:rFonts w:hint="eastAsia" w:ascii="宋体" w:hAnsi="宋体" w:eastAsia="宋体" w:cs="宋体"/>
                <w:color w:val="auto"/>
                <w:szCs w:val="21"/>
              </w:rPr>
              <w:t>38.2</w:t>
            </w:r>
          </w:p>
        </w:tc>
        <w:tc>
          <w:tcPr>
            <w:tcW w:w="8376" w:type="dxa"/>
            <w:tcBorders>
              <w:top w:val="single" w:color="auto" w:sz="4" w:space="0"/>
              <w:left w:val="single" w:color="auto" w:sz="4" w:space="0"/>
              <w:bottom w:val="single" w:color="auto" w:sz="4" w:space="0"/>
              <w:right w:val="single" w:color="auto" w:sz="4" w:space="0"/>
            </w:tcBorders>
            <w:vAlign w:val="center"/>
          </w:tcPr>
          <w:p w14:paraId="65C7BDEE">
            <w:pPr>
              <w:wordWrap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接收质疑函方式：</w:t>
            </w:r>
            <w:r>
              <w:rPr>
                <w:rFonts w:hint="eastAsia" w:ascii="宋体" w:hAnsi="宋体" w:eastAsia="宋体" w:cs="宋体"/>
                <w:color w:val="auto"/>
                <w:szCs w:val="21"/>
                <w:u w:val="single"/>
              </w:rPr>
              <w:t>以书面形式</w:t>
            </w:r>
          </w:p>
          <w:p w14:paraId="3ACE3F49">
            <w:pPr>
              <w:wordWrap w:val="0"/>
              <w:spacing w:line="400" w:lineRule="exact"/>
              <w:rPr>
                <w:rFonts w:hint="eastAsia" w:ascii="宋体" w:hAnsi="宋体" w:eastAsia="宋体" w:cs="宋体"/>
                <w:color w:val="auto"/>
                <w:szCs w:val="21"/>
              </w:rPr>
            </w:pPr>
            <w:r>
              <w:rPr>
                <w:rFonts w:hint="eastAsia" w:ascii="宋体" w:hAnsi="宋体" w:eastAsia="宋体" w:cs="宋体"/>
                <w:color w:val="auto"/>
                <w:szCs w:val="21"/>
              </w:rPr>
              <w:t>质疑联系部门及联系方式：</w:t>
            </w:r>
            <w:r>
              <w:rPr>
                <w:rFonts w:hint="eastAsia" w:ascii="宋体" w:hAnsi="宋体" w:eastAsia="宋体" w:cs="宋体"/>
                <w:color w:val="auto"/>
                <w:szCs w:val="21"/>
                <w:u w:val="single"/>
              </w:rPr>
              <w:t>广西建设工程机电设备招标中心有限公司</w:t>
            </w:r>
            <w:r>
              <w:rPr>
                <w:rFonts w:hint="eastAsia" w:ascii="宋体" w:hAnsi="宋体" w:eastAsia="宋体" w:cs="宋体"/>
                <w:color w:val="auto"/>
                <w:szCs w:val="21"/>
              </w:rPr>
              <w:t>，联系电话</w:t>
            </w:r>
            <w:r>
              <w:rPr>
                <w:rFonts w:hint="eastAsia" w:ascii="宋体" w:hAnsi="宋体" w:eastAsia="宋体" w:cs="宋体"/>
                <w:color w:val="auto"/>
                <w:szCs w:val="21"/>
              </w:rPr>
              <w:t>：</w:t>
            </w:r>
            <w:r>
              <w:rPr>
                <w:rFonts w:hint="eastAsia" w:ascii="宋体" w:hAnsi="宋体" w:eastAsia="宋体" w:cs="宋体"/>
                <w:color w:val="auto"/>
                <w:szCs w:val="21"/>
                <w:u w:val="single"/>
              </w:rPr>
              <w:t>0771-2821389</w:t>
            </w:r>
            <w:r>
              <w:rPr>
                <w:rFonts w:hint="eastAsia" w:ascii="宋体" w:hAnsi="宋体" w:eastAsia="宋体" w:cs="宋体"/>
                <w:color w:val="auto"/>
                <w:szCs w:val="21"/>
              </w:rPr>
              <w:t>，</w:t>
            </w:r>
            <w:r>
              <w:rPr>
                <w:rFonts w:hint="eastAsia" w:ascii="宋体" w:hAnsi="宋体" w:eastAsia="宋体" w:cs="宋体"/>
                <w:color w:val="auto"/>
                <w:szCs w:val="21"/>
              </w:rPr>
              <w:t>通讯地址</w:t>
            </w:r>
            <w:r>
              <w:rPr>
                <w:rFonts w:hint="eastAsia" w:ascii="宋体" w:hAnsi="宋体" w:eastAsia="宋体" w:cs="宋体"/>
                <w:color w:val="auto"/>
                <w:szCs w:val="21"/>
              </w:rPr>
              <w:t>：</w:t>
            </w:r>
            <w:r>
              <w:rPr>
                <w:rFonts w:hint="eastAsia" w:ascii="宋体" w:hAnsi="宋体" w:eastAsia="宋体" w:cs="宋体"/>
                <w:color w:val="auto"/>
                <w:szCs w:val="21"/>
                <w:u w:val="single"/>
              </w:rPr>
              <w:t>广西南宁市良庆区凯旋路15号南宁绿地中心5号楼608室</w:t>
            </w:r>
            <w:r>
              <w:rPr>
                <w:rFonts w:hint="eastAsia" w:ascii="宋体" w:hAnsi="宋体" w:eastAsia="宋体" w:cs="宋体"/>
                <w:color w:val="auto"/>
                <w:szCs w:val="21"/>
              </w:rPr>
              <w:t>。</w:t>
            </w:r>
          </w:p>
          <w:p w14:paraId="155E959C">
            <w:pPr>
              <w:wordWrap w:val="0"/>
              <w:autoSpaceDE w:val="0"/>
              <w:autoSpaceDN w:val="0"/>
              <w:snapToGrid w:val="0"/>
              <w:spacing w:line="400" w:lineRule="exact"/>
              <w:textAlignment w:val="bottom"/>
              <w:rPr>
                <w:rFonts w:hint="eastAsia" w:ascii="宋体" w:hAnsi="宋体" w:eastAsia="宋体" w:cs="宋体"/>
                <w:color w:val="auto"/>
                <w:szCs w:val="21"/>
              </w:rPr>
            </w:pPr>
            <w:r>
              <w:rPr>
                <w:rFonts w:hint="eastAsia" w:ascii="宋体" w:hAnsi="宋体" w:eastAsia="宋体" w:cs="宋体"/>
                <w:color w:val="auto"/>
                <w:szCs w:val="21"/>
              </w:rPr>
              <w:t>现场提交质疑办理业务时间：工作日每天上午</w:t>
            </w:r>
            <w:r>
              <w:rPr>
                <w:rFonts w:hint="eastAsia" w:ascii="宋体" w:hAnsi="宋体" w:eastAsia="宋体" w:cs="宋体"/>
                <w:color w:val="auto"/>
                <w:szCs w:val="21"/>
              </w:rPr>
              <w:t>8时00分到12时00分，下午3时00分到6时00分，业务时间以外、双休日和法定节假日不办理业务。</w:t>
            </w:r>
          </w:p>
        </w:tc>
      </w:tr>
      <w:tr w14:paraId="37392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99A76C5">
            <w:pPr>
              <w:wordWrap w:val="0"/>
              <w:spacing w:line="400" w:lineRule="exact"/>
              <w:rPr>
                <w:rFonts w:hint="eastAsia" w:ascii="宋体" w:hAnsi="宋体" w:eastAsia="宋体" w:cs="宋体"/>
                <w:color w:val="auto"/>
                <w:szCs w:val="21"/>
              </w:rPr>
            </w:pPr>
            <w:r>
              <w:rPr>
                <w:rFonts w:hint="eastAsia" w:ascii="宋体" w:hAnsi="宋体" w:eastAsia="宋体" w:cs="宋体"/>
                <w:color w:val="auto"/>
                <w:szCs w:val="21"/>
              </w:rPr>
              <w:t>38.5</w:t>
            </w:r>
          </w:p>
        </w:tc>
        <w:tc>
          <w:tcPr>
            <w:tcW w:w="8376" w:type="dxa"/>
            <w:tcBorders>
              <w:top w:val="single" w:color="auto" w:sz="4" w:space="0"/>
              <w:left w:val="single" w:color="auto" w:sz="4" w:space="0"/>
              <w:bottom w:val="single" w:color="auto" w:sz="4" w:space="0"/>
              <w:right w:val="single" w:color="auto" w:sz="4" w:space="0"/>
            </w:tcBorders>
            <w:vAlign w:val="center"/>
          </w:tcPr>
          <w:p w14:paraId="55CB2E1E">
            <w:pPr>
              <w:wordWrap w:val="0"/>
              <w:snapToGrid w:val="0"/>
              <w:spacing w:line="380" w:lineRule="exact"/>
              <w:rPr>
                <w:rFonts w:hint="eastAsia" w:ascii="宋体" w:hAnsi="宋体" w:eastAsia="宋体" w:cs="宋体"/>
                <w:color w:val="auto"/>
              </w:rPr>
            </w:pPr>
            <w:r>
              <w:rPr>
                <w:rFonts w:hint="eastAsia" w:ascii="宋体" w:hAnsi="宋体" w:eastAsia="宋体" w:cs="宋体"/>
                <w:color w:val="auto"/>
              </w:rPr>
              <w:t>1.受理方式：纸质方式受理，投诉书正、副本（经过质疑的事项才可投诉）。</w:t>
            </w:r>
          </w:p>
          <w:p w14:paraId="6EB52AD5">
            <w:pPr>
              <w:wordWrap w:val="0"/>
              <w:snapToGrid w:val="0"/>
              <w:spacing w:line="400" w:lineRule="exact"/>
              <w:rPr>
                <w:rFonts w:hint="eastAsia" w:ascii="宋体" w:hAnsi="宋体" w:eastAsia="宋体" w:cs="宋体"/>
                <w:color w:val="auto"/>
                <w:szCs w:val="21"/>
              </w:rPr>
            </w:pPr>
            <w:r>
              <w:rPr>
                <w:rFonts w:hint="eastAsia" w:ascii="宋体" w:hAnsi="宋体" w:eastAsia="宋体" w:cs="宋体"/>
                <w:color w:val="auto"/>
              </w:rPr>
              <w:t>2.监督部门联系方式：广西壮族自治区财政厅政府采购监督管理处 0771-5331810</w:t>
            </w:r>
          </w:p>
        </w:tc>
      </w:tr>
      <w:tr w14:paraId="69745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706C558">
            <w:pPr>
              <w:wordWrap w:val="0"/>
              <w:spacing w:line="400" w:lineRule="exact"/>
              <w:rPr>
                <w:rFonts w:hint="eastAsia" w:ascii="宋体" w:hAnsi="宋体" w:eastAsia="宋体" w:cs="宋体"/>
                <w:color w:val="auto"/>
                <w:szCs w:val="21"/>
              </w:rPr>
            </w:pPr>
            <w:bookmarkStart w:id="163" w:name="_42"/>
            <w:bookmarkEnd w:id="163"/>
            <w:bookmarkStart w:id="164" w:name="_41"/>
            <w:bookmarkEnd w:id="164"/>
            <w:bookmarkStart w:id="165" w:name="_Hlt17709148"/>
            <w:r>
              <w:rPr>
                <w:rFonts w:hint="eastAsia" w:ascii="宋体" w:hAnsi="宋体" w:eastAsia="宋体" w:cs="宋体"/>
                <w:color w:val="auto"/>
                <w:szCs w:val="21"/>
              </w:rPr>
              <w:t>3</w:t>
            </w:r>
            <w:bookmarkEnd w:id="165"/>
            <w:r>
              <w:rPr>
                <w:rFonts w:hint="eastAsia" w:ascii="宋体" w:hAnsi="宋体" w:eastAsia="宋体" w:cs="宋体"/>
                <w:color w:val="auto"/>
                <w:szCs w:val="21"/>
              </w:rPr>
              <w:t>9.1</w:t>
            </w:r>
          </w:p>
        </w:tc>
        <w:tc>
          <w:tcPr>
            <w:tcW w:w="8376" w:type="dxa"/>
            <w:tcBorders>
              <w:top w:val="single" w:color="auto" w:sz="4" w:space="0"/>
              <w:left w:val="single" w:color="auto" w:sz="4" w:space="0"/>
              <w:bottom w:val="single" w:color="auto" w:sz="4" w:space="0"/>
              <w:right w:val="single" w:color="auto" w:sz="4" w:space="0"/>
            </w:tcBorders>
            <w:vAlign w:val="center"/>
          </w:tcPr>
          <w:p w14:paraId="49CD8933">
            <w:pPr>
              <w:pStyle w:val="25"/>
              <w:wordWrap w:val="0"/>
              <w:snapToGrid w:val="0"/>
              <w:spacing w:line="400" w:lineRule="exact"/>
              <w:rPr>
                <w:rFonts w:hint="eastAsia" w:ascii="宋体" w:hAnsi="宋体" w:eastAsia="宋体" w:cs="宋体"/>
                <w:color w:val="auto"/>
                <w:sz w:val="21"/>
              </w:rPr>
            </w:pPr>
            <w:r>
              <w:rPr>
                <w:rFonts w:hint="eastAsia" w:ascii="宋体" w:hAnsi="宋体" w:eastAsia="宋体" w:cs="宋体"/>
                <w:color w:val="auto"/>
                <w:sz w:val="21"/>
              </w:rPr>
              <w:t>1.采购代理费支付方式：</w:t>
            </w:r>
          </w:p>
          <w:p w14:paraId="6D154743">
            <w:pPr>
              <w:pStyle w:val="25"/>
              <w:wordWrap w:val="0"/>
              <w:snapToGrid w:val="0"/>
              <w:spacing w:line="400" w:lineRule="exact"/>
              <w:rPr>
                <w:rFonts w:hint="eastAsia" w:ascii="宋体" w:hAnsi="宋体" w:eastAsia="宋体" w:cs="宋体"/>
                <w:color w:val="auto"/>
                <w:sz w:val="21"/>
              </w:rPr>
            </w:pPr>
            <w:r>
              <w:rPr>
                <w:rFonts w:hint="eastAsia" w:ascii="宋体" w:hAnsi="宋体" w:eastAsia="宋体" w:cs="宋体"/>
                <w:color w:val="auto"/>
                <w:sz w:val="21"/>
              </w:rPr>
              <w:t>本项目代理服务费由</w:t>
            </w:r>
            <w:r>
              <w:rPr>
                <w:rFonts w:hint="eastAsia" w:ascii="宋体" w:hAnsi="宋体" w:eastAsia="宋体" w:cs="宋体"/>
                <w:color w:val="auto"/>
                <w:sz w:val="21"/>
                <w:u w:val="single"/>
              </w:rPr>
              <w:t>中标人</w:t>
            </w:r>
            <w:r>
              <w:rPr>
                <w:rFonts w:hint="eastAsia" w:ascii="宋体" w:hAnsi="宋体" w:eastAsia="宋体" w:cs="宋体"/>
                <w:color w:val="auto"/>
                <w:sz w:val="21"/>
              </w:rPr>
              <w:t>在领取中标通知书前，一次性向采购代理机构支付。</w:t>
            </w:r>
          </w:p>
          <w:p w14:paraId="645BB818">
            <w:pPr>
              <w:wordWrap w:val="0"/>
              <w:snapToGrid w:val="0"/>
              <w:spacing w:line="400" w:lineRule="exact"/>
              <w:rPr>
                <w:rFonts w:hint="eastAsia" w:ascii="宋体" w:hAnsi="宋体" w:eastAsia="宋体" w:cs="宋体"/>
                <w:color w:val="auto"/>
                <w:kern w:val="0"/>
                <w:szCs w:val="21"/>
              </w:rPr>
            </w:pPr>
            <w:r>
              <w:rPr>
                <w:rFonts w:hint="eastAsia" w:ascii="宋体" w:hAnsi="宋体" w:eastAsia="宋体" w:cs="宋体"/>
                <w:color w:val="auto"/>
                <w:kern w:val="0"/>
                <w:szCs w:val="21"/>
              </w:rPr>
              <w:t>2.采购代理费收取标准：</w:t>
            </w:r>
          </w:p>
          <w:p w14:paraId="2DB25A25">
            <w:pPr>
              <w:wordWrap w:val="0"/>
              <w:snapToGrid w:val="0"/>
              <w:spacing w:line="400" w:lineRule="exact"/>
              <w:rPr>
                <w:rFonts w:hint="eastAsia" w:ascii="宋体" w:hAnsi="宋体" w:eastAsia="宋体" w:cs="宋体"/>
                <w:color w:val="auto"/>
                <w:kern w:val="0"/>
                <w:szCs w:val="21"/>
              </w:rPr>
            </w:pPr>
            <w:r>
              <w:rPr>
                <w:rFonts w:hint="eastAsia" w:ascii="宋体" w:hAnsi="宋体" w:eastAsia="宋体" w:cs="宋体"/>
                <w:color w:val="auto"/>
                <w:szCs w:val="21"/>
              </w:rPr>
              <w:t>☑</w:t>
            </w:r>
            <w:r>
              <w:rPr>
                <w:rFonts w:hint="eastAsia" w:ascii="宋体" w:hAnsi="宋体" w:eastAsia="宋体" w:cs="宋体"/>
                <w:color w:val="auto"/>
                <w:kern w:val="0"/>
                <w:szCs w:val="21"/>
              </w:rPr>
              <w:t>以</w:t>
            </w:r>
            <w:r>
              <w:rPr>
                <w:rFonts w:hint="eastAsia" w:ascii="宋体" w:hAnsi="宋体" w:eastAsia="宋体" w:cs="宋体"/>
                <w:color w:val="auto"/>
                <w:kern w:val="0"/>
                <w:szCs w:val="21"/>
                <w:lang w:val="en-US" w:eastAsia="zh-CN"/>
              </w:rPr>
              <w:t>项目</w:t>
            </w:r>
            <w:r>
              <w:rPr>
                <w:rFonts w:hint="eastAsia" w:ascii="宋体" w:hAnsi="宋体" w:eastAsia="宋体" w:cs="宋体"/>
                <w:color w:val="auto"/>
                <w:kern w:val="0"/>
                <w:szCs w:val="21"/>
              </w:rPr>
              <w:t>（</w:t>
            </w:r>
            <w:r>
              <w:rPr>
                <w:rFonts w:hint="eastAsia" w:ascii="宋体" w:hAnsi="宋体" w:eastAsia="宋体" w:cs="宋体"/>
                <w:color w:val="auto"/>
                <w:szCs w:val="21"/>
              </w:rPr>
              <w:t>☑</w:t>
            </w:r>
            <w:r>
              <w:rPr>
                <w:rFonts w:hint="eastAsia" w:ascii="宋体" w:hAnsi="宋体" w:eastAsia="宋体" w:cs="宋体"/>
                <w:color w:val="auto"/>
                <w:kern w:val="0"/>
                <w:szCs w:val="21"/>
              </w:rPr>
              <w:t>中标金额</w:t>
            </w:r>
            <w:r>
              <w:rPr>
                <w:rFonts w:hint="eastAsia" w:ascii="宋体" w:hAnsi="宋体" w:eastAsia="宋体" w:cs="宋体"/>
                <w:color w:val="auto"/>
                <w:kern w:val="0"/>
                <w:szCs w:val="21"/>
              </w:rPr>
              <w:t>/□采购预算/□暂定中标金额/□其他）为计费额，参照《计价格〔2002〕1980号》和《发改办价格[2003]857号》规定的收费计算标准（</w:t>
            </w:r>
            <w:r>
              <w:rPr>
                <w:rFonts w:hint="eastAsia" w:ascii="宋体" w:hAnsi="宋体" w:eastAsia="宋体" w:cs="宋体"/>
                <w:color w:val="auto"/>
                <w:kern w:val="0"/>
                <w:szCs w:val="21"/>
              </w:rPr>
              <w:t>☑</w:t>
            </w:r>
            <w:r>
              <w:rPr>
                <w:rFonts w:hint="eastAsia" w:ascii="宋体" w:hAnsi="宋体" w:eastAsia="宋体" w:cs="宋体"/>
                <w:color w:val="auto"/>
                <w:kern w:val="0"/>
                <w:szCs w:val="21"/>
              </w:rPr>
              <w:t>货物招标/</w:t>
            </w:r>
            <w:r>
              <w:rPr>
                <w:rFonts w:hint="eastAsia" w:ascii="宋体" w:hAnsi="宋体" w:eastAsia="宋体" w:cs="宋体"/>
                <w:color w:val="auto"/>
                <w:szCs w:val="21"/>
              </w:rPr>
              <w:t>□</w:t>
            </w:r>
            <w:r>
              <w:rPr>
                <w:rFonts w:hint="eastAsia" w:ascii="宋体" w:hAnsi="宋体" w:eastAsia="宋体" w:cs="宋体"/>
                <w:color w:val="auto"/>
                <w:kern w:val="0"/>
                <w:szCs w:val="21"/>
              </w:rPr>
              <w:t>服务招标</w:t>
            </w:r>
            <w:r>
              <w:rPr>
                <w:rFonts w:hint="eastAsia" w:ascii="宋体" w:hAnsi="宋体" w:eastAsia="宋体" w:cs="宋体"/>
                <w:color w:val="auto"/>
                <w:kern w:val="0"/>
                <w:szCs w:val="21"/>
              </w:rPr>
              <w:t>/□工程招标）采用差额定率累进法计算出收费基准价格，采购代理收费以（</w:t>
            </w:r>
            <w:r>
              <w:rPr>
                <w:rFonts w:hint="eastAsia" w:ascii="宋体" w:hAnsi="宋体" w:eastAsia="宋体" w:cs="宋体"/>
                <w:color w:val="auto"/>
                <w:szCs w:val="21"/>
              </w:rPr>
              <w:t>☑</w:t>
            </w:r>
            <w:r>
              <w:rPr>
                <w:rFonts w:hint="eastAsia" w:ascii="宋体" w:hAnsi="宋体" w:eastAsia="宋体" w:cs="宋体"/>
                <w:color w:val="auto"/>
                <w:kern w:val="0"/>
                <w:szCs w:val="21"/>
              </w:rPr>
              <w:t>收费基准价格</w:t>
            </w:r>
            <w:r>
              <w:rPr>
                <w:rFonts w:hint="eastAsia" w:ascii="宋体" w:hAnsi="宋体" w:eastAsia="宋体" w:cs="宋体"/>
                <w:color w:val="auto"/>
                <w:kern w:val="0"/>
                <w:szCs w:val="21"/>
              </w:rPr>
              <w:t>/</w:t>
            </w:r>
            <w:bookmarkStart w:id="166" w:name="OLE_LINK163"/>
            <w:bookmarkStart w:id="167" w:name="OLE_LINK160"/>
            <w:r>
              <w:rPr>
                <w:rFonts w:hint="eastAsia" w:ascii="宋体" w:hAnsi="宋体" w:eastAsia="宋体" w:cs="宋体"/>
                <w:color w:val="auto"/>
                <w:kern w:val="0"/>
                <w:szCs w:val="21"/>
              </w:rPr>
              <w:t>□</w:t>
            </w:r>
            <w:bookmarkEnd w:id="166"/>
            <w:bookmarkEnd w:id="167"/>
            <w:r>
              <w:rPr>
                <w:rFonts w:hint="eastAsia" w:ascii="宋体" w:hAnsi="宋体" w:eastAsia="宋体" w:cs="宋体"/>
                <w:color w:val="auto"/>
                <w:kern w:val="0"/>
                <w:szCs w:val="21"/>
              </w:rPr>
              <w:t>收费基准价格下浮</w:t>
            </w:r>
            <w:r>
              <w:rPr>
                <w:rFonts w:hint="eastAsia" w:ascii="宋体" w:hAnsi="宋体" w:eastAsia="宋体" w:cs="宋体"/>
                <w:color w:val="auto"/>
                <w:kern w:val="0"/>
                <w:szCs w:val="21"/>
                <w:u w:val="single"/>
              </w:rPr>
              <w:t>%</w:t>
            </w:r>
            <w:r>
              <w:rPr>
                <w:rFonts w:hint="eastAsia" w:ascii="宋体" w:hAnsi="宋体" w:eastAsia="宋体" w:cs="宋体"/>
                <w:color w:val="auto"/>
                <w:kern w:val="0"/>
                <w:szCs w:val="21"/>
              </w:rPr>
              <w:t>/</w:t>
            </w:r>
            <w:r>
              <w:rPr>
                <w:rFonts w:hint="eastAsia" w:ascii="宋体" w:hAnsi="宋体" w:eastAsia="宋体" w:cs="宋体"/>
                <w:color w:val="auto"/>
                <w:kern w:val="0"/>
                <w:szCs w:val="21"/>
              </w:rPr>
              <w:t>□收费基准价格上浮</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）收取。</w:t>
            </w:r>
          </w:p>
          <w:p w14:paraId="2E3906B9">
            <w:pPr>
              <w:wordWrap w:val="0"/>
              <w:snapToGrid w:val="0"/>
              <w:spacing w:line="400" w:lineRule="exact"/>
              <w:rPr>
                <w:rFonts w:hint="eastAsia" w:ascii="宋体" w:hAnsi="宋体" w:eastAsia="宋体" w:cs="宋体"/>
                <w:color w:val="auto"/>
                <w:kern w:val="0"/>
                <w:szCs w:val="21"/>
              </w:rPr>
            </w:pPr>
            <w:r>
              <w:rPr>
                <w:rFonts w:hint="eastAsia" w:ascii="宋体" w:hAnsi="宋体" w:eastAsia="宋体" w:cs="宋体"/>
                <w:color w:val="auto"/>
                <w:kern w:val="0"/>
                <w:szCs w:val="21"/>
              </w:rPr>
              <w:t>3.</w:t>
            </w:r>
            <w:r>
              <w:rPr>
                <w:rFonts w:hint="eastAsia" w:ascii="宋体" w:hAnsi="宋体" w:eastAsia="宋体" w:cs="宋体"/>
                <w:color w:val="auto"/>
                <w:kern w:val="0"/>
                <w:szCs w:val="21"/>
              </w:rPr>
              <w:t>采购代理费收取银行账户：</w:t>
            </w:r>
          </w:p>
          <w:p w14:paraId="5CC3B368">
            <w:pPr>
              <w:wordWrap w:val="0"/>
              <w:snapToGrid w:val="0"/>
              <w:spacing w:line="400" w:lineRule="exact"/>
              <w:rPr>
                <w:rFonts w:hint="eastAsia" w:ascii="宋体" w:hAnsi="宋体" w:eastAsia="宋体" w:cs="宋体"/>
                <w:color w:val="auto"/>
                <w:kern w:val="0"/>
                <w:szCs w:val="21"/>
              </w:rPr>
            </w:pPr>
            <w:r>
              <w:rPr>
                <w:rFonts w:hint="eastAsia" w:ascii="宋体" w:hAnsi="宋体" w:eastAsia="宋体" w:cs="宋体"/>
                <w:color w:val="auto"/>
                <w:kern w:val="0"/>
                <w:szCs w:val="21"/>
              </w:rPr>
              <w:t>开户名称：广西建设工程机电设备招标中心有限公司</w:t>
            </w:r>
          </w:p>
          <w:p w14:paraId="5AC69291">
            <w:pPr>
              <w:wordWrap w:val="0"/>
              <w:snapToGrid w:val="0"/>
              <w:spacing w:line="400" w:lineRule="exact"/>
              <w:rPr>
                <w:rFonts w:hint="eastAsia" w:ascii="宋体" w:hAnsi="宋体" w:eastAsia="宋体" w:cs="宋体"/>
                <w:color w:val="auto"/>
                <w:kern w:val="0"/>
                <w:szCs w:val="21"/>
              </w:rPr>
            </w:pPr>
            <w:r>
              <w:rPr>
                <w:rFonts w:hint="eastAsia" w:ascii="宋体" w:hAnsi="宋体" w:eastAsia="宋体" w:cs="宋体"/>
                <w:color w:val="auto"/>
                <w:kern w:val="0"/>
                <w:szCs w:val="21"/>
              </w:rPr>
              <w:t>开户银行：招商银行南宁分行营业部</w:t>
            </w:r>
          </w:p>
          <w:p w14:paraId="0EF1B333">
            <w:pPr>
              <w:wordWrap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银行账号：</w:t>
            </w:r>
            <w:r>
              <w:rPr>
                <w:rFonts w:hint="eastAsia" w:ascii="宋体" w:hAnsi="宋体" w:eastAsia="宋体" w:cs="宋体"/>
                <w:color w:val="auto"/>
                <w:szCs w:val="21"/>
              </w:rPr>
              <w:t>7719 0142 3310 201</w:t>
            </w:r>
          </w:p>
        </w:tc>
      </w:tr>
      <w:tr w14:paraId="736CC7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FF7A057">
            <w:pPr>
              <w:wordWrap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40.1</w:t>
            </w:r>
          </w:p>
        </w:tc>
        <w:tc>
          <w:tcPr>
            <w:tcW w:w="8376" w:type="dxa"/>
            <w:tcBorders>
              <w:top w:val="single" w:color="auto" w:sz="4" w:space="0"/>
              <w:left w:val="single" w:color="auto" w:sz="4" w:space="0"/>
              <w:bottom w:val="single" w:color="auto" w:sz="4" w:space="0"/>
              <w:right w:val="single" w:color="auto" w:sz="4" w:space="0"/>
            </w:tcBorders>
            <w:vAlign w:val="center"/>
          </w:tcPr>
          <w:p w14:paraId="49CEEC24">
            <w:pPr>
              <w:wordWrap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解释：</w:t>
            </w:r>
            <w:r>
              <w:rPr>
                <w:rFonts w:hint="eastAsia" w:ascii="宋体" w:hAnsi="宋体" w:eastAsia="宋体" w:cs="宋体"/>
                <w:color w:val="auto"/>
                <w:szCs w:val="21"/>
              </w:rPr>
              <w:t>构成本招标文件的各个组成文件应互为解释，互为说明；除招标文件中有特别规定外，仅适用于招标投标阶段的规定，按</w:t>
            </w:r>
            <w:r>
              <w:rPr>
                <w:rFonts w:hint="eastAsia" w:ascii="宋体" w:hAnsi="宋体" w:eastAsia="宋体" w:cs="宋体"/>
                <w:color w:val="auto"/>
                <w:szCs w:val="21"/>
              </w:rPr>
              <w:t>更正公告（澄清公告）</w:t>
            </w:r>
            <w:r>
              <w:rPr>
                <w:rFonts w:hint="eastAsia" w:ascii="宋体" w:hAnsi="宋体" w:eastAsia="宋体" w:cs="宋体"/>
                <w:color w:val="auto"/>
                <w:szCs w:val="21"/>
              </w:rPr>
              <w:t>、招标公告、</w:t>
            </w:r>
            <w:r>
              <w:rPr>
                <w:rFonts w:hint="eastAsia" w:ascii="宋体" w:hAnsi="宋体" w:eastAsia="宋体" w:cs="宋体"/>
                <w:color w:val="auto"/>
                <w:szCs w:val="21"/>
              </w:rPr>
              <w:t>采购需求、</w:t>
            </w:r>
            <w:r>
              <w:rPr>
                <w:rFonts w:hint="eastAsia" w:ascii="宋体" w:hAnsi="宋体" w:eastAsia="宋体" w:cs="宋体"/>
                <w:color w:val="auto"/>
                <w:szCs w:val="21"/>
              </w:rPr>
              <w:t>投标人须知、</w:t>
            </w:r>
            <w:r>
              <w:rPr>
                <w:rFonts w:hint="eastAsia" w:ascii="宋体" w:hAnsi="宋体" w:eastAsia="宋体" w:cs="宋体"/>
                <w:color w:val="auto"/>
                <w:szCs w:val="21"/>
              </w:rPr>
              <w:t>评标方法及评标标准</w:t>
            </w:r>
            <w:r>
              <w:rPr>
                <w:rFonts w:hint="eastAsia" w:ascii="宋体" w:hAnsi="宋体" w:eastAsia="宋体" w:cs="宋体"/>
                <w:color w:val="auto"/>
                <w:szCs w:val="21"/>
              </w:rPr>
              <w:t>、</w:t>
            </w:r>
            <w:r>
              <w:rPr>
                <w:rFonts w:hint="eastAsia" w:ascii="宋体" w:hAnsi="宋体" w:eastAsia="宋体" w:cs="宋体"/>
                <w:color w:val="auto"/>
                <w:szCs w:val="21"/>
              </w:rPr>
              <w:t>拟签订的合同文本、</w:t>
            </w:r>
            <w:r>
              <w:rPr>
                <w:rFonts w:hint="eastAsia" w:ascii="宋体" w:hAnsi="宋体" w:eastAsia="宋体" w:cs="宋体"/>
                <w:color w:val="auto"/>
                <w:szCs w:val="21"/>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eastAsia="宋体" w:cs="宋体"/>
                <w:color w:val="auto"/>
                <w:szCs w:val="21"/>
              </w:rPr>
              <w:t>更正公告（澄清公告）</w:t>
            </w:r>
            <w:r>
              <w:rPr>
                <w:rFonts w:hint="eastAsia" w:ascii="宋体" w:hAnsi="宋体" w:eastAsia="宋体" w:cs="宋体"/>
                <w:color w:val="auto"/>
                <w:szCs w:val="21"/>
              </w:rPr>
              <w:t>与同步更新的招标文件不一致时以</w:t>
            </w:r>
            <w:r>
              <w:rPr>
                <w:rFonts w:hint="eastAsia" w:ascii="宋体" w:hAnsi="宋体" w:eastAsia="宋体" w:cs="宋体"/>
                <w:color w:val="auto"/>
                <w:szCs w:val="21"/>
              </w:rPr>
              <w:t>更正公告（澄清公告）</w:t>
            </w:r>
            <w:r>
              <w:rPr>
                <w:rFonts w:hint="eastAsia" w:ascii="宋体" w:hAnsi="宋体" w:eastAsia="宋体" w:cs="宋体"/>
                <w:color w:val="auto"/>
                <w:szCs w:val="21"/>
              </w:rPr>
              <w:t>为准。按本款前述规定仍不能形成结论的，由</w:t>
            </w:r>
            <w:r>
              <w:rPr>
                <w:rFonts w:hint="eastAsia" w:ascii="宋体" w:hAnsi="宋体" w:eastAsia="宋体" w:cs="宋体"/>
                <w:color w:val="auto"/>
                <w:szCs w:val="21"/>
              </w:rPr>
              <w:t>采购</w:t>
            </w:r>
            <w:r>
              <w:rPr>
                <w:rFonts w:hint="eastAsia" w:ascii="宋体" w:hAnsi="宋体" w:eastAsia="宋体" w:cs="宋体"/>
                <w:color w:val="auto"/>
                <w:szCs w:val="21"/>
              </w:rPr>
              <w:t>人</w:t>
            </w:r>
            <w:r>
              <w:rPr>
                <w:rFonts w:hint="eastAsia" w:ascii="宋体" w:hAnsi="宋体" w:eastAsia="宋体" w:cs="宋体"/>
                <w:color w:val="auto"/>
                <w:szCs w:val="21"/>
              </w:rPr>
              <w:t>或者采购代理机构</w:t>
            </w:r>
            <w:r>
              <w:rPr>
                <w:rFonts w:hint="eastAsia" w:ascii="宋体" w:hAnsi="宋体" w:eastAsia="宋体" w:cs="宋体"/>
                <w:color w:val="auto"/>
                <w:szCs w:val="21"/>
              </w:rPr>
              <w:t>负责解释。</w:t>
            </w:r>
          </w:p>
          <w:p w14:paraId="2246064F">
            <w:pPr>
              <w:wordWrap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法律责任：</w:t>
            </w:r>
            <w:r>
              <w:rPr>
                <w:rFonts w:hint="eastAsia" w:ascii="宋体" w:hAnsi="宋体" w:eastAsia="宋体" w:cs="宋体"/>
                <w:color w:val="auto"/>
                <w:szCs w:val="21"/>
              </w:rPr>
              <w:t>本采购文件根据《中华人民共和国政府采购法》、《中华人民共和国民法典》；《中华人民共和国政府采购法实施条例》等有关法律、法规编制，参与本项目的各政府采购当事人依法享有上述法律法规所赋予的权利与义务。</w:t>
            </w:r>
          </w:p>
        </w:tc>
      </w:tr>
      <w:tr w14:paraId="78058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F29EDC5">
            <w:pPr>
              <w:wordWrap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40.2</w:t>
            </w:r>
          </w:p>
        </w:tc>
        <w:tc>
          <w:tcPr>
            <w:tcW w:w="8376" w:type="dxa"/>
            <w:tcBorders>
              <w:top w:val="single" w:color="auto" w:sz="4" w:space="0"/>
              <w:left w:val="single" w:color="auto" w:sz="4" w:space="0"/>
              <w:bottom w:val="single" w:color="auto" w:sz="4" w:space="0"/>
              <w:right w:val="single" w:color="auto" w:sz="4" w:space="0"/>
            </w:tcBorders>
            <w:vAlign w:val="center"/>
          </w:tcPr>
          <w:p w14:paraId="76935915">
            <w:pPr>
              <w:pStyle w:val="25"/>
              <w:wordWrap w:val="0"/>
              <w:snapToGrid w:val="0"/>
              <w:spacing w:line="400" w:lineRule="exact"/>
              <w:rPr>
                <w:rFonts w:hint="eastAsia" w:ascii="宋体" w:hAnsi="宋体" w:eastAsia="宋体" w:cs="宋体"/>
                <w:bCs/>
                <w:color w:val="auto"/>
                <w:sz w:val="21"/>
              </w:rPr>
            </w:pPr>
            <w:r>
              <w:rPr>
                <w:rFonts w:hint="eastAsia" w:ascii="宋体" w:hAnsi="宋体" w:eastAsia="宋体" w:cs="宋体"/>
                <w:bCs/>
                <w:color w:val="auto"/>
                <w:sz w:val="21"/>
              </w:rPr>
              <w:t>1.本招标文件中描述投标人的“公章”是指根据我国对公章的管理规定，用投标人法定主体行为名称制作的印章，除本招标文件有特殊规定外，投标人的财务章、部门章、工会章、合同章、投标专用章、业务专用章及银行的转账章、现金收讫章、现金付讫章等其他形式印章均不能代替公章。</w:t>
            </w:r>
          </w:p>
          <w:p w14:paraId="0DCD7584">
            <w:pPr>
              <w:pStyle w:val="25"/>
              <w:wordWrap w:val="0"/>
              <w:snapToGrid w:val="0"/>
              <w:spacing w:line="400" w:lineRule="exact"/>
              <w:rPr>
                <w:rFonts w:hint="eastAsia" w:ascii="宋体" w:hAnsi="宋体" w:eastAsia="宋体" w:cs="宋体"/>
                <w:bCs/>
                <w:color w:val="auto"/>
                <w:sz w:val="21"/>
              </w:rPr>
            </w:pPr>
            <w:r>
              <w:rPr>
                <w:rFonts w:hint="eastAsia" w:ascii="宋体" w:hAnsi="宋体" w:eastAsia="宋体" w:cs="宋体"/>
                <w:bCs/>
                <w:color w:val="auto"/>
                <w:sz w:val="21"/>
              </w:rPr>
              <w:t>2.本招标文件所称的“</w:t>
            </w:r>
            <w:r>
              <w:rPr>
                <w:rFonts w:hint="eastAsia" w:ascii="宋体" w:hAnsi="宋体" w:eastAsia="宋体" w:cs="宋体"/>
                <w:color w:val="auto"/>
                <w:sz w:val="21"/>
              </w:rPr>
              <w:t>电子签章</w:t>
            </w:r>
            <w:r>
              <w:rPr>
                <w:rFonts w:hint="eastAsia" w:ascii="宋体" w:hAnsi="宋体" w:eastAsia="宋体" w:cs="宋体"/>
                <w:bCs/>
                <w:color w:val="auto"/>
                <w:sz w:val="21"/>
              </w:rPr>
              <w:t>”、“电子签名”</w:t>
            </w:r>
            <w:r>
              <w:rPr>
                <w:rFonts w:hint="eastAsia" w:ascii="宋体" w:hAnsi="宋体" w:eastAsia="宋体" w:cs="宋体"/>
                <w:color w:val="auto"/>
                <w:sz w:val="21"/>
              </w:rPr>
              <w:t>，是指经</w:t>
            </w:r>
            <w:r>
              <w:rPr>
                <w:rFonts w:hint="eastAsia" w:ascii="宋体" w:hAnsi="宋体" w:eastAsia="宋体" w:cs="宋体"/>
                <w:color w:val="auto"/>
                <w:lang w:val="zh-TW" w:bidi="zh-TW"/>
              </w:rPr>
              <w:t>广西政府采购云</w:t>
            </w:r>
            <w:r>
              <w:rPr>
                <w:rFonts w:hint="eastAsia" w:ascii="宋体" w:hAnsi="宋体" w:eastAsia="宋体" w:cs="宋体"/>
                <w:color w:val="auto"/>
                <w:lang w:val="zh-TW" w:eastAsia="zh-TW" w:bidi="zh-TW"/>
              </w:rPr>
              <w:t>平台</w:t>
            </w:r>
            <w:r>
              <w:rPr>
                <w:rFonts w:hint="eastAsia" w:ascii="宋体" w:hAnsi="宋体" w:eastAsia="宋体" w:cs="宋体"/>
                <w:color w:val="auto"/>
                <w:sz w:val="21"/>
              </w:rPr>
              <w:t>认可的</w:t>
            </w:r>
            <w:r>
              <w:rPr>
                <w:rFonts w:hint="eastAsia" w:ascii="宋体" w:hAnsi="宋体" w:eastAsia="宋体" w:cs="宋体"/>
                <w:color w:val="auto"/>
                <w:sz w:val="21"/>
              </w:rPr>
              <w:t>CA认证的电子签名数据为表现形式的印章，可用于签署电子投标文件，电子印章与实物印章具有同等法律效力，不因其采用电子化表现形式而否定其法律效力。</w:t>
            </w:r>
          </w:p>
          <w:p w14:paraId="1E21F83C">
            <w:pPr>
              <w:pStyle w:val="25"/>
              <w:wordWrap w:val="0"/>
              <w:snapToGrid w:val="0"/>
              <w:spacing w:line="400" w:lineRule="exact"/>
              <w:rPr>
                <w:rFonts w:hint="eastAsia" w:ascii="宋体" w:hAnsi="宋体" w:eastAsia="宋体" w:cs="宋体"/>
                <w:bCs/>
                <w:color w:val="auto"/>
                <w:sz w:val="21"/>
              </w:rPr>
            </w:pPr>
            <w:r>
              <w:rPr>
                <w:rFonts w:hint="eastAsia" w:ascii="宋体" w:hAnsi="宋体" w:eastAsia="宋体" w:cs="宋体"/>
                <w:bCs/>
                <w:color w:val="auto"/>
                <w:sz w:val="21"/>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183CE0E1">
            <w:pPr>
              <w:pStyle w:val="25"/>
              <w:wordWrap w:val="0"/>
              <w:snapToGrid w:val="0"/>
              <w:spacing w:line="400" w:lineRule="exact"/>
              <w:rPr>
                <w:rFonts w:hint="eastAsia" w:ascii="宋体" w:hAnsi="宋体" w:eastAsia="宋体" w:cs="宋体"/>
                <w:bCs/>
                <w:color w:val="auto"/>
                <w:sz w:val="21"/>
              </w:rPr>
            </w:pPr>
            <w:r>
              <w:rPr>
                <w:rFonts w:hint="eastAsia" w:ascii="宋体" w:hAnsi="宋体" w:eastAsia="宋体" w:cs="宋体"/>
                <w:bCs/>
                <w:color w:val="auto"/>
                <w:sz w:val="21"/>
              </w:rPr>
              <w:t>4.本招标文件中描述投标人的“签字”是指投标人的法定代表人或者委托代理人亲自在文件规定签字处亲笔写上个人的名字的行为，私章、签字章、印鉴、影印等其他形式均不能代替亲笔签字。</w:t>
            </w:r>
          </w:p>
          <w:p w14:paraId="728BCB5C">
            <w:pPr>
              <w:pStyle w:val="25"/>
              <w:wordWrap w:val="0"/>
              <w:snapToGrid w:val="0"/>
              <w:spacing w:line="400" w:lineRule="exact"/>
              <w:rPr>
                <w:rFonts w:hint="eastAsia" w:ascii="宋体" w:hAnsi="宋体" w:eastAsia="宋体" w:cs="宋体"/>
                <w:color w:val="auto"/>
                <w:sz w:val="21"/>
              </w:rPr>
            </w:pPr>
            <w:r>
              <w:rPr>
                <w:rFonts w:hint="eastAsia" w:ascii="宋体" w:hAnsi="宋体" w:eastAsia="宋体" w:cs="宋体"/>
                <w:bCs/>
                <w:color w:val="auto"/>
                <w:sz w:val="21"/>
              </w:rPr>
              <w:t>5.本招标文件所称的“以上”“以下”“以内”“届满”，包括本数；所称的“不满”“超过”“以外”，不包括本数。</w:t>
            </w:r>
          </w:p>
        </w:tc>
      </w:tr>
    </w:tbl>
    <w:p w14:paraId="083489D8">
      <w:pPr>
        <w:wordWrap w:val="0"/>
        <w:snapToGrid w:val="0"/>
        <w:rPr>
          <w:rFonts w:hint="eastAsia" w:ascii="宋体" w:hAnsi="宋体" w:eastAsia="宋体" w:cs="宋体"/>
          <w:color w:val="auto"/>
          <w:sz w:val="24"/>
          <w:szCs w:val="20"/>
        </w:rPr>
      </w:pPr>
    </w:p>
    <w:p w14:paraId="6298CC27">
      <w:pPr>
        <w:spacing w:line="360" w:lineRule="auto"/>
        <w:jc w:val="center"/>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b/>
          <w:color w:val="auto"/>
          <w:sz w:val="32"/>
          <w:szCs w:val="32"/>
        </w:rPr>
        <w:t>投标人须知正文</w:t>
      </w:r>
    </w:p>
    <w:p w14:paraId="1ADCE636">
      <w:pPr>
        <w:spacing w:before="120" w:beforeLines="50" w:line="360" w:lineRule="auto"/>
        <w:jc w:val="center"/>
        <w:outlineLvl w:val="1"/>
        <w:rPr>
          <w:rFonts w:hint="eastAsia" w:ascii="宋体" w:hAnsi="宋体" w:eastAsia="宋体" w:cs="宋体"/>
          <w:b/>
          <w:color w:val="auto"/>
          <w:sz w:val="24"/>
          <w:szCs w:val="32"/>
        </w:rPr>
      </w:pPr>
      <w:r>
        <w:rPr>
          <w:rFonts w:hint="eastAsia" w:ascii="宋体" w:hAnsi="宋体" w:eastAsia="宋体" w:cs="宋体"/>
          <w:b/>
          <w:color w:val="auto"/>
          <w:sz w:val="24"/>
          <w:szCs w:val="32"/>
        </w:rPr>
        <w:t>一、总则</w:t>
      </w:r>
    </w:p>
    <w:p w14:paraId="27786AA1">
      <w:pPr>
        <w:pStyle w:val="6"/>
        <w:keepNext w:val="0"/>
        <w:keepLines w:val="0"/>
        <w:numPr>
          <w:ilvl w:val="4"/>
          <w:numId w:val="4"/>
        </w:numPr>
        <w:wordWrap w:val="0"/>
        <w:spacing w:before="0" w:after="0" w:line="400" w:lineRule="exact"/>
        <w:ind w:firstLine="422" w:firstLineChars="200"/>
        <w:rPr>
          <w:rFonts w:hint="eastAsia" w:ascii="宋体" w:hAnsi="宋体" w:eastAsia="宋体" w:cs="宋体"/>
          <w:color w:val="auto"/>
          <w:sz w:val="21"/>
          <w:szCs w:val="21"/>
        </w:rPr>
      </w:pPr>
      <w:bookmarkStart w:id="168" w:name="_Toc254970668"/>
      <w:bookmarkStart w:id="169" w:name="_Toc254970527"/>
      <w:r>
        <w:rPr>
          <w:rFonts w:hint="eastAsia" w:ascii="宋体" w:hAnsi="宋体" w:eastAsia="宋体" w:cs="宋体"/>
          <w:color w:val="auto"/>
          <w:sz w:val="21"/>
          <w:szCs w:val="21"/>
        </w:rPr>
        <w:t>1.适用范围</w:t>
      </w:r>
      <w:bookmarkEnd w:id="168"/>
      <w:bookmarkEnd w:id="169"/>
    </w:p>
    <w:p w14:paraId="519F6121">
      <w:pPr>
        <w:wordWrap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6A5E0321">
      <w:pPr>
        <w:wordWrap w:val="0"/>
        <w:snapToGrid w:val="0"/>
        <w:spacing w:line="400" w:lineRule="exact"/>
        <w:ind w:firstLine="420" w:firstLineChars="200"/>
        <w:rPr>
          <w:rFonts w:hint="eastAsia" w:ascii="宋体" w:hAnsi="宋体" w:eastAsia="宋体" w:cs="宋体"/>
          <w:color w:val="auto"/>
          <w:spacing w:val="-6"/>
          <w:szCs w:val="21"/>
        </w:rPr>
      </w:pPr>
      <w:r>
        <w:rPr>
          <w:rFonts w:hint="eastAsia" w:ascii="宋体" w:hAnsi="宋体" w:eastAsia="宋体" w:cs="宋体"/>
          <w:color w:val="auto"/>
          <w:szCs w:val="21"/>
        </w:rPr>
        <w:t>1.2本招标文件</w:t>
      </w:r>
      <w:r>
        <w:rPr>
          <w:rFonts w:hint="eastAsia" w:ascii="宋体" w:hAnsi="宋体" w:eastAsia="宋体" w:cs="宋体"/>
          <w:color w:val="auto"/>
          <w:spacing w:val="-6"/>
          <w:szCs w:val="21"/>
        </w:rPr>
        <w:t>适用于本项目的所有采购程序和环节（法律、法规另有规定的，从其规定）。</w:t>
      </w:r>
    </w:p>
    <w:p w14:paraId="33AB0884">
      <w:pPr>
        <w:pStyle w:val="6"/>
        <w:keepNext w:val="0"/>
        <w:keepLines w:val="0"/>
        <w:numPr>
          <w:ilvl w:val="4"/>
          <w:numId w:val="4"/>
        </w:numPr>
        <w:wordWrap w:val="0"/>
        <w:spacing w:before="0" w:after="0" w:line="400" w:lineRule="exact"/>
        <w:ind w:firstLine="422" w:firstLineChars="200"/>
        <w:rPr>
          <w:rFonts w:hint="eastAsia" w:ascii="宋体" w:hAnsi="宋体" w:eastAsia="宋体" w:cs="宋体"/>
          <w:color w:val="auto"/>
          <w:sz w:val="21"/>
          <w:szCs w:val="21"/>
        </w:rPr>
      </w:pPr>
      <w:bookmarkStart w:id="170" w:name="_Toc254970528"/>
      <w:bookmarkStart w:id="171" w:name="_Toc254970669"/>
      <w:r>
        <w:rPr>
          <w:rFonts w:hint="eastAsia" w:ascii="宋体" w:hAnsi="宋体" w:eastAsia="宋体" w:cs="宋体"/>
          <w:color w:val="auto"/>
          <w:sz w:val="21"/>
          <w:szCs w:val="21"/>
        </w:rPr>
        <w:t>2.定义</w:t>
      </w:r>
      <w:bookmarkEnd w:id="170"/>
      <w:bookmarkEnd w:id="171"/>
    </w:p>
    <w:p w14:paraId="43728FA3">
      <w:pPr>
        <w:pStyle w:val="6"/>
        <w:keepNext w:val="0"/>
        <w:keepLines w:val="0"/>
        <w:numPr>
          <w:ilvl w:val="4"/>
          <w:numId w:val="4"/>
        </w:numPr>
        <w:wordWrap w:val="0"/>
        <w:spacing w:before="0" w:after="0" w:line="40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2.1“采购人”是指依法进行政府采购的国家机关、事业单位、团体组织。</w:t>
      </w:r>
    </w:p>
    <w:p w14:paraId="1CFD3855">
      <w:pPr>
        <w:pStyle w:val="6"/>
        <w:keepNext w:val="0"/>
        <w:keepLines w:val="0"/>
        <w:numPr>
          <w:ilvl w:val="4"/>
          <w:numId w:val="4"/>
        </w:numPr>
        <w:wordWrap w:val="0"/>
        <w:spacing w:before="0" w:after="0" w:line="40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2.2“采购代理机构”是指政府采购集中采购机构和集中采购机构以外的采购代理机构。</w:t>
      </w:r>
    </w:p>
    <w:p w14:paraId="3966DFBC">
      <w:pPr>
        <w:pStyle w:val="6"/>
        <w:keepNext w:val="0"/>
        <w:keepLines w:val="0"/>
        <w:numPr>
          <w:ilvl w:val="4"/>
          <w:numId w:val="4"/>
        </w:numPr>
        <w:wordWrap w:val="0"/>
        <w:spacing w:before="0" w:after="0" w:line="40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2.3“供应商”是指向采购人提供货物、工程或者服务的法人、其他组织或者自然人。</w:t>
      </w:r>
    </w:p>
    <w:p w14:paraId="3AA1F462">
      <w:pPr>
        <w:pStyle w:val="6"/>
        <w:keepNext w:val="0"/>
        <w:keepLines w:val="0"/>
        <w:numPr>
          <w:ilvl w:val="4"/>
          <w:numId w:val="4"/>
        </w:numPr>
        <w:wordWrap w:val="0"/>
        <w:spacing w:before="0" w:after="0" w:line="40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2.4“投标人”是指响应招标、参加投标竞争的法人、非法人组织或者自然人。</w:t>
      </w:r>
    </w:p>
    <w:p w14:paraId="72291935">
      <w:pPr>
        <w:pStyle w:val="6"/>
        <w:keepNext w:val="0"/>
        <w:keepLines w:val="0"/>
        <w:numPr>
          <w:ilvl w:val="4"/>
          <w:numId w:val="4"/>
        </w:numPr>
        <w:wordWrap w:val="0"/>
        <w:spacing w:before="0" w:after="0" w:line="40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2.5“服务”是指除货物和工程以外的其他政府采购对象。</w:t>
      </w:r>
    </w:p>
    <w:p w14:paraId="2DB8FCA4">
      <w:pPr>
        <w:pStyle w:val="6"/>
        <w:keepNext w:val="0"/>
        <w:keepLines w:val="0"/>
        <w:numPr>
          <w:ilvl w:val="4"/>
          <w:numId w:val="4"/>
        </w:numPr>
        <w:wordWrap w:val="0"/>
        <w:spacing w:before="0" w:after="0" w:line="40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2.6“售后服务”是指商品出售以后所提供的各种服务，包含但不限于投标人须承担的备品备件、包装、运输、装卸、保险、货到就位以及安装、调试、培训、保修以及其他各种服务。</w:t>
      </w:r>
    </w:p>
    <w:p w14:paraId="2CC0F91E">
      <w:pPr>
        <w:pStyle w:val="6"/>
        <w:keepNext w:val="0"/>
        <w:keepLines w:val="0"/>
        <w:numPr>
          <w:ilvl w:val="4"/>
          <w:numId w:val="4"/>
        </w:numPr>
        <w:wordWrap w:val="0"/>
        <w:spacing w:before="0" w:after="0" w:line="40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2.7“书面形式”是指合同书、信件和数据电文（包括电报、电传、传真、电子数据交换和电子邮件）等可以有形地表现所载内容的形式。</w:t>
      </w:r>
    </w:p>
    <w:p w14:paraId="0221D010">
      <w:pPr>
        <w:pStyle w:val="6"/>
        <w:keepNext w:val="0"/>
        <w:keepLines w:val="0"/>
        <w:numPr>
          <w:ilvl w:val="4"/>
          <w:numId w:val="4"/>
        </w:numPr>
        <w:wordWrap w:val="0"/>
        <w:spacing w:before="0" w:after="0" w:line="40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2.8“实质性要求”是指招标文件中已经指明不满足则投标无效的条款，或者不能负偏离的条款，或者采购需求中带“</w:t>
      </w:r>
      <w:r>
        <w:rPr>
          <w:rFonts w:hint="eastAsia" w:ascii="宋体" w:hAnsi="宋体" w:eastAsia="宋体" w:cs="宋体"/>
          <w:b w:val="0"/>
          <w:color w:val="auto"/>
          <w:sz w:val="21"/>
          <w:szCs w:val="21"/>
        </w:rPr>
        <w:t>▲</w:t>
      </w:r>
      <w:r>
        <w:rPr>
          <w:rFonts w:hint="eastAsia" w:ascii="宋体" w:hAnsi="宋体" w:eastAsia="宋体" w:cs="宋体"/>
          <w:b w:val="0"/>
          <w:color w:val="auto"/>
          <w:sz w:val="21"/>
          <w:szCs w:val="21"/>
        </w:rPr>
        <w:t>”的条款。</w:t>
      </w:r>
    </w:p>
    <w:p w14:paraId="6637B952">
      <w:pPr>
        <w:wordWrap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2.9 </w:t>
      </w:r>
      <w:r>
        <w:rPr>
          <w:rFonts w:hint="eastAsia" w:ascii="宋体" w:hAnsi="宋体" w:eastAsia="宋体" w:cs="宋体"/>
          <w:color w:val="auto"/>
          <w:szCs w:val="21"/>
        </w:rPr>
        <w:t>“正偏离”，是指投标文件对招标文件“采购需求”中有关条款作出的响应优于条款要求并有利于采购人的情形。</w:t>
      </w:r>
    </w:p>
    <w:p w14:paraId="02CD71E3">
      <w:pPr>
        <w:wordWrap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2.10“负偏离”，是指投标文件对招标文件“采购需求”中有关条款作出的响应不满足条款要求，导致采购人要求不能得到满足的情形。</w:t>
      </w:r>
    </w:p>
    <w:p w14:paraId="1E96B595">
      <w:pPr>
        <w:wordWrap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2.11“允许负偏离的条款”是指采购需求中的不属于“实质性要求”的条款。</w:t>
      </w:r>
      <w:bookmarkStart w:id="172" w:name="_Toc254970670"/>
      <w:bookmarkStart w:id="173" w:name="_Toc254970529"/>
    </w:p>
    <w:p w14:paraId="16C0DDBD">
      <w:pPr>
        <w:pStyle w:val="6"/>
        <w:keepNext w:val="0"/>
        <w:keepLines w:val="0"/>
        <w:numPr>
          <w:ilvl w:val="4"/>
          <w:numId w:val="4"/>
        </w:numPr>
        <w:wordWrap w:val="0"/>
        <w:spacing w:before="0" w:after="0" w:line="400" w:lineRule="exact"/>
        <w:ind w:firstLine="422" w:firstLineChars="200"/>
        <w:rPr>
          <w:rFonts w:hint="eastAsia" w:ascii="宋体" w:hAnsi="宋体" w:eastAsia="宋体" w:cs="宋体"/>
          <w:color w:val="auto"/>
          <w:sz w:val="21"/>
          <w:szCs w:val="21"/>
        </w:rPr>
      </w:pPr>
      <w:r>
        <w:rPr>
          <w:rFonts w:hint="eastAsia" w:ascii="宋体" w:hAnsi="宋体" w:eastAsia="宋体" w:cs="宋体"/>
          <w:color w:val="auto"/>
          <w:sz w:val="21"/>
          <w:szCs w:val="21"/>
        </w:rPr>
        <w:t>3.</w:t>
      </w:r>
      <w:bookmarkEnd w:id="172"/>
      <w:bookmarkEnd w:id="173"/>
      <w:r>
        <w:rPr>
          <w:rFonts w:hint="eastAsia" w:ascii="宋体" w:hAnsi="宋体" w:eastAsia="宋体" w:cs="宋体"/>
          <w:color w:val="auto"/>
          <w:sz w:val="21"/>
          <w:szCs w:val="21"/>
        </w:rPr>
        <w:t>申请人的资格要求：</w:t>
      </w:r>
    </w:p>
    <w:p w14:paraId="00076685">
      <w:pPr>
        <w:wordWrap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申请人的资格要求详见“招标公告”。</w:t>
      </w:r>
    </w:p>
    <w:p w14:paraId="36F49B0A">
      <w:pPr>
        <w:pStyle w:val="6"/>
        <w:keepNext w:val="0"/>
        <w:keepLines w:val="0"/>
        <w:numPr>
          <w:ilvl w:val="4"/>
          <w:numId w:val="4"/>
        </w:numPr>
        <w:wordWrap w:val="0"/>
        <w:spacing w:before="0" w:after="0" w:line="400" w:lineRule="exact"/>
        <w:ind w:firstLine="422" w:firstLineChars="200"/>
        <w:rPr>
          <w:rFonts w:hint="eastAsia" w:ascii="宋体" w:hAnsi="宋体" w:eastAsia="宋体" w:cs="宋体"/>
          <w:color w:val="auto"/>
          <w:sz w:val="21"/>
          <w:szCs w:val="21"/>
        </w:rPr>
      </w:pPr>
      <w:bookmarkStart w:id="174" w:name="_Toc254970530"/>
      <w:bookmarkStart w:id="175" w:name="_Toc254970671"/>
      <w:r>
        <w:rPr>
          <w:rFonts w:hint="eastAsia" w:ascii="宋体" w:hAnsi="宋体" w:eastAsia="宋体" w:cs="宋体"/>
          <w:color w:val="auto"/>
          <w:sz w:val="21"/>
          <w:szCs w:val="21"/>
        </w:rPr>
        <w:t>4.投标委托</w:t>
      </w:r>
      <w:bookmarkEnd w:id="174"/>
      <w:bookmarkEnd w:id="175"/>
    </w:p>
    <w:p w14:paraId="60EC943E">
      <w:pPr>
        <w:wordWrap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投标人代表参加投标活动过程中必须携带个人有效身份证件。如投标人代表不是法定代表人，须持有授权委托书（按第六章要求格式填写）。</w:t>
      </w:r>
    </w:p>
    <w:p w14:paraId="6EFFEC2E">
      <w:pPr>
        <w:pStyle w:val="6"/>
        <w:keepNext w:val="0"/>
        <w:keepLines w:val="0"/>
        <w:numPr>
          <w:ilvl w:val="4"/>
          <w:numId w:val="4"/>
        </w:numPr>
        <w:wordWrap w:val="0"/>
        <w:spacing w:before="0" w:after="0" w:line="400" w:lineRule="exact"/>
        <w:ind w:firstLine="422" w:firstLineChars="200"/>
        <w:rPr>
          <w:rFonts w:hint="eastAsia" w:ascii="宋体" w:hAnsi="宋体" w:eastAsia="宋体" w:cs="宋体"/>
          <w:color w:val="auto"/>
          <w:sz w:val="21"/>
          <w:szCs w:val="21"/>
        </w:rPr>
      </w:pPr>
      <w:bookmarkStart w:id="176" w:name="_5.投标费用"/>
      <w:bookmarkEnd w:id="176"/>
      <w:bookmarkStart w:id="177" w:name="_Toc254970672"/>
      <w:bookmarkStart w:id="178" w:name="_Toc254970531"/>
      <w:r>
        <w:rPr>
          <w:rFonts w:hint="eastAsia" w:ascii="宋体" w:hAnsi="宋体" w:eastAsia="宋体" w:cs="宋体"/>
          <w:color w:val="auto"/>
          <w:sz w:val="21"/>
          <w:szCs w:val="21"/>
        </w:rPr>
        <w:t>5.投标费用</w:t>
      </w:r>
      <w:bookmarkEnd w:id="177"/>
      <w:bookmarkEnd w:id="178"/>
    </w:p>
    <w:p w14:paraId="6B14A2DC">
      <w:pPr>
        <w:wordWrap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投标费用：投标人应承担参与本次采购活动有关的所有费用，包括但不限于获取招标文件、勘查现场、编制和提交投标文件、参加澄清说明、签订合同等，不论投标结果如何，均应自行承担。</w:t>
      </w:r>
    </w:p>
    <w:p w14:paraId="11B8BF65">
      <w:pPr>
        <w:pStyle w:val="6"/>
        <w:keepNext w:val="0"/>
        <w:keepLines w:val="0"/>
        <w:numPr>
          <w:ilvl w:val="4"/>
          <w:numId w:val="4"/>
        </w:numPr>
        <w:wordWrap w:val="0"/>
        <w:spacing w:before="0" w:after="0" w:line="400" w:lineRule="exact"/>
        <w:ind w:firstLine="422" w:firstLineChars="200"/>
        <w:rPr>
          <w:rFonts w:hint="eastAsia" w:ascii="宋体" w:hAnsi="宋体" w:eastAsia="宋体" w:cs="宋体"/>
          <w:color w:val="auto"/>
          <w:sz w:val="21"/>
          <w:szCs w:val="21"/>
        </w:rPr>
      </w:pPr>
      <w:r>
        <w:rPr>
          <w:rFonts w:hint="eastAsia" w:ascii="宋体" w:hAnsi="宋体" w:eastAsia="宋体" w:cs="宋体"/>
          <w:color w:val="auto"/>
          <w:sz w:val="21"/>
          <w:szCs w:val="21"/>
        </w:rPr>
        <w:t>6.联合体投标</w:t>
      </w:r>
    </w:p>
    <w:p w14:paraId="779347B3">
      <w:pPr>
        <w:wordWrap w:val="0"/>
        <w:snapToGrid w:val="0"/>
        <w:spacing w:line="400" w:lineRule="exact"/>
        <w:ind w:firstLine="420" w:firstLineChars="200"/>
        <w:outlineLvl w:val="3"/>
        <w:rPr>
          <w:rFonts w:hint="eastAsia" w:ascii="宋体" w:hAnsi="宋体" w:eastAsia="宋体" w:cs="宋体"/>
          <w:color w:val="auto"/>
          <w:szCs w:val="21"/>
        </w:rPr>
      </w:pPr>
      <w:r>
        <w:rPr>
          <w:rFonts w:hint="eastAsia" w:ascii="宋体" w:hAnsi="宋体" w:eastAsia="宋体" w:cs="宋体"/>
          <w:color w:val="auto"/>
          <w:szCs w:val="21"/>
        </w:rPr>
        <w:t>6.1本项目是否接受联合体投标，详见“投标人须知前附表”。</w:t>
      </w:r>
    </w:p>
    <w:p w14:paraId="68329F34">
      <w:pPr>
        <w:wordWrap w:val="0"/>
        <w:snapToGrid w:val="0"/>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6.2如接受联合体投标，联合体投标要求详见“投标人须知前附表”。</w:t>
      </w:r>
    </w:p>
    <w:p w14:paraId="79126D6C">
      <w:pPr>
        <w:wordWrap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bCs/>
          <w:color w:val="auto"/>
          <w:szCs w:val="21"/>
        </w:rPr>
        <w:t>6.3</w:t>
      </w:r>
      <w:r>
        <w:rPr>
          <w:rFonts w:hint="eastAsia" w:ascii="宋体" w:hAnsi="宋体" w:eastAsia="宋体" w:cs="宋体"/>
          <w:bCs/>
          <w:color w:val="auto"/>
          <w:szCs w:val="21"/>
        </w:rPr>
        <w:t>根据《政府采购促进中小企业发展管理办法》（财库</w:t>
      </w:r>
      <w:r>
        <w:rPr>
          <w:rFonts w:hint="eastAsia" w:ascii="宋体" w:hAnsi="宋体" w:eastAsia="宋体" w:cs="宋体"/>
          <w:bCs/>
          <w:color w:val="auto"/>
          <w:szCs w:val="21"/>
        </w:rPr>
        <w:t>[2020]46号）第九条、《广西壮族自治区财政厅关于进一步发挥政府采购政策功能促进企业发展的通知》（桂财采〔2022〕30号）及《广西壮族自治区财政厅</w:t>
      </w:r>
      <w:r>
        <w:rPr>
          <w:rFonts w:hint="eastAsia" w:ascii="宋体" w:hAnsi="宋体" w:eastAsia="宋体" w:cs="宋体"/>
          <w:bCs/>
          <w:color w:val="auto"/>
          <w:szCs w:val="21"/>
        </w:rPr>
        <w:t>广西壮族自治区工业和信息化厅转发财政部工业和信息化部政府采购促进中小企业发展管理办法的通知》（桂财采〔</w:t>
      </w:r>
      <w:r>
        <w:rPr>
          <w:rFonts w:hint="eastAsia" w:ascii="宋体" w:hAnsi="宋体" w:eastAsia="宋体" w:cs="宋体"/>
          <w:bCs/>
          <w:color w:val="auto"/>
          <w:szCs w:val="21"/>
        </w:rPr>
        <w:t>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52FCB8C7">
      <w:pPr>
        <w:pStyle w:val="6"/>
        <w:keepNext w:val="0"/>
        <w:keepLines w:val="0"/>
        <w:numPr>
          <w:ilvl w:val="4"/>
          <w:numId w:val="4"/>
        </w:numPr>
        <w:wordWrap w:val="0"/>
        <w:spacing w:before="0" w:after="0" w:line="400" w:lineRule="exact"/>
        <w:ind w:firstLine="422" w:firstLineChars="200"/>
        <w:rPr>
          <w:rFonts w:hint="eastAsia" w:ascii="宋体" w:hAnsi="宋体" w:eastAsia="宋体" w:cs="宋体"/>
          <w:color w:val="auto"/>
          <w:sz w:val="21"/>
          <w:szCs w:val="21"/>
        </w:rPr>
      </w:pPr>
      <w:r>
        <w:rPr>
          <w:rFonts w:hint="eastAsia" w:ascii="宋体" w:hAnsi="宋体" w:eastAsia="宋体" w:cs="宋体"/>
          <w:color w:val="auto"/>
          <w:sz w:val="21"/>
          <w:szCs w:val="21"/>
        </w:rPr>
        <w:t>7.转包与分包</w:t>
      </w:r>
    </w:p>
    <w:p w14:paraId="44497D8A">
      <w:pPr>
        <w:pStyle w:val="6"/>
        <w:keepNext w:val="0"/>
        <w:keepLines w:val="0"/>
        <w:numPr>
          <w:ilvl w:val="4"/>
          <w:numId w:val="4"/>
        </w:numPr>
        <w:wordWrap w:val="0"/>
        <w:spacing w:before="0" w:after="0" w:line="40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7.1本项目不允许转包。</w:t>
      </w:r>
    </w:p>
    <w:p w14:paraId="5261E967">
      <w:pPr>
        <w:pStyle w:val="6"/>
        <w:keepNext w:val="0"/>
        <w:keepLines w:val="0"/>
        <w:numPr>
          <w:ilvl w:val="4"/>
          <w:numId w:val="4"/>
        </w:numPr>
        <w:wordWrap w:val="0"/>
        <w:spacing w:before="0" w:after="0" w:line="40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1143FF32">
      <w:pPr>
        <w:pStyle w:val="6"/>
        <w:keepNext w:val="0"/>
        <w:keepLines w:val="0"/>
        <w:numPr>
          <w:ilvl w:val="4"/>
          <w:numId w:val="4"/>
        </w:numPr>
        <w:wordWrap w:val="0"/>
        <w:spacing w:before="0" w:after="0" w:line="40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78A1CE6B">
      <w:pPr>
        <w:pStyle w:val="6"/>
        <w:keepNext w:val="0"/>
        <w:keepLines w:val="0"/>
        <w:numPr>
          <w:ilvl w:val="4"/>
          <w:numId w:val="4"/>
        </w:numPr>
        <w:wordWrap w:val="0"/>
        <w:spacing w:before="0" w:after="0" w:line="40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7.4根据《政府采购促进中小企业发展管理办法》（财库[2020]46号）第九条及《广西壮族自治区财政厅关于进一步发挥政府采购政策功能促进企业发展的通知》（桂财采〔2022〕30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7278D3FB">
      <w:pPr>
        <w:pStyle w:val="6"/>
        <w:keepNext w:val="0"/>
        <w:keepLines w:val="0"/>
        <w:numPr>
          <w:ilvl w:val="4"/>
          <w:numId w:val="4"/>
        </w:numPr>
        <w:wordWrap w:val="0"/>
        <w:spacing w:before="0" w:after="0" w:line="400" w:lineRule="exact"/>
        <w:ind w:firstLine="422" w:firstLineChars="200"/>
        <w:rPr>
          <w:rFonts w:hint="eastAsia" w:ascii="宋体" w:hAnsi="宋体" w:eastAsia="宋体" w:cs="宋体"/>
          <w:color w:val="auto"/>
          <w:sz w:val="21"/>
          <w:szCs w:val="21"/>
        </w:rPr>
      </w:pPr>
      <w:bookmarkStart w:id="179" w:name="_Toc254970532"/>
      <w:bookmarkStart w:id="180" w:name="_Toc254970673"/>
      <w:r>
        <w:rPr>
          <w:rFonts w:hint="eastAsia" w:ascii="宋体" w:hAnsi="宋体" w:eastAsia="宋体" w:cs="宋体"/>
          <w:color w:val="auto"/>
          <w:sz w:val="21"/>
          <w:szCs w:val="21"/>
        </w:rPr>
        <w:t>8.特别说明</w:t>
      </w:r>
      <w:bookmarkEnd w:id="179"/>
      <w:bookmarkEnd w:id="180"/>
    </w:p>
    <w:p w14:paraId="206940CB">
      <w:pPr>
        <w:pStyle w:val="6"/>
        <w:keepNext w:val="0"/>
        <w:keepLines w:val="0"/>
        <w:numPr>
          <w:ilvl w:val="4"/>
          <w:numId w:val="4"/>
        </w:numPr>
        <w:wordWrap w:val="0"/>
        <w:spacing w:before="0" w:after="0" w:line="400" w:lineRule="exact"/>
        <w:ind w:firstLine="420" w:firstLineChars="200"/>
        <w:rPr>
          <w:rFonts w:hint="eastAsia" w:ascii="宋体" w:hAnsi="宋体" w:eastAsia="宋体" w:cs="宋体"/>
          <w:b w:val="0"/>
          <w:color w:val="auto"/>
          <w:sz w:val="21"/>
          <w:szCs w:val="21"/>
        </w:rPr>
      </w:pPr>
      <w:bookmarkStart w:id="181" w:name="_8.1提供相同品牌产品且通过资格审查、符合性审查的不同投标人参加同一合"/>
      <w:bookmarkEnd w:id="181"/>
      <w:r>
        <w:rPr>
          <w:rFonts w:hint="eastAsia" w:ascii="宋体" w:hAnsi="宋体" w:eastAsia="宋体" w:cs="宋体"/>
          <w:b w:val="0"/>
          <w:color w:val="auto"/>
          <w:sz w:val="21"/>
          <w:szCs w:val="21"/>
        </w:rPr>
        <w:t>8.1如果本招标文件要求提供投标人或制造商的资格、信誉、荣誉、业绩与企业认证等材料的，资格、信誉、荣誉、业绩与企业认证等必须为投标人或者制造商所拥有或自身获得。</w:t>
      </w:r>
    </w:p>
    <w:p w14:paraId="00E761EC">
      <w:pPr>
        <w:pStyle w:val="6"/>
        <w:keepNext w:val="0"/>
        <w:keepLines w:val="0"/>
        <w:numPr>
          <w:ilvl w:val="4"/>
          <w:numId w:val="4"/>
        </w:numPr>
        <w:wordWrap w:val="0"/>
        <w:spacing w:before="0" w:after="0" w:line="40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8.2投标人应仔细阅读招标文件的所有内容，按照招标文件的要求提交投标文件，并对所提供的全部资料的真实性承担法律责任。</w:t>
      </w:r>
    </w:p>
    <w:p w14:paraId="47A45AB9">
      <w:pPr>
        <w:pStyle w:val="6"/>
        <w:keepNext w:val="0"/>
        <w:keepLines w:val="0"/>
        <w:numPr>
          <w:ilvl w:val="4"/>
          <w:numId w:val="4"/>
        </w:numPr>
        <w:wordWrap w:val="0"/>
        <w:spacing w:before="0" w:after="0" w:line="40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8.3投标人在投标活动中提供任何虚假材料，将报监管部门查处；中标后发现的，中标人须依照《中华人民共和国消费者权益保护法》规定赔偿采购人，且民事赔偿并不免除违法投标人的行政与刑事责任。</w:t>
      </w:r>
    </w:p>
    <w:p w14:paraId="073949B2">
      <w:pPr>
        <w:pStyle w:val="6"/>
        <w:keepNext w:val="0"/>
        <w:keepLines w:val="0"/>
        <w:numPr>
          <w:ilvl w:val="4"/>
          <w:numId w:val="4"/>
        </w:numPr>
        <w:wordWrap w:val="0"/>
        <w:spacing w:before="0" w:after="0" w:line="400" w:lineRule="exact"/>
        <w:ind w:firstLine="422" w:firstLineChars="200"/>
        <w:rPr>
          <w:rFonts w:hint="eastAsia" w:ascii="宋体" w:hAnsi="宋体" w:eastAsia="宋体" w:cs="宋体"/>
          <w:color w:val="auto"/>
          <w:sz w:val="21"/>
          <w:szCs w:val="21"/>
        </w:rPr>
      </w:pPr>
      <w:r>
        <w:rPr>
          <w:rFonts w:hint="eastAsia" w:ascii="宋体" w:hAnsi="宋体" w:eastAsia="宋体" w:cs="宋体"/>
          <w:color w:val="auto"/>
          <w:sz w:val="21"/>
          <w:szCs w:val="21"/>
        </w:rPr>
        <w:t>9.回避与串通投标</w:t>
      </w:r>
    </w:p>
    <w:p w14:paraId="3BCCF27A">
      <w:pPr>
        <w:pStyle w:val="6"/>
        <w:keepNext w:val="0"/>
        <w:keepLines w:val="0"/>
        <w:numPr>
          <w:ilvl w:val="4"/>
          <w:numId w:val="4"/>
        </w:numPr>
        <w:wordWrap w:val="0"/>
        <w:spacing w:before="0" w:after="0" w:line="40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9.1在政府采购活动中，采购人员及相关人员与</w:t>
      </w:r>
      <w:r>
        <w:rPr>
          <w:rFonts w:hint="eastAsia" w:ascii="宋体" w:hAnsi="宋体" w:eastAsia="宋体" w:cs="宋体"/>
          <w:b w:val="0"/>
          <w:color w:val="auto"/>
          <w:sz w:val="21"/>
          <w:szCs w:val="21"/>
        </w:rPr>
        <w:t>投标人</w:t>
      </w:r>
      <w:r>
        <w:rPr>
          <w:rFonts w:hint="eastAsia" w:ascii="宋体" w:hAnsi="宋体" w:eastAsia="宋体" w:cs="宋体"/>
          <w:b w:val="0"/>
          <w:color w:val="auto"/>
          <w:sz w:val="21"/>
          <w:szCs w:val="21"/>
        </w:rPr>
        <w:t>有下列利害关系之一的，应当回避：</w:t>
      </w:r>
    </w:p>
    <w:p w14:paraId="407F10BB">
      <w:pPr>
        <w:pStyle w:val="25"/>
        <w:wordWrap w:val="0"/>
        <w:snapToGrid w:val="0"/>
        <w:spacing w:line="400" w:lineRule="exact"/>
        <w:ind w:firstLine="420" w:firstLineChars="200"/>
        <w:rPr>
          <w:rFonts w:hint="eastAsia" w:ascii="宋体" w:hAnsi="宋体" w:eastAsia="宋体" w:cs="宋体"/>
          <w:color w:val="auto"/>
          <w:kern w:val="2"/>
          <w:sz w:val="21"/>
        </w:rPr>
      </w:pPr>
      <w:r>
        <w:rPr>
          <w:rFonts w:hint="eastAsia" w:ascii="宋体" w:hAnsi="宋体" w:eastAsia="宋体" w:cs="宋体"/>
          <w:color w:val="auto"/>
          <w:kern w:val="2"/>
          <w:sz w:val="21"/>
        </w:rPr>
        <w:t>（</w:t>
      </w:r>
      <w:r>
        <w:rPr>
          <w:rFonts w:hint="eastAsia" w:ascii="宋体" w:hAnsi="宋体" w:eastAsia="宋体" w:cs="宋体"/>
          <w:color w:val="auto"/>
          <w:kern w:val="2"/>
          <w:sz w:val="21"/>
        </w:rPr>
        <w:t>1）参加采购活动前3年内与</w:t>
      </w:r>
      <w:r>
        <w:rPr>
          <w:rFonts w:hint="eastAsia" w:ascii="宋体" w:hAnsi="宋体" w:eastAsia="宋体" w:cs="宋体"/>
          <w:color w:val="auto"/>
          <w:kern w:val="2"/>
          <w:sz w:val="21"/>
        </w:rPr>
        <w:t>投标人</w:t>
      </w:r>
      <w:r>
        <w:rPr>
          <w:rFonts w:hint="eastAsia" w:ascii="宋体" w:hAnsi="宋体" w:eastAsia="宋体" w:cs="宋体"/>
          <w:color w:val="auto"/>
          <w:kern w:val="2"/>
          <w:sz w:val="21"/>
        </w:rPr>
        <w:t>存在劳动关系；</w:t>
      </w:r>
    </w:p>
    <w:p w14:paraId="65B1AAAD">
      <w:pPr>
        <w:pStyle w:val="25"/>
        <w:wordWrap w:val="0"/>
        <w:snapToGrid w:val="0"/>
        <w:spacing w:line="400" w:lineRule="exact"/>
        <w:ind w:firstLine="420" w:firstLineChars="200"/>
        <w:rPr>
          <w:rFonts w:hint="eastAsia" w:ascii="宋体" w:hAnsi="宋体" w:eastAsia="宋体" w:cs="宋体"/>
          <w:color w:val="auto"/>
          <w:kern w:val="2"/>
          <w:sz w:val="21"/>
        </w:rPr>
      </w:pPr>
      <w:r>
        <w:rPr>
          <w:rFonts w:hint="eastAsia" w:ascii="宋体" w:hAnsi="宋体" w:eastAsia="宋体" w:cs="宋体"/>
          <w:color w:val="auto"/>
          <w:kern w:val="2"/>
          <w:sz w:val="21"/>
        </w:rPr>
        <w:t>（</w:t>
      </w:r>
      <w:r>
        <w:rPr>
          <w:rFonts w:hint="eastAsia" w:ascii="宋体" w:hAnsi="宋体" w:eastAsia="宋体" w:cs="宋体"/>
          <w:color w:val="auto"/>
          <w:kern w:val="2"/>
          <w:sz w:val="21"/>
        </w:rPr>
        <w:t>2）参加采购活动前3年内担任</w:t>
      </w:r>
      <w:r>
        <w:rPr>
          <w:rFonts w:hint="eastAsia" w:ascii="宋体" w:hAnsi="宋体" w:eastAsia="宋体" w:cs="宋体"/>
          <w:color w:val="auto"/>
          <w:kern w:val="2"/>
          <w:sz w:val="21"/>
        </w:rPr>
        <w:t>投标人</w:t>
      </w:r>
      <w:r>
        <w:rPr>
          <w:rFonts w:hint="eastAsia" w:ascii="宋体" w:hAnsi="宋体" w:eastAsia="宋体" w:cs="宋体"/>
          <w:color w:val="auto"/>
          <w:kern w:val="2"/>
          <w:sz w:val="21"/>
        </w:rPr>
        <w:t>的董事、监事；</w:t>
      </w:r>
    </w:p>
    <w:p w14:paraId="6BED9965">
      <w:pPr>
        <w:pStyle w:val="25"/>
        <w:wordWrap w:val="0"/>
        <w:snapToGrid w:val="0"/>
        <w:spacing w:line="400" w:lineRule="exact"/>
        <w:ind w:firstLine="420" w:firstLineChars="200"/>
        <w:rPr>
          <w:rFonts w:hint="eastAsia" w:ascii="宋体" w:hAnsi="宋体" w:eastAsia="宋体" w:cs="宋体"/>
          <w:color w:val="auto"/>
          <w:kern w:val="2"/>
          <w:sz w:val="21"/>
        </w:rPr>
      </w:pPr>
      <w:r>
        <w:rPr>
          <w:rFonts w:hint="eastAsia" w:ascii="宋体" w:hAnsi="宋体" w:eastAsia="宋体" w:cs="宋体"/>
          <w:color w:val="auto"/>
          <w:kern w:val="2"/>
          <w:sz w:val="21"/>
        </w:rPr>
        <w:t>（</w:t>
      </w:r>
      <w:r>
        <w:rPr>
          <w:rFonts w:hint="eastAsia" w:ascii="宋体" w:hAnsi="宋体" w:eastAsia="宋体" w:cs="宋体"/>
          <w:color w:val="auto"/>
          <w:kern w:val="2"/>
          <w:sz w:val="21"/>
        </w:rPr>
        <w:t>3）参加采购活动前3年内是</w:t>
      </w:r>
      <w:r>
        <w:rPr>
          <w:rFonts w:hint="eastAsia" w:ascii="宋体" w:hAnsi="宋体" w:eastAsia="宋体" w:cs="宋体"/>
          <w:color w:val="auto"/>
          <w:kern w:val="2"/>
          <w:sz w:val="21"/>
        </w:rPr>
        <w:t>投标人</w:t>
      </w:r>
      <w:r>
        <w:rPr>
          <w:rFonts w:hint="eastAsia" w:ascii="宋体" w:hAnsi="宋体" w:eastAsia="宋体" w:cs="宋体"/>
          <w:color w:val="auto"/>
          <w:kern w:val="2"/>
          <w:sz w:val="21"/>
        </w:rPr>
        <w:t>的控股股东或者实际控制人；</w:t>
      </w:r>
    </w:p>
    <w:p w14:paraId="15229CC6">
      <w:pPr>
        <w:pStyle w:val="25"/>
        <w:wordWrap w:val="0"/>
        <w:snapToGrid w:val="0"/>
        <w:spacing w:line="400" w:lineRule="exact"/>
        <w:ind w:firstLine="420" w:firstLineChars="200"/>
        <w:rPr>
          <w:rFonts w:hint="eastAsia" w:ascii="宋体" w:hAnsi="宋体" w:eastAsia="宋体" w:cs="宋体"/>
          <w:color w:val="auto"/>
          <w:kern w:val="2"/>
          <w:sz w:val="21"/>
        </w:rPr>
      </w:pPr>
      <w:r>
        <w:rPr>
          <w:rFonts w:hint="eastAsia" w:ascii="宋体" w:hAnsi="宋体" w:eastAsia="宋体" w:cs="宋体"/>
          <w:color w:val="auto"/>
          <w:kern w:val="2"/>
          <w:sz w:val="21"/>
        </w:rPr>
        <w:t>（</w:t>
      </w:r>
      <w:r>
        <w:rPr>
          <w:rFonts w:hint="eastAsia" w:ascii="宋体" w:hAnsi="宋体" w:eastAsia="宋体" w:cs="宋体"/>
          <w:color w:val="auto"/>
          <w:kern w:val="2"/>
          <w:sz w:val="21"/>
        </w:rPr>
        <w:t>4）与</w:t>
      </w:r>
      <w:r>
        <w:rPr>
          <w:rFonts w:hint="eastAsia" w:ascii="宋体" w:hAnsi="宋体" w:eastAsia="宋体" w:cs="宋体"/>
          <w:color w:val="auto"/>
          <w:kern w:val="2"/>
          <w:sz w:val="21"/>
        </w:rPr>
        <w:t>投标人</w:t>
      </w:r>
      <w:r>
        <w:rPr>
          <w:rFonts w:hint="eastAsia" w:ascii="宋体" w:hAnsi="宋体" w:eastAsia="宋体" w:cs="宋体"/>
          <w:color w:val="auto"/>
          <w:kern w:val="2"/>
          <w:sz w:val="21"/>
        </w:rPr>
        <w:t>的法定代表人或者负责人有夫妻、直系血亲、三代以内旁系血亲或者近姻亲关系；</w:t>
      </w:r>
    </w:p>
    <w:p w14:paraId="6BE50CC0">
      <w:pPr>
        <w:pStyle w:val="25"/>
        <w:wordWrap w:val="0"/>
        <w:snapToGrid w:val="0"/>
        <w:spacing w:line="400" w:lineRule="exact"/>
        <w:ind w:firstLine="420" w:firstLineChars="200"/>
        <w:rPr>
          <w:rFonts w:hint="eastAsia" w:ascii="宋体" w:hAnsi="宋体" w:eastAsia="宋体" w:cs="宋体"/>
          <w:color w:val="auto"/>
          <w:kern w:val="2"/>
          <w:sz w:val="21"/>
        </w:rPr>
      </w:pPr>
      <w:r>
        <w:rPr>
          <w:rFonts w:hint="eastAsia" w:ascii="宋体" w:hAnsi="宋体" w:eastAsia="宋体" w:cs="宋体"/>
          <w:color w:val="auto"/>
          <w:kern w:val="2"/>
          <w:sz w:val="21"/>
        </w:rPr>
        <w:t>（</w:t>
      </w:r>
      <w:r>
        <w:rPr>
          <w:rFonts w:hint="eastAsia" w:ascii="宋体" w:hAnsi="宋体" w:eastAsia="宋体" w:cs="宋体"/>
          <w:color w:val="auto"/>
          <w:kern w:val="2"/>
          <w:sz w:val="21"/>
        </w:rPr>
        <w:t>5）与</w:t>
      </w:r>
      <w:r>
        <w:rPr>
          <w:rFonts w:hint="eastAsia" w:ascii="宋体" w:hAnsi="宋体" w:eastAsia="宋体" w:cs="宋体"/>
          <w:color w:val="auto"/>
          <w:kern w:val="2"/>
          <w:sz w:val="21"/>
        </w:rPr>
        <w:t>投标人</w:t>
      </w:r>
      <w:r>
        <w:rPr>
          <w:rFonts w:hint="eastAsia" w:ascii="宋体" w:hAnsi="宋体" w:eastAsia="宋体" w:cs="宋体"/>
          <w:color w:val="auto"/>
          <w:kern w:val="2"/>
          <w:sz w:val="21"/>
        </w:rPr>
        <w:t>有其他可能影响政府采购活动公平、公正进行的关系。</w:t>
      </w:r>
    </w:p>
    <w:p w14:paraId="4D272420">
      <w:pPr>
        <w:pStyle w:val="25"/>
        <w:wordWrap w:val="0"/>
        <w:snapToGrid w:val="0"/>
        <w:spacing w:line="400" w:lineRule="exact"/>
        <w:ind w:firstLine="420" w:firstLineChars="200"/>
        <w:rPr>
          <w:rFonts w:hint="eastAsia" w:ascii="宋体" w:hAnsi="宋体" w:eastAsia="宋体" w:cs="宋体"/>
          <w:color w:val="auto"/>
          <w:kern w:val="2"/>
          <w:sz w:val="21"/>
        </w:rPr>
      </w:pPr>
      <w:r>
        <w:rPr>
          <w:rFonts w:hint="eastAsia" w:ascii="宋体" w:hAnsi="宋体" w:eastAsia="宋体" w:cs="宋体"/>
          <w:color w:val="auto"/>
          <w:kern w:val="2"/>
          <w:sz w:val="21"/>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14:paraId="71A1BB8F">
      <w:pPr>
        <w:pStyle w:val="6"/>
        <w:keepNext w:val="0"/>
        <w:keepLines w:val="0"/>
        <w:numPr>
          <w:ilvl w:val="4"/>
          <w:numId w:val="4"/>
        </w:numPr>
        <w:wordWrap w:val="0"/>
        <w:spacing w:before="0" w:after="0" w:line="40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9.2有下列情形之一的视为投标人相互串通投标，投标文件将被视为无效：</w:t>
      </w:r>
    </w:p>
    <w:p w14:paraId="64A55847">
      <w:pPr>
        <w:pStyle w:val="25"/>
        <w:wordWrap w:val="0"/>
        <w:snapToGrid w:val="0"/>
        <w:spacing w:line="400" w:lineRule="exact"/>
        <w:ind w:firstLine="420" w:firstLineChars="200"/>
        <w:rPr>
          <w:rFonts w:hint="eastAsia" w:ascii="宋体" w:hAnsi="宋体" w:eastAsia="宋体" w:cs="宋体"/>
          <w:color w:val="auto"/>
          <w:kern w:val="2"/>
          <w:sz w:val="21"/>
        </w:rPr>
      </w:pPr>
      <w:r>
        <w:rPr>
          <w:rFonts w:hint="eastAsia" w:ascii="宋体" w:hAnsi="宋体" w:eastAsia="宋体" w:cs="宋体"/>
          <w:color w:val="auto"/>
          <w:kern w:val="2"/>
          <w:sz w:val="21"/>
        </w:rPr>
        <w:t>（</w:t>
      </w:r>
      <w:r>
        <w:rPr>
          <w:rFonts w:hint="eastAsia" w:ascii="宋体" w:hAnsi="宋体" w:eastAsia="宋体" w:cs="宋体"/>
          <w:color w:val="auto"/>
          <w:kern w:val="2"/>
          <w:sz w:val="21"/>
        </w:rPr>
        <w:t>1）不同投标人的投标文件由同一单位或者个人编制；或者不同投标人报名的IP地址一致的；或者编制标书硬件设备CPU编号、硬盘编号、网卡地址一致的情况；</w:t>
      </w:r>
    </w:p>
    <w:p w14:paraId="36389B66">
      <w:pPr>
        <w:pStyle w:val="25"/>
        <w:wordWrap w:val="0"/>
        <w:snapToGrid w:val="0"/>
        <w:spacing w:line="400" w:lineRule="exact"/>
        <w:ind w:firstLine="420" w:firstLineChars="200"/>
        <w:rPr>
          <w:rFonts w:hint="eastAsia" w:ascii="宋体" w:hAnsi="宋体" w:eastAsia="宋体" w:cs="宋体"/>
          <w:color w:val="auto"/>
          <w:kern w:val="2"/>
          <w:sz w:val="21"/>
        </w:rPr>
      </w:pPr>
      <w:r>
        <w:rPr>
          <w:rFonts w:hint="eastAsia" w:ascii="宋体" w:hAnsi="宋体" w:eastAsia="宋体" w:cs="宋体"/>
          <w:color w:val="auto"/>
          <w:kern w:val="2"/>
          <w:sz w:val="21"/>
        </w:rPr>
        <w:t>（</w:t>
      </w:r>
      <w:r>
        <w:rPr>
          <w:rFonts w:hint="eastAsia" w:ascii="宋体" w:hAnsi="宋体" w:eastAsia="宋体" w:cs="宋体"/>
          <w:color w:val="auto"/>
          <w:kern w:val="2"/>
          <w:sz w:val="21"/>
        </w:rPr>
        <w:t>2）不同投标人委托同一单位或者个人办理投标事宜；</w:t>
      </w:r>
    </w:p>
    <w:p w14:paraId="34AE5858">
      <w:pPr>
        <w:pStyle w:val="25"/>
        <w:wordWrap w:val="0"/>
        <w:snapToGrid w:val="0"/>
        <w:spacing w:line="400" w:lineRule="exact"/>
        <w:ind w:firstLine="420" w:firstLineChars="200"/>
        <w:rPr>
          <w:rFonts w:hint="eastAsia" w:ascii="宋体" w:hAnsi="宋体" w:eastAsia="宋体" w:cs="宋体"/>
          <w:color w:val="auto"/>
          <w:kern w:val="2"/>
          <w:sz w:val="21"/>
        </w:rPr>
      </w:pPr>
      <w:r>
        <w:rPr>
          <w:rFonts w:hint="eastAsia" w:ascii="宋体" w:hAnsi="宋体" w:eastAsia="宋体" w:cs="宋体"/>
          <w:color w:val="auto"/>
          <w:kern w:val="2"/>
          <w:sz w:val="21"/>
        </w:rPr>
        <w:t>（</w:t>
      </w:r>
      <w:r>
        <w:rPr>
          <w:rFonts w:hint="eastAsia" w:ascii="宋体" w:hAnsi="宋体" w:eastAsia="宋体" w:cs="宋体"/>
          <w:color w:val="auto"/>
          <w:kern w:val="2"/>
          <w:sz w:val="21"/>
        </w:rPr>
        <w:t>3）不同的投标人的投标文件载明的项目管理员为同一个人；</w:t>
      </w:r>
    </w:p>
    <w:p w14:paraId="1F7FFBF7">
      <w:pPr>
        <w:pStyle w:val="25"/>
        <w:wordWrap w:val="0"/>
        <w:snapToGrid w:val="0"/>
        <w:spacing w:line="400" w:lineRule="exact"/>
        <w:ind w:firstLine="420" w:firstLineChars="200"/>
        <w:rPr>
          <w:rFonts w:hint="eastAsia" w:ascii="宋体" w:hAnsi="宋体" w:eastAsia="宋体" w:cs="宋体"/>
          <w:color w:val="auto"/>
          <w:kern w:val="2"/>
          <w:sz w:val="21"/>
        </w:rPr>
      </w:pPr>
      <w:r>
        <w:rPr>
          <w:rFonts w:hint="eastAsia" w:ascii="宋体" w:hAnsi="宋体" w:eastAsia="宋体" w:cs="宋体"/>
          <w:color w:val="auto"/>
          <w:kern w:val="2"/>
          <w:sz w:val="21"/>
        </w:rPr>
        <w:t>（</w:t>
      </w:r>
      <w:r>
        <w:rPr>
          <w:rFonts w:hint="eastAsia" w:ascii="宋体" w:hAnsi="宋体" w:eastAsia="宋体" w:cs="宋体"/>
          <w:color w:val="auto"/>
          <w:kern w:val="2"/>
          <w:sz w:val="21"/>
        </w:rPr>
        <w:t>4）不同投标人的投标文件异常一致或者投标报价呈规律性差异；</w:t>
      </w:r>
    </w:p>
    <w:p w14:paraId="0BF1FDF6">
      <w:pPr>
        <w:pStyle w:val="25"/>
        <w:wordWrap w:val="0"/>
        <w:snapToGrid w:val="0"/>
        <w:spacing w:line="400" w:lineRule="exact"/>
        <w:ind w:firstLine="420" w:firstLineChars="200"/>
        <w:rPr>
          <w:rFonts w:hint="eastAsia" w:ascii="宋体" w:hAnsi="宋体" w:eastAsia="宋体" w:cs="宋体"/>
          <w:color w:val="auto"/>
          <w:kern w:val="2"/>
          <w:sz w:val="21"/>
        </w:rPr>
      </w:pPr>
      <w:r>
        <w:rPr>
          <w:rFonts w:hint="eastAsia" w:ascii="宋体" w:hAnsi="宋体" w:eastAsia="宋体" w:cs="宋体"/>
          <w:color w:val="auto"/>
          <w:kern w:val="2"/>
          <w:sz w:val="21"/>
        </w:rPr>
        <w:t>（</w:t>
      </w:r>
      <w:r>
        <w:rPr>
          <w:rFonts w:hint="eastAsia" w:ascii="宋体" w:hAnsi="宋体" w:eastAsia="宋体" w:cs="宋体"/>
          <w:color w:val="auto"/>
          <w:kern w:val="2"/>
          <w:sz w:val="21"/>
        </w:rPr>
        <w:t>5）不同投标人的投标文件相互混装；</w:t>
      </w:r>
    </w:p>
    <w:p w14:paraId="5DA887EE">
      <w:pPr>
        <w:pStyle w:val="25"/>
        <w:wordWrap w:val="0"/>
        <w:snapToGrid w:val="0"/>
        <w:spacing w:line="400" w:lineRule="exact"/>
        <w:ind w:firstLine="420" w:firstLineChars="200"/>
        <w:rPr>
          <w:rFonts w:hint="eastAsia" w:ascii="宋体" w:hAnsi="宋体" w:eastAsia="宋体" w:cs="宋体"/>
          <w:color w:val="auto"/>
          <w:kern w:val="2"/>
          <w:sz w:val="21"/>
        </w:rPr>
      </w:pPr>
      <w:r>
        <w:rPr>
          <w:rFonts w:hint="eastAsia" w:ascii="宋体" w:hAnsi="宋体" w:eastAsia="宋体" w:cs="宋体"/>
          <w:color w:val="auto"/>
          <w:kern w:val="2"/>
          <w:sz w:val="21"/>
        </w:rPr>
        <w:t>（</w:t>
      </w:r>
      <w:r>
        <w:rPr>
          <w:rFonts w:hint="eastAsia" w:ascii="宋体" w:hAnsi="宋体" w:eastAsia="宋体" w:cs="宋体"/>
          <w:color w:val="auto"/>
          <w:kern w:val="2"/>
          <w:sz w:val="21"/>
        </w:rPr>
        <w:t>6）不同投标人的投标保证金从同一单位或者个人账户转出。</w:t>
      </w:r>
    </w:p>
    <w:p w14:paraId="25738CD4">
      <w:pPr>
        <w:pStyle w:val="6"/>
        <w:keepNext w:val="0"/>
        <w:keepLines w:val="0"/>
        <w:numPr>
          <w:ilvl w:val="4"/>
          <w:numId w:val="4"/>
        </w:numPr>
        <w:wordWrap w:val="0"/>
        <w:spacing w:before="0" w:after="0" w:line="44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9.3</w:t>
      </w:r>
      <w:r>
        <w:rPr>
          <w:rFonts w:hint="eastAsia" w:ascii="宋体" w:hAnsi="宋体" w:eastAsia="宋体" w:cs="宋体"/>
          <w:b w:val="0"/>
          <w:color w:val="auto"/>
          <w:sz w:val="21"/>
          <w:szCs w:val="21"/>
        </w:rPr>
        <w:t>投标人</w:t>
      </w:r>
      <w:r>
        <w:rPr>
          <w:rFonts w:hint="eastAsia" w:ascii="宋体" w:hAnsi="宋体" w:eastAsia="宋体" w:cs="宋体"/>
          <w:b w:val="0"/>
          <w:color w:val="auto"/>
          <w:sz w:val="21"/>
          <w:szCs w:val="21"/>
        </w:rPr>
        <w:t>有下列情形之一的，属于恶意串通行为，将报同级监督管理部门：</w:t>
      </w:r>
    </w:p>
    <w:p w14:paraId="5CEE72E9">
      <w:pPr>
        <w:pStyle w:val="25"/>
        <w:wordWrap w:val="0"/>
        <w:snapToGrid w:val="0"/>
        <w:spacing w:line="440" w:lineRule="exact"/>
        <w:ind w:firstLine="420" w:firstLineChars="200"/>
        <w:rPr>
          <w:rFonts w:hint="eastAsia" w:ascii="宋体" w:hAnsi="宋体" w:eastAsia="宋体" w:cs="宋体"/>
          <w:color w:val="auto"/>
          <w:kern w:val="2"/>
          <w:sz w:val="21"/>
        </w:rPr>
      </w:pPr>
      <w:r>
        <w:rPr>
          <w:rFonts w:hint="eastAsia" w:ascii="宋体" w:hAnsi="宋体" w:eastAsia="宋体" w:cs="宋体"/>
          <w:color w:val="auto"/>
          <w:kern w:val="2"/>
          <w:sz w:val="21"/>
        </w:rPr>
        <w:t>（</w:t>
      </w:r>
      <w:r>
        <w:rPr>
          <w:rFonts w:hint="eastAsia" w:ascii="宋体" w:hAnsi="宋体" w:eastAsia="宋体" w:cs="宋体"/>
          <w:color w:val="auto"/>
          <w:kern w:val="2"/>
          <w:sz w:val="21"/>
        </w:rPr>
        <w:t>1）</w:t>
      </w:r>
      <w:r>
        <w:rPr>
          <w:rFonts w:hint="eastAsia" w:ascii="宋体" w:hAnsi="宋体" w:eastAsia="宋体" w:cs="宋体"/>
          <w:color w:val="auto"/>
          <w:kern w:val="2"/>
          <w:sz w:val="21"/>
        </w:rPr>
        <w:t>投标人</w:t>
      </w:r>
      <w:r>
        <w:rPr>
          <w:rFonts w:hint="eastAsia" w:ascii="宋体" w:hAnsi="宋体" w:eastAsia="宋体" w:cs="宋体"/>
          <w:color w:val="auto"/>
          <w:kern w:val="2"/>
          <w:sz w:val="21"/>
        </w:rPr>
        <w:t>直接或者间接从采购人或者采购代理机构处获得其他</w:t>
      </w:r>
      <w:r>
        <w:rPr>
          <w:rFonts w:hint="eastAsia" w:ascii="宋体" w:hAnsi="宋体" w:eastAsia="宋体" w:cs="宋体"/>
          <w:color w:val="auto"/>
          <w:kern w:val="2"/>
          <w:sz w:val="21"/>
        </w:rPr>
        <w:t>投标人</w:t>
      </w:r>
      <w:r>
        <w:rPr>
          <w:rFonts w:hint="eastAsia" w:ascii="宋体" w:hAnsi="宋体" w:eastAsia="宋体" w:cs="宋体"/>
          <w:color w:val="auto"/>
          <w:kern w:val="2"/>
          <w:sz w:val="21"/>
        </w:rPr>
        <w:t>的相关信息并修改其投标文件或者</w:t>
      </w:r>
      <w:r>
        <w:rPr>
          <w:rFonts w:hint="eastAsia" w:ascii="宋体" w:hAnsi="宋体" w:eastAsia="宋体" w:cs="宋体"/>
          <w:color w:val="auto"/>
          <w:kern w:val="2"/>
          <w:sz w:val="21"/>
        </w:rPr>
        <w:t>投标文件</w:t>
      </w:r>
      <w:r>
        <w:rPr>
          <w:rFonts w:hint="eastAsia" w:ascii="宋体" w:hAnsi="宋体" w:eastAsia="宋体" w:cs="宋体"/>
          <w:color w:val="auto"/>
          <w:kern w:val="2"/>
          <w:sz w:val="21"/>
        </w:rPr>
        <w:t>；</w:t>
      </w:r>
    </w:p>
    <w:p w14:paraId="42BB42F0">
      <w:pPr>
        <w:pStyle w:val="25"/>
        <w:wordWrap w:val="0"/>
        <w:snapToGrid w:val="0"/>
        <w:spacing w:line="440" w:lineRule="exact"/>
        <w:ind w:firstLine="420" w:firstLineChars="200"/>
        <w:rPr>
          <w:rFonts w:hint="eastAsia" w:ascii="宋体" w:hAnsi="宋体" w:eastAsia="宋体" w:cs="宋体"/>
          <w:color w:val="auto"/>
          <w:kern w:val="2"/>
          <w:sz w:val="21"/>
        </w:rPr>
      </w:pPr>
      <w:r>
        <w:rPr>
          <w:rFonts w:hint="eastAsia" w:ascii="宋体" w:hAnsi="宋体" w:eastAsia="宋体" w:cs="宋体"/>
          <w:color w:val="auto"/>
          <w:kern w:val="2"/>
          <w:sz w:val="21"/>
        </w:rPr>
        <w:t>（</w:t>
      </w:r>
      <w:r>
        <w:rPr>
          <w:rFonts w:hint="eastAsia" w:ascii="宋体" w:hAnsi="宋体" w:eastAsia="宋体" w:cs="宋体"/>
          <w:color w:val="auto"/>
          <w:kern w:val="2"/>
          <w:sz w:val="21"/>
        </w:rPr>
        <w:t>2）</w:t>
      </w:r>
      <w:r>
        <w:rPr>
          <w:rFonts w:hint="eastAsia" w:ascii="宋体" w:hAnsi="宋体" w:eastAsia="宋体" w:cs="宋体"/>
          <w:color w:val="auto"/>
          <w:kern w:val="2"/>
          <w:sz w:val="21"/>
        </w:rPr>
        <w:t>投标人</w:t>
      </w:r>
      <w:r>
        <w:rPr>
          <w:rFonts w:hint="eastAsia" w:ascii="宋体" w:hAnsi="宋体" w:eastAsia="宋体" w:cs="宋体"/>
          <w:color w:val="auto"/>
          <w:kern w:val="2"/>
          <w:sz w:val="21"/>
        </w:rPr>
        <w:t>按照采购人或者采购代理机构的授意撤换、修改投标文件或者</w:t>
      </w:r>
      <w:r>
        <w:rPr>
          <w:rFonts w:hint="eastAsia" w:ascii="宋体" w:hAnsi="宋体" w:eastAsia="宋体" w:cs="宋体"/>
          <w:color w:val="auto"/>
          <w:kern w:val="2"/>
          <w:sz w:val="21"/>
        </w:rPr>
        <w:t>投标文件</w:t>
      </w:r>
      <w:r>
        <w:rPr>
          <w:rFonts w:hint="eastAsia" w:ascii="宋体" w:hAnsi="宋体" w:eastAsia="宋体" w:cs="宋体"/>
          <w:color w:val="auto"/>
          <w:kern w:val="2"/>
          <w:sz w:val="21"/>
        </w:rPr>
        <w:t>；</w:t>
      </w:r>
    </w:p>
    <w:p w14:paraId="2503D96A">
      <w:pPr>
        <w:pStyle w:val="25"/>
        <w:wordWrap w:val="0"/>
        <w:snapToGrid w:val="0"/>
        <w:spacing w:line="440" w:lineRule="exact"/>
        <w:ind w:firstLine="420" w:firstLineChars="200"/>
        <w:rPr>
          <w:rFonts w:hint="eastAsia" w:ascii="宋体" w:hAnsi="宋体" w:eastAsia="宋体" w:cs="宋体"/>
          <w:color w:val="auto"/>
          <w:kern w:val="2"/>
          <w:sz w:val="21"/>
        </w:rPr>
      </w:pPr>
      <w:r>
        <w:rPr>
          <w:rFonts w:hint="eastAsia" w:ascii="宋体" w:hAnsi="宋体" w:eastAsia="宋体" w:cs="宋体"/>
          <w:color w:val="auto"/>
          <w:kern w:val="2"/>
          <w:sz w:val="21"/>
        </w:rPr>
        <w:t>（</w:t>
      </w:r>
      <w:r>
        <w:rPr>
          <w:rFonts w:hint="eastAsia" w:ascii="宋体" w:hAnsi="宋体" w:eastAsia="宋体" w:cs="宋体"/>
          <w:color w:val="auto"/>
          <w:kern w:val="2"/>
          <w:sz w:val="21"/>
        </w:rPr>
        <w:t>3）</w:t>
      </w:r>
      <w:r>
        <w:rPr>
          <w:rFonts w:hint="eastAsia" w:ascii="宋体" w:hAnsi="宋体" w:eastAsia="宋体" w:cs="宋体"/>
          <w:color w:val="auto"/>
          <w:kern w:val="2"/>
          <w:sz w:val="21"/>
        </w:rPr>
        <w:t>投标人</w:t>
      </w:r>
      <w:r>
        <w:rPr>
          <w:rFonts w:hint="eastAsia" w:ascii="宋体" w:hAnsi="宋体" w:eastAsia="宋体" w:cs="宋体"/>
          <w:color w:val="auto"/>
          <w:kern w:val="2"/>
          <w:sz w:val="21"/>
        </w:rPr>
        <w:t>之间协商报价、技术方案等投标文件或者</w:t>
      </w:r>
      <w:r>
        <w:rPr>
          <w:rFonts w:hint="eastAsia" w:ascii="宋体" w:hAnsi="宋体" w:eastAsia="宋体" w:cs="宋体"/>
          <w:color w:val="auto"/>
          <w:kern w:val="2"/>
          <w:sz w:val="21"/>
        </w:rPr>
        <w:t>投标文件</w:t>
      </w:r>
      <w:r>
        <w:rPr>
          <w:rFonts w:hint="eastAsia" w:ascii="宋体" w:hAnsi="宋体" w:eastAsia="宋体" w:cs="宋体"/>
          <w:color w:val="auto"/>
          <w:kern w:val="2"/>
          <w:sz w:val="21"/>
        </w:rPr>
        <w:t>的实质性内容；</w:t>
      </w:r>
    </w:p>
    <w:p w14:paraId="1FB88463">
      <w:pPr>
        <w:pStyle w:val="25"/>
        <w:wordWrap w:val="0"/>
        <w:snapToGrid w:val="0"/>
        <w:spacing w:line="440" w:lineRule="exact"/>
        <w:ind w:firstLine="420" w:firstLineChars="200"/>
        <w:rPr>
          <w:rFonts w:hint="eastAsia" w:ascii="宋体" w:hAnsi="宋体" w:eastAsia="宋体" w:cs="宋体"/>
          <w:color w:val="auto"/>
          <w:kern w:val="2"/>
          <w:sz w:val="21"/>
        </w:rPr>
      </w:pPr>
      <w:r>
        <w:rPr>
          <w:rFonts w:hint="eastAsia" w:ascii="宋体" w:hAnsi="宋体" w:eastAsia="宋体" w:cs="宋体"/>
          <w:color w:val="auto"/>
          <w:kern w:val="2"/>
          <w:sz w:val="21"/>
        </w:rPr>
        <w:t>（</w:t>
      </w:r>
      <w:r>
        <w:rPr>
          <w:rFonts w:hint="eastAsia" w:ascii="宋体" w:hAnsi="宋体" w:eastAsia="宋体" w:cs="宋体"/>
          <w:color w:val="auto"/>
          <w:kern w:val="2"/>
          <w:sz w:val="21"/>
        </w:rPr>
        <w:t>4）属于同一集团、协会、商会等组织成员的</w:t>
      </w:r>
      <w:r>
        <w:rPr>
          <w:rFonts w:hint="eastAsia" w:ascii="宋体" w:hAnsi="宋体" w:eastAsia="宋体" w:cs="宋体"/>
          <w:color w:val="auto"/>
          <w:kern w:val="2"/>
          <w:sz w:val="21"/>
        </w:rPr>
        <w:t>投标人</w:t>
      </w:r>
      <w:r>
        <w:rPr>
          <w:rFonts w:hint="eastAsia" w:ascii="宋体" w:hAnsi="宋体" w:eastAsia="宋体" w:cs="宋体"/>
          <w:color w:val="auto"/>
          <w:kern w:val="2"/>
          <w:sz w:val="21"/>
        </w:rPr>
        <w:t>按照该组织要求协同参加政府采购活动；</w:t>
      </w:r>
    </w:p>
    <w:p w14:paraId="04BB8B62">
      <w:pPr>
        <w:pStyle w:val="25"/>
        <w:wordWrap w:val="0"/>
        <w:snapToGrid w:val="0"/>
        <w:spacing w:line="440" w:lineRule="exact"/>
        <w:ind w:firstLine="420" w:firstLineChars="200"/>
        <w:rPr>
          <w:rFonts w:hint="eastAsia" w:ascii="宋体" w:hAnsi="宋体" w:eastAsia="宋体" w:cs="宋体"/>
          <w:color w:val="auto"/>
          <w:kern w:val="2"/>
          <w:sz w:val="21"/>
        </w:rPr>
      </w:pPr>
      <w:r>
        <w:rPr>
          <w:rFonts w:hint="eastAsia" w:ascii="宋体" w:hAnsi="宋体" w:eastAsia="宋体" w:cs="宋体"/>
          <w:color w:val="auto"/>
          <w:kern w:val="2"/>
          <w:sz w:val="21"/>
        </w:rPr>
        <w:t>（</w:t>
      </w:r>
      <w:r>
        <w:rPr>
          <w:rFonts w:hint="eastAsia" w:ascii="宋体" w:hAnsi="宋体" w:eastAsia="宋体" w:cs="宋体"/>
          <w:color w:val="auto"/>
          <w:kern w:val="2"/>
          <w:sz w:val="21"/>
        </w:rPr>
        <w:t>5）</w:t>
      </w:r>
      <w:r>
        <w:rPr>
          <w:rFonts w:hint="eastAsia" w:ascii="宋体" w:hAnsi="宋体" w:eastAsia="宋体" w:cs="宋体"/>
          <w:color w:val="auto"/>
          <w:kern w:val="2"/>
          <w:sz w:val="21"/>
        </w:rPr>
        <w:t>投标人</w:t>
      </w:r>
      <w:r>
        <w:rPr>
          <w:rFonts w:hint="eastAsia" w:ascii="宋体" w:hAnsi="宋体" w:eastAsia="宋体" w:cs="宋体"/>
          <w:color w:val="auto"/>
          <w:kern w:val="2"/>
          <w:sz w:val="21"/>
        </w:rPr>
        <w:t>之间事先约定一致抬高或者压低投标报价，或者在招标项目中事先约定轮流以高价位或者低价位中标，或者事先约定由某一特定</w:t>
      </w:r>
      <w:r>
        <w:rPr>
          <w:rFonts w:hint="eastAsia" w:ascii="宋体" w:hAnsi="宋体" w:eastAsia="宋体" w:cs="宋体"/>
          <w:color w:val="auto"/>
          <w:kern w:val="2"/>
          <w:sz w:val="21"/>
        </w:rPr>
        <w:t>投标人</w:t>
      </w:r>
      <w:r>
        <w:rPr>
          <w:rFonts w:hint="eastAsia" w:ascii="宋体" w:hAnsi="宋体" w:eastAsia="宋体" w:cs="宋体"/>
          <w:color w:val="auto"/>
          <w:kern w:val="2"/>
          <w:sz w:val="21"/>
        </w:rPr>
        <w:t>中标，然后再参加投标；</w:t>
      </w:r>
    </w:p>
    <w:p w14:paraId="29DED1AB">
      <w:pPr>
        <w:pStyle w:val="25"/>
        <w:wordWrap w:val="0"/>
        <w:snapToGrid w:val="0"/>
        <w:spacing w:line="440" w:lineRule="exact"/>
        <w:ind w:firstLine="420" w:firstLineChars="200"/>
        <w:rPr>
          <w:rFonts w:hint="eastAsia" w:ascii="宋体" w:hAnsi="宋体" w:eastAsia="宋体" w:cs="宋体"/>
          <w:color w:val="auto"/>
          <w:kern w:val="2"/>
          <w:sz w:val="21"/>
        </w:rPr>
      </w:pPr>
      <w:r>
        <w:rPr>
          <w:rFonts w:hint="eastAsia" w:ascii="宋体" w:hAnsi="宋体" w:eastAsia="宋体" w:cs="宋体"/>
          <w:color w:val="auto"/>
          <w:kern w:val="2"/>
          <w:sz w:val="21"/>
        </w:rPr>
        <w:t>（</w:t>
      </w:r>
      <w:r>
        <w:rPr>
          <w:rFonts w:hint="eastAsia" w:ascii="宋体" w:hAnsi="宋体" w:eastAsia="宋体" w:cs="宋体"/>
          <w:color w:val="auto"/>
          <w:kern w:val="2"/>
          <w:sz w:val="21"/>
        </w:rPr>
        <w:t>6）</w:t>
      </w:r>
      <w:r>
        <w:rPr>
          <w:rFonts w:hint="eastAsia" w:ascii="宋体" w:hAnsi="宋体" w:eastAsia="宋体" w:cs="宋体"/>
          <w:color w:val="auto"/>
          <w:kern w:val="2"/>
          <w:sz w:val="21"/>
        </w:rPr>
        <w:t>投标人</w:t>
      </w:r>
      <w:r>
        <w:rPr>
          <w:rFonts w:hint="eastAsia" w:ascii="宋体" w:hAnsi="宋体" w:eastAsia="宋体" w:cs="宋体"/>
          <w:color w:val="auto"/>
          <w:kern w:val="2"/>
          <w:sz w:val="21"/>
        </w:rPr>
        <w:t>之间商定部分</w:t>
      </w:r>
      <w:r>
        <w:rPr>
          <w:rFonts w:hint="eastAsia" w:ascii="宋体" w:hAnsi="宋体" w:eastAsia="宋体" w:cs="宋体"/>
          <w:color w:val="auto"/>
          <w:kern w:val="2"/>
          <w:sz w:val="21"/>
        </w:rPr>
        <w:t>投标人</w:t>
      </w:r>
      <w:r>
        <w:rPr>
          <w:rFonts w:hint="eastAsia" w:ascii="宋体" w:hAnsi="宋体" w:eastAsia="宋体" w:cs="宋体"/>
          <w:color w:val="auto"/>
          <w:kern w:val="2"/>
          <w:sz w:val="21"/>
        </w:rPr>
        <w:t>放弃参加政府采购活动或者放弃中标；</w:t>
      </w:r>
    </w:p>
    <w:p w14:paraId="641E6742">
      <w:pPr>
        <w:pStyle w:val="25"/>
        <w:wordWrap w:val="0"/>
        <w:snapToGrid w:val="0"/>
        <w:spacing w:line="440" w:lineRule="exact"/>
        <w:ind w:firstLine="420" w:firstLineChars="200"/>
        <w:rPr>
          <w:rFonts w:hint="eastAsia" w:ascii="宋体" w:hAnsi="宋体" w:eastAsia="宋体" w:cs="宋体"/>
          <w:color w:val="auto"/>
          <w:kern w:val="2"/>
          <w:sz w:val="21"/>
        </w:rPr>
      </w:pPr>
      <w:r>
        <w:rPr>
          <w:rFonts w:hint="eastAsia" w:ascii="宋体" w:hAnsi="宋体" w:eastAsia="宋体" w:cs="宋体"/>
          <w:color w:val="auto"/>
          <w:kern w:val="2"/>
          <w:sz w:val="21"/>
        </w:rPr>
        <w:t>（</w:t>
      </w:r>
      <w:r>
        <w:rPr>
          <w:rFonts w:hint="eastAsia" w:ascii="宋体" w:hAnsi="宋体" w:eastAsia="宋体" w:cs="宋体"/>
          <w:color w:val="auto"/>
          <w:kern w:val="2"/>
          <w:sz w:val="21"/>
        </w:rPr>
        <w:t>7）</w:t>
      </w:r>
      <w:r>
        <w:rPr>
          <w:rFonts w:hint="eastAsia" w:ascii="宋体" w:hAnsi="宋体" w:eastAsia="宋体" w:cs="宋体"/>
          <w:color w:val="auto"/>
          <w:kern w:val="2"/>
          <w:sz w:val="21"/>
        </w:rPr>
        <w:t>投标人</w:t>
      </w:r>
      <w:r>
        <w:rPr>
          <w:rFonts w:hint="eastAsia" w:ascii="宋体" w:hAnsi="宋体" w:eastAsia="宋体" w:cs="宋体"/>
          <w:color w:val="auto"/>
          <w:kern w:val="2"/>
          <w:sz w:val="21"/>
        </w:rPr>
        <w:t>与采购人或者采购代理机构之间、</w:t>
      </w:r>
      <w:r>
        <w:rPr>
          <w:rFonts w:hint="eastAsia" w:ascii="宋体" w:hAnsi="宋体" w:eastAsia="宋体" w:cs="宋体"/>
          <w:color w:val="auto"/>
          <w:kern w:val="2"/>
          <w:sz w:val="21"/>
        </w:rPr>
        <w:t>投标人</w:t>
      </w:r>
      <w:r>
        <w:rPr>
          <w:rFonts w:hint="eastAsia" w:ascii="宋体" w:hAnsi="宋体" w:eastAsia="宋体" w:cs="宋体"/>
          <w:color w:val="auto"/>
          <w:kern w:val="2"/>
          <w:sz w:val="21"/>
        </w:rPr>
        <w:t>相互之间，为谋求特定</w:t>
      </w:r>
      <w:r>
        <w:rPr>
          <w:rFonts w:hint="eastAsia" w:ascii="宋体" w:hAnsi="宋体" w:eastAsia="宋体" w:cs="宋体"/>
          <w:color w:val="auto"/>
          <w:kern w:val="2"/>
          <w:sz w:val="21"/>
        </w:rPr>
        <w:t>投标人</w:t>
      </w:r>
      <w:r>
        <w:rPr>
          <w:rFonts w:hint="eastAsia" w:ascii="宋体" w:hAnsi="宋体" w:eastAsia="宋体" w:cs="宋体"/>
          <w:color w:val="auto"/>
          <w:kern w:val="2"/>
          <w:sz w:val="21"/>
        </w:rPr>
        <w:t>中标或者排斥其他</w:t>
      </w:r>
      <w:r>
        <w:rPr>
          <w:rFonts w:hint="eastAsia" w:ascii="宋体" w:hAnsi="宋体" w:eastAsia="宋体" w:cs="宋体"/>
          <w:color w:val="auto"/>
          <w:kern w:val="2"/>
          <w:sz w:val="21"/>
        </w:rPr>
        <w:t>投标人</w:t>
      </w:r>
      <w:r>
        <w:rPr>
          <w:rFonts w:hint="eastAsia" w:ascii="宋体" w:hAnsi="宋体" w:eastAsia="宋体" w:cs="宋体"/>
          <w:color w:val="auto"/>
          <w:kern w:val="2"/>
          <w:sz w:val="21"/>
        </w:rPr>
        <w:t>的其他串通行为。</w:t>
      </w:r>
    </w:p>
    <w:p w14:paraId="7D6C3C85">
      <w:pPr>
        <w:spacing w:before="120" w:beforeLines="50" w:line="360" w:lineRule="auto"/>
        <w:jc w:val="center"/>
        <w:outlineLvl w:val="1"/>
        <w:rPr>
          <w:rFonts w:hint="eastAsia" w:ascii="宋体" w:hAnsi="宋体" w:eastAsia="宋体" w:cs="宋体"/>
          <w:b/>
          <w:color w:val="auto"/>
          <w:sz w:val="24"/>
          <w:szCs w:val="32"/>
        </w:rPr>
      </w:pPr>
      <w:bookmarkStart w:id="182" w:name="_Toc254970534"/>
      <w:bookmarkStart w:id="183" w:name="_Toc254970675"/>
      <w:r>
        <w:rPr>
          <w:rFonts w:hint="eastAsia" w:ascii="宋体" w:hAnsi="宋体" w:eastAsia="宋体" w:cs="宋体"/>
          <w:b/>
          <w:color w:val="auto"/>
          <w:sz w:val="24"/>
          <w:szCs w:val="32"/>
        </w:rPr>
        <w:t>二、招标文件</w:t>
      </w:r>
      <w:bookmarkEnd w:id="182"/>
      <w:bookmarkEnd w:id="183"/>
    </w:p>
    <w:p w14:paraId="3C5AA996">
      <w:pPr>
        <w:pStyle w:val="6"/>
        <w:keepNext w:val="0"/>
        <w:keepLines w:val="0"/>
        <w:numPr>
          <w:ilvl w:val="4"/>
          <w:numId w:val="4"/>
        </w:numPr>
        <w:wordWrap w:val="0"/>
        <w:spacing w:before="0" w:after="0" w:line="440" w:lineRule="exact"/>
        <w:ind w:firstLine="200"/>
        <w:rPr>
          <w:rFonts w:hint="eastAsia" w:ascii="宋体" w:hAnsi="宋体" w:eastAsia="宋体" w:cs="宋体"/>
          <w:color w:val="auto"/>
          <w:sz w:val="21"/>
          <w:szCs w:val="21"/>
        </w:rPr>
      </w:pPr>
      <w:r>
        <w:rPr>
          <w:rFonts w:hint="eastAsia" w:ascii="宋体" w:hAnsi="宋体" w:eastAsia="宋体" w:cs="宋体"/>
          <w:color w:val="auto"/>
          <w:sz w:val="21"/>
          <w:szCs w:val="21"/>
        </w:rPr>
        <w:t>10.招标文件的组成</w:t>
      </w:r>
    </w:p>
    <w:p w14:paraId="7D28AF4A">
      <w:pPr>
        <w:wordWrap w:val="0"/>
        <w:snapToGrid w:val="0"/>
        <w:spacing w:line="440" w:lineRule="exact"/>
        <w:ind w:firstLine="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1）招标公告；</w:t>
      </w:r>
    </w:p>
    <w:p w14:paraId="1CD994E2">
      <w:pPr>
        <w:wordWrap w:val="0"/>
        <w:snapToGrid w:val="0"/>
        <w:spacing w:line="440" w:lineRule="exact"/>
        <w:ind w:firstLine="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2）采购需求；</w:t>
      </w:r>
    </w:p>
    <w:p w14:paraId="62316443">
      <w:pPr>
        <w:wordWrap w:val="0"/>
        <w:snapToGrid w:val="0"/>
        <w:spacing w:line="440" w:lineRule="exact"/>
        <w:ind w:firstLine="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3）投标人须知；</w:t>
      </w:r>
    </w:p>
    <w:p w14:paraId="1BE04718">
      <w:pPr>
        <w:wordWrap w:val="0"/>
        <w:snapToGrid w:val="0"/>
        <w:spacing w:line="440" w:lineRule="exact"/>
        <w:ind w:firstLine="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4）评标方法及评标标准；</w:t>
      </w:r>
    </w:p>
    <w:p w14:paraId="061414A7">
      <w:pPr>
        <w:wordWrap w:val="0"/>
        <w:snapToGrid w:val="0"/>
        <w:spacing w:line="440" w:lineRule="exact"/>
        <w:ind w:firstLine="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5）拟签订的合同文本；</w:t>
      </w:r>
    </w:p>
    <w:p w14:paraId="4B68EF3C">
      <w:pPr>
        <w:wordWrap w:val="0"/>
        <w:snapToGrid w:val="0"/>
        <w:spacing w:line="440" w:lineRule="exact"/>
        <w:ind w:firstLine="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6）投标文件格式。</w:t>
      </w:r>
    </w:p>
    <w:p w14:paraId="13AE9CDA">
      <w:pPr>
        <w:pStyle w:val="6"/>
        <w:keepNext w:val="0"/>
        <w:keepLines w:val="0"/>
        <w:numPr>
          <w:ilvl w:val="4"/>
          <w:numId w:val="4"/>
        </w:numPr>
        <w:wordWrap w:val="0"/>
        <w:spacing w:before="0" w:after="0" w:line="440" w:lineRule="exact"/>
        <w:ind w:firstLine="200"/>
        <w:rPr>
          <w:rFonts w:hint="eastAsia" w:ascii="宋体" w:hAnsi="宋体" w:eastAsia="宋体" w:cs="宋体"/>
          <w:color w:val="auto"/>
          <w:sz w:val="21"/>
          <w:szCs w:val="21"/>
        </w:rPr>
      </w:pPr>
      <w:r>
        <w:rPr>
          <w:rFonts w:hint="eastAsia" w:ascii="宋体" w:hAnsi="宋体" w:eastAsia="宋体" w:cs="宋体"/>
          <w:color w:val="auto"/>
          <w:sz w:val="21"/>
          <w:szCs w:val="21"/>
        </w:rPr>
        <w:t>11.招标文件的澄清、修改、现场考察和答疑会</w:t>
      </w:r>
    </w:p>
    <w:p w14:paraId="2CC418AF">
      <w:pPr>
        <w:pStyle w:val="6"/>
        <w:keepNext w:val="0"/>
        <w:keepLines w:val="0"/>
        <w:numPr>
          <w:ilvl w:val="4"/>
          <w:numId w:val="4"/>
        </w:numPr>
        <w:wordWrap w:val="0"/>
        <w:spacing w:before="0" w:after="0" w:line="440" w:lineRule="exact"/>
        <w:ind w:firstLine="315" w:firstLineChars="150"/>
        <w:rPr>
          <w:rFonts w:hint="eastAsia" w:ascii="宋体" w:hAnsi="宋体" w:eastAsia="宋体" w:cs="宋体"/>
          <w:b w:val="0"/>
          <w:color w:val="auto"/>
          <w:sz w:val="21"/>
          <w:szCs w:val="21"/>
        </w:rPr>
      </w:pPr>
      <w:r>
        <w:rPr>
          <w:rFonts w:hint="eastAsia" w:ascii="宋体" w:hAnsi="宋体" w:eastAsia="宋体" w:cs="宋体"/>
          <w:b w:val="0"/>
          <w:color w:val="auto"/>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79F3C1F8">
      <w:pPr>
        <w:pStyle w:val="25"/>
        <w:wordWrap w:val="0"/>
        <w:snapToGrid w:val="0"/>
        <w:spacing w:line="440" w:lineRule="exact"/>
        <w:ind w:firstLine="420" w:firstLineChars="200"/>
        <w:rPr>
          <w:rFonts w:hint="eastAsia" w:ascii="宋体" w:hAnsi="宋体" w:eastAsia="宋体" w:cs="宋体"/>
          <w:color w:val="auto"/>
          <w:sz w:val="21"/>
        </w:rPr>
      </w:pPr>
      <w:r>
        <w:rPr>
          <w:rFonts w:hint="eastAsia" w:ascii="宋体" w:hAnsi="宋体" w:eastAsia="宋体" w:cs="宋体"/>
          <w:color w:val="auto"/>
          <w:sz w:val="21"/>
        </w:rPr>
        <w:t>澄清或者修改的内容可能影响投标文件编制的，采购人或者采购代理机构应当在投标截止时间至少</w:t>
      </w:r>
      <w:r>
        <w:rPr>
          <w:rFonts w:hint="eastAsia" w:ascii="宋体" w:hAnsi="宋体" w:eastAsia="宋体" w:cs="宋体"/>
          <w:color w:val="auto"/>
          <w:sz w:val="21"/>
        </w:rPr>
        <w:t>15日前，以书面形式通知</w:t>
      </w:r>
      <w:r>
        <w:rPr>
          <w:rFonts w:hint="eastAsia" w:ascii="宋体" w:hAnsi="宋体" w:eastAsia="宋体" w:cs="宋体"/>
          <w:color w:val="auto"/>
        </w:rPr>
        <w:t>(</w:t>
      </w:r>
      <w:r>
        <w:rPr>
          <w:rFonts w:hint="eastAsia" w:ascii="宋体" w:hAnsi="宋体" w:eastAsia="宋体" w:cs="宋体"/>
          <w:color w:val="auto"/>
        </w:rPr>
        <w:t>在“投标人须知前附表”规定的政府采购信息发布媒体上发布更正公告或平台短信通知</w:t>
      </w:r>
      <w:r>
        <w:rPr>
          <w:rFonts w:hint="eastAsia" w:ascii="宋体" w:hAnsi="宋体" w:eastAsia="宋体" w:cs="宋体"/>
          <w:color w:val="auto"/>
        </w:rPr>
        <w:t>)</w:t>
      </w:r>
      <w:r>
        <w:rPr>
          <w:rFonts w:hint="eastAsia" w:ascii="宋体" w:hAnsi="宋体" w:eastAsia="宋体" w:cs="宋体"/>
          <w:color w:val="auto"/>
          <w:sz w:val="21"/>
        </w:rPr>
        <w:t>所有获取招标文件的潜在投标人；不足</w:t>
      </w:r>
      <w:r>
        <w:rPr>
          <w:rFonts w:hint="eastAsia" w:ascii="宋体" w:hAnsi="宋体" w:eastAsia="宋体" w:cs="宋体"/>
          <w:color w:val="auto"/>
          <w:sz w:val="21"/>
        </w:rPr>
        <w:t>15日的，采购人或者采购代理机构应当顺延提交投标文件的截止时间。</w:t>
      </w:r>
    </w:p>
    <w:p w14:paraId="1765437A">
      <w:pPr>
        <w:pStyle w:val="25"/>
        <w:wordWrap w:val="0"/>
        <w:snapToGrid w:val="0"/>
        <w:spacing w:line="440" w:lineRule="exact"/>
        <w:ind w:firstLine="420" w:firstLineChars="200"/>
        <w:rPr>
          <w:rFonts w:hint="eastAsia" w:ascii="宋体" w:hAnsi="宋体" w:eastAsia="宋体" w:cs="宋体"/>
          <w:color w:val="auto"/>
          <w:sz w:val="21"/>
        </w:rPr>
      </w:pPr>
      <w:r>
        <w:rPr>
          <w:rFonts w:hint="eastAsia" w:ascii="宋体" w:hAnsi="宋体" w:eastAsia="宋体" w:cs="宋体"/>
          <w:color w:val="auto"/>
          <w:sz w:val="21"/>
        </w:rPr>
        <w:t>11.2</w:t>
      </w:r>
      <w:bookmarkStart w:id="184" w:name="_Hlk53134511"/>
      <w:r>
        <w:rPr>
          <w:rFonts w:hint="eastAsia" w:ascii="宋体" w:hAnsi="宋体" w:eastAsia="宋体" w:cs="宋体"/>
          <w:color w:val="auto"/>
          <w:sz w:val="21"/>
        </w:rPr>
        <w:t>采购人或者采购代理机构可以在招标文件提供期限截止后，组织已获取招标文件的潜在投标人现场考察或者召开开标前答疑会，具体详见“投标人须知前附表”。</w:t>
      </w:r>
      <w:bookmarkEnd w:id="184"/>
    </w:p>
    <w:p w14:paraId="22DA66E1">
      <w:pPr>
        <w:spacing w:before="120" w:beforeLines="50" w:line="360" w:lineRule="auto"/>
        <w:jc w:val="center"/>
        <w:outlineLvl w:val="1"/>
        <w:rPr>
          <w:rFonts w:hint="eastAsia" w:ascii="宋体" w:hAnsi="宋体" w:eastAsia="宋体" w:cs="宋体"/>
          <w:b/>
          <w:color w:val="auto"/>
          <w:sz w:val="24"/>
          <w:szCs w:val="32"/>
        </w:rPr>
      </w:pPr>
      <w:bookmarkStart w:id="185" w:name="_Toc254970676"/>
      <w:bookmarkStart w:id="186" w:name="_Toc254970535"/>
      <w:r>
        <w:rPr>
          <w:rFonts w:hint="eastAsia" w:ascii="宋体" w:hAnsi="宋体" w:eastAsia="宋体" w:cs="宋体"/>
          <w:b/>
          <w:color w:val="auto"/>
          <w:sz w:val="24"/>
          <w:szCs w:val="32"/>
        </w:rPr>
        <w:t>三、投标文件的编制</w:t>
      </w:r>
      <w:bookmarkEnd w:id="185"/>
      <w:bookmarkEnd w:id="186"/>
    </w:p>
    <w:p w14:paraId="2FA98B20">
      <w:pPr>
        <w:pStyle w:val="6"/>
        <w:keepNext w:val="0"/>
        <w:keepLines w:val="0"/>
        <w:wordWrap w:val="0"/>
        <w:spacing w:before="0" w:after="0" w:line="440" w:lineRule="exact"/>
        <w:ind w:firstLine="422" w:firstLineChars="200"/>
        <w:rPr>
          <w:rFonts w:hint="eastAsia" w:ascii="宋体" w:hAnsi="宋体" w:eastAsia="宋体" w:cs="宋体"/>
          <w:color w:val="auto"/>
          <w:sz w:val="21"/>
          <w:szCs w:val="21"/>
        </w:rPr>
      </w:pPr>
      <w:bookmarkStart w:id="187" w:name="_Toc254970677"/>
      <w:bookmarkStart w:id="188" w:name="_Toc254970536"/>
      <w:r>
        <w:rPr>
          <w:rFonts w:hint="eastAsia" w:ascii="宋体" w:hAnsi="宋体" w:eastAsia="宋体" w:cs="宋体"/>
          <w:color w:val="auto"/>
          <w:sz w:val="21"/>
          <w:szCs w:val="21"/>
        </w:rPr>
        <w:t>12.投标文件的编制原则</w:t>
      </w:r>
    </w:p>
    <w:p w14:paraId="164B05BF">
      <w:pPr>
        <w:wordWrap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12.1投标人必须按照招标文件的要求编制投标文件。投标文件必须对招标文件提出的要求和条件作出明确响应。</w:t>
      </w:r>
    </w:p>
    <w:p w14:paraId="57282FED">
      <w:pPr>
        <w:wordWrap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3BC37223">
      <w:pPr>
        <w:pStyle w:val="6"/>
        <w:keepNext w:val="0"/>
        <w:keepLines w:val="0"/>
        <w:wordWrap w:val="0"/>
        <w:spacing w:before="0" w:after="0" w:line="440" w:lineRule="exact"/>
        <w:ind w:firstLine="422" w:firstLineChars="200"/>
        <w:rPr>
          <w:rFonts w:hint="eastAsia" w:ascii="宋体" w:hAnsi="宋体" w:eastAsia="宋体" w:cs="宋体"/>
          <w:color w:val="auto"/>
          <w:sz w:val="21"/>
          <w:szCs w:val="21"/>
        </w:rPr>
      </w:pPr>
      <w:r>
        <w:rPr>
          <w:rFonts w:hint="eastAsia" w:ascii="宋体" w:hAnsi="宋体" w:eastAsia="宋体" w:cs="宋体"/>
          <w:color w:val="auto"/>
          <w:sz w:val="21"/>
          <w:szCs w:val="21"/>
        </w:rPr>
        <w:t>13.投标文件的组成</w:t>
      </w:r>
    </w:p>
    <w:p w14:paraId="53FE76CA">
      <w:pPr>
        <w:wordWrap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投标文件由报价文件、资格证明文件、商务文件、技术文件四部分组成。</w:t>
      </w:r>
    </w:p>
    <w:p w14:paraId="6420078F">
      <w:pPr>
        <w:pStyle w:val="6"/>
        <w:keepNext w:val="0"/>
        <w:keepLines w:val="0"/>
        <w:wordWrap w:val="0"/>
        <w:spacing w:before="0" w:after="0" w:line="44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w:t>
      </w:r>
      <w:r>
        <w:rPr>
          <w:rFonts w:hint="eastAsia" w:ascii="宋体" w:hAnsi="宋体" w:eastAsia="宋体" w:cs="宋体"/>
          <w:b w:val="0"/>
          <w:color w:val="auto"/>
          <w:sz w:val="21"/>
          <w:szCs w:val="21"/>
        </w:rPr>
        <w:t>1）报价文件：具体材料见“投标人须知前附表”。</w:t>
      </w:r>
    </w:p>
    <w:p w14:paraId="3BCEF388">
      <w:pPr>
        <w:pStyle w:val="6"/>
        <w:keepNext w:val="0"/>
        <w:keepLines w:val="0"/>
        <w:wordWrap w:val="0"/>
        <w:spacing w:before="0" w:after="0" w:line="44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w:t>
      </w:r>
      <w:r>
        <w:rPr>
          <w:rFonts w:hint="eastAsia" w:ascii="宋体" w:hAnsi="宋体" w:eastAsia="宋体" w:cs="宋体"/>
          <w:b w:val="0"/>
          <w:color w:val="auto"/>
          <w:sz w:val="21"/>
          <w:szCs w:val="21"/>
        </w:rPr>
        <w:t>2）资格证明文件：具体材料见“投标人须知前附表”。</w:t>
      </w:r>
    </w:p>
    <w:p w14:paraId="0D61888B">
      <w:pPr>
        <w:pStyle w:val="6"/>
        <w:keepNext w:val="0"/>
        <w:keepLines w:val="0"/>
        <w:wordWrap w:val="0"/>
        <w:spacing w:before="0" w:after="0" w:line="44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w:t>
      </w:r>
      <w:r>
        <w:rPr>
          <w:rFonts w:hint="eastAsia" w:ascii="宋体" w:hAnsi="宋体" w:eastAsia="宋体" w:cs="宋体"/>
          <w:b w:val="0"/>
          <w:color w:val="auto"/>
          <w:sz w:val="21"/>
          <w:szCs w:val="21"/>
        </w:rPr>
        <w:t>3）商务文件：具体材料见“投标人须知前附表”。</w:t>
      </w:r>
    </w:p>
    <w:p w14:paraId="71BFF1B1">
      <w:pPr>
        <w:pStyle w:val="6"/>
        <w:keepNext w:val="0"/>
        <w:keepLines w:val="0"/>
        <w:wordWrap w:val="0"/>
        <w:spacing w:before="0" w:after="0" w:line="44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w:t>
      </w:r>
      <w:r>
        <w:rPr>
          <w:rFonts w:hint="eastAsia" w:ascii="宋体" w:hAnsi="宋体" w:eastAsia="宋体" w:cs="宋体"/>
          <w:b w:val="0"/>
          <w:color w:val="auto"/>
          <w:sz w:val="21"/>
          <w:szCs w:val="21"/>
        </w:rPr>
        <w:t>4）技术文件：具体材料见“投标人须知前附表”。</w:t>
      </w:r>
    </w:p>
    <w:p w14:paraId="6BA81227">
      <w:pPr>
        <w:pStyle w:val="6"/>
        <w:keepNext w:val="0"/>
        <w:keepLines w:val="0"/>
        <w:wordWrap w:val="0"/>
        <w:spacing w:before="0" w:after="0" w:line="44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投标文件电子版：具体要求见投标文件编制。</w:t>
      </w:r>
    </w:p>
    <w:p w14:paraId="29CD4FF1">
      <w:pPr>
        <w:pStyle w:val="6"/>
        <w:keepNext w:val="0"/>
        <w:keepLines w:val="0"/>
        <w:wordWrap w:val="0"/>
        <w:spacing w:before="0" w:after="0" w:line="440" w:lineRule="exact"/>
        <w:ind w:firstLine="422" w:firstLineChars="200"/>
        <w:rPr>
          <w:rFonts w:hint="eastAsia" w:ascii="宋体" w:hAnsi="宋体" w:eastAsia="宋体" w:cs="宋体"/>
          <w:color w:val="auto"/>
          <w:sz w:val="21"/>
          <w:szCs w:val="21"/>
        </w:rPr>
      </w:pPr>
      <w:r>
        <w:rPr>
          <w:rFonts w:hint="eastAsia" w:ascii="宋体" w:hAnsi="宋体" w:eastAsia="宋体" w:cs="宋体"/>
          <w:color w:val="auto"/>
          <w:sz w:val="21"/>
          <w:szCs w:val="21"/>
        </w:rPr>
        <w:t>14.投标文件的语言及计量</w:t>
      </w:r>
    </w:p>
    <w:p w14:paraId="44808813">
      <w:pPr>
        <w:pStyle w:val="25"/>
        <w:wordWrap w:val="0"/>
        <w:snapToGrid w:val="0"/>
        <w:spacing w:line="440" w:lineRule="exact"/>
        <w:ind w:firstLine="420" w:firstLineChars="200"/>
        <w:outlineLvl w:val="3"/>
        <w:rPr>
          <w:rFonts w:hint="eastAsia" w:ascii="宋体" w:hAnsi="宋体" w:eastAsia="宋体" w:cs="宋体"/>
          <w:color w:val="auto"/>
          <w:sz w:val="21"/>
        </w:rPr>
      </w:pPr>
      <w:r>
        <w:rPr>
          <w:rFonts w:hint="eastAsia" w:ascii="宋体" w:hAnsi="宋体" w:eastAsia="宋体" w:cs="宋体"/>
          <w:color w:val="auto"/>
          <w:sz w:val="21"/>
        </w:rPr>
        <w:t>14.1语言文字</w:t>
      </w:r>
    </w:p>
    <w:p w14:paraId="11F10B3C">
      <w:pPr>
        <w:pStyle w:val="6"/>
        <w:keepNext w:val="0"/>
        <w:keepLines w:val="0"/>
        <w:wordWrap w:val="0"/>
        <w:spacing w:before="0" w:after="0" w:line="44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6748B777">
      <w:pPr>
        <w:pStyle w:val="6"/>
        <w:keepNext w:val="0"/>
        <w:keepLines w:val="0"/>
        <w:wordWrap w:val="0"/>
        <w:spacing w:before="0" w:after="0" w:line="44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14.2投标计量单位</w:t>
      </w:r>
    </w:p>
    <w:p w14:paraId="6BB332AF">
      <w:pPr>
        <w:pStyle w:val="6"/>
        <w:keepNext w:val="0"/>
        <w:keepLines w:val="0"/>
        <w:wordWrap w:val="0"/>
        <w:spacing w:before="0" w:after="0" w:line="44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招标文件已有明确规定的，使用招标文件规定的计量单位；招标文件没有规定的，应采用中华人民共和国法定计量单位，货币种类为人民币，否则视同未响应。</w:t>
      </w:r>
    </w:p>
    <w:p w14:paraId="54AC5756">
      <w:pPr>
        <w:pStyle w:val="6"/>
        <w:keepNext w:val="0"/>
        <w:keepLines w:val="0"/>
        <w:wordWrap w:val="0"/>
        <w:spacing w:before="0" w:after="0" w:line="440" w:lineRule="exact"/>
        <w:ind w:firstLine="422"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15.投标的风险</w:t>
      </w:r>
    </w:p>
    <w:p w14:paraId="729F7081">
      <w:pPr>
        <w:pStyle w:val="25"/>
        <w:wordWrap w:val="0"/>
        <w:snapToGrid w:val="0"/>
        <w:spacing w:line="440" w:lineRule="exact"/>
        <w:ind w:firstLine="420" w:firstLineChars="200"/>
        <w:rPr>
          <w:rFonts w:hint="eastAsia" w:ascii="宋体" w:hAnsi="宋体" w:eastAsia="宋体" w:cs="宋体"/>
          <w:color w:val="auto"/>
          <w:sz w:val="21"/>
        </w:rPr>
      </w:pPr>
      <w:r>
        <w:rPr>
          <w:rFonts w:hint="eastAsia" w:ascii="宋体" w:hAnsi="宋体" w:eastAsia="宋体" w:cs="宋体"/>
          <w:color w:val="auto"/>
          <w:sz w:val="21"/>
        </w:rPr>
        <w:t>各投标人在编制投标文件时请按照招标文件规定的格式进行，混乱的编排导致投标文件被误读或评标委员会查找不到有效文件是投标人的风险。</w:t>
      </w:r>
    </w:p>
    <w:p w14:paraId="69AC0523">
      <w:pPr>
        <w:pStyle w:val="25"/>
        <w:wordWrap w:val="0"/>
        <w:snapToGrid w:val="0"/>
        <w:spacing w:line="440" w:lineRule="exact"/>
        <w:ind w:firstLine="420" w:firstLineChars="200"/>
        <w:rPr>
          <w:rFonts w:hint="eastAsia" w:ascii="宋体" w:hAnsi="宋体" w:eastAsia="宋体" w:cs="宋体"/>
          <w:color w:val="auto"/>
          <w:sz w:val="21"/>
        </w:rPr>
      </w:pPr>
      <w:r>
        <w:rPr>
          <w:rFonts w:hint="eastAsia" w:ascii="宋体" w:hAnsi="宋体" w:eastAsia="宋体" w:cs="宋体"/>
          <w:color w:val="auto"/>
          <w:sz w:val="21"/>
        </w:rPr>
        <w:t>投标文件</w:t>
      </w:r>
      <w:bookmarkStart w:id="189" w:name="OLE_LINK109"/>
      <w:bookmarkStart w:id="190" w:name="OLE_LINK110"/>
      <w:r>
        <w:rPr>
          <w:rFonts w:hint="eastAsia" w:ascii="宋体" w:hAnsi="宋体" w:eastAsia="宋体" w:cs="宋体"/>
          <w:color w:val="auto"/>
          <w:sz w:val="21"/>
        </w:rPr>
        <w:t>未</w:t>
      </w:r>
      <w:bookmarkEnd w:id="189"/>
      <w:bookmarkEnd w:id="190"/>
      <w:r>
        <w:rPr>
          <w:rFonts w:hint="eastAsia" w:ascii="宋体" w:hAnsi="宋体" w:eastAsia="宋体" w:cs="宋体"/>
          <w:color w:val="auto"/>
          <w:sz w:val="21"/>
        </w:rPr>
        <w:t>按规定的格式编制的、</w:t>
      </w:r>
      <w:r>
        <w:rPr>
          <w:rFonts w:hint="eastAsia" w:ascii="宋体" w:hAnsi="宋体" w:eastAsia="宋体" w:cs="宋体"/>
          <w:color w:val="auto"/>
        </w:rPr>
        <w:t>未</w:t>
      </w:r>
      <w:r>
        <w:rPr>
          <w:rFonts w:hint="eastAsia" w:ascii="宋体" w:hAnsi="宋体" w:eastAsia="宋体" w:cs="宋体"/>
          <w:color w:val="auto"/>
          <w:sz w:val="21"/>
        </w:rPr>
        <w:t>按照招标文件要求提供全部资料、</w:t>
      </w:r>
      <w:r>
        <w:rPr>
          <w:rFonts w:hint="eastAsia" w:ascii="宋体" w:hAnsi="宋体" w:eastAsia="宋体" w:cs="宋体"/>
          <w:color w:val="auto"/>
        </w:rPr>
        <w:t>未</w:t>
      </w:r>
      <w:r>
        <w:rPr>
          <w:rFonts w:hint="eastAsia" w:ascii="宋体" w:hAnsi="宋体" w:eastAsia="宋体" w:cs="宋体"/>
          <w:color w:val="auto"/>
          <w:sz w:val="21"/>
        </w:rPr>
        <w:t>对招标文件作出实质性响应，投标无效；</w:t>
      </w:r>
    </w:p>
    <w:p w14:paraId="074E0EB9">
      <w:pPr>
        <w:pStyle w:val="6"/>
        <w:keepNext w:val="0"/>
        <w:keepLines w:val="0"/>
        <w:wordWrap w:val="0"/>
        <w:spacing w:before="0" w:after="0" w:line="440" w:lineRule="exact"/>
        <w:ind w:firstLine="422"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16.投标报价</w:t>
      </w:r>
    </w:p>
    <w:p w14:paraId="58977E1C">
      <w:pPr>
        <w:pStyle w:val="25"/>
        <w:wordWrap w:val="0"/>
        <w:snapToGrid w:val="0"/>
        <w:spacing w:line="440" w:lineRule="exact"/>
        <w:ind w:firstLine="420" w:firstLineChars="200"/>
        <w:rPr>
          <w:rFonts w:hint="eastAsia" w:ascii="宋体" w:hAnsi="宋体" w:eastAsia="宋体" w:cs="宋体"/>
          <w:color w:val="auto"/>
          <w:sz w:val="21"/>
        </w:rPr>
      </w:pPr>
      <w:r>
        <w:rPr>
          <w:rFonts w:hint="eastAsia" w:ascii="宋体" w:hAnsi="宋体" w:eastAsia="宋体" w:cs="宋体"/>
          <w:color w:val="auto"/>
          <w:sz w:val="21"/>
        </w:rPr>
        <w:t>16.1投标报价应按“第六章　投标文件格式”中“开标一览表”格式填写。</w:t>
      </w:r>
    </w:p>
    <w:p w14:paraId="46CDED23">
      <w:pPr>
        <w:pStyle w:val="25"/>
        <w:wordWrap w:val="0"/>
        <w:snapToGrid w:val="0"/>
        <w:spacing w:line="440" w:lineRule="exact"/>
        <w:ind w:firstLine="420" w:firstLineChars="200"/>
        <w:outlineLvl w:val="3"/>
        <w:rPr>
          <w:rFonts w:hint="eastAsia" w:ascii="宋体" w:hAnsi="宋体" w:eastAsia="宋体" w:cs="宋体"/>
          <w:color w:val="auto"/>
          <w:sz w:val="21"/>
        </w:rPr>
      </w:pPr>
      <w:r>
        <w:rPr>
          <w:rFonts w:hint="eastAsia" w:ascii="宋体" w:hAnsi="宋体" w:eastAsia="宋体" w:cs="宋体"/>
          <w:color w:val="auto"/>
          <w:sz w:val="21"/>
        </w:rPr>
        <w:t>16.2投标报价具体包括内容详见“投标人须知前附表”。</w:t>
      </w:r>
    </w:p>
    <w:p w14:paraId="650F1FF2">
      <w:pPr>
        <w:pStyle w:val="6"/>
        <w:keepNext w:val="0"/>
        <w:keepLines w:val="0"/>
        <w:wordWrap w:val="0"/>
        <w:spacing w:before="0" w:after="0" w:line="44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16.3投标人必须就所投每个分标的全部内容分别作完整唯一总价报价，不得存在漏项报价；投标人必须就所投分标的单项内容作唯一报价。</w:t>
      </w:r>
    </w:p>
    <w:p w14:paraId="104964A7">
      <w:pPr>
        <w:pStyle w:val="6"/>
        <w:keepNext w:val="0"/>
        <w:keepLines w:val="0"/>
        <w:wordWrap w:val="0"/>
        <w:spacing w:before="0" w:after="0" w:line="440" w:lineRule="exact"/>
        <w:ind w:firstLine="422" w:firstLineChars="200"/>
        <w:rPr>
          <w:rFonts w:hint="eastAsia" w:ascii="宋体" w:hAnsi="宋体" w:eastAsia="宋体" w:cs="宋体"/>
          <w:color w:val="auto"/>
          <w:sz w:val="21"/>
          <w:szCs w:val="21"/>
        </w:rPr>
      </w:pPr>
      <w:r>
        <w:rPr>
          <w:rFonts w:hint="eastAsia" w:ascii="宋体" w:hAnsi="宋体" w:eastAsia="宋体" w:cs="宋体"/>
          <w:color w:val="auto"/>
          <w:sz w:val="21"/>
          <w:szCs w:val="21"/>
        </w:rPr>
        <w:t>17.投标有效期</w:t>
      </w:r>
    </w:p>
    <w:p w14:paraId="6AA7170F">
      <w:pPr>
        <w:pStyle w:val="6"/>
        <w:keepNext w:val="0"/>
        <w:keepLines w:val="0"/>
        <w:wordWrap w:val="0"/>
        <w:spacing w:before="0" w:after="0" w:line="44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17.1投标有效期是指为保证采购人有足够的时间在开标后完成评标、定标、合同签订等工作而要求投标人提交的投标文件在一定时间内保持有效的期限。</w:t>
      </w:r>
    </w:p>
    <w:p w14:paraId="272C83BA">
      <w:pPr>
        <w:pStyle w:val="6"/>
        <w:keepNext w:val="0"/>
        <w:keepLines w:val="0"/>
        <w:wordWrap w:val="0"/>
        <w:spacing w:before="0" w:after="0" w:line="44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17.2投标有效期应按规定的期限作出承诺，具体详见“投标人须知前附表”。</w:t>
      </w:r>
    </w:p>
    <w:p w14:paraId="71C631E9">
      <w:pPr>
        <w:pStyle w:val="6"/>
        <w:keepNext w:val="0"/>
        <w:keepLines w:val="0"/>
        <w:wordWrap w:val="0"/>
        <w:spacing w:before="0" w:after="0" w:line="44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17.3投标人的投标文件在投标有效期内均保持有效。</w:t>
      </w:r>
    </w:p>
    <w:p w14:paraId="5B75B273">
      <w:pPr>
        <w:pStyle w:val="6"/>
        <w:keepNext w:val="0"/>
        <w:keepLines w:val="0"/>
        <w:wordWrap w:val="0"/>
        <w:spacing w:before="0" w:after="0" w:line="440" w:lineRule="exact"/>
        <w:ind w:firstLine="422" w:firstLineChars="200"/>
        <w:rPr>
          <w:rFonts w:hint="eastAsia" w:ascii="宋体" w:hAnsi="宋体" w:eastAsia="宋体" w:cs="宋体"/>
          <w:color w:val="auto"/>
          <w:sz w:val="21"/>
          <w:szCs w:val="21"/>
        </w:rPr>
      </w:pPr>
      <w:r>
        <w:rPr>
          <w:rFonts w:hint="eastAsia" w:ascii="宋体" w:hAnsi="宋体" w:eastAsia="宋体" w:cs="宋体"/>
          <w:color w:val="auto"/>
          <w:sz w:val="21"/>
          <w:szCs w:val="21"/>
        </w:rPr>
        <w:t>18.投标保证金</w:t>
      </w:r>
    </w:p>
    <w:p w14:paraId="4D4BDAE4">
      <w:pPr>
        <w:pStyle w:val="6"/>
        <w:keepNext w:val="0"/>
        <w:keepLines w:val="0"/>
        <w:wordWrap w:val="0"/>
        <w:spacing w:before="0" w:after="0" w:line="44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18.1投标人须按“投标人须知前附表”的规定提交投标保证金。</w:t>
      </w:r>
    </w:p>
    <w:p w14:paraId="721932FE">
      <w:pPr>
        <w:pStyle w:val="6"/>
        <w:keepNext w:val="0"/>
        <w:keepLines w:val="0"/>
        <w:wordWrap w:val="0"/>
        <w:spacing w:before="0" w:after="0" w:line="44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18.2投标保证金的退还</w:t>
      </w:r>
    </w:p>
    <w:p w14:paraId="4BC63621">
      <w:pPr>
        <w:pStyle w:val="6"/>
        <w:keepNext w:val="0"/>
        <w:keepLines w:val="0"/>
        <w:wordWrap w:val="0"/>
        <w:spacing w:before="0" w:after="0" w:line="44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未中标人的投标保证金自中标通知书发出之日起5</w:t>
      </w:r>
      <w:r>
        <w:rPr>
          <w:rFonts w:hint="eastAsia" w:ascii="宋体" w:hAnsi="宋体" w:eastAsia="宋体" w:cs="宋体"/>
          <w:b w:val="0"/>
          <w:color w:val="auto"/>
          <w:sz w:val="21"/>
          <w:szCs w:val="21"/>
        </w:rPr>
        <w:t>个工作日内退还；中标人的投标保证金自政府采购合同签订之日起</w:t>
      </w:r>
      <w:r>
        <w:rPr>
          <w:rFonts w:hint="eastAsia" w:ascii="宋体" w:hAnsi="宋体" w:eastAsia="宋体" w:cs="宋体"/>
          <w:b w:val="0"/>
          <w:color w:val="auto"/>
          <w:sz w:val="21"/>
          <w:szCs w:val="21"/>
        </w:rPr>
        <w:t>5</w:t>
      </w:r>
      <w:r>
        <w:rPr>
          <w:rFonts w:hint="eastAsia" w:ascii="宋体" w:hAnsi="宋体" w:eastAsia="宋体" w:cs="宋体"/>
          <w:b w:val="0"/>
          <w:color w:val="auto"/>
          <w:sz w:val="21"/>
          <w:szCs w:val="21"/>
        </w:rPr>
        <w:t>个工作日内退还。</w:t>
      </w:r>
    </w:p>
    <w:p w14:paraId="0E177392">
      <w:pPr>
        <w:pStyle w:val="6"/>
        <w:keepNext w:val="0"/>
        <w:keepLines w:val="0"/>
        <w:wordWrap w:val="0"/>
        <w:spacing w:before="0" w:after="0" w:line="44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18.3除逾期退还投标保证金和终止招标的情形以外，投标保证金不计息。</w:t>
      </w:r>
    </w:p>
    <w:p w14:paraId="34B96AE0">
      <w:pPr>
        <w:pStyle w:val="6"/>
        <w:keepNext w:val="0"/>
        <w:keepLines w:val="0"/>
        <w:wordWrap w:val="0"/>
        <w:spacing w:before="0" w:after="0" w:line="44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18.4投标人有下列情形之一的，投标保证金将不予退还：</w:t>
      </w:r>
    </w:p>
    <w:p w14:paraId="4845EE1D">
      <w:pPr>
        <w:wordWrap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1）投标人在投标有效期内撤销投标文件的；</w:t>
      </w:r>
    </w:p>
    <w:p w14:paraId="3DCCA71A">
      <w:pPr>
        <w:wordWrap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2）未按规定提交履约保证金的；</w:t>
      </w:r>
    </w:p>
    <w:p w14:paraId="6F335EBE">
      <w:pPr>
        <w:wordWrap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3）投标人在投标过程中弄虚作假，提供虚假材料的；</w:t>
      </w:r>
    </w:p>
    <w:p w14:paraId="20C6981C">
      <w:pPr>
        <w:wordWrap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4）中标人无正当理由不与采购人签订合同的；</w:t>
      </w:r>
    </w:p>
    <w:p w14:paraId="7DC63206">
      <w:pPr>
        <w:wordWrap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5）投标人出现本章第9.2、9.3情形的；</w:t>
      </w:r>
    </w:p>
    <w:p w14:paraId="377A17CD">
      <w:pPr>
        <w:wordWrap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6）法律法规规定的其他情形。</w:t>
      </w:r>
    </w:p>
    <w:p w14:paraId="61EFE49E">
      <w:pPr>
        <w:pStyle w:val="6"/>
        <w:keepNext w:val="0"/>
        <w:keepLines w:val="0"/>
        <w:wordWrap w:val="0"/>
        <w:spacing w:before="0" w:after="0" w:line="440" w:lineRule="exact"/>
        <w:ind w:firstLine="422" w:firstLineChars="200"/>
        <w:rPr>
          <w:rFonts w:hint="eastAsia" w:ascii="宋体" w:hAnsi="宋体" w:eastAsia="宋体" w:cs="宋体"/>
          <w:b w:val="0"/>
          <w:color w:val="auto"/>
          <w:sz w:val="21"/>
          <w:szCs w:val="21"/>
        </w:rPr>
      </w:pPr>
      <w:r>
        <w:rPr>
          <w:rFonts w:hint="eastAsia" w:ascii="宋体" w:hAnsi="宋体" w:eastAsia="宋体" w:cs="宋体"/>
          <w:color w:val="auto"/>
          <w:sz w:val="21"/>
          <w:szCs w:val="21"/>
        </w:rPr>
        <w:t>19.投标文件的编制</w:t>
      </w:r>
    </w:p>
    <w:p w14:paraId="4B2276BC">
      <w:pPr>
        <w:pStyle w:val="6"/>
        <w:keepNext w:val="0"/>
        <w:keepLines w:val="0"/>
        <w:wordWrap w:val="0"/>
        <w:spacing w:before="0" w:after="0" w:line="44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p>
    <w:p w14:paraId="0431F560">
      <w:pPr>
        <w:pStyle w:val="6"/>
        <w:keepNext w:val="0"/>
        <w:keepLines w:val="0"/>
        <w:wordWrap w:val="0"/>
        <w:spacing w:before="0" w:after="0" w:line="44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19.2为确保网上操作合法、有效和安全，投标人应当在投标截止时间前完成在</w:t>
      </w:r>
      <w:r>
        <w:rPr>
          <w:rFonts w:hint="eastAsia" w:ascii="宋体" w:hAnsi="宋体" w:eastAsia="宋体" w:cs="宋体"/>
          <w:b w:val="0"/>
          <w:color w:val="auto"/>
          <w:sz w:val="21"/>
          <w:szCs w:val="21"/>
        </w:rPr>
        <w:t>广西政府采购云平台</w:t>
      </w:r>
      <w:r>
        <w:rPr>
          <w:rFonts w:hint="eastAsia" w:ascii="宋体" w:hAnsi="宋体" w:eastAsia="宋体" w:cs="宋体"/>
          <w:b w:val="0"/>
          <w:color w:val="auto"/>
          <w:sz w:val="21"/>
          <w:szCs w:val="21"/>
        </w:rPr>
        <w:t>的身份认证，确保在电子投标过程中能够对相关数据电文进行加密和使用电子签章。</w:t>
      </w:r>
    </w:p>
    <w:p w14:paraId="0B9F06A5">
      <w:pPr>
        <w:pStyle w:val="6"/>
        <w:keepNext w:val="0"/>
        <w:keepLines w:val="0"/>
        <w:wordWrap w:val="0"/>
        <w:spacing w:before="0" w:after="0" w:line="44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19.3投标文件须由投标人在规定位置签字（或者电子签名）、盖章（具体以投标人须知前附表或投标文件格式规定为准），</w:t>
      </w:r>
      <w:r>
        <w:rPr>
          <w:rFonts w:hint="eastAsia" w:ascii="宋体" w:hAnsi="宋体" w:eastAsia="宋体" w:cs="宋体"/>
          <w:bCs/>
          <w:color w:val="auto"/>
          <w:sz w:val="21"/>
          <w:szCs w:val="21"/>
        </w:rPr>
        <w:t>否则按无效投标处理</w:t>
      </w:r>
      <w:r>
        <w:rPr>
          <w:rFonts w:hint="eastAsia" w:ascii="宋体" w:hAnsi="宋体" w:eastAsia="宋体" w:cs="宋体"/>
          <w:b w:val="0"/>
          <w:color w:val="auto"/>
          <w:sz w:val="21"/>
          <w:szCs w:val="21"/>
        </w:rPr>
        <w:t>。骑缝盖公章不视为在规定位置盖章。</w:t>
      </w:r>
    </w:p>
    <w:p w14:paraId="6ECEA634">
      <w:pPr>
        <w:pStyle w:val="6"/>
        <w:keepNext w:val="0"/>
        <w:keepLines w:val="0"/>
        <w:wordWrap w:val="0"/>
        <w:spacing w:before="0" w:after="0" w:line="44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19.4投标文件中标注的投标人名称应与主体资格证明（如营业执照或者事业单位法人证书或者执业许可证或者登记证书等）及公章一致，并与</w:t>
      </w:r>
      <w:r>
        <w:rPr>
          <w:rFonts w:hint="eastAsia" w:ascii="宋体" w:hAnsi="宋体" w:eastAsia="宋体" w:cs="宋体"/>
          <w:b w:val="0"/>
          <w:color w:val="auto"/>
          <w:sz w:val="21"/>
          <w:szCs w:val="21"/>
        </w:rPr>
        <w:t>广西政府采购云平台</w:t>
      </w:r>
      <w:r>
        <w:rPr>
          <w:rFonts w:hint="eastAsia" w:ascii="宋体" w:hAnsi="宋体" w:eastAsia="宋体" w:cs="宋体"/>
          <w:b w:val="0"/>
          <w:color w:val="auto"/>
          <w:sz w:val="21"/>
          <w:szCs w:val="21"/>
        </w:rPr>
        <w:t>中获取招标文件的投标人名称一致，投标人为自然人的，标注的投标人名称应与身份证姓名及签名一致，</w:t>
      </w:r>
      <w:r>
        <w:rPr>
          <w:rFonts w:hint="eastAsia" w:ascii="宋体" w:hAnsi="宋体" w:eastAsia="宋体" w:cs="宋体"/>
          <w:color w:val="auto"/>
          <w:sz w:val="21"/>
          <w:szCs w:val="21"/>
        </w:rPr>
        <w:t>否则按无效投标处理</w:t>
      </w:r>
      <w:r>
        <w:rPr>
          <w:rFonts w:hint="eastAsia" w:ascii="宋体" w:hAnsi="宋体" w:eastAsia="宋体" w:cs="宋体"/>
          <w:b w:val="0"/>
          <w:color w:val="auto"/>
          <w:sz w:val="21"/>
          <w:szCs w:val="21"/>
        </w:rPr>
        <w:t>。</w:t>
      </w:r>
    </w:p>
    <w:p w14:paraId="08CB16EC">
      <w:pPr>
        <w:pStyle w:val="6"/>
        <w:keepNext w:val="0"/>
        <w:keepLines w:val="0"/>
        <w:wordWrap w:val="0"/>
        <w:spacing w:before="0" w:after="0" w:line="44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723B234A">
      <w:pPr>
        <w:pStyle w:val="6"/>
        <w:keepNext w:val="0"/>
        <w:keepLines w:val="0"/>
        <w:wordWrap w:val="0"/>
        <w:spacing w:before="0" w:after="0" w:line="44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 xml:space="preserve">19.6 </w:t>
      </w:r>
      <w:r>
        <w:rPr>
          <w:rFonts w:hint="eastAsia" w:ascii="宋体" w:hAnsi="宋体" w:eastAsia="宋体" w:cs="宋体"/>
          <w:b w:val="0"/>
          <w:color w:val="auto"/>
          <w:sz w:val="21"/>
          <w:szCs w:val="21"/>
        </w:rPr>
        <w:t>对招标文件的实质性要求和条件作出响应是指投标人必须对招标文件中标注为实质性要求和条件的服务内容及要求、商务条款及其它内容作出满足或者优于原要求和条件的承诺。</w:t>
      </w:r>
    </w:p>
    <w:p w14:paraId="61C5B9A1">
      <w:pPr>
        <w:pStyle w:val="6"/>
        <w:keepNext w:val="0"/>
        <w:keepLines w:val="0"/>
        <w:wordWrap w:val="0"/>
        <w:spacing w:before="0" w:after="0" w:line="44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19.7本项目为全流程电子化项目，异常情况见“第二节</w:t>
      </w:r>
      <w:r>
        <w:rPr>
          <w:rFonts w:hint="eastAsia" w:ascii="宋体" w:hAnsi="宋体" w:eastAsia="宋体" w:cs="宋体"/>
          <w:b w:val="0"/>
          <w:color w:val="auto"/>
          <w:sz w:val="21"/>
          <w:szCs w:val="21"/>
        </w:rPr>
        <w:t>投标人须知正文”中开标程序。</w:t>
      </w:r>
    </w:p>
    <w:p w14:paraId="796F371E">
      <w:pPr>
        <w:pStyle w:val="6"/>
        <w:keepNext w:val="0"/>
        <w:keepLines w:val="0"/>
        <w:wordWrap w:val="0"/>
        <w:spacing w:before="0" w:after="0" w:line="440" w:lineRule="exact"/>
        <w:ind w:firstLine="422" w:firstLineChars="200"/>
        <w:rPr>
          <w:rFonts w:hint="eastAsia" w:ascii="宋体" w:hAnsi="宋体" w:eastAsia="宋体" w:cs="宋体"/>
          <w:color w:val="auto"/>
          <w:szCs w:val="21"/>
        </w:rPr>
      </w:pPr>
      <w:r>
        <w:rPr>
          <w:rFonts w:hint="eastAsia" w:ascii="宋体" w:hAnsi="宋体" w:eastAsia="宋体" w:cs="宋体"/>
          <w:color w:val="auto"/>
          <w:sz w:val="21"/>
          <w:szCs w:val="21"/>
        </w:rPr>
        <w:t>20.电子备份投标文件</w:t>
      </w:r>
    </w:p>
    <w:p w14:paraId="3AA26DBD">
      <w:pPr>
        <w:wordWrap w:val="0"/>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电子备份投标文件是指通过“政采云电子投标客户端”在线编制生成且后缀名为“</w:t>
      </w:r>
      <w:r>
        <w:rPr>
          <w:rFonts w:hint="eastAsia" w:ascii="宋体" w:hAnsi="宋体" w:eastAsia="宋体" w:cs="宋体"/>
          <w:bCs/>
          <w:color w:val="auto"/>
          <w:szCs w:val="21"/>
        </w:rPr>
        <w:t>bfbs”的文件，是否接受电子备份投标文件详见在“投标人须知前附表”。</w:t>
      </w:r>
    </w:p>
    <w:p w14:paraId="0458BE9C">
      <w:pPr>
        <w:pStyle w:val="6"/>
        <w:keepNext w:val="0"/>
        <w:keepLines w:val="0"/>
        <w:wordWrap w:val="0"/>
        <w:spacing w:before="0" w:after="0" w:line="440" w:lineRule="exact"/>
        <w:ind w:firstLine="422"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21.投标文件的提交</w:t>
      </w:r>
    </w:p>
    <w:p w14:paraId="5B951D12">
      <w:pPr>
        <w:pStyle w:val="127"/>
        <w:wordWrap w:val="0"/>
        <w:spacing w:before="0" w:line="44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21.1投标人必须在“投标人须知前附表”规定的投标文件接收时间和投标地点提交电子版投标文件。电子投标文件应在制作完成后，在投标截止时间前通过有效数字证书（CA</w:t>
      </w:r>
      <w:r>
        <w:rPr>
          <w:rFonts w:hint="eastAsia" w:ascii="宋体" w:hAnsi="宋体" w:eastAsia="宋体" w:cs="宋体"/>
          <w:color w:val="auto"/>
          <w:sz w:val="21"/>
          <w:szCs w:val="21"/>
        </w:rPr>
        <w:t>认证锁）进行电子签章、加密，然后通过网络将加密的电子投标文件递交至广西政府采购云平台。</w:t>
      </w:r>
    </w:p>
    <w:p w14:paraId="02891070">
      <w:pPr>
        <w:pStyle w:val="127"/>
        <w:wordWrap w:val="0"/>
        <w:spacing w:before="0" w:line="440" w:lineRule="exact"/>
        <w:ind w:firstLine="422"/>
        <w:rPr>
          <w:rFonts w:hint="eastAsia" w:ascii="宋体" w:hAnsi="宋体" w:eastAsia="宋体" w:cs="宋体"/>
          <w:b/>
          <w:color w:val="auto"/>
          <w:sz w:val="21"/>
          <w:szCs w:val="21"/>
        </w:rPr>
      </w:pPr>
      <w:r>
        <w:rPr>
          <w:rFonts w:hint="eastAsia" w:ascii="宋体" w:hAnsi="宋体" w:eastAsia="宋体" w:cs="宋体"/>
          <w:b/>
          <w:color w:val="auto"/>
          <w:sz w:val="21"/>
          <w:szCs w:val="21"/>
        </w:rPr>
        <w:t>21.2未在规定时间内提交或者未按照招标文件要求加密的电子投标文件，</w:t>
      </w:r>
      <w:r>
        <w:rPr>
          <w:rFonts w:hint="eastAsia" w:ascii="宋体" w:hAnsi="宋体" w:eastAsia="宋体" w:cs="宋体"/>
          <w:b/>
          <w:color w:val="auto"/>
          <w:sz w:val="21"/>
          <w:szCs w:val="21"/>
        </w:rPr>
        <w:t>广西政府采购云平台</w:t>
      </w:r>
      <w:r>
        <w:rPr>
          <w:rFonts w:hint="eastAsia" w:ascii="宋体" w:hAnsi="宋体" w:eastAsia="宋体" w:cs="宋体"/>
          <w:b/>
          <w:color w:val="auto"/>
          <w:sz w:val="21"/>
          <w:szCs w:val="21"/>
        </w:rPr>
        <w:t>将拒收。</w:t>
      </w:r>
    </w:p>
    <w:p w14:paraId="5F484472">
      <w:pPr>
        <w:pStyle w:val="127"/>
        <w:wordWrap w:val="0"/>
        <w:spacing w:before="0" w:line="44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 xml:space="preserve">21.3电子版投标文件提交方式见“招标公告”中“四、提交投标文件截止时间、开标时间和地点” </w:t>
      </w:r>
      <w:r>
        <w:rPr>
          <w:rFonts w:hint="eastAsia" w:ascii="宋体" w:hAnsi="宋体" w:eastAsia="宋体" w:cs="宋体"/>
          <w:color w:val="auto"/>
          <w:sz w:val="21"/>
          <w:szCs w:val="21"/>
        </w:rPr>
        <w:t>。</w:t>
      </w:r>
    </w:p>
    <w:p w14:paraId="7276A640">
      <w:pPr>
        <w:pStyle w:val="6"/>
        <w:keepNext w:val="0"/>
        <w:keepLines w:val="0"/>
        <w:wordWrap w:val="0"/>
        <w:snapToGrid w:val="0"/>
        <w:spacing w:before="0" w:after="0" w:line="440" w:lineRule="exact"/>
        <w:ind w:firstLine="422" w:firstLineChars="200"/>
        <w:rPr>
          <w:rFonts w:hint="eastAsia" w:ascii="宋体" w:hAnsi="宋体" w:eastAsia="宋体" w:cs="宋体"/>
          <w:color w:val="auto"/>
          <w:szCs w:val="21"/>
        </w:rPr>
      </w:pPr>
      <w:r>
        <w:rPr>
          <w:rFonts w:hint="eastAsia" w:ascii="宋体" w:hAnsi="宋体" w:eastAsia="宋体" w:cs="宋体"/>
          <w:color w:val="auto"/>
          <w:sz w:val="21"/>
          <w:szCs w:val="21"/>
        </w:rPr>
        <w:t xml:space="preserve">22. </w:t>
      </w:r>
      <w:r>
        <w:rPr>
          <w:rFonts w:hint="eastAsia" w:ascii="宋体" w:hAnsi="宋体" w:eastAsia="宋体" w:cs="宋体"/>
          <w:color w:val="auto"/>
          <w:sz w:val="21"/>
          <w:szCs w:val="21"/>
        </w:rPr>
        <w:t>投标文件的补充、修改、撤回与退回</w:t>
      </w:r>
    </w:p>
    <w:p w14:paraId="4CD4D81D">
      <w:pPr>
        <w:pStyle w:val="127"/>
        <w:wordWrap w:val="0"/>
        <w:spacing w:before="0" w:line="44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22.1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eastAsia="宋体" w:cs="宋体"/>
          <w:color w:val="auto"/>
          <w:sz w:val="21"/>
          <w:szCs w:val="21"/>
        </w:rPr>
        <w:t>广西政府采购云平台</w:t>
      </w:r>
      <w:r>
        <w:rPr>
          <w:rFonts w:hint="eastAsia" w:ascii="宋体" w:hAnsi="宋体" w:eastAsia="宋体" w:cs="宋体"/>
          <w:color w:val="auto"/>
          <w:sz w:val="21"/>
          <w:szCs w:val="21"/>
        </w:rPr>
        <w:t>将予以拒收。（补充、修改或者撤回方式可登陆</w:t>
      </w:r>
      <w:r>
        <w:rPr>
          <w:rFonts w:hint="eastAsia" w:ascii="宋体" w:hAnsi="宋体" w:eastAsia="宋体" w:cs="宋体"/>
          <w:color w:val="auto"/>
          <w:sz w:val="21"/>
          <w:szCs w:val="21"/>
        </w:rPr>
        <w:t>广西政府采购云平台</w:t>
      </w:r>
      <w:r>
        <w:rPr>
          <w:rFonts w:hint="eastAsia" w:ascii="宋体" w:hAnsi="宋体" w:eastAsia="宋体" w:cs="宋体"/>
          <w:color w:val="auto"/>
          <w:sz w:val="21"/>
          <w:szCs w:val="21"/>
        </w:rPr>
        <w:t>，进入“服务中心”中查看“电子投标文件制作与投送教程”）</w:t>
      </w:r>
    </w:p>
    <w:p w14:paraId="1C73BBE9">
      <w:pPr>
        <w:pStyle w:val="127"/>
        <w:wordWrap w:val="0"/>
        <w:spacing w:before="0" w:line="44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22.2</w:t>
      </w:r>
      <w:r>
        <w:rPr>
          <w:rFonts w:hint="eastAsia" w:ascii="宋体" w:hAnsi="宋体" w:eastAsia="宋体" w:cs="宋体"/>
          <w:color w:val="auto"/>
          <w:sz w:val="21"/>
          <w:szCs w:val="21"/>
        </w:rPr>
        <w:t>广西政府采购云平台</w:t>
      </w:r>
      <w:r>
        <w:rPr>
          <w:rFonts w:hint="eastAsia" w:ascii="宋体" w:hAnsi="宋体" w:eastAsia="宋体" w:cs="宋体"/>
          <w:color w:val="auto"/>
          <w:sz w:val="21"/>
          <w:szCs w:val="21"/>
        </w:rPr>
        <w:t>收到投标文件后向</w:t>
      </w:r>
      <w:r>
        <w:rPr>
          <w:rFonts w:hint="eastAsia" w:ascii="宋体" w:hAnsi="宋体" w:eastAsia="宋体" w:cs="宋体"/>
          <w:color w:val="auto"/>
          <w:sz w:val="21"/>
          <w:szCs w:val="21"/>
        </w:rPr>
        <w:t>投标人</w:t>
      </w:r>
      <w:r>
        <w:rPr>
          <w:rFonts w:hint="eastAsia" w:ascii="宋体" w:hAnsi="宋体" w:eastAsia="宋体" w:cs="宋体"/>
          <w:color w:val="auto"/>
          <w:sz w:val="21"/>
          <w:szCs w:val="21"/>
        </w:rPr>
        <w:t>发出确认回执通知。在投标截止时间前，除</w:t>
      </w:r>
      <w:r>
        <w:rPr>
          <w:rFonts w:hint="eastAsia" w:ascii="宋体" w:hAnsi="宋体" w:eastAsia="宋体" w:cs="宋体"/>
          <w:color w:val="auto"/>
          <w:sz w:val="21"/>
          <w:szCs w:val="21"/>
        </w:rPr>
        <w:t>投标人</w:t>
      </w:r>
      <w:r>
        <w:rPr>
          <w:rFonts w:hint="eastAsia" w:ascii="宋体" w:hAnsi="宋体" w:eastAsia="宋体" w:cs="宋体"/>
          <w:color w:val="auto"/>
          <w:sz w:val="21"/>
          <w:szCs w:val="21"/>
        </w:rPr>
        <w:t>补充、修改或者撤回投标文件外，任何单位和个人不得解密或提取投标文件。</w:t>
      </w:r>
    </w:p>
    <w:p w14:paraId="1EFC9849">
      <w:pPr>
        <w:wordWrap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22.3在投标截止时间后，采购人和采购代理机构对已提交的投标文件概不退回。</w:t>
      </w:r>
    </w:p>
    <w:bookmarkEnd w:id="187"/>
    <w:bookmarkEnd w:id="188"/>
    <w:p w14:paraId="5B6AFCAA">
      <w:pPr>
        <w:spacing w:before="120" w:beforeLines="50" w:line="360" w:lineRule="auto"/>
        <w:jc w:val="center"/>
        <w:outlineLvl w:val="1"/>
        <w:rPr>
          <w:rFonts w:hint="eastAsia" w:ascii="宋体" w:hAnsi="宋体" w:eastAsia="宋体" w:cs="宋体"/>
          <w:b/>
          <w:color w:val="auto"/>
          <w:sz w:val="24"/>
          <w:szCs w:val="32"/>
        </w:rPr>
      </w:pPr>
      <w:bookmarkStart w:id="191" w:name="_Toc254970544"/>
      <w:bookmarkStart w:id="192" w:name="_Toc254970685"/>
      <w:r>
        <w:rPr>
          <w:rFonts w:hint="eastAsia" w:ascii="宋体" w:hAnsi="宋体" w:eastAsia="宋体" w:cs="宋体"/>
          <w:b/>
          <w:color w:val="auto"/>
          <w:sz w:val="24"/>
          <w:szCs w:val="32"/>
        </w:rPr>
        <w:t>四、开标</w:t>
      </w:r>
      <w:bookmarkEnd w:id="191"/>
      <w:bookmarkEnd w:id="192"/>
    </w:p>
    <w:p w14:paraId="326BDEEC">
      <w:pPr>
        <w:pStyle w:val="6"/>
        <w:keepNext w:val="0"/>
        <w:keepLines w:val="0"/>
        <w:wordWrap w:val="0"/>
        <w:snapToGrid w:val="0"/>
        <w:spacing w:before="0" w:after="0" w:line="440" w:lineRule="exact"/>
        <w:ind w:firstLine="422" w:firstLineChars="200"/>
        <w:rPr>
          <w:rFonts w:hint="eastAsia" w:ascii="宋体" w:hAnsi="宋体" w:eastAsia="宋体" w:cs="宋体"/>
          <w:color w:val="auto"/>
          <w:sz w:val="21"/>
          <w:szCs w:val="21"/>
        </w:rPr>
      </w:pPr>
      <w:bookmarkStart w:id="193" w:name="_23.开标时间和地点"/>
      <w:bookmarkEnd w:id="193"/>
      <w:r>
        <w:rPr>
          <w:rFonts w:hint="eastAsia" w:ascii="宋体" w:hAnsi="宋体" w:eastAsia="宋体" w:cs="宋体"/>
          <w:color w:val="auto"/>
          <w:sz w:val="21"/>
          <w:szCs w:val="21"/>
        </w:rPr>
        <w:t>23.开标时间和地点</w:t>
      </w:r>
    </w:p>
    <w:p w14:paraId="6F53E36A">
      <w:pPr>
        <w:wordWrap w:val="0"/>
        <w:spacing w:line="440" w:lineRule="exact"/>
        <w:ind w:firstLine="420" w:firstLineChars="200"/>
        <w:outlineLvl w:val="3"/>
        <w:rPr>
          <w:rFonts w:hint="eastAsia" w:ascii="宋体" w:hAnsi="宋体" w:eastAsia="宋体" w:cs="宋体"/>
          <w:bCs/>
          <w:color w:val="auto"/>
          <w:szCs w:val="21"/>
        </w:rPr>
      </w:pPr>
      <w:r>
        <w:rPr>
          <w:rFonts w:hint="eastAsia" w:ascii="宋体" w:hAnsi="宋体" w:eastAsia="宋体" w:cs="宋体"/>
          <w:bCs/>
          <w:color w:val="auto"/>
          <w:szCs w:val="21"/>
        </w:rPr>
        <w:t>23.1开标时间及地点详见“投标人须知前附表”</w:t>
      </w:r>
    </w:p>
    <w:p w14:paraId="004857FE">
      <w:pPr>
        <w:wordWrap w:val="0"/>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23.2如投标人成功解密投标文件，但未在</w:t>
      </w:r>
      <w:r>
        <w:rPr>
          <w:rFonts w:hint="eastAsia" w:ascii="宋体" w:hAnsi="宋体" w:eastAsia="宋体" w:cs="宋体"/>
          <w:color w:val="auto"/>
          <w:szCs w:val="21"/>
        </w:rPr>
        <w:t>广西政府采购云平台</w:t>
      </w:r>
      <w:r>
        <w:rPr>
          <w:rFonts w:hint="eastAsia" w:ascii="宋体" w:hAnsi="宋体" w:eastAsia="宋体" w:cs="宋体"/>
          <w:bCs/>
          <w:color w:val="auto"/>
          <w:szCs w:val="21"/>
        </w:rPr>
        <w:t>电子开标大厅参加开标的，视同认可开标过程和结果，由此产生的后果由投标人自行负责。</w:t>
      </w:r>
    </w:p>
    <w:p w14:paraId="72644FC3">
      <w:pPr>
        <w:pStyle w:val="6"/>
        <w:keepNext w:val="0"/>
        <w:keepLines w:val="0"/>
        <w:wordWrap w:val="0"/>
        <w:snapToGrid w:val="0"/>
        <w:spacing w:before="0" w:after="0" w:line="440" w:lineRule="exact"/>
        <w:ind w:firstLine="422" w:firstLineChars="200"/>
        <w:rPr>
          <w:rFonts w:hint="eastAsia" w:ascii="宋体" w:hAnsi="宋体" w:eastAsia="宋体" w:cs="宋体"/>
          <w:color w:val="auto"/>
          <w:sz w:val="21"/>
          <w:szCs w:val="21"/>
        </w:rPr>
      </w:pPr>
      <w:r>
        <w:rPr>
          <w:rFonts w:hint="eastAsia" w:ascii="宋体" w:hAnsi="宋体" w:eastAsia="宋体" w:cs="宋体"/>
          <w:color w:val="auto"/>
          <w:sz w:val="21"/>
          <w:szCs w:val="21"/>
        </w:rPr>
        <w:t>24.开标程序</w:t>
      </w:r>
    </w:p>
    <w:p w14:paraId="0D54D74B">
      <w:pPr>
        <w:wordWrap w:val="0"/>
        <w:spacing w:line="440" w:lineRule="exact"/>
        <w:ind w:firstLine="420" w:firstLineChars="200"/>
        <w:outlineLvl w:val="3"/>
        <w:rPr>
          <w:rFonts w:hint="eastAsia" w:ascii="宋体" w:hAnsi="宋体" w:eastAsia="宋体" w:cs="宋体"/>
          <w:bCs/>
          <w:color w:val="auto"/>
          <w:szCs w:val="21"/>
        </w:rPr>
      </w:pPr>
      <w:r>
        <w:rPr>
          <w:rFonts w:hint="eastAsia" w:ascii="宋体" w:hAnsi="宋体" w:eastAsia="宋体" w:cs="宋体"/>
          <w:bCs/>
          <w:color w:val="auto"/>
          <w:szCs w:val="21"/>
        </w:rPr>
        <w:t>24.1提交投标文件截止时间止，投标人不足3家的，不得开标。</w:t>
      </w:r>
    </w:p>
    <w:p w14:paraId="0AD405E2">
      <w:pPr>
        <w:wordWrap w:val="0"/>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24.2采购代理机构将按照招标文件规定的时间通过</w:t>
      </w:r>
      <w:r>
        <w:rPr>
          <w:rFonts w:hint="eastAsia" w:ascii="宋体" w:hAnsi="宋体" w:eastAsia="宋体" w:cs="宋体"/>
          <w:color w:val="auto"/>
          <w:szCs w:val="21"/>
        </w:rPr>
        <w:t>广西政府采购云平台</w:t>
      </w:r>
      <w:r>
        <w:rPr>
          <w:rFonts w:hint="eastAsia" w:ascii="宋体" w:hAnsi="宋体" w:eastAsia="宋体" w:cs="宋体"/>
          <w:bCs/>
          <w:color w:val="auto"/>
          <w:szCs w:val="21"/>
        </w:rPr>
        <w:t>组织线上开标活动，所有</w:t>
      </w:r>
      <w:r>
        <w:rPr>
          <w:rFonts w:hint="eastAsia" w:ascii="宋体" w:hAnsi="宋体" w:eastAsia="宋体" w:cs="宋体"/>
          <w:bCs/>
          <w:color w:val="auto"/>
          <w:szCs w:val="21"/>
        </w:rPr>
        <w:t>投标人</w:t>
      </w:r>
      <w:r>
        <w:rPr>
          <w:rFonts w:hint="eastAsia" w:ascii="宋体" w:hAnsi="宋体" w:eastAsia="宋体" w:cs="宋体"/>
          <w:bCs/>
          <w:color w:val="auto"/>
          <w:szCs w:val="21"/>
        </w:rPr>
        <w:t>均应当准时在线参加，投标人因未在线参加开标而导致投标文件无法按时解密等一切后果由投标人自己承担。</w:t>
      </w:r>
    </w:p>
    <w:p w14:paraId="02F253F8">
      <w:pPr>
        <w:wordWrap w:val="0"/>
        <w:spacing w:line="440" w:lineRule="exact"/>
        <w:ind w:firstLine="420" w:firstLineChars="200"/>
        <w:outlineLvl w:val="3"/>
        <w:rPr>
          <w:rFonts w:hint="eastAsia" w:ascii="宋体" w:hAnsi="宋体" w:eastAsia="宋体" w:cs="宋体"/>
          <w:bCs/>
          <w:color w:val="auto"/>
          <w:szCs w:val="21"/>
        </w:rPr>
      </w:pPr>
      <w:r>
        <w:rPr>
          <w:rFonts w:hint="eastAsia" w:ascii="宋体" w:hAnsi="宋体" w:eastAsia="宋体" w:cs="宋体"/>
          <w:bCs/>
          <w:color w:val="auto"/>
          <w:szCs w:val="21"/>
        </w:rPr>
        <w:t>24.3开标程序</w:t>
      </w:r>
    </w:p>
    <w:p w14:paraId="258C12A8">
      <w:pPr>
        <w:wordWrap w:val="0"/>
        <w:spacing w:line="440" w:lineRule="exact"/>
        <w:ind w:firstLine="420" w:firstLineChars="200"/>
        <w:rPr>
          <w:rFonts w:hint="eastAsia" w:ascii="宋体" w:hAnsi="宋体" w:eastAsia="宋体" w:cs="宋体"/>
          <w:color w:val="auto"/>
          <w:szCs w:val="21"/>
        </w:rPr>
      </w:pPr>
      <w:r>
        <w:rPr>
          <w:rFonts w:hint="eastAsia" w:ascii="宋体" w:hAnsi="宋体" w:eastAsia="宋体" w:cs="宋体"/>
          <w:bCs/>
          <w:color w:val="auto"/>
          <w:szCs w:val="21"/>
        </w:rPr>
        <w:t>（</w:t>
      </w:r>
      <w:r>
        <w:rPr>
          <w:rFonts w:hint="eastAsia" w:ascii="宋体" w:hAnsi="宋体" w:eastAsia="宋体" w:cs="宋体"/>
          <w:bCs/>
          <w:color w:val="auto"/>
          <w:szCs w:val="21"/>
        </w:rPr>
        <w:t>1）解密电子投标文件。</w:t>
      </w:r>
      <w:r>
        <w:rPr>
          <w:rFonts w:hint="eastAsia" w:ascii="宋体" w:hAnsi="宋体" w:eastAsia="宋体" w:cs="宋体"/>
          <w:color w:val="auto"/>
          <w:szCs w:val="21"/>
        </w:rPr>
        <w:t>广西政府采购云平台</w:t>
      </w:r>
      <w:r>
        <w:rPr>
          <w:rFonts w:hint="eastAsia" w:ascii="宋体" w:hAnsi="宋体" w:eastAsia="宋体" w:cs="宋体"/>
          <w:bCs/>
          <w:color w:val="auto"/>
          <w:szCs w:val="21"/>
        </w:rPr>
        <w:t>按开标时间自动提取所有投标文件。采购代理机构依托</w:t>
      </w:r>
      <w:r>
        <w:rPr>
          <w:rFonts w:hint="eastAsia" w:ascii="宋体" w:hAnsi="宋体" w:eastAsia="宋体" w:cs="宋体"/>
          <w:color w:val="auto"/>
          <w:szCs w:val="21"/>
        </w:rPr>
        <w:t>广西政府采购云平台</w:t>
      </w:r>
      <w:r>
        <w:rPr>
          <w:rFonts w:hint="eastAsia" w:ascii="宋体" w:hAnsi="宋体" w:eastAsia="宋体" w:cs="宋体"/>
          <w:bCs/>
          <w:color w:val="auto"/>
          <w:szCs w:val="21"/>
        </w:rPr>
        <w:t>向各投标人发出电子加密投标文件【开始解密】通知，由投标人按“投标人须知前附表”规定的时间内自行进行投标文件解密。投标人的法定代表人或其委托代理人须凭加密时所用</w:t>
      </w:r>
      <w:r>
        <w:rPr>
          <w:rFonts w:hint="eastAsia" w:ascii="宋体" w:hAnsi="宋体" w:eastAsia="宋体" w:cs="宋体"/>
          <w:color w:val="auto"/>
          <w:szCs w:val="21"/>
        </w:rPr>
        <w:t>的</w:t>
      </w:r>
      <w:r>
        <w:rPr>
          <w:rFonts w:hint="eastAsia" w:ascii="宋体" w:hAnsi="宋体" w:eastAsia="宋体" w:cs="宋体"/>
          <w:color w:val="auto"/>
          <w:szCs w:val="21"/>
        </w:rPr>
        <w:t>CA锁准时登录到</w:t>
      </w:r>
      <w:r>
        <w:rPr>
          <w:rFonts w:hint="eastAsia" w:ascii="宋体" w:hAnsi="宋体" w:eastAsia="宋体" w:cs="宋体"/>
          <w:color w:val="auto"/>
          <w:szCs w:val="21"/>
        </w:rPr>
        <w:t>广西政府采购云平台</w:t>
      </w:r>
      <w:r>
        <w:rPr>
          <w:rFonts w:hint="eastAsia" w:ascii="宋体" w:hAnsi="宋体" w:eastAsia="宋体" w:cs="宋体"/>
          <w:color w:val="auto"/>
          <w:szCs w:val="21"/>
        </w:rPr>
        <w:t>电子开标大厅签到并对电子投标文件解密。</w:t>
      </w:r>
      <w:r>
        <w:rPr>
          <w:rFonts w:hint="eastAsia" w:ascii="宋体" w:hAnsi="宋体" w:eastAsia="宋体" w:cs="宋体"/>
          <w:b/>
          <w:color w:val="auto"/>
          <w:szCs w:val="21"/>
        </w:rPr>
        <w:t>投标人未在规定的时间内解密投标文件或者解密失败的，或投标人没预留联系方式或预留联系方式无效，导致代理机构无法联系到投标人进行解密的，均视为无效投标。</w:t>
      </w:r>
    </w:p>
    <w:p w14:paraId="09B48E67">
      <w:pPr>
        <w:wordWrap w:val="0"/>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w:t>
      </w:r>
      <w:r>
        <w:rPr>
          <w:rFonts w:hint="eastAsia" w:ascii="宋体" w:hAnsi="宋体" w:eastAsia="宋体" w:cs="宋体"/>
          <w:bCs/>
          <w:color w:val="auto"/>
          <w:szCs w:val="21"/>
        </w:rPr>
        <w:t>2）电子唱标。投标文件解密结束，宣布的内容均在</w:t>
      </w:r>
      <w:r>
        <w:rPr>
          <w:rFonts w:hint="eastAsia" w:ascii="宋体" w:hAnsi="宋体" w:eastAsia="宋体" w:cs="宋体"/>
          <w:color w:val="auto"/>
          <w:szCs w:val="21"/>
        </w:rPr>
        <w:t>广西政府采购云平台</w:t>
      </w:r>
      <w:r>
        <w:rPr>
          <w:rFonts w:hint="eastAsia" w:ascii="宋体" w:hAnsi="宋体" w:eastAsia="宋体" w:cs="宋体"/>
          <w:bCs/>
          <w:color w:val="auto"/>
          <w:szCs w:val="21"/>
        </w:rPr>
        <w:t>远程开标大厅展示，具体详见“投标人须知前附表”；</w:t>
      </w:r>
    </w:p>
    <w:p w14:paraId="6EC7C7F4">
      <w:pPr>
        <w:wordWrap w:val="0"/>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w:t>
      </w:r>
      <w:r>
        <w:rPr>
          <w:rFonts w:hint="eastAsia" w:ascii="宋体" w:hAnsi="宋体" w:eastAsia="宋体" w:cs="宋体"/>
          <w:bCs/>
          <w:color w:val="auto"/>
          <w:szCs w:val="21"/>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014EC0DF">
      <w:pPr>
        <w:wordWrap w:val="0"/>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w:t>
      </w:r>
      <w:r>
        <w:rPr>
          <w:rFonts w:hint="eastAsia" w:ascii="宋体" w:hAnsi="宋体" w:eastAsia="宋体" w:cs="宋体"/>
          <w:bCs/>
          <w:color w:val="auto"/>
          <w:szCs w:val="21"/>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4549EDC6">
      <w:pPr>
        <w:wordWrap w:val="0"/>
        <w:spacing w:line="440" w:lineRule="exact"/>
        <w:ind w:firstLine="420" w:firstLineChars="200"/>
        <w:outlineLvl w:val="4"/>
        <w:rPr>
          <w:rFonts w:hint="eastAsia" w:ascii="宋体" w:hAnsi="宋体" w:eastAsia="宋体" w:cs="宋体"/>
          <w:bCs/>
          <w:color w:val="auto"/>
          <w:szCs w:val="21"/>
        </w:rPr>
      </w:pPr>
      <w:r>
        <w:rPr>
          <w:rFonts w:hint="eastAsia" w:ascii="宋体" w:hAnsi="宋体" w:eastAsia="宋体" w:cs="宋体"/>
          <w:bCs/>
          <w:color w:val="auto"/>
          <w:szCs w:val="21"/>
        </w:rPr>
        <w:t>（</w:t>
      </w:r>
      <w:r>
        <w:rPr>
          <w:rFonts w:hint="eastAsia" w:ascii="宋体" w:hAnsi="宋体" w:eastAsia="宋体" w:cs="宋体"/>
          <w:bCs/>
          <w:color w:val="auto"/>
          <w:szCs w:val="21"/>
        </w:rPr>
        <w:t>5）开标结束。</w:t>
      </w:r>
    </w:p>
    <w:p w14:paraId="403398B3">
      <w:pPr>
        <w:wordWrap w:val="0"/>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特别说明：如遇</w:t>
      </w:r>
      <w:r>
        <w:rPr>
          <w:rFonts w:hint="eastAsia" w:ascii="宋体" w:hAnsi="宋体" w:eastAsia="宋体" w:cs="宋体"/>
          <w:color w:val="auto"/>
          <w:szCs w:val="21"/>
        </w:rPr>
        <w:t>广西政府采购云平台</w:t>
      </w:r>
      <w:r>
        <w:rPr>
          <w:rFonts w:hint="eastAsia" w:ascii="宋体" w:hAnsi="宋体" w:eastAsia="宋体" w:cs="宋体"/>
          <w:bCs/>
          <w:color w:val="auto"/>
          <w:szCs w:val="21"/>
        </w:rPr>
        <w:t>电子化开标或评审程序调整的，按调整后执行。</w:t>
      </w:r>
    </w:p>
    <w:p w14:paraId="1675F32E">
      <w:pPr>
        <w:spacing w:before="120" w:beforeLines="50" w:line="360" w:lineRule="auto"/>
        <w:jc w:val="center"/>
        <w:outlineLvl w:val="1"/>
        <w:rPr>
          <w:rFonts w:hint="eastAsia" w:ascii="宋体" w:hAnsi="宋体" w:eastAsia="宋体" w:cs="宋体"/>
          <w:b/>
          <w:color w:val="auto"/>
          <w:sz w:val="24"/>
          <w:szCs w:val="32"/>
        </w:rPr>
      </w:pPr>
      <w:r>
        <w:rPr>
          <w:rFonts w:hint="eastAsia" w:ascii="宋体" w:hAnsi="宋体" w:eastAsia="宋体" w:cs="宋体"/>
          <w:b/>
          <w:color w:val="auto"/>
          <w:sz w:val="24"/>
          <w:szCs w:val="32"/>
        </w:rPr>
        <w:t>五、资格审查</w:t>
      </w:r>
    </w:p>
    <w:p w14:paraId="45FEF19E">
      <w:pPr>
        <w:pStyle w:val="6"/>
        <w:keepNext w:val="0"/>
        <w:keepLines w:val="0"/>
        <w:wordWrap w:val="0"/>
        <w:snapToGrid w:val="0"/>
        <w:spacing w:before="0" w:after="0" w:line="440" w:lineRule="exact"/>
        <w:ind w:firstLine="422" w:firstLineChars="200"/>
        <w:rPr>
          <w:rFonts w:hint="eastAsia" w:ascii="宋体" w:hAnsi="宋体" w:eastAsia="宋体" w:cs="宋体"/>
          <w:color w:val="auto"/>
          <w:sz w:val="21"/>
          <w:szCs w:val="21"/>
        </w:rPr>
      </w:pPr>
      <w:r>
        <w:rPr>
          <w:rFonts w:hint="eastAsia" w:ascii="宋体" w:hAnsi="宋体" w:eastAsia="宋体" w:cs="宋体"/>
          <w:color w:val="auto"/>
          <w:sz w:val="21"/>
          <w:szCs w:val="21"/>
        </w:rPr>
        <w:t>25.资格审查</w:t>
      </w:r>
    </w:p>
    <w:p w14:paraId="6088264B">
      <w:pPr>
        <w:wordWrap w:val="0"/>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 xml:space="preserve"> 25.1开标结束后，采购人或者采购代理机构通过电子开评标系统依据招标文件对电子投标文件进行线上资格审查。</w:t>
      </w:r>
    </w:p>
    <w:p w14:paraId="6231FAAA">
      <w:pPr>
        <w:wordWrap w:val="0"/>
        <w:spacing w:line="44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 xml:space="preserve"> 25.2资格审查标准为本招标文件中载明对投标人资格要求的条件。本项目资格审查采用合格制，凡符合招标文件规定的投标人资格要求的投标人均通过资格审查。</w:t>
      </w:r>
      <w:bookmarkStart w:id="194" w:name="_25.3_投标人有下列情形之一的，资格审查不通过而导致其投标无效："/>
      <w:bookmarkEnd w:id="194"/>
    </w:p>
    <w:p w14:paraId="326A296B">
      <w:pPr>
        <w:wordWrap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25.3 </w:t>
      </w:r>
      <w:r>
        <w:rPr>
          <w:rFonts w:hint="eastAsia" w:ascii="宋体" w:hAnsi="宋体" w:eastAsia="宋体" w:cs="宋体"/>
          <w:color w:val="auto"/>
          <w:szCs w:val="21"/>
        </w:rPr>
        <w:t>投标人有下列情形之一的，资格审查不通过，作无效投标处理：</w:t>
      </w:r>
    </w:p>
    <w:p w14:paraId="2DC3C9A9">
      <w:pPr>
        <w:pStyle w:val="25"/>
        <w:wordWrap w:val="0"/>
        <w:snapToGrid w:val="0"/>
        <w:spacing w:line="440" w:lineRule="exact"/>
        <w:ind w:firstLine="420" w:firstLineChars="200"/>
        <w:outlineLvl w:val="3"/>
        <w:rPr>
          <w:rFonts w:hint="eastAsia" w:ascii="宋体" w:hAnsi="宋体" w:eastAsia="宋体" w:cs="宋体"/>
          <w:color w:val="auto"/>
          <w:sz w:val="21"/>
        </w:rPr>
      </w:pPr>
      <w:r>
        <w:rPr>
          <w:rFonts w:hint="eastAsia" w:ascii="宋体" w:hAnsi="宋体" w:eastAsia="宋体" w:cs="宋体"/>
          <w:color w:val="auto"/>
          <w:sz w:val="21"/>
        </w:rPr>
        <w:t>（</w:t>
      </w:r>
      <w:r>
        <w:rPr>
          <w:rFonts w:hint="eastAsia" w:ascii="宋体" w:hAnsi="宋体" w:eastAsia="宋体" w:cs="宋体"/>
          <w:color w:val="auto"/>
          <w:sz w:val="21"/>
        </w:rPr>
        <w:t>1）不具备招标文件中规定的资格要求的；</w:t>
      </w:r>
    </w:p>
    <w:p w14:paraId="4B1C1F6D">
      <w:pPr>
        <w:pStyle w:val="25"/>
        <w:wordWrap w:val="0"/>
        <w:snapToGrid w:val="0"/>
        <w:spacing w:line="440" w:lineRule="exact"/>
        <w:ind w:firstLine="420" w:firstLineChars="200"/>
        <w:rPr>
          <w:rFonts w:hint="eastAsia" w:ascii="宋体" w:hAnsi="宋体" w:eastAsia="宋体" w:cs="宋体"/>
          <w:color w:val="auto"/>
          <w:sz w:val="21"/>
        </w:rPr>
      </w:pPr>
      <w:r>
        <w:rPr>
          <w:rFonts w:hint="eastAsia" w:ascii="宋体" w:hAnsi="宋体" w:eastAsia="宋体" w:cs="宋体"/>
          <w:color w:val="auto"/>
          <w:sz w:val="21"/>
        </w:rPr>
        <w:t>（</w:t>
      </w:r>
      <w:r>
        <w:rPr>
          <w:rFonts w:hint="eastAsia" w:ascii="宋体" w:hAnsi="宋体" w:eastAsia="宋体" w:cs="宋体"/>
          <w:color w:val="auto"/>
          <w:sz w:val="21"/>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r>
        <w:rPr>
          <w:rFonts w:hint="eastAsia" w:ascii="宋体" w:hAnsi="宋体" w:eastAsia="宋体" w:cs="宋体"/>
          <w:color w:val="auto"/>
          <w:sz w:val="21"/>
        </w:rPr>
        <w:t>广西政府采购云平台</w:t>
      </w:r>
      <w:r>
        <w:rPr>
          <w:rFonts w:hint="eastAsia" w:ascii="宋体" w:hAnsi="宋体" w:eastAsia="宋体" w:cs="宋体"/>
          <w:color w:val="auto"/>
          <w:sz w:val="21"/>
        </w:rPr>
        <w:t>已与“信用中国”网站、中国政府采购网实现数据对接，可直接在线查询）</w:t>
      </w:r>
    </w:p>
    <w:p w14:paraId="10EE79EF">
      <w:pPr>
        <w:pStyle w:val="25"/>
        <w:wordWrap w:val="0"/>
        <w:snapToGrid w:val="0"/>
        <w:spacing w:line="440" w:lineRule="exact"/>
        <w:ind w:firstLine="420" w:firstLineChars="200"/>
        <w:rPr>
          <w:rFonts w:hint="eastAsia" w:ascii="宋体" w:hAnsi="宋体" w:eastAsia="宋体" w:cs="宋体"/>
          <w:color w:val="auto"/>
          <w:sz w:val="21"/>
        </w:rPr>
      </w:pPr>
      <w:r>
        <w:rPr>
          <w:rFonts w:hint="eastAsia" w:ascii="宋体" w:hAnsi="宋体" w:eastAsia="宋体" w:cs="宋体"/>
          <w:color w:val="auto"/>
          <w:sz w:val="21"/>
        </w:rPr>
        <w:t>（</w:t>
      </w:r>
      <w:r>
        <w:rPr>
          <w:rFonts w:hint="eastAsia" w:ascii="宋体" w:hAnsi="宋体" w:eastAsia="宋体" w:cs="宋体"/>
          <w:color w:val="auto"/>
          <w:sz w:val="21"/>
        </w:rPr>
        <w:t>3）同一合同项下的不同投标人，单位负责人为同一人或者存在直接控股、管理关系的；为本项目提供过整体设计、规范编制或者项目管理、监理、检测等服务的</w:t>
      </w:r>
      <w:r>
        <w:rPr>
          <w:rFonts w:hint="eastAsia" w:ascii="宋体" w:hAnsi="宋体" w:eastAsia="宋体" w:cs="宋体"/>
          <w:color w:val="auto"/>
          <w:sz w:val="21"/>
        </w:rPr>
        <w:t>投标人</w:t>
      </w:r>
      <w:r>
        <w:rPr>
          <w:rFonts w:hint="eastAsia" w:ascii="宋体" w:hAnsi="宋体" w:eastAsia="宋体" w:cs="宋体"/>
          <w:color w:val="auto"/>
          <w:sz w:val="21"/>
        </w:rPr>
        <w:t>，再参加该采购项目的其他采购活动的；</w:t>
      </w:r>
    </w:p>
    <w:p w14:paraId="27C8776E">
      <w:pPr>
        <w:pStyle w:val="25"/>
        <w:wordWrap w:val="0"/>
        <w:snapToGrid w:val="0"/>
        <w:spacing w:line="440" w:lineRule="exact"/>
        <w:ind w:firstLine="420" w:firstLineChars="200"/>
        <w:rPr>
          <w:rFonts w:hint="eastAsia" w:ascii="宋体" w:hAnsi="宋体" w:eastAsia="宋体" w:cs="宋体"/>
          <w:color w:val="auto"/>
          <w:sz w:val="21"/>
        </w:rPr>
      </w:pPr>
      <w:r>
        <w:rPr>
          <w:rFonts w:hint="eastAsia" w:ascii="宋体" w:hAnsi="宋体" w:eastAsia="宋体" w:cs="宋体"/>
          <w:color w:val="auto"/>
          <w:sz w:val="21"/>
        </w:rPr>
        <w:t>（</w:t>
      </w:r>
      <w:r>
        <w:rPr>
          <w:rFonts w:hint="eastAsia" w:ascii="宋体" w:hAnsi="宋体" w:eastAsia="宋体" w:cs="宋体"/>
          <w:color w:val="auto"/>
          <w:sz w:val="21"/>
        </w:rPr>
        <w:t>4）投标文件中的资格证明文件缺少任一项“投标人须知前附表”资格证明文件规定“必须提供”的文件资料的；</w:t>
      </w:r>
    </w:p>
    <w:p w14:paraId="509A73E1">
      <w:pPr>
        <w:pStyle w:val="25"/>
        <w:wordWrap w:val="0"/>
        <w:snapToGrid w:val="0"/>
        <w:spacing w:line="440" w:lineRule="exact"/>
        <w:ind w:firstLine="420" w:firstLineChars="200"/>
        <w:rPr>
          <w:rFonts w:hint="eastAsia" w:ascii="宋体" w:hAnsi="宋体" w:eastAsia="宋体" w:cs="宋体"/>
          <w:color w:val="auto"/>
          <w:sz w:val="21"/>
        </w:rPr>
      </w:pPr>
      <w:r>
        <w:rPr>
          <w:rFonts w:hint="eastAsia" w:ascii="宋体" w:hAnsi="宋体" w:eastAsia="宋体" w:cs="宋体"/>
          <w:color w:val="auto"/>
          <w:sz w:val="21"/>
        </w:rPr>
        <w:t>（</w:t>
      </w:r>
      <w:r>
        <w:rPr>
          <w:rFonts w:hint="eastAsia" w:ascii="宋体" w:hAnsi="宋体" w:eastAsia="宋体" w:cs="宋体"/>
          <w:color w:val="auto"/>
          <w:sz w:val="21"/>
        </w:rPr>
        <w:t>5）投标文件中的资格证明文件出现任一项不符合“投标人须知前附表”资格证明文件规定“必须提供”的文件资料要求或者无效的。</w:t>
      </w:r>
    </w:p>
    <w:p w14:paraId="505C4C10">
      <w:pPr>
        <w:pStyle w:val="25"/>
        <w:wordWrap w:val="0"/>
        <w:snapToGrid w:val="0"/>
        <w:spacing w:line="440" w:lineRule="exact"/>
        <w:ind w:firstLine="420" w:firstLineChars="200"/>
        <w:outlineLvl w:val="4"/>
        <w:rPr>
          <w:rFonts w:hint="eastAsia" w:ascii="宋体" w:hAnsi="宋体" w:eastAsia="宋体" w:cs="宋体"/>
          <w:b/>
          <w:color w:val="auto"/>
          <w:sz w:val="21"/>
        </w:rPr>
      </w:pPr>
      <w:r>
        <w:rPr>
          <w:rFonts w:hint="eastAsia" w:ascii="宋体" w:hAnsi="宋体" w:eastAsia="宋体" w:cs="宋体"/>
          <w:color w:val="auto"/>
          <w:sz w:val="21"/>
        </w:rPr>
        <w:t>25.4合格投标人不足3家的，不得评标。</w:t>
      </w:r>
    </w:p>
    <w:p w14:paraId="7FDEED08">
      <w:pPr>
        <w:spacing w:before="120" w:beforeLines="50" w:line="360" w:lineRule="auto"/>
        <w:jc w:val="center"/>
        <w:outlineLvl w:val="1"/>
        <w:rPr>
          <w:rFonts w:hint="eastAsia" w:ascii="宋体" w:hAnsi="宋体" w:eastAsia="宋体" w:cs="宋体"/>
          <w:b/>
          <w:color w:val="auto"/>
          <w:sz w:val="24"/>
          <w:szCs w:val="32"/>
        </w:rPr>
      </w:pPr>
      <w:r>
        <w:rPr>
          <w:rFonts w:hint="eastAsia" w:ascii="宋体" w:hAnsi="宋体" w:eastAsia="宋体" w:cs="宋体"/>
          <w:b/>
          <w:color w:val="auto"/>
          <w:sz w:val="24"/>
          <w:szCs w:val="32"/>
        </w:rPr>
        <w:t>六、评标</w:t>
      </w:r>
    </w:p>
    <w:p w14:paraId="26384957">
      <w:pPr>
        <w:pStyle w:val="6"/>
        <w:keepNext w:val="0"/>
        <w:keepLines w:val="0"/>
        <w:numPr>
          <w:ilvl w:val="4"/>
          <w:numId w:val="4"/>
        </w:numPr>
        <w:wordWrap w:val="0"/>
        <w:snapToGrid w:val="0"/>
        <w:spacing w:before="0" w:after="0" w:line="440" w:lineRule="exact"/>
        <w:ind w:firstLine="422" w:firstLineChars="200"/>
        <w:rPr>
          <w:rFonts w:hint="eastAsia" w:ascii="宋体" w:hAnsi="宋体" w:eastAsia="宋体" w:cs="宋体"/>
          <w:color w:val="auto"/>
          <w:sz w:val="21"/>
          <w:szCs w:val="21"/>
        </w:rPr>
      </w:pPr>
      <w:bookmarkStart w:id="195" w:name="_26.组建评标委员会"/>
      <w:bookmarkEnd w:id="195"/>
      <w:r>
        <w:rPr>
          <w:rFonts w:hint="eastAsia" w:ascii="宋体" w:hAnsi="宋体" w:eastAsia="宋体" w:cs="宋体"/>
          <w:color w:val="auto"/>
          <w:sz w:val="21"/>
          <w:szCs w:val="21"/>
        </w:rPr>
        <w:t>26.组建评标委员会</w:t>
      </w:r>
    </w:p>
    <w:p w14:paraId="586244C7">
      <w:pPr>
        <w:pStyle w:val="25"/>
        <w:wordWrap w:val="0"/>
        <w:snapToGrid w:val="0"/>
        <w:spacing w:line="440" w:lineRule="exact"/>
        <w:ind w:firstLine="420" w:firstLineChars="200"/>
        <w:rPr>
          <w:rFonts w:hint="eastAsia" w:ascii="宋体" w:hAnsi="宋体" w:eastAsia="宋体" w:cs="宋体"/>
          <w:color w:val="auto"/>
          <w:sz w:val="21"/>
        </w:rPr>
      </w:pPr>
      <w:r>
        <w:rPr>
          <w:rFonts w:hint="eastAsia" w:ascii="宋体" w:hAnsi="宋体" w:eastAsia="宋体" w:cs="宋体"/>
          <w:color w:val="auto"/>
          <w:sz w:val="21"/>
        </w:rPr>
        <w:t>26.1评标委员会由采购人代表和评审专家组成，具体人数详见“投标人须知前附表”，其中评审专家不得少于成员总数的三分之二。</w:t>
      </w:r>
    </w:p>
    <w:p w14:paraId="4CF56CA5">
      <w:pPr>
        <w:pStyle w:val="25"/>
        <w:wordWrap w:val="0"/>
        <w:snapToGrid w:val="0"/>
        <w:spacing w:line="440" w:lineRule="exact"/>
        <w:ind w:firstLine="420" w:firstLineChars="200"/>
        <w:rPr>
          <w:rFonts w:hint="eastAsia" w:ascii="宋体" w:hAnsi="宋体" w:eastAsia="宋体" w:cs="宋体"/>
          <w:color w:val="auto"/>
          <w:sz w:val="21"/>
        </w:rPr>
      </w:pPr>
      <w:r>
        <w:rPr>
          <w:rFonts w:hint="eastAsia" w:ascii="宋体" w:hAnsi="宋体" w:eastAsia="宋体" w:cs="宋体"/>
          <w:color w:val="auto"/>
          <w:sz w:val="21"/>
        </w:rPr>
        <w:t>26.2参加过采购项目前期咨询论证的专家，不得参加该采购项目的评审活动。</w:t>
      </w:r>
    </w:p>
    <w:p w14:paraId="7E55D46C">
      <w:pPr>
        <w:pStyle w:val="25"/>
        <w:wordWrap w:val="0"/>
        <w:snapToGrid w:val="0"/>
        <w:spacing w:line="440" w:lineRule="exact"/>
        <w:ind w:firstLine="420" w:firstLineChars="200"/>
        <w:rPr>
          <w:rFonts w:hint="eastAsia" w:ascii="宋体" w:hAnsi="宋体" w:eastAsia="宋体" w:cs="宋体"/>
          <w:color w:val="auto"/>
          <w:sz w:val="21"/>
        </w:rPr>
      </w:pPr>
      <w:r>
        <w:rPr>
          <w:rFonts w:hint="eastAsia" w:ascii="宋体" w:hAnsi="宋体" w:eastAsia="宋体" w:cs="宋体"/>
          <w:color w:val="auto"/>
          <w:sz w:val="21"/>
        </w:rPr>
        <w:t>26.3</w:t>
      </w:r>
      <w:r>
        <w:rPr>
          <w:rFonts w:hint="eastAsia" w:ascii="宋体" w:hAnsi="宋体" w:eastAsia="宋体" w:cs="宋体"/>
          <w:bCs/>
          <w:color w:val="auto"/>
          <w:sz w:val="21"/>
        </w:rPr>
        <w:t>采购代理机构应当基于</w:t>
      </w:r>
      <w:r>
        <w:rPr>
          <w:rFonts w:hint="eastAsia" w:ascii="宋体" w:hAnsi="宋体" w:eastAsia="宋体" w:cs="宋体"/>
          <w:color w:val="auto"/>
          <w:sz w:val="21"/>
        </w:rPr>
        <w:t>广西政府采购云平台</w:t>
      </w:r>
      <w:r>
        <w:rPr>
          <w:rFonts w:hint="eastAsia" w:ascii="宋体" w:hAnsi="宋体" w:eastAsia="宋体" w:cs="宋体"/>
          <w:bCs/>
          <w:color w:val="auto"/>
          <w:sz w:val="21"/>
        </w:rPr>
        <w:t>抽（选）取评审专家。</w:t>
      </w:r>
    </w:p>
    <w:p w14:paraId="3DC3354F">
      <w:pPr>
        <w:pStyle w:val="6"/>
        <w:keepNext w:val="0"/>
        <w:keepLines w:val="0"/>
        <w:numPr>
          <w:ilvl w:val="4"/>
          <w:numId w:val="4"/>
        </w:numPr>
        <w:wordWrap w:val="0"/>
        <w:snapToGrid w:val="0"/>
        <w:spacing w:before="0" w:after="0" w:line="440" w:lineRule="exact"/>
        <w:ind w:firstLine="422" w:firstLineChars="200"/>
        <w:rPr>
          <w:rFonts w:hint="eastAsia" w:ascii="宋体" w:hAnsi="宋体" w:eastAsia="宋体" w:cs="宋体"/>
          <w:color w:val="auto"/>
          <w:sz w:val="21"/>
          <w:szCs w:val="21"/>
        </w:rPr>
      </w:pPr>
      <w:r>
        <w:rPr>
          <w:rFonts w:hint="eastAsia" w:ascii="宋体" w:hAnsi="宋体" w:eastAsia="宋体" w:cs="宋体"/>
          <w:color w:val="auto"/>
          <w:sz w:val="21"/>
          <w:szCs w:val="21"/>
        </w:rPr>
        <w:t>27.评标的依据</w:t>
      </w:r>
    </w:p>
    <w:p w14:paraId="04E0FE21">
      <w:pPr>
        <w:pStyle w:val="25"/>
        <w:wordWrap w:val="0"/>
        <w:snapToGrid w:val="0"/>
        <w:spacing w:line="440" w:lineRule="exact"/>
        <w:ind w:firstLine="420" w:firstLineChars="200"/>
        <w:rPr>
          <w:rFonts w:hint="eastAsia" w:ascii="宋体" w:hAnsi="宋体" w:eastAsia="宋体" w:cs="宋体"/>
          <w:color w:val="auto"/>
          <w:sz w:val="21"/>
        </w:rPr>
      </w:pPr>
      <w:r>
        <w:rPr>
          <w:rFonts w:hint="eastAsia" w:ascii="宋体" w:hAnsi="宋体" w:eastAsia="宋体" w:cs="宋体"/>
          <w:color w:val="auto"/>
          <w:sz w:val="21"/>
        </w:rPr>
        <w:t>评标委员会以“第四章评标方法和评标标准”为依据对投标文件进行评审，没有规定的方法、评审因素和标准，不作为评标依据。</w:t>
      </w:r>
    </w:p>
    <w:p w14:paraId="4681F714">
      <w:pPr>
        <w:pStyle w:val="6"/>
        <w:keepNext w:val="0"/>
        <w:keepLines w:val="0"/>
        <w:numPr>
          <w:ilvl w:val="4"/>
          <w:numId w:val="4"/>
        </w:numPr>
        <w:wordWrap w:val="0"/>
        <w:snapToGrid w:val="0"/>
        <w:spacing w:before="0" w:after="0" w:line="440" w:lineRule="exact"/>
        <w:ind w:firstLine="422" w:firstLineChars="200"/>
        <w:rPr>
          <w:rFonts w:hint="eastAsia" w:ascii="宋体" w:hAnsi="宋体" w:eastAsia="宋体" w:cs="宋体"/>
          <w:color w:val="auto"/>
          <w:sz w:val="21"/>
          <w:szCs w:val="21"/>
        </w:rPr>
      </w:pPr>
      <w:r>
        <w:rPr>
          <w:rFonts w:hint="eastAsia" w:ascii="宋体" w:hAnsi="宋体" w:eastAsia="宋体" w:cs="宋体"/>
          <w:color w:val="auto"/>
          <w:sz w:val="21"/>
          <w:szCs w:val="21"/>
        </w:rPr>
        <w:t>28.评标原则</w:t>
      </w:r>
    </w:p>
    <w:p w14:paraId="02F091DC">
      <w:pPr>
        <w:pStyle w:val="25"/>
        <w:wordWrap w:val="0"/>
        <w:snapToGrid w:val="0"/>
        <w:spacing w:line="440" w:lineRule="exact"/>
        <w:ind w:firstLine="420" w:firstLineChars="200"/>
        <w:rPr>
          <w:rFonts w:hint="eastAsia" w:ascii="宋体" w:hAnsi="宋体" w:eastAsia="宋体" w:cs="宋体"/>
          <w:color w:val="auto"/>
          <w:sz w:val="21"/>
        </w:rPr>
      </w:pPr>
      <w:r>
        <w:rPr>
          <w:rFonts w:hint="eastAsia" w:ascii="宋体" w:hAnsi="宋体" w:eastAsia="宋体" w:cs="宋体"/>
          <w:color w:val="auto"/>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218655C">
      <w:pPr>
        <w:pStyle w:val="25"/>
        <w:wordWrap w:val="0"/>
        <w:snapToGrid w:val="0"/>
        <w:spacing w:line="440" w:lineRule="exact"/>
        <w:ind w:firstLine="420" w:firstLineChars="200"/>
        <w:rPr>
          <w:rFonts w:hint="eastAsia" w:ascii="宋体" w:hAnsi="宋体" w:eastAsia="宋体" w:cs="宋体"/>
          <w:color w:val="auto"/>
          <w:sz w:val="21"/>
        </w:rPr>
      </w:pPr>
      <w:r>
        <w:rPr>
          <w:rFonts w:hint="eastAsia" w:ascii="宋体" w:hAnsi="宋体" w:eastAsia="宋体" w:cs="宋体"/>
          <w:color w:val="auto"/>
          <w:sz w:val="21"/>
        </w:rPr>
        <w:t>28.2</w:t>
      </w:r>
      <w:bookmarkStart w:id="196" w:name="_28.3评标方法。本项目将按须知前附表规定的评标办法进行评标，具体评标"/>
      <w:bookmarkEnd w:id="196"/>
      <w:r>
        <w:rPr>
          <w:rFonts w:hint="eastAsia" w:ascii="宋体" w:hAnsi="宋体" w:eastAsia="宋体" w:cs="宋体"/>
          <w:color w:val="auto"/>
          <w:sz w:val="21"/>
        </w:rPr>
        <w:t>评委表决。评标委员会成员对需要共同认定的事项存在争议的，应当按照少数服从多数的原则作出结论。</w:t>
      </w:r>
    </w:p>
    <w:p w14:paraId="5CF55C5B">
      <w:pPr>
        <w:pStyle w:val="25"/>
        <w:wordWrap w:val="0"/>
        <w:snapToGrid w:val="0"/>
        <w:spacing w:line="440" w:lineRule="exact"/>
        <w:ind w:firstLine="420" w:firstLineChars="200"/>
        <w:rPr>
          <w:rFonts w:hint="eastAsia" w:ascii="宋体" w:hAnsi="宋体" w:eastAsia="宋体" w:cs="宋体"/>
          <w:color w:val="auto"/>
          <w:sz w:val="21"/>
        </w:rPr>
      </w:pPr>
      <w:r>
        <w:rPr>
          <w:rFonts w:hint="eastAsia" w:ascii="宋体" w:hAnsi="宋体" w:eastAsia="宋体" w:cs="宋体"/>
          <w:color w:val="auto"/>
          <w:sz w:val="21"/>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BE4E90C">
      <w:pPr>
        <w:pStyle w:val="25"/>
        <w:wordWrap w:val="0"/>
        <w:snapToGrid w:val="0"/>
        <w:spacing w:line="440" w:lineRule="exact"/>
        <w:ind w:firstLine="420" w:firstLineChars="200"/>
        <w:rPr>
          <w:rFonts w:hint="eastAsia" w:ascii="宋体" w:hAnsi="宋体" w:eastAsia="宋体" w:cs="宋体"/>
          <w:b/>
          <w:color w:val="auto"/>
          <w:sz w:val="21"/>
        </w:rPr>
      </w:pPr>
      <w:r>
        <w:rPr>
          <w:rFonts w:hint="eastAsia" w:ascii="宋体" w:hAnsi="宋体" w:eastAsia="宋体" w:cs="宋体"/>
          <w:color w:val="auto"/>
          <w:sz w:val="21"/>
        </w:rPr>
        <w:t>28.4评标过程的监控。本项目电子评标过程实行网上留痕、全程录音、录像监控，</w:t>
      </w:r>
      <w:r>
        <w:rPr>
          <w:rFonts w:hint="eastAsia" w:ascii="宋体" w:hAnsi="宋体" w:eastAsia="宋体" w:cs="宋体"/>
          <w:b/>
          <w:color w:val="auto"/>
          <w:sz w:val="21"/>
        </w:rPr>
        <w:t>投标人在评标过程中所进行的试图影响评标结果的不公正活动，可能导致其投标按无效处理。</w:t>
      </w:r>
    </w:p>
    <w:p w14:paraId="27CD50F8">
      <w:pPr>
        <w:pStyle w:val="25"/>
        <w:wordWrap w:val="0"/>
        <w:snapToGrid w:val="0"/>
        <w:spacing w:line="440" w:lineRule="exact"/>
        <w:ind w:firstLine="420" w:firstLineChars="200"/>
        <w:rPr>
          <w:rFonts w:hint="eastAsia" w:ascii="宋体" w:hAnsi="宋体" w:eastAsia="宋体" w:cs="宋体"/>
          <w:color w:val="auto"/>
          <w:sz w:val="21"/>
        </w:rPr>
      </w:pPr>
      <w:r>
        <w:rPr>
          <w:rFonts w:hint="eastAsia" w:ascii="宋体" w:hAnsi="宋体" w:eastAsia="宋体" w:cs="宋体"/>
          <w:color w:val="auto"/>
          <w:sz w:val="21"/>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AA80B3F">
      <w:pPr>
        <w:pStyle w:val="6"/>
        <w:keepNext w:val="0"/>
        <w:keepLines w:val="0"/>
        <w:numPr>
          <w:ilvl w:val="4"/>
          <w:numId w:val="4"/>
        </w:numPr>
        <w:wordWrap w:val="0"/>
        <w:snapToGrid w:val="0"/>
        <w:spacing w:before="0" w:after="0" w:line="440" w:lineRule="exact"/>
        <w:ind w:firstLine="422" w:firstLineChars="200"/>
        <w:rPr>
          <w:rFonts w:hint="eastAsia" w:ascii="宋体" w:hAnsi="宋体" w:eastAsia="宋体" w:cs="宋体"/>
          <w:color w:val="auto"/>
          <w:sz w:val="21"/>
          <w:szCs w:val="21"/>
        </w:rPr>
      </w:pPr>
      <w:r>
        <w:rPr>
          <w:rFonts w:hint="eastAsia" w:ascii="宋体" w:hAnsi="宋体" w:eastAsia="宋体" w:cs="宋体"/>
          <w:color w:val="auto"/>
          <w:sz w:val="21"/>
          <w:szCs w:val="21"/>
        </w:rPr>
        <w:t>29.评标方法及中标候选人推荐</w:t>
      </w:r>
    </w:p>
    <w:p w14:paraId="6BC4187F">
      <w:pPr>
        <w:pStyle w:val="25"/>
        <w:wordWrap w:val="0"/>
        <w:snapToGrid w:val="0"/>
        <w:spacing w:line="440" w:lineRule="exact"/>
        <w:ind w:firstLine="420" w:firstLineChars="200"/>
        <w:outlineLvl w:val="3"/>
        <w:rPr>
          <w:rFonts w:hint="eastAsia" w:ascii="宋体" w:hAnsi="宋体" w:eastAsia="宋体" w:cs="宋体"/>
          <w:color w:val="auto"/>
          <w:sz w:val="21"/>
        </w:rPr>
      </w:pPr>
      <w:r>
        <w:rPr>
          <w:rFonts w:hint="eastAsia" w:ascii="宋体" w:hAnsi="宋体" w:eastAsia="宋体" w:cs="宋体"/>
          <w:color w:val="auto"/>
          <w:sz w:val="21"/>
        </w:rPr>
        <w:t>29.1本项目的评标方法详见“投标人须知前附表”。</w:t>
      </w:r>
    </w:p>
    <w:p w14:paraId="5CECAB35">
      <w:pPr>
        <w:pStyle w:val="25"/>
        <w:wordWrap w:val="0"/>
        <w:snapToGrid w:val="0"/>
        <w:spacing w:line="440" w:lineRule="exact"/>
        <w:ind w:firstLine="420" w:firstLineChars="200"/>
        <w:outlineLvl w:val="3"/>
        <w:rPr>
          <w:rFonts w:hint="eastAsia" w:ascii="宋体" w:hAnsi="宋体" w:eastAsia="宋体" w:cs="宋体"/>
          <w:color w:val="auto"/>
          <w:sz w:val="21"/>
        </w:rPr>
      </w:pPr>
      <w:r>
        <w:rPr>
          <w:rFonts w:hint="eastAsia" w:ascii="宋体" w:hAnsi="宋体" w:eastAsia="宋体" w:cs="宋体"/>
          <w:color w:val="auto"/>
          <w:sz w:val="21"/>
        </w:rPr>
        <w:t>29.</w:t>
      </w:r>
      <w:r>
        <w:rPr>
          <w:rFonts w:hint="eastAsia" w:ascii="宋体" w:hAnsi="宋体" w:eastAsia="宋体" w:cs="宋体"/>
          <w:color w:val="auto"/>
          <w:sz w:val="21"/>
        </w:rPr>
        <w:t>2</w:t>
      </w:r>
      <w:r>
        <w:rPr>
          <w:rFonts w:hint="eastAsia" w:ascii="宋体" w:hAnsi="宋体" w:eastAsia="宋体" w:cs="宋体"/>
          <w:color w:val="auto"/>
          <w:sz w:val="21"/>
        </w:rPr>
        <w:t xml:space="preserve"> </w:t>
      </w:r>
      <w:r>
        <w:rPr>
          <w:rFonts w:hint="eastAsia" w:ascii="宋体" w:hAnsi="宋体" w:eastAsia="宋体" w:cs="宋体"/>
          <w:color w:val="auto"/>
          <w:sz w:val="21"/>
        </w:rPr>
        <w:t>中标候选人推荐数量详见“投标人须知前附表”。</w:t>
      </w:r>
    </w:p>
    <w:p w14:paraId="7E70FFD2">
      <w:pPr>
        <w:wordWrap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29.</w:t>
      </w:r>
      <w:r>
        <w:rPr>
          <w:rFonts w:hint="eastAsia" w:ascii="宋体" w:hAnsi="宋体" w:eastAsia="宋体" w:cs="宋体"/>
          <w:color w:val="auto"/>
          <w:szCs w:val="21"/>
        </w:rPr>
        <w:t>3电子交易活动的中止。采购过程中出现以下情形，导致电子交易平台无法正常运行，或者无法保证电子交易的公平、公正和安全时，采购代理机构可以中止电子交易活动：</w:t>
      </w:r>
    </w:p>
    <w:p w14:paraId="501306E3">
      <w:pPr>
        <w:wordWrap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1）电子交易平台发生故障而无法登录访问的；</w:t>
      </w:r>
    </w:p>
    <w:p w14:paraId="04FC0604">
      <w:pPr>
        <w:wordWrap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2）电子交易平台应用或数据库出现错误，不能进行正常操作的；</w:t>
      </w:r>
    </w:p>
    <w:p w14:paraId="537F68DF">
      <w:pPr>
        <w:wordWrap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3）电子交易平台发现严重安全漏洞，有潜在泄密危险的；</w:t>
      </w:r>
    </w:p>
    <w:p w14:paraId="59E70D4D">
      <w:pPr>
        <w:wordWrap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4）病毒发作导致不能进行正常操作的；</w:t>
      </w:r>
    </w:p>
    <w:p w14:paraId="0FF61818">
      <w:pPr>
        <w:wordWrap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5）其他无法保证电子交易的公平、公正和安全的情况。</w:t>
      </w:r>
    </w:p>
    <w:p w14:paraId="6F071161">
      <w:pPr>
        <w:wordWrap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7D32AD12">
      <w:pPr>
        <w:spacing w:before="120" w:beforeLines="50" w:line="360" w:lineRule="auto"/>
        <w:jc w:val="center"/>
        <w:outlineLvl w:val="1"/>
        <w:rPr>
          <w:rFonts w:hint="eastAsia" w:ascii="宋体" w:hAnsi="宋体" w:eastAsia="宋体" w:cs="宋体"/>
          <w:b/>
          <w:color w:val="auto"/>
          <w:sz w:val="24"/>
          <w:szCs w:val="32"/>
        </w:rPr>
      </w:pPr>
      <w:bookmarkStart w:id="197" w:name="_Toc254970546"/>
      <w:bookmarkStart w:id="198" w:name="_Toc254970687"/>
      <w:r>
        <w:rPr>
          <w:rFonts w:hint="eastAsia" w:ascii="宋体" w:hAnsi="宋体" w:eastAsia="宋体" w:cs="宋体"/>
          <w:b/>
          <w:color w:val="auto"/>
          <w:sz w:val="24"/>
          <w:szCs w:val="32"/>
        </w:rPr>
        <w:t>七、</w:t>
      </w:r>
      <w:bookmarkEnd w:id="197"/>
      <w:bookmarkEnd w:id="198"/>
      <w:r>
        <w:rPr>
          <w:rFonts w:hint="eastAsia" w:ascii="宋体" w:hAnsi="宋体" w:eastAsia="宋体" w:cs="宋体"/>
          <w:b/>
          <w:color w:val="auto"/>
          <w:sz w:val="24"/>
          <w:szCs w:val="32"/>
        </w:rPr>
        <w:t>中标和合同</w:t>
      </w:r>
    </w:p>
    <w:p w14:paraId="1C268F0A">
      <w:pPr>
        <w:pStyle w:val="6"/>
        <w:keepNext w:val="0"/>
        <w:keepLines w:val="0"/>
        <w:numPr>
          <w:ilvl w:val="4"/>
          <w:numId w:val="4"/>
        </w:numPr>
        <w:wordWrap w:val="0"/>
        <w:snapToGrid w:val="0"/>
        <w:spacing w:before="0" w:after="0" w:line="440" w:lineRule="exact"/>
        <w:ind w:firstLine="422" w:firstLineChars="200"/>
        <w:rPr>
          <w:rFonts w:hint="eastAsia" w:ascii="宋体" w:hAnsi="宋体" w:eastAsia="宋体" w:cs="宋体"/>
          <w:color w:val="auto"/>
          <w:sz w:val="21"/>
          <w:szCs w:val="21"/>
        </w:rPr>
      </w:pPr>
      <w:r>
        <w:rPr>
          <w:rFonts w:hint="eastAsia" w:ascii="宋体" w:hAnsi="宋体" w:eastAsia="宋体" w:cs="宋体"/>
          <w:color w:val="auto"/>
          <w:sz w:val="21"/>
          <w:szCs w:val="21"/>
        </w:rPr>
        <w:t>30.确定中标人</w:t>
      </w:r>
    </w:p>
    <w:p w14:paraId="0E4A4415">
      <w:pPr>
        <w:pStyle w:val="6"/>
        <w:keepNext w:val="0"/>
        <w:keepLines w:val="0"/>
        <w:numPr>
          <w:ilvl w:val="4"/>
          <w:numId w:val="4"/>
        </w:numPr>
        <w:wordWrap w:val="0"/>
        <w:spacing w:before="0" w:after="0" w:line="44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30.1采购代理机构在评标结束之日起2个工作日内将评标报告送采购人，采购人在收到评标报告之日起5个工作日内，在评标报告确定的中标候选人名单中按顺序确定中标人。</w:t>
      </w:r>
    </w:p>
    <w:p w14:paraId="52229E1D">
      <w:pPr>
        <w:pStyle w:val="6"/>
        <w:keepNext w:val="0"/>
        <w:keepLines w:val="0"/>
        <w:numPr>
          <w:ilvl w:val="4"/>
          <w:numId w:val="4"/>
        </w:numPr>
        <w:wordWrap w:val="0"/>
        <w:spacing w:before="0" w:after="0" w:line="44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eastAsia="宋体" w:cs="宋体"/>
          <w:color w:val="auto"/>
          <w:sz w:val="21"/>
          <w:szCs w:val="21"/>
        </w:rPr>
        <w:t>其他投标无效。</w:t>
      </w:r>
    </w:p>
    <w:p w14:paraId="15189920">
      <w:pPr>
        <w:pStyle w:val="6"/>
        <w:keepNext w:val="0"/>
        <w:keepLines w:val="0"/>
        <w:numPr>
          <w:ilvl w:val="4"/>
          <w:numId w:val="4"/>
        </w:numPr>
        <w:wordWrap w:val="0"/>
        <w:spacing w:before="0" w:after="0" w:line="40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6BB72B40">
      <w:pPr>
        <w:pStyle w:val="25"/>
        <w:wordWrap w:val="0"/>
        <w:snapToGrid w:val="0"/>
        <w:spacing w:line="400" w:lineRule="exact"/>
        <w:ind w:firstLine="420" w:firstLineChars="200"/>
        <w:rPr>
          <w:rFonts w:hint="eastAsia" w:ascii="宋体" w:hAnsi="宋体" w:eastAsia="宋体" w:cs="宋体"/>
          <w:color w:val="auto"/>
          <w:kern w:val="2"/>
          <w:sz w:val="21"/>
        </w:rPr>
      </w:pPr>
      <w:r>
        <w:rPr>
          <w:rFonts w:hint="eastAsia" w:ascii="宋体" w:hAnsi="宋体" w:eastAsia="宋体" w:cs="宋体"/>
          <w:color w:val="auto"/>
          <w:kern w:val="2"/>
          <w:sz w:val="21"/>
        </w:rPr>
        <w:t>非单一产品采购项目，多家投标人提供的核心产品品牌相同的，</w:t>
      </w:r>
      <w:r>
        <w:rPr>
          <w:rFonts w:hint="eastAsia" w:ascii="宋体" w:hAnsi="宋体" w:eastAsia="宋体" w:cs="宋体"/>
          <w:color w:val="auto"/>
          <w:sz w:val="21"/>
        </w:rPr>
        <w:t>按前两款规定处理</w:t>
      </w:r>
      <w:r>
        <w:rPr>
          <w:rFonts w:hint="eastAsia" w:ascii="宋体" w:hAnsi="宋体" w:eastAsia="宋体" w:cs="宋体"/>
          <w:color w:val="auto"/>
          <w:kern w:val="2"/>
          <w:sz w:val="21"/>
        </w:rPr>
        <w:t>。</w:t>
      </w:r>
    </w:p>
    <w:p w14:paraId="6D033327">
      <w:pPr>
        <w:wordWrap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30.2采购人在收到评标报告5个工作日内未按评标报告推荐的中标候选人顺序确定中标人，又不能说明合法理由的，视同按评标报告推荐的顺序确定排名第一的中标候选人为中标人。</w:t>
      </w:r>
    </w:p>
    <w:p w14:paraId="2ECE5794">
      <w:pPr>
        <w:wordWrap w:val="0"/>
        <w:snapToGrid w:val="0"/>
        <w:spacing w:line="440" w:lineRule="exact"/>
        <w:ind w:firstLine="420" w:firstLineChars="200"/>
        <w:outlineLvl w:val="3"/>
        <w:rPr>
          <w:rFonts w:hint="eastAsia" w:ascii="宋体" w:hAnsi="宋体" w:eastAsia="宋体" w:cs="宋体"/>
          <w:color w:val="auto"/>
          <w:szCs w:val="21"/>
        </w:rPr>
      </w:pPr>
      <w:r>
        <w:rPr>
          <w:rFonts w:hint="eastAsia" w:ascii="宋体" w:hAnsi="宋体" w:eastAsia="宋体" w:cs="宋体"/>
          <w:color w:val="auto"/>
          <w:szCs w:val="21"/>
        </w:rPr>
        <w:t>30.3出现下列情形之一的，应予废标：</w:t>
      </w:r>
    </w:p>
    <w:p w14:paraId="3D029EB5">
      <w:pPr>
        <w:wordWrap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1）符合专业条件的</w:t>
      </w:r>
      <w:r>
        <w:rPr>
          <w:rFonts w:hint="eastAsia" w:ascii="宋体" w:hAnsi="宋体" w:eastAsia="宋体" w:cs="宋体"/>
          <w:color w:val="auto"/>
          <w:szCs w:val="21"/>
        </w:rPr>
        <w:t>投标人</w:t>
      </w:r>
      <w:r>
        <w:rPr>
          <w:rFonts w:hint="eastAsia" w:ascii="宋体" w:hAnsi="宋体" w:eastAsia="宋体" w:cs="宋体"/>
          <w:color w:val="auto"/>
          <w:szCs w:val="21"/>
        </w:rPr>
        <w:t>或者对招标文件作实质响应的</w:t>
      </w:r>
      <w:r>
        <w:rPr>
          <w:rFonts w:hint="eastAsia" w:ascii="宋体" w:hAnsi="宋体" w:eastAsia="宋体" w:cs="宋体"/>
          <w:color w:val="auto"/>
          <w:szCs w:val="21"/>
        </w:rPr>
        <w:t>投标人</w:t>
      </w:r>
      <w:r>
        <w:rPr>
          <w:rFonts w:hint="eastAsia" w:ascii="宋体" w:hAnsi="宋体" w:eastAsia="宋体" w:cs="宋体"/>
          <w:color w:val="auto"/>
          <w:szCs w:val="21"/>
        </w:rPr>
        <w:t>不足三家的；</w:t>
      </w:r>
    </w:p>
    <w:p w14:paraId="288F6CB5">
      <w:pPr>
        <w:wordWrap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2）出现影响采购公正的违法、违规行为的；</w:t>
      </w:r>
    </w:p>
    <w:p w14:paraId="214A2543">
      <w:pPr>
        <w:wordWrap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3）投标人的报价均超过了采购预算，采购人不能支付的；</w:t>
      </w:r>
    </w:p>
    <w:p w14:paraId="34843616">
      <w:pPr>
        <w:wordWrap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4）因重大变故，采购任务取消的。</w:t>
      </w:r>
    </w:p>
    <w:p w14:paraId="4F1BAD0D">
      <w:pPr>
        <w:wordWrap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废标后，采购人应当将废标理由通知所有投标人。</w:t>
      </w:r>
    </w:p>
    <w:p w14:paraId="73CABB5D">
      <w:pPr>
        <w:wordWrap w:val="0"/>
        <w:snapToGrid w:val="0"/>
        <w:spacing w:line="440" w:lineRule="exact"/>
        <w:ind w:firstLine="422" w:firstLineChars="200"/>
        <w:outlineLvl w:val="2"/>
        <w:rPr>
          <w:rFonts w:hint="eastAsia" w:ascii="宋体" w:hAnsi="宋体" w:eastAsia="宋体" w:cs="宋体"/>
          <w:b/>
          <w:color w:val="auto"/>
          <w:szCs w:val="21"/>
        </w:rPr>
      </w:pPr>
      <w:r>
        <w:rPr>
          <w:rFonts w:hint="eastAsia" w:ascii="宋体" w:hAnsi="宋体" w:eastAsia="宋体" w:cs="宋体"/>
          <w:b/>
          <w:color w:val="auto"/>
          <w:szCs w:val="21"/>
        </w:rPr>
        <w:t>31.结果公告</w:t>
      </w:r>
    </w:p>
    <w:p w14:paraId="4382D15A">
      <w:pPr>
        <w:pStyle w:val="6"/>
        <w:keepNext w:val="0"/>
        <w:keepLines w:val="0"/>
        <w:numPr>
          <w:ilvl w:val="4"/>
          <w:numId w:val="4"/>
        </w:numPr>
        <w:wordWrap w:val="0"/>
        <w:spacing w:before="0" w:after="0" w:line="44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0CA63933">
      <w:pPr>
        <w:wordWrap w:val="0"/>
        <w:snapToGrid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以上信息查询记录及相关证据与采购文件一并保存。</w:t>
      </w:r>
    </w:p>
    <w:p w14:paraId="5FED0249">
      <w:pPr>
        <w:pStyle w:val="6"/>
        <w:keepNext w:val="0"/>
        <w:keepLines w:val="0"/>
        <w:numPr>
          <w:ilvl w:val="4"/>
          <w:numId w:val="4"/>
        </w:numPr>
        <w:wordWrap w:val="0"/>
        <w:spacing w:before="0" w:after="0" w:line="440" w:lineRule="exact"/>
        <w:ind w:firstLine="420" w:firstLineChars="200"/>
        <w:rPr>
          <w:rFonts w:hint="eastAsia" w:ascii="宋体" w:hAnsi="宋体" w:eastAsia="宋体" w:cs="宋体"/>
          <w:color w:val="auto"/>
          <w:sz w:val="21"/>
          <w:szCs w:val="21"/>
        </w:rPr>
      </w:pPr>
      <w:r>
        <w:rPr>
          <w:rFonts w:hint="eastAsia" w:ascii="宋体" w:hAnsi="宋体" w:eastAsia="宋体" w:cs="宋体"/>
          <w:b w:val="0"/>
          <w:color w:val="auto"/>
          <w:sz w:val="21"/>
          <w:szCs w:val="21"/>
        </w:rPr>
        <w:t>31.2中标</w:t>
      </w:r>
      <w:r>
        <w:rPr>
          <w:rFonts w:hint="eastAsia" w:ascii="宋体" w:hAnsi="宋体" w:eastAsia="宋体" w:cs="宋体"/>
          <w:b w:val="0"/>
          <w:color w:val="auto"/>
          <w:sz w:val="21"/>
          <w:szCs w:val="21"/>
        </w:rPr>
        <w:t>投标人</w:t>
      </w:r>
      <w:r>
        <w:rPr>
          <w:rFonts w:hint="eastAsia" w:ascii="宋体" w:hAnsi="宋体" w:eastAsia="宋体" w:cs="宋体"/>
          <w:b w:val="0"/>
          <w:color w:val="auto"/>
          <w:sz w:val="21"/>
          <w:szCs w:val="21"/>
        </w:rPr>
        <w:t>享受《政府采购促进中小企业发展管理办法》（财库〔2020〕46号）规定的中小企业扶持政策的，采购人、采购代理机构应当随中标结果公开中标</w:t>
      </w:r>
      <w:r>
        <w:rPr>
          <w:rFonts w:hint="eastAsia" w:ascii="宋体" w:hAnsi="宋体" w:eastAsia="宋体" w:cs="宋体"/>
          <w:b w:val="0"/>
          <w:color w:val="auto"/>
          <w:sz w:val="21"/>
          <w:szCs w:val="21"/>
        </w:rPr>
        <w:t>投标人</w:t>
      </w:r>
      <w:r>
        <w:rPr>
          <w:rFonts w:hint="eastAsia" w:ascii="宋体" w:hAnsi="宋体" w:eastAsia="宋体" w:cs="宋体"/>
          <w:b w:val="0"/>
          <w:color w:val="auto"/>
          <w:sz w:val="21"/>
          <w:szCs w:val="21"/>
        </w:rPr>
        <w:t>的《中小企业声明函》。</w:t>
      </w:r>
    </w:p>
    <w:p w14:paraId="227DA388">
      <w:pPr>
        <w:pStyle w:val="6"/>
        <w:keepNext w:val="0"/>
        <w:keepLines w:val="0"/>
        <w:numPr>
          <w:ilvl w:val="4"/>
          <w:numId w:val="4"/>
        </w:numPr>
        <w:wordWrap w:val="0"/>
        <w:spacing w:before="0" w:after="0" w:line="440" w:lineRule="exact"/>
        <w:ind w:firstLine="422" w:firstLineChars="200"/>
        <w:rPr>
          <w:rFonts w:hint="eastAsia" w:ascii="宋体" w:hAnsi="宋体" w:eastAsia="宋体" w:cs="宋体"/>
          <w:b w:val="0"/>
          <w:color w:val="auto"/>
          <w:sz w:val="21"/>
          <w:szCs w:val="21"/>
        </w:rPr>
      </w:pPr>
      <w:r>
        <w:rPr>
          <w:rFonts w:hint="eastAsia" w:ascii="宋体" w:hAnsi="宋体" w:eastAsia="宋体" w:cs="宋体"/>
          <w:color w:val="auto"/>
          <w:sz w:val="21"/>
          <w:szCs w:val="21"/>
        </w:rPr>
        <w:t>32.发出中标通知书</w:t>
      </w:r>
    </w:p>
    <w:p w14:paraId="48F7594B">
      <w:pPr>
        <w:pStyle w:val="6"/>
        <w:keepNext w:val="0"/>
        <w:keepLines w:val="0"/>
        <w:numPr>
          <w:ilvl w:val="4"/>
          <w:numId w:val="4"/>
        </w:numPr>
        <w:wordWrap w:val="0"/>
        <w:spacing w:before="0" w:after="0" w:line="440" w:lineRule="exact"/>
        <w:ind w:firstLine="420" w:firstLineChars="200"/>
        <w:rPr>
          <w:rFonts w:hint="eastAsia" w:ascii="宋体" w:hAnsi="宋体" w:eastAsia="宋体" w:cs="宋体"/>
          <w:color w:val="auto"/>
          <w:sz w:val="21"/>
          <w:szCs w:val="21"/>
        </w:rPr>
      </w:pPr>
      <w:r>
        <w:rPr>
          <w:rFonts w:hint="eastAsia" w:ascii="宋体" w:hAnsi="宋体" w:eastAsia="宋体" w:cs="宋体"/>
          <w:b w:val="0"/>
          <w:color w:val="auto"/>
          <w:sz w:val="21"/>
          <w:szCs w:val="21"/>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542977A0">
      <w:pPr>
        <w:pStyle w:val="6"/>
        <w:keepNext w:val="0"/>
        <w:keepLines w:val="0"/>
        <w:numPr>
          <w:ilvl w:val="4"/>
          <w:numId w:val="4"/>
        </w:numPr>
        <w:wordWrap w:val="0"/>
        <w:spacing w:before="0" w:after="0" w:line="440" w:lineRule="exact"/>
        <w:ind w:firstLine="422" w:firstLineChars="200"/>
        <w:rPr>
          <w:rFonts w:hint="eastAsia" w:ascii="宋体" w:hAnsi="宋体" w:eastAsia="宋体" w:cs="宋体"/>
          <w:b w:val="0"/>
          <w:color w:val="auto"/>
          <w:sz w:val="21"/>
          <w:szCs w:val="21"/>
        </w:rPr>
      </w:pPr>
      <w:r>
        <w:rPr>
          <w:rFonts w:hint="eastAsia" w:ascii="宋体" w:hAnsi="宋体" w:eastAsia="宋体" w:cs="宋体"/>
          <w:color w:val="auto"/>
          <w:sz w:val="21"/>
          <w:szCs w:val="21"/>
        </w:rPr>
        <w:t xml:space="preserve">33. </w:t>
      </w:r>
      <w:r>
        <w:rPr>
          <w:rFonts w:hint="eastAsia" w:ascii="宋体" w:hAnsi="宋体" w:eastAsia="宋体" w:cs="宋体"/>
          <w:color w:val="auto"/>
          <w:sz w:val="21"/>
          <w:szCs w:val="21"/>
        </w:rPr>
        <w:t>无义务解释未中标原因</w:t>
      </w:r>
    </w:p>
    <w:p w14:paraId="55DF05BF">
      <w:pPr>
        <w:pStyle w:val="6"/>
        <w:keepNext w:val="0"/>
        <w:keepLines w:val="0"/>
        <w:numPr>
          <w:ilvl w:val="4"/>
          <w:numId w:val="4"/>
        </w:numPr>
        <w:wordWrap w:val="0"/>
        <w:spacing w:before="0" w:after="0" w:line="44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采购代理机构无义务向未中标的投标人解释未中标原因。</w:t>
      </w:r>
    </w:p>
    <w:p w14:paraId="67EC5B4F">
      <w:pPr>
        <w:pStyle w:val="6"/>
        <w:keepNext w:val="0"/>
        <w:keepLines w:val="0"/>
        <w:numPr>
          <w:ilvl w:val="4"/>
          <w:numId w:val="4"/>
        </w:numPr>
        <w:wordWrap w:val="0"/>
        <w:snapToGrid w:val="0"/>
        <w:spacing w:before="0" w:after="0" w:line="440" w:lineRule="exact"/>
        <w:ind w:firstLine="422" w:firstLineChars="200"/>
        <w:rPr>
          <w:rFonts w:hint="eastAsia" w:ascii="宋体" w:hAnsi="宋体" w:eastAsia="宋体" w:cs="宋体"/>
          <w:color w:val="auto"/>
          <w:sz w:val="21"/>
          <w:szCs w:val="21"/>
        </w:rPr>
      </w:pPr>
      <w:r>
        <w:rPr>
          <w:rFonts w:hint="eastAsia" w:ascii="宋体" w:hAnsi="宋体" w:eastAsia="宋体" w:cs="宋体"/>
          <w:color w:val="auto"/>
          <w:sz w:val="21"/>
          <w:szCs w:val="21"/>
        </w:rPr>
        <w:t>34.合同授予标准</w:t>
      </w:r>
    </w:p>
    <w:p w14:paraId="7177C741">
      <w:pPr>
        <w:pStyle w:val="6"/>
        <w:keepNext w:val="0"/>
        <w:keepLines w:val="0"/>
        <w:numPr>
          <w:ilvl w:val="4"/>
          <w:numId w:val="4"/>
        </w:numPr>
        <w:wordWrap w:val="0"/>
        <w:snapToGrid w:val="0"/>
        <w:spacing w:before="0" w:after="0" w:line="44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合同将授予被确定实质上响应招标文件要求，具备履行合同能力的中标人。</w:t>
      </w:r>
    </w:p>
    <w:p w14:paraId="1B23F57D">
      <w:pPr>
        <w:pStyle w:val="6"/>
        <w:keepNext w:val="0"/>
        <w:keepLines w:val="0"/>
        <w:numPr>
          <w:ilvl w:val="4"/>
          <w:numId w:val="4"/>
        </w:numPr>
        <w:wordWrap w:val="0"/>
        <w:snapToGrid w:val="0"/>
        <w:spacing w:before="0" w:after="0" w:line="440" w:lineRule="exact"/>
        <w:ind w:firstLine="422" w:firstLineChars="200"/>
        <w:rPr>
          <w:rFonts w:hint="eastAsia" w:ascii="宋体" w:hAnsi="宋体" w:eastAsia="宋体" w:cs="宋体"/>
          <w:color w:val="auto"/>
          <w:sz w:val="21"/>
          <w:szCs w:val="21"/>
        </w:rPr>
      </w:pPr>
      <w:r>
        <w:rPr>
          <w:rFonts w:hint="eastAsia" w:ascii="宋体" w:hAnsi="宋体" w:eastAsia="宋体" w:cs="宋体"/>
          <w:color w:val="auto"/>
          <w:sz w:val="21"/>
          <w:szCs w:val="21"/>
        </w:rPr>
        <w:t>35.履约保证金</w:t>
      </w:r>
    </w:p>
    <w:p w14:paraId="4D8D6D0A">
      <w:pPr>
        <w:pStyle w:val="6"/>
        <w:keepNext w:val="0"/>
        <w:keepLines w:val="0"/>
        <w:numPr>
          <w:ilvl w:val="4"/>
          <w:numId w:val="4"/>
        </w:numPr>
        <w:wordWrap w:val="0"/>
        <w:spacing w:before="0" w:after="0" w:line="440" w:lineRule="exact"/>
        <w:ind w:firstLine="315" w:firstLineChars="150"/>
        <w:rPr>
          <w:rFonts w:hint="eastAsia" w:ascii="宋体" w:hAnsi="宋体" w:eastAsia="宋体" w:cs="宋体"/>
          <w:b w:val="0"/>
          <w:color w:val="auto"/>
          <w:sz w:val="21"/>
          <w:szCs w:val="21"/>
        </w:rPr>
      </w:pPr>
      <w:bookmarkStart w:id="199" w:name="_39.1中标人须于签订合同前按本须知前附表规定的金额转账或电汇到指定账"/>
      <w:bookmarkEnd w:id="199"/>
      <w:r>
        <w:rPr>
          <w:rFonts w:hint="eastAsia" w:ascii="宋体" w:hAnsi="宋体" w:eastAsia="宋体" w:cs="宋体"/>
          <w:b w:val="0"/>
          <w:color w:val="auto"/>
          <w:sz w:val="21"/>
          <w:szCs w:val="21"/>
        </w:rPr>
        <w:t xml:space="preserve"> 35.1 履约保证金的金额、提交方式、退付的时间和条件详见“投标人须知前附表”。中标人未按规定提交履约保证金的，视为拒绝与采购人签订合同。</w:t>
      </w:r>
    </w:p>
    <w:p w14:paraId="459CEE0D">
      <w:pPr>
        <w:pStyle w:val="6"/>
        <w:keepNext w:val="0"/>
        <w:keepLines w:val="0"/>
        <w:numPr>
          <w:ilvl w:val="4"/>
          <w:numId w:val="4"/>
        </w:numPr>
        <w:wordWrap w:val="0"/>
        <w:spacing w:before="0" w:after="0" w:line="440" w:lineRule="exact"/>
        <w:ind w:firstLine="315" w:firstLineChars="150"/>
        <w:rPr>
          <w:rFonts w:hint="eastAsia" w:ascii="宋体" w:hAnsi="宋体" w:eastAsia="宋体" w:cs="宋体"/>
          <w:color w:val="auto"/>
          <w:sz w:val="21"/>
          <w:szCs w:val="21"/>
        </w:rPr>
      </w:pPr>
      <w:r>
        <w:rPr>
          <w:rFonts w:hint="eastAsia" w:ascii="宋体" w:hAnsi="宋体" w:eastAsia="宋体" w:cs="宋体"/>
          <w:b w:val="0"/>
          <w:bCs/>
          <w:color w:val="auto"/>
          <w:sz w:val="21"/>
          <w:szCs w:val="21"/>
        </w:rPr>
        <w:t>35.2在履约保证金退还日期前，若中标人的开户名称、开户银行、帐号有变动的，请以书面形式通知履约保证金收取单位，否则由此产生的后果由中标人自行承担。</w:t>
      </w:r>
    </w:p>
    <w:p w14:paraId="30654543">
      <w:pPr>
        <w:pStyle w:val="6"/>
        <w:keepNext w:val="0"/>
        <w:keepLines w:val="0"/>
        <w:numPr>
          <w:ilvl w:val="4"/>
          <w:numId w:val="4"/>
        </w:numPr>
        <w:wordWrap w:val="0"/>
        <w:spacing w:before="0" w:after="0" w:line="440" w:lineRule="exact"/>
        <w:ind w:firstLine="422" w:firstLineChars="200"/>
        <w:rPr>
          <w:rFonts w:hint="eastAsia" w:ascii="宋体" w:hAnsi="宋体" w:eastAsia="宋体" w:cs="宋体"/>
          <w:b w:val="0"/>
          <w:color w:val="auto"/>
          <w:sz w:val="21"/>
          <w:szCs w:val="21"/>
        </w:rPr>
      </w:pPr>
      <w:bookmarkStart w:id="200" w:name="OLE_LINK158"/>
      <w:bookmarkStart w:id="201" w:name="OLE_LINK155"/>
      <w:r>
        <w:rPr>
          <w:rFonts w:hint="eastAsia" w:ascii="宋体" w:hAnsi="宋体" w:eastAsia="宋体" w:cs="宋体"/>
          <w:color w:val="auto"/>
          <w:sz w:val="21"/>
          <w:szCs w:val="21"/>
        </w:rPr>
        <w:t>36.签订合同</w:t>
      </w:r>
      <w:bookmarkStart w:id="202" w:name="_40.1投标人接到中标通知书后，按须知前附表规定向采购人出示相关资格证"/>
      <w:bookmarkEnd w:id="202"/>
    </w:p>
    <w:bookmarkEnd w:id="200"/>
    <w:bookmarkEnd w:id="201"/>
    <w:p w14:paraId="381EDB54">
      <w:pPr>
        <w:pStyle w:val="6"/>
        <w:keepNext w:val="0"/>
        <w:keepLines w:val="0"/>
        <w:numPr>
          <w:ilvl w:val="4"/>
          <w:numId w:val="4"/>
        </w:numPr>
        <w:wordWrap w:val="0"/>
        <w:spacing w:before="0" w:after="0" w:line="44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bCs/>
          <w:color w:val="auto"/>
          <w:sz w:val="21"/>
          <w:szCs w:val="21"/>
        </w:rPr>
        <w:t>36.1</w:t>
      </w:r>
      <w:r>
        <w:rPr>
          <w:rFonts w:hint="eastAsia" w:ascii="宋体" w:hAnsi="宋体" w:eastAsia="宋体" w:cs="宋体"/>
          <w:b w:val="0"/>
          <w:color w:val="auto"/>
          <w:sz w:val="21"/>
          <w:szCs w:val="21"/>
        </w:rPr>
        <w:t>线下签订纸质合同：投标人领取中标通知书后，按“投标人须知前附表”规定向采购人出示相关证明材料，经采购人核验合格后方可签订合同。</w:t>
      </w:r>
      <w:r>
        <w:rPr>
          <w:rFonts w:hint="eastAsia" w:ascii="宋体" w:hAnsi="宋体" w:eastAsia="宋体" w:cs="宋体"/>
          <w:color w:val="auto"/>
          <w:kern w:val="0"/>
          <w:sz w:val="21"/>
          <w:szCs w:val="21"/>
          <w:lang w:val="zh-CN"/>
        </w:rPr>
        <w:t>如中标人为联合体的，由联合体成员各方法定代表人或其授权代表与采购人代表签订合同。</w:t>
      </w:r>
    </w:p>
    <w:p w14:paraId="12D10401">
      <w:pPr>
        <w:pStyle w:val="6"/>
        <w:keepNext w:val="0"/>
        <w:keepLines w:val="0"/>
        <w:numPr>
          <w:ilvl w:val="0"/>
          <w:numId w:val="0"/>
        </w:numPr>
        <w:wordWrap w:val="0"/>
        <w:spacing w:before="0" w:after="0" w:line="44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36.2签订合同时间：按中标通知书规定的时间与采购人签订合同。</w:t>
      </w:r>
    </w:p>
    <w:p w14:paraId="77934FB6">
      <w:pPr>
        <w:pStyle w:val="6"/>
        <w:keepNext w:val="0"/>
        <w:keepLines w:val="0"/>
        <w:numPr>
          <w:ilvl w:val="4"/>
          <w:numId w:val="4"/>
        </w:numPr>
        <w:wordWrap w:val="0"/>
        <w:spacing w:before="0" w:after="0" w:line="44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36.3中标人拒绝签订政府采购合同（包括但不限于放弃中标、因不可抗力不能履行合同而放弃签订合同），采购人可以按照评审报告推荐的中标候选人名单排序，确定下一候选人为中标</w:t>
      </w:r>
      <w:r>
        <w:rPr>
          <w:rFonts w:hint="eastAsia" w:ascii="宋体" w:hAnsi="宋体" w:eastAsia="宋体" w:cs="宋体"/>
          <w:b w:val="0"/>
          <w:color w:val="auto"/>
          <w:sz w:val="21"/>
          <w:szCs w:val="21"/>
        </w:rPr>
        <w:t>投标人</w:t>
      </w:r>
      <w:r>
        <w:rPr>
          <w:rFonts w:hint="eastAsia" w:ascii="宋体" w:hAnsi="宋体" w:eastAsia="宋体" w:cs="宋体"/>
          <w:b w:val="0"/>
          <w:color w:val="auto"/>
          <w:sz w:val="21"/>
          <w:szCs w:val="21"/>
        </w:rPr>
        <w:t>，也可以重新开展政府采购活动。如采购人无正当理由拒签合同的，给中标</w:t>
      </w:r>
      <w:r>
        <w:rPr>
          <w:rFonts w:hint="eastAsia" w:ascii="宋体" w:hAnsi="宋体" w:eastAsia="宋体" w:cs="宋体"/>
          <w:b w:val="0"/>
          <w:color w:val="auto"/>
          <w:sz w:val="21"/>
          <w:szCs w:val="21"/>
        </w:rPr>
        <w:t>投标人</w:t>
      </w:r>
      <w:r>
        <w:rPr>
          <w:rFonts w:hint="eastAsia" w:ascii="宋体" w:hAnsi="宋体" w:eastAsia="宋体" w:cs="宋体"/>
          <w:b w:val="0"/>
          <w:color w:val="auto"/>
          <w:sz w:val="21"/>
          <w:szCs w:val="21"/>
        </w:rPr>
        <w:t>造成损失的，中标</w:t>
      </w:r>
      <w:r>
        <w:rPr>
          <w:rFonts w:hint="eastAsia" w:ascii="宋体" w:hAnsi="宋体" w:eastAsia="宋体" w:cs="宋体"/>
          <w:b w:val="0"/>
          <w:color w:val="auto"/>
          <w:sz w:val="21"/>
          <w:szCs w:val="21"/>
        </w:rPr>
        <w:t>投标人</w:t>
      </w:r>
      <w:r>
        <w:rPr>
          <w:rFonts w:hint="eastAsia" w:ascii="宋体" w:hAnsi="宋体" w:eastAsia="宋体" w:cs="宋体"/>
          <w:b w:val="0"/>
          <w:color w:val="auto"/>
          <w:sz w:val="21"/>
          <w:szCs w:val="21"/>
        </w:rPr>
        <w:t>可追究采购人承担相应的法律责任。</w:t>
      </w:r>
    </w:p>
    <w:p w14:paraId="6965DF8B">
      <w:pPr>
        <w:wordWrap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36.4政府采购合同是政府采购项目验收的依据，中标</w:t>
      </w:r>
      <w:r>
        <w:rPr>
          <w:rFonts w:hint="eastAsia" w:ascii="宋体" w:hAnsi="宋体" w:eastAsia="宋体" w:cs="宋体"/>
          <w:color w:val="auto"/>
          <w:szCs w:val="21"/>
        </w:rPr>
        <w:t>投标人</w:t>
      </w:r>
      <w:r>
        <w:rPr>
          <w:rFonts w:hint="eastAsia" w:ascii="宋体" w:hAnsi="宋体" w:eastAsia="宋体" w:cs="宋体"/>
          <w:color w:val="auto"/>
          <w:szCs w:val="21"/>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43DBD07">
      <w:pPr>
        <w:wordWrap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36.5采购人或中标</w:t>
      </w:r>
      <w:r>
        <w:rPr>
          <w:rFonts w:hint="eastAsia" w:ascii="宋体" w:hAnsi="宋体" w:eastAsia="宋体" w:cs="宋体"/>
          <w:color w:val="auto"/>
          <w:szCs w:val="21"/>
        </w:rPr>
        <w:t>投标人</w:t>
      </w:r>
      <w:r>
        <w:rPr>
          <w:rFonts w:hint="eastAsia" w:ascii="宋体" w:hAnsi="宋体" w:eastAsia="宋体" w:cs="宋体"/>
          <w:color w:val="auto"/>
          <w:szCs w:val="21"/>
        </w:rPr>
        <w:t>不得单方面向合同另一方提出任何招标文件没有约定的条件或不合理的要求，作为签订合同的条件；也不得协商另行订立背离招标文件和合同实质性内容的协议。</w:t>
      </w:r>
    </w:p>
    <w:p w14:paraId="4F896DBD">
      <w:pPr>
        <w:wordWrap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36.6如签订合同并生效后，</w:t>
      </w:r>
      <w:r>
        <w:rPr>
          <w:rFonts w:hint="eastAsia" w:ascii="宋体" w:hAnsi="宋体" w:eastAsia="宋体" w:cs="宋体"/>
          <w:color w:val="auto"/>
          <w:szCs w:val="21"/>
        </w:rPr>
        <w:t>投标人</w:t>
      </w:r>
      <w:r>
        <w:rPr>
          <w:rFonts w:hint="eastAsia" w:ascii="宋体" w:hAnsi="宋体" w:eastAsia="宋体" w:cs="宋体"/>
          <w:color w:val="auto"/>
          <w:szCs w:val="21"/>
        </w:rPr>
        <w:t>无故拒绝或延期，除按照合同条款处理外，将承担相应的法律责任。</w:t>
      </w:r>
    </w:p>
    <w:p w14:paraId="6643CE57">
      <w:pPr>
        <w:wordWrap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36.7政府采购合同履行中，采购人需追加与合同标的相同的货物、工程或者服务的，在不改变合同其他条款的前提下，可以与</w:t>
      </w:r>
      <w:r>
        <w:rPr>
          <w:rFonts w:hint="eastAsia" w:ascii="宋体" w:hAnsi="宋体" w:eastAsia="宋体" w:cs="宋体"/>
          <w:color w:val="auto"/>
          <w:szCs w:val="21"/>
        </w:rPr>
        <w:t>投标人</w:t>
      </w:r>
      <w:r>
        <w:rPr>
          <w:rFonts w:hint="eastAsia" w:ascii="宋体" w:hAnsi="宋体" w:eastAsia="宋体" w:cs="宋体"/>
          <w:color w:val="auto"/>
          <w:szCs w:val="21"/>
        </w:rPr>
        <w:t>协商签订补充合同，但所有补充合同的采购金额不得超过原合同采购金额的10%。</w:t>
      </w:r>
      <w:bookmarkStart w:id="203" w:name="_41.政府采购合同公告"/>
      <w:bookmarkEnd w:id="203"/>
    </w:p>
    <w:p w14:paraId="524FC1E9">
      <w:pPr>
        <w:wordWrap w:val="0"/>
        <w:spacing w:line="440" w:lineRule="exact"/>
        <w:ind w:firstLine="420" w:firstLineChars="200"/>
        <w:outlineLvl w:val="2"/>
        <w:rPr>
          <w:rFonts w:hint="eastAsia" w:ascii="宋体" w:hAnsi="宋体" w:eastAsia="宋体" w:cs="宋体"/>
          <w:color w:val="auto"/>
          <w:szCs w:val="21"/>
        </w:rPr>
      </w:pPr>
      <w:r>
        <w:rPr>
          <w:rFonts w:hint="eastAsia" w:ascii="宋体" w:hAnsi="宋体" w:eastAsia="宋体" w:cs="宋体"/>
          <w:color w:val="auto"/>
          <w:szCs w:val="21"/>
        </w:rPr>
        <w:t>37.政府采购合同公告</w:t>
      </w:r>
    </w:p>
    <w:p w14:paraId="58CEED79">
      <w:pPr>
        <w:wordWrap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采购人或者受托采购代理机构应当自政府采购合同签订之日起</w:t>
      </w:r>
      <w:r>
        <w:rPr>
          <w:rFonts w:hint="eastAsia" w:ascii="宋体" w:hAnsi="宋体" w:eastAsia="宋体" w:cs="宋体"/>
          <w:color w:val="auto"/>
          <w:szCs w:val="21"/>
        </w:rPr>
        <w:t>2个工作日内，将政府采购合同在省级以上人民政府财政部门指定的媒体上公告，但政府采购合同中涉及国家秘密、商业秘密的内容除外。</w:t>
      </w:r>
    </w:p>
    <w:p w14:paraId="15790F08">
      <w:pPr>
        <w:wordWrap w:val="0"/>
        <w:spacing w:line="440" w:lineRule="exact"/>
        <w:ind w:firstLine="420" w:firstLineChars="200"/>
        <w:outlineLvl w:val="2"/>
        <w:rPr>
          <w:rFonts w:hint="eastAsia" w:ascii="宋体" w:hAnsi="宋体" w:eastAsia="宋体" w:cs="宋体"/>
          <w:color w:val="auto"/>
          <w:szCs w:val="21"/>
        </w:rPr>
      </w:pPr>
      <w:r>
        <w:rPr>
          <w:rFonts w:hint="eastAsia" w:ascii="宋体" w:hAnsi="宋体" w:eastAsia="宋体" w:cs="宋体"/>
          <w:color w:val="auto"/>
          <w:szCs w:val="21"/>
        </w:rPr>
        <w:t xml:space="preserve">38. </w:t>
      </w:r>
      <w:r>
        <w:rPr>
          <w:rFonts w:hint="eastAsia" w:ascii="宋体" w:hAnsi="宋体" w:eastAsia="宋体" w:cs="宋体"/>
          <w:color w:val="auto"/>
          <w:szCs w:val="21"/>
        </w:rPr>
        <w:t>询问、质疑和投诉</w:t>
      </w:r>
    </w:p>
    <w:p w14:paraId="604251BD">
      <w:pPr>
        <w:wordWrap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38.1</w:t>
      </w:r>
      <w:r>
        <w:rPr>
          <w:rFonts w:hint="eastAsia" w:ascii="宋体" w:hAnsi="宋体" w:eastAsia="宋体" w:cs="宋体"/>
          <w:color w:val="auto"/>
          <w:szCs w:val="21"/>
        </w:rPr>
        <w:t>投标人</w:t>
      </w:r>
      <w:r>
        <w:rPr>
          <w:rFonts w:hint="eastAsia" w:ascii="宋体" w:hAnsi="宋体" w:eastAsia="宋体" w:cs="宋体"/>
          <w:color w:val="auto"/>
          <w:szCs w:val="21"/>
        </w:rPr>
        <w:t>对政府采购活动事项有疑问的，可以向采购人提出询问，采购人或者采购代理机构应当在3个工作日内对</w:t>
      </w:r>
      <w:r>
        <w:rPr>
          <w:rFonts w:hint="eastAsia" w:ascii="宋体" w:hAnsi="宋体" w:eastAsia="宋体" w:cs="宋体"/>
          <w:color w:val="auto"/>
          <w:szCs w:val="21"/>
        </w:rPr>
        <w:t>投标人</w:t>
      </w:r>
      <w:r>
        <w:rPr>
          <w:rFonts w:hint="eastAsia" w:ascii="宋体" w:hAnsi="宋体" w:eastAsia="宋体" w:cs="宋体"/>
          <w:color w:val="auto"/>
          <w:szCs w:val="21"/>
        </w:rPr>
        <w:t>依法提出的询问作出答复，但答复的内容不得涉及商业秘密。</w:t>
      </w:r>
    </w:p>
    <w:p w14:paraId="6B46A376">
      <w:pPr>
        <w:pStyle w:val="6"/>
        <w:keepNext w:val="0"/>
        <w:keepLines w:val="0"/>
        <w:numPr>
          <w:ilvl w:val="4"/>
          <w:numId w:val="4"/>
        </w:numPr>
        <w:wordWrap w:val="0"/>
        <w:spacing w:before="0" w:after="0" w:line="440" w:lineRule="exact"/>
        <w:ind w:firstLine="315" w:firstLineChars="150"/>
        <w:rPr>
          <w:rFonts w:hint="eastAsia" w:ascii="宋体" w:hAnsi="宋体" w:eastAsia="宋体" w:cs="宋体"/>
          <w:b w:val="0"/>
          <w:color w:val="auto"/>
          <w:sz w:val="21"/>
          <w:szCs w:val="21"/>
        </w:rPr>
      </w:pPr>
      <w:r>
        <w:rPr>
          <w:rFonts w:hint="eastAsia" w:ascii="宋体" w:hAnsi="宋体" w:eastAsia="宋体" w:cs="宋体"/>
          <w:b w:val="0"/>
          <w:color w:val="auto"/>
          <w:sz w:val="21"/>
          <w:szCs w:val="21"/>
        </w:rPr>
        <w:t xml:space="preserve"> 38.2</w:t>
      </w:r>
      <w:r>
        <w:rPr>
          <w:rFonts w:hint="eastAsia" w:ascii="宋体" w:hAnsi="宋体" w:eastAsia="宋体" w:cs="宋体"/>
          <w:b w:val="0"/>
          <w:color w:val="auto"/>
          <w:sz w:val="21"/>
          <w:szCs w:val="21"/>
        </w:rPr>
        <w:t>投标人</w:t>
      </w:r>
      <w:r>
        <w:rPr>
          <w:rFonts w:hint="eastAsia" w:ascii="宋体" w:hAnsi="宋体" w:eastAsia="宋体" w:cs="宋体"/>
          <w:b w:val="0"/>
          <w:color w:val="auto"/>
          <w:sz w:val="21"/>
          <w:szCs w:val="21"/>
        </w:rPr>
        <w:t>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w:t>
      </w:r>
    </w:p>
    <w:p w14:paraId="0FF9E3FA">
      <w:pPr>
        <w:pStyle w:val="25"/>
        <w:wordWrap w:val="0"/>
        <w:snapToGrid w:val="0"/>
        <w:spacing w:line="440" w:lineRule="exact"/>
        <w:ind w:firstLine="420" w:firstLineChars="200"/>
        <w:rPr>
          <w:rFonts w:hint="eastAsia" w:ascii="宋体" w:hAnsi="宋体" w:eastAsia="宋体" w:cs="宋体"/>
          <w:color w:val="auto"/>
          <w:sz w:val="21"/>
        </w:rPr>
      </w:pPr>
      <w:r>
        <w:rPr>
          <w:rFonts w:hint="eastAsia" w:ascii="宋体" w:hAnsi="宋体" w:eastAsia="宋体" w:cs="宋体"/>
          <w:color w:val="auto"/>
          <w:sz w:val="21"/>
        </w:rPr>
        <w:t>（</w:t>
      </w:r>
      <w:r>
        <w:rPr>
          <w:rFonts w:hint="eastAsia" w:ascii="宋体" w:hAnsi="宋体" w:eastAsia="宋体" w:cs="宋体"/>
          <w:color w:val="auto"/>
          <w:sz w:val="21"/>
        </w:rPr>
        <w:t>1）对可以质疑的招标文件提出质疑的，为收到招标文件之日或者招标文件公告期限届满之日；</w:t>
      </w:r>
    </w:p>
    <w:p w14:paraId="00AB95E9">
      <w:pPr>
        <w:pStyle w:val="25"/>
        <w:wordWrap w:val="0"/>
        <w:snapToGrid w:val="0"/>
        <w:spacing w:line="440" w:lineRule="exact"/>
        <w:ind w:firstLine="420" w:firstLineChars="200"/>
        <w:rPr>
          <w:rFonts w:hint="eastAsia" w:ascii="宋体" w:hAnsi="宋体" w:eastAsia="宋体" w:cs="宋体"/>
          <w:color w:val="auto"/>
          <w:sz w:val="21"/>
        </w:rPr>
      </w:pPr>
      <w:r>
        <w:rPr>
          <w:rFonts w:hint="eastAsia" w:ascii="宋体" w:hAnsi="宋体" w:eastAsia="宋体" w:cs="宋体"/>
          <w:color w:val="auto"/>
          <w:sz w:val="21"/>
        </w:rPr>
        <w:t>（</w:t>
      </w:r>
      <w:r>
        <w:rPr>
          <w:rFonts w:hint="eastAsia" w:ascii="宋体" w:hAnsi="宋体" w:eastAsia="宋体" w:cs="宋体"/>
          <w:color w:val="auto"/>
          <w:sz w:val="21"/>
        </w:rPr>
        <w:t>2）对采购过程提出质疑的，为各采购程序环节结束之日；</w:t>
      </w:r>
    </w:p>
    <w:p w14:paraId="51A2C5F0">
      <w:pPr>
        <w:pStyle w:val="25"/>
        <w:wordWrap w:val="0"/>
        <w:snapToGrid w:val="0"/>
        <w:spacing w:line="440" w:lineRule="exact"/>
        <w:ind w:firstLine="420" w:firstLineChars="200"/>
        <w:rPr>
          <w:rFonts w:hint="eastAsia" w:ascii="宋体" w:hAnsi="宋体" w:eastAsia="宋体" w:cs="宋体"/>
          <w:color w:val="auto"/>
          <w:sz w:val="21"/>
        </w:rPr>
      </w:pPr>
      <w:r>
        <w:rPr>
          <w:rFonts w:hint="eastAsia" w:ascii="宋体" w:hAnsi="宋体" w:eastAsia="宋体" w:cs="宋体"/>
          <w:color w:val="auto"/>
          <w:sz w:val="21"/>
        </w:rPr>
        <w:t>（</w:t>
      </w:r>
      <w:r>
        <w:rPr>
          <w:rFonts w:hint="eastAsia" w:ascii="宋体" w:hAnsi="宋体" w:eastAsia="宋体" w:cs="宋体"/>
          <w:color w:val="auto"/>
          <w:sz w:val="21"/>
        </w:rPr>
        <w:t>3）对中标结果提出质疑的，为中标结果公告期限届满之日。</w:t>
      </w:r>
    </w:p>
    <w:p w14:paraId="6C906E2A">
      <w:pPr>
        <w:pStyle w:val="25"/>
        <w:wordWrap w:val="0"/>
        <w:snapToGrid w:val="0"/>
        <w:spacing w:line="440" w:lineRule="exact"/>
        <w:ind w:firstLine="420" w:firstLineChars="200"/>
        <w:rPr>
          <w:rFonts w:hint="eastAsia" w:ascii="宋体" w:hAnsi="宋体" w:eastAsia="宋体" w:cs="宋体"/>
          <w:color w:val="auto"/>
          <w:sz w:val="21"/>
        </w:rPr>
      </w:pPr>
      <w:r>
        <w:rPr>
          <w:rFonts w:hint="eastAsia" w:ascii="宋体" w:hAnsi="宋体" w:eastAsia="宋体" w:cs="宋体"/>
          <w:color w:val="auto"/>
          <w:sz w:val="21"/>
        </w:rPr>
        <w:t xml:space="preserve">38.3 </w:t>
      </w:r>
      <w:r>
        <w:rPr>
          <w:rFonts w:hint="eastAsia" w:ascii="宋体" w:hAnsi="宋体" w:eastAsia="宋体" w:cs="宋体"/>
          <w:bCs/>
          <w:color w:val="auto"/>
          <w:sz w:val="21"/>
        </w:rPr>
        <w:t>投标人提出质疑应当提交质疑函和必要的证明材料，针对同一采购程序环节的质疑必须在法定质疑期内一次性提出。质疑函应当包括下列内容（质疑函格式后附）：</w:t>
      </w:r>
    </w:p>
    <w:p w14:paraId="7BDF2EBA">
      <w:pPr>
        <w:pStyle w:val="25"/>
        <w:wordWrap w:val="0"/>
        <w:snapToGrid w:val="0"/>
        <w:spacing w:line="440" w:lineRule="exact"/>
        <w:ind w:firstLine="420" w:firstLineChars="200"/>
        <w:rPr>
          <w:rFonts w:hint="eastAsia" w:ascii="宋体" w:hAnsi="宋体" w:eastAsia="宋体" w:cs="宋体"/>
          <w:bCs/>
          <w:color w:val="auto"/>
          <w:sz w:val="21"/>
        </w:rPr>
      </w:pPr>
      <w:r>
        <w:rPr>
          <w:rFonts w:hint="eastAsia" w:ascii="宋体" w:hAnsi="宋体" w:eastAsia="宋体" w:cs="宋体"/>
          <w:bCs/>
          <w:color w:val="auto"/>
          <w:sz w:val="21"/>
        </w:rPr>
        <w:t>（</w:t>
      </w:r>
      <w:r>
        <w:rPr>
          <w:rFonts w:hint="eastAsia" w:ascii="宋体" w:hAnsi="宋体" w:eastAsia="宋体" w:cs="宋体"/>
          <w:bCs/>
          <w:color w:val="auto"/>
          <w:sz w:val="21"/>
        </w:rPr>
        <w:t>1）</w:t>
      </w:r>
      <w:r>
        <w:rPr>
          <w:rFonts w:hint="eastAsia" w:ascii="宋体" w:hAnsi="宋体" w:eastAsia="宋体" w:cs="宋体"/>
          <w:bCs/>
          <w:color w:val="auto"/>
          <w:sz w:val="21"/>
        </w:rPr>
        <w:t>投标人</w:t>
      </w:r>
      <w:r>
        <w:rPr>
          <w:rFonts w:hint="eastAsia" w:ascii="宋体" w:hAnsi="宋体" w:eastAsia="宋体" w:cs="宋体"/>
          <w:bCs/>
          <w:color w:val="auto"/>
          <w:sz w:val="21"/>
        </w:rPr>
        <w:t>的姓名或者名称、地址、邮编、联系人及联系电话；</w:t>
      </w:r>
    </w:p>
    <w:p w14:paraId="3C107DF2">
      <w:pPr>
        <w:pStyle w:val="25"/>
        <w:wordWrap w:val="0"/>
        <w:snapToGrid w:val="0"/>
        <w:spacing w:line="440" w:lineRule="exact"/>
        <w:ind w:firstLine="420" w:firstLineChars="200"/>
        <w:rPr>
          <w:rFonts w:hint="eastAsia" w:ascii="宋体" w:hAnsi="宋体" w:eastAsia="宋体" w:cs="宋体"/>
          <w:bCs/>
          <w:color w:val="auto"/>
          <w:sz w:val="21"/>
        </w:rPr>
      </w:pPr>
      <w:r>
        <w:rPr>
          <w:rFonts w:hint="eastAsia" w:ascii="宋体" w:hAnsi="宋体" w:eastAsia="宋体" w:cs="宋体"/>
          <w:bCs/>
          <w:color w:val="auto"/>
          <w:sz w:val="21"/>
        </w:rPr>
        <w:t>（</w:t>
      </w:r>
      <w:r>
        <w:rPr>
          <w:rFonts w:hint="eastAsia" w:ascii="宋体" w:hAnsi="宋体" w:eastAsia="宋体" w:cs="宋体"/>
          <w:bCs/>
          <w:color w:val="auto"/>
          <w:sz w:val="21"/>
        </w:rPr>
        <w:t>2）质疑项目的名称、编号；</w:t>
      </w:r>
    </w:p>
    <w:p w14:paraId="5FBC87CD">
      <w:pPr>
        <w:pStyle w:val="25"/>
        <w:wordWrap w:val="0"/>
        <w:snapToGrid w:val="0"/>
        <w:spacing w:line="440" w:lineRule="exact"/>
        <w:ind w:firstLine="420" w:firstLineChars="200"/>
        <w:rPr>
          <w:rFonts w:hint="eastAsia" w:ascii="宋体" w:hAnsi="宋体" w:eastAsia="宋体" w:cs="宋体"/>
          <w:bCs/>
          <w:color w:val="auto"/>
          <w:sz w:val="21"/>
        </w:rPr>
      </w:pPr>
      <w:r>
        <w:rPr>
          <w:rFonts w:hint="eastAsia" w:ascii="宋体" w:hAnsi="宋体" w:eastAsia="宋体" w:cs="宋体"/>
          <w:bCs/>
          <w:color w:val="auto"/>
          <w:sz w:val="21"/>
        </w:rPr>
        <w:t>（</w:t>
      </w:r>
      <w:r>
        <w:rPr>
          <w:rFonts w:hint="eastAsia" w:ascii="宋体" w:hAnsi="宋体" w:eastAsia="宋体" w:cs="宋体"/>
          <w:bCs/>
          <w:color w:val="auto"/>
          <w:sz w:val="21"/>
        </w:rPr>
        <w:t>3）具体、明确的质疑事项和与质疑事项相关的请求；</w:t>
      </w:r>
    </w:p>
    <w:p w14:paraId="5EB2A9F9">
      <w:pPr>
        <w:pStyle w:val="25"/>
        <w:wordWrap w:val="0"/>
        <w:snapToGrid w:val="0"/>
        <w:spacing w:line="440" w:lineRule="exact"/>
        <w:ind w:firstLine="420" w:firstLineChars="200"/>
        <w:rPr>
          <w:rFonts w:hint="eastAsia" w:ascii="宋体" w:hAnsi="宋体" w:eastAsia="宋体" w:cs="宋体"/>
          <w:bCs/>
          <w:color w:val="auto"/>
          <w:sz w:val="21"/>
        </w:rPr>
      </w:pPr>
      <w:r>
        <w:rPr>
          <w:rFonts w:hint="eastAsia" w:ascii="宋体" w:hAnsi="宋体" w:eastAsia="宋体" w:cs="宋体"/>
          <w:bCs/>
          <w:color w:val="auto"/>
          <w:sz w:val="21"/>
        </w:rPr>
        <w:t>（</w:t>
      </w:r>
      <w:r>
        <w:rPr>
          <w:rFonts w:hint="eastAsia" w:ascii="宋体" w:hAnsi="宋体" w:eastAsia="宋体" w:cs="宋体"/>
          <w:bCs/>
          <w:color w:val="auto"/>
          <w:sz w:val="21"/>
        </w:rPr>
        <w:t>4）事实依据；</w:t>
      </w:r>
    </w:p>
    <w:p w14:paraId="072FA1E2">
      <w:pPr>
        <w:pStyle w:val="25"/>
        <w:wordWrap w:val="0"/>
        <w:snapToGrid w:val="0"/>
        <w:spacing w:line="440" w:lineRule="exact"/>
        <w:ind w:firstLine="420" w:firstLineChars="200"/>
        <w:rPr>
          <w:rFonts w:hint="eastAsia" w:ascii="宋体" w:hAnsi="宋体" w:eastAsia="宋体" w:cs="宋体"/>
          <w:bCs/>
          <w:color w:val="auto"/>
          <w:sz w:val="21"/>
        </w:rPr>
      </w:pPr>
      <w:r>
        <w:rPr>
          <w:rFonts w:hint="eastAsia" w:ascii="宋体" w:hAnsi="宋体" w:eastAsia="宋体" w:cs="宋体"/>
          <w:bCs/>
          <w:color w:val="auto"/>
          <w:sz w:val="21"/>
        </w:rPr>
        <w:t>（</w:t>
      </w:r>
      <w:r>
        <w:rPr>
          <w:rFonts w:hint="eastAsia" w:ascii="宋体" w:hAnsi="宋体" w:eastAsia="宋体" w:cs="宋体"/>
          <w:bCs/>
          <w:color w:val="auto"/>
          <w:sz w:val="21"/>
        </w:rPr>
        <w:t>5）必要的法律依据；</w:t>
      </w:r>
    </w:p>
    <w:p w14:paraId="49620835">
      <w:pPr>
        <w:pStyle w:val="25"/>
        <w:wordWrap w:val="0"/>
        <w:snapToGrid w:val="0"/>
        <w:spacing w:line="440" w:lineRule="exact"/>
        <w:ind w:firstLine="420" w:firstLineChars="200"/>
        <w:rPr>
          <w:rFonts w:hint="eastAsia" w:ascii="宋体" w:hAnsi="宋体" w:eastAsia="宋体" w:cs="宋体"/>
          <w:bCs/>
          <w:color w:val="auto"/>
          <w:sz w:val="21"/>
        </w:rPr>
      </w:pPr>
      <w:r>
        <w:rPr>
          <w:rFonts w:hint="eastAsia" w:ascii="宋体" w:hAnsi="宋体" w:eastAsia="宋体" w:cs="宋体"/>
          <w:bCs/>
          <w:color w:val="auto"/>
          <w:sz w:val="21"/>
        </w:rPr>
        <w:t>（</w:t>
      </w:r>
      <w:r>
        <w:rPr>
          <w:rFonts w:hint="eastAsia" w:ascii="宋体" w:hAnsi="宋体" w:eastAsia="宋体" w:cs="宋体"/>
          <w:bCs/>
          <w:color w:val="auto"/>
          <w:sz w:val="21"/>
        </w:rPr>
        <w:t>6）提出质疑的日期。</w:t>
      </w:r>
    </w:p>
    <w:p w14:paraId="50E1C06E">
      <w:pPr>
        <w:pStyle w:val="25"/>
        <w:wordWrap w:val="0"/>
        <w:snapToGrid w:val="0"/>
        <w:spacing w:line="440" w:lineRule="exact"/>
        <w:ind w:firstLine="420" w:firstLineChars="200"/>
        <w:rPr>
          <w:rFonts w:hint="eastAsia" w:ascii="宋体" w:hAnsi="宋体" w:eastAsia="宋体" w:cs="宋体"/>
          <w:bCs/>
          <w:color w:val="auto"/>
          <w:sz w:val="21"/>
        </w:rPr>
      </w:pPr>
      <w:r>
        <w:rPr>
          <w:rFonts w:hint="eastAsia" w:ascii="宋体" w:hAnsi="宋体" w:eastAsia="宋体" w:cs="宋体"/>
          <w:bCs/>
          <w:color w:val="auto"/>
          <w:sz w:val="21"/>
        </w:rPr>
        <w:t>投标人为自然人的，应当由本人签字；投标人为法人或者其他组织的，应当由法定代表人、主要负责人，或者其委托代理人签字或者盖章，并加盖公章。</w:t>
      </w:r>
    </w:p>
    <w:p w14:paraId="7FA01A5E">
      <w:pPr>
        <w:pStyle w:val="6"/>
        <w:keepNext w:val="0"/>
        <w:keepLines w:val="0"/>
        <w:numPr>
          <w:ilvl w:val="4"/>
          <w:numId w:val="4"/>
        </w:numPr>
        <w:wordWrap w:val="0"/>
        <w:snapToGrid w:val="0"/>
        <w:spacing w:before="0" w:after="0" w:line="440" w:lineRule="exact"/>
        <w:ind w:firstLine="420" w:firstLineChars="200"/>
        <w:rPr>
          <w:rFonts w:hint="eastAsia" w:ascii="宋体" w:hAnsi="宋体" w:eastAsia="宋体" w:cs="宋体"/>
          <w:b w:val="0"/>
          <w:bCs/>
          <w:color w:val="auto"/>
          <w:sz w:val="21"/>
          <w:szCs w:val="21"/>
        </w:rPr>
      </w:pPr>
      <w:r>
        <w:rPr>
          <w:rFonts w:hint="eastAsia" w:ascii="宋体" w:hAnsi="宋体" w:eastAsia="宋体" w:cs="宋体"/>
          <w:b w:val="0"/>
          <w:color w:val="auto"/>
          <w:sz w:val="21"/>
          <w:szCs w:val="21"/>
        </w:rPr>
        <w:t>3</w:t>
      </w:r>
      <w:r>
        <w:rPr>
          <w:rFonts w:hint="eastAsia" w:ascii="宋体" w:hAnsi="宋体" w:eastAsia="宋体" w:cs="宋体"/>
          <w:b w:val="0"/>
          <w:bCs/>
          <w:color w:val="auto"/>
          <w:sz w:val="21"/>
          <w:szCs w:val="21"/>
        </w:rPr>
        <w:t>8.4采购人、采购代理机构认为</w:t>
      </w:r>
      <w:r>
        <w:rPr>
          <w:rFonts w:hint="eastAsia" w:ascii="宋体" w:hAnsi="宋体" w:eastAsia="宋体" w:cs="宋体"/>
          <w:b w:val="0"/>
          <w:bCs/>
          <w:color w:val="auto"/>
          <w:sz w:val="21"/>
          <w:szCs w:val="21"/>
        </w:rPr>
        <w:t>投标人</w:t>
      </w:r>
      <w:r>
        <w:rPr>
          <w:rFonts w:hint="eastAsia" w:ascii="宋体" w:hAnsi="宋体" w:eastAsia="宋体" w:cs="宋体"/>
          <w:b w:val="0"/>
          <w:bCs/>
          <w:color w:val="auto"/>
          <w:sz w:val="21"/>
          <w:szCs w:val="21"/>
        </w:rPr>
        <w:t>质疑不成立，或者成立但未对中标结果构成影响的，继续开展采购活动；认为</w:t>
      </w:r>
      <w:r>
        <w:rPr>
          <w:rFonts w:hint="eastAsia" w:ascii="宋体" w:hAnsi="宋体" w:eastAsia="宋体" w:cs="宋体"/>
          <w:b w:val="0"/>
          <w:bCs/>
          <w:color w:val="auto"/>
          <w:sz w:val="21"/>
          <w:szCs w:val="21"/>
        </w:rPr>
        <w:t>投标人</w:t>
      </w:r>
      <w:r>
        <w:rPr>
          <w:rFonts w:hint="eastAsia" w:ascii="宋体" w:hAnsi="宋体" w:eastAsia="宋体" w:cs="宋体"/>
          <w:b w:val="0"/>
          <w:bCs/>
          <w:color w:val="auto"/>
          <w:sz w:val="21"/>
          <w:szCs w:val="21"/>
        </w:rPr>
        <w:t>质疑成立且影响或者可能影响中标结果的，按照下列情况处理：</w:t>
      </w:r>
    </w:p>
    <w:p w14:paraId="3C208342">
      <w:pPr>
        <w:pStyle w:val="6"/>
        <w:keepNext w:val="0"/>
        <w:keepLines w:val="0"/>
        <w:numPr>
          <w:ilvl w:val="4"/>
          <w:numId w:val="4"/>
        </w:numPr>
        <w:wordWrap w:val="0"/>
        <w:snapToGrid w:val="0"/>
        <w:spacing w:before="0" w:after="0" w:line="440" w:lineRule="exact"/>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（一）对招标文件提出的质疑，依法通过澄清或者修改可以继续开展采购活动的，澄清或者修改招标文件后继续开展采购活动；否则应当修改招标文件后重新开展采购活动。</w:t>
      </w:r>
    </w:p>
    <w:p w14:paraId="46583F3C">
      <w:pPr>
        <w:pStyle w:val="6"/>
        <w:keepNext w:val="0"/>
        <w:keepLines w:val="0"/>
        <w:numPr>
          <w:ilvl w:val="4"/>
          <w:numId w:val="4"/>
        </w:numPr>
        <w:wordWrap w:val="0"/>
        <w:snapToGrid w:val="0"/>
        <w:spacing w:before="0" w:after="0" w:line="440" w:lineRule="exact"/>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（二）对采购过程、中标结果提出的质疑，合格投标人符合法定数量时，可以从合格的中标候选人中另行确定中标投标人的，应当依法另行确定中标投标人；否则应当重新开展采购活动。</w:t>
      </w:r>
    </w:p>
    <w:p w14:paraId="427ECCD8">
      <w:pPr>
        <w:pStyle w:val="6"/>
        <w:keepNext w:val="0"/>
        <w:keepLines w:val="0"/>
        <w:numPr>
          <w:ilvl w:val="4"/>
          <w:numId w:val="4"/>
        </w:numPr>
        <w:wordWrap w:val="0"/>
        <w:snapToGrid w:val="0"/>
        <w:spacing w:before="0" w:after="0" w:line="44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bCs/>
          <w:color w:val="auto"/>
          <w:sz w:val="21"/>
          <w:szCs w:val="21"/>
        </w:rPr>
        <w:t>质疑答复导致中标结果改变的，采购人或者采购代理机构应当将有关情况书面报告本级财政部门。</w:t>
      </w:r>
    </w:p>
    <w:p w14:paraId="15855177">
      <w:pPr>
        <w:pStyle w:val="6"/>
        <w:keepNext w:val="0"/>
        <w:keepLines w:val="0"/>
        <w:numPr>
          <w:ilvl w:val="4"/>
          <w:numId w:val="4"/>
        </w:numPr>
        <w:wordWrap w:val="0"/>
        <w:snapToGrid w:val="0"/>
        <w:spacing w:before="0" w:after="0" w:line="440" w:lineRule="exact"/>
        <w:ind w:firstLine="420" w:firstLineChars="200"/>
        <w:rPr>
          <w:rFonts w:hint="eastAsia" w:ascii="宋体" w:hAnsi="宋体" w:eastAsia="宋体" w:cs="宋体"/>
          <w:color w:val="auto"/>
          <w:sz w:val="21"/>
          <w:szCs w:val="21"/>
        </w:rPr>
      </w:pPr>
      <w:r>
        <w:rPr>
          <w:rFonts w:hint="eastAsia" w:ascii="宋体" w:hAnsi="宋体" w:eastAsia="宋体" w:cs="宋体"/>
          <w:b w:val="0"/>
          <w:color w:val="auto"/>
          <w:sz w:val="21"/>
          <w:szCs w:val="21"/>
        </w:rPr>
        <w:t>38.5质疑</w:t>
      </w:r>
      <w:r>
        <w:rPr>
          <w:rFonts w:hint="eastAsia" w:ascii="宋体" w:hAnsi="宋体" w:eastAsia="宋体" w:cs="宋体"/>
          <w:b w:val="0"/>
          <w:color w:val="auto"/>
          <w:sz w:val="21"/>
          <w:szCs w:val="21"/>
        </w:rPr>
        <w:t>投标人</w:t>
      </w:r>
      <w:r>
        <w:rPr>
          <w:rFonts w:hint="eastAsia" w:ascii="宋体" w:hAnsi="宋体" w:eastAsia="宋体" w:cs="宋体"/>
          <w:b w:val="0"/>
          <w:color w:val="auto"/>
          <w:sz w:val="21"/>
          <w:szCs w:val="21"/>
        </w:rPr>
        <w:t>对采购人、采购代理机构的答复不满意，或者采购人、采购代理机构未在规定时间内作出答复的，可以在答复期满后15个工作日内向《政府采购质疑和投诉办法》（财政部令第94号）第六条规定的财政部门提起投诉（投诉书格式后附）。投诉方式及联系事项等信息详见“投标人须知前附表”。</w:t>
      </w:r>
    </w:p>
    <w:p w14:paraId="3692F149">
      <w:pPr>
        <w:spacing w:before="120" w:beforeLines="50" w:line="360" w:lineRule="auto"/>
        <w:jc w:val="center"/>
        <w:outlineLvl w:val="1"/>
        <w:rPr>
          <w:rFonts w:hint="eastAsia" w:ascii="宋体" w:hAnsi="宋体" w:eastAsia="宋体" w:cs="宋体"/>
          <w:b/>
          <w:color w:val="auto"/>
          <w:sz w:val="24"/>
          <w:szCs w:val="32"/>
        </w:rPr>
      </w:pPr>
      <w:r>
        <w:rPr>
          <w:rFonts w:hint="eastAsia" w:ascii="宋体" w:hAnsi="宋体" w:eastAsia="宋体" w:cs="宋体"/>
          <w:b/>
          <w:color w:val="auto"/>
          <w:sz w:val="24"/>
          <w:szCs w:val="32"/>
        </w:rPr>
        <w:t>八、其他事项</w:t>
      </w:r>
      <w:bookmarkStart w:id="204" w:name="_42.代理服务费"/>
      <w:bookmarkEnd w:id="204"/>
    </w:p>
    <w:p w14:paraId="3E3F5A0E">
      <w:pPr>
        <w:pStyle w:val="6"/>
        <w:keepNext w:val="0"/>
        <w:keepLines w:val="0"/>
        <w:numPr>
          <w:ilvl w:val="4"/>
          <w:numId w:val="4"/>
        </w:numPr>
        <w:wordWrap w:val="0"/>
        <w:snapToGrid w:val="0"/>
        <w:spacing w:before="0" w:after="0" w:line="44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39.代理服务费</w:t>
      </w:r>
    </w:p>
    <w:p w14:paraId="1F6EB171">
      <w:pPr>
        <w:pStyle w:val="6"/>
        <w:keepNext w:val="0"/>
        <w:keepLines w:val="0"/>
        <w:numPr>
          <w:ilvl w:val="4"/>
          <w:numId w:val="4"/>
        </w:numPr>
        <w:wordWrap w:val="0"/>
        <w:snapToGrid w:val="0"/>
        <w:spacing w:before="0" w:after="0" w:line="440" w:lineRule="exact"/>
        <w:ind w:firstLine="420" w:firstLine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39.1</w:t>
      </w:r>
      <w:r>
        <w:rPr>
          <w:rFonts w:hint="eastAsia" w:ascii="宋体" w:hAnsi="宋体" w:eastAsia="宋体" w:cs="宋体"/>
          <w:b w:val="0"/>
          <w:color w:val="auto"/>
          <w:kern w:val="0"/>
          <w:sz w:val="21"/>
          <w:szCs w:val="21"/>
        </w:rPr>
        <w:t>采购代理费支付方式、采购代理费收取标准、</w:t>
      </w:r>
      <w:r>
        <w:rPr>
          <w:rFonts w:hint="eastAsia" w:ascii="宋体" w:hAnsi="宋体" w:eastAsia="宋体" w:cs="宋体"/>
          <w:b w:val="0"/>
          <w:color w:val="auto"/>
          <w:sz w:val="21"/>
          <w:szCs w:val="21"/>
        </w:rPr>
        <w:t>采购代理费收取银行账户详见“投标人须知前附表”，投标人为联合体的，可以由联合体中的一方或者多方共同交纳代理服务费。</w:t>
      </w:r>
    </w:p>
    <w:p w14:paraId="7499F42B">
      <w:pPr>
        <w:wordWrap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39.2至中标通知书发出后，招标代理流程即完成，后续由中标人（含原中标人）投标文件原因导致质疑、响应提供虚假材料、合同履约引起的项目废标，该费用不予退还。</w:t>
      </w:r>
    </w:p>
    <w:p w14:paraId="513917B2">
      <w:pPr>
        <w:wordWrap w:val="0"/>
        <w:spacing w:line="440" w:lineRule="exact"/>
        <w:ind w:firstLine="422" w:firstLineChars="200"/>
        <w:outlineLvl w:val="2"/>
        <w:rPr>
          <w:rFonts w:hint="eastAsia" w:ascii="宋体" w:hAnsi="宋体" w:eastAsia="宋体" w:cs="宋体"/>
          <w:b/>
          <w:color w:val="auto"/>
          <w:szCs w:val="21"/>
        </w:rPr>
      </w:pPr>
      <w:r>
        <w:rPr>
          <w:rFonts w:hint="eastAsia" w:ascii="宋体" w:hAnsi="宋体" w:eastAsia="宋体" w:cs="宋体"/>
          <w:b/>
          <w:color w:val="auto"/>
          <w:szCs w:val="21"/>
        </w:rPr>
        <w:t xml:space="preserve">40. </w:t>
      </w:r>
      <w:r>
        <w:rPr>
          <w:rFonts w:hint="eastAsia" w:ascii="宋体" w:hAnsi="宋体" w:eastAsia="宋体" w:cs="宋体"/>
          <w:b/>
          <w:color w:val="auto"/>
          <w:szCs w:val="21"/>
        </w:rPr>
        <w:t>需要补充的其他内容</w:t>
      </w:r>
    </w:p>
    <w:p w14:paraId="164EEE18">
      <w:pPr>
        <w:wordWrap w:val="0"/>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40.1本招标文件解释规则详见“投标人须知前附表”。</w:t>
      </w:r>
    </w:p>
    <w:p w14:paraId="6D10CDCE">
      <w:pPr>
        <w:pStyle w:val="25"/>
        <w:wordWrap w:val="0"/>
        <w:spacing w:line="440" w:lineRule="exact"/>
        <w:ind w:firstLine="420" w:firstLineChars="200"/>
        <w:rPr>
          <w:rFonts w:hint="eastAsia" w:ascii="宋体" w:hAnsi="宋体" w:eastAsia="宋体" w:cs="宋体"/>
          <w:color w:val="auto"/>
          <w:sz w:val="21"/>
        </w:rPr>
      </w:pPr>
      <w:r>
        <w:rPr>
          <w:rFonts w:hint="eastAsia" w:ascii="宋体" w:hAnsi="宋体" w:eastAsia="宋体" w:cs="宋体"/>
          <w:color w:val="auto"/>
          <w:sz w:val="21"/>
        </w:rPr>
        <w:t xml:space="preserve">40.2 </w:t>
      </w:r>
      <w:r>
        <w:rPr>
          <w:rFonts w:hint="eastAsia" w:ascii="宋体" w:hAnsi="宋体" w:eastAsia="宋体" w:cs="宋体"/>
          <w:color w:val="auto"/>
          <w:sz w:val="21"/>
        </w:rPr>
        <w:t>其他事项详见“投标人须知前附表”。</w:t>
      </w:r>
    </w:p>
    <w:p w14:paraId="38B455CB">
      <w:pPr>
        <w:pStyle w:val="25"/>
        <w:wordWrap w:val="0"/>
        <w:spacing w:line="440" w:lineRule="exact"/>
        <w:ind w:firstLine="420" w:firstLineChars="200"/>
        <w:rPr>
          <w:rFonts w:hint="eastAsia" w:ascii="宋体" w:hAnsi="宋体" w:eastAsia="宋体" w:cs="宋体"/>
          <w:color w:val="auto"/>
        </w:rPr>
      </w:pPr>
      <w:r>
        <w:rPr>
          <w:rFonts w:hint="eastAsia" w:ascii="宋体" w:hAnsi="宋体" w:eastAsia="宋体" w:cs="宋体"/>
          <w:color w:val="auto"/>
          <w:sz w:val="21"/>
        </w:rPr>
        <w:t>40.3如因联合体或广西政采云系统导致无法电子签章，可线下盖公章扫描上传，即按照要求盖公章或电子签章均与认可。</w:t>
      </w:r>
    </w:p>
    <w:p w14:paraId="794C0D42">
      <w:pPr>
        <w:pStyle w:val="25"/>
        <w:wordWrap w:val="0"/>
        <w:spacing w:line="440" w:lineRule="exact"/>
        <w:ind w:firstLine="420" w:firstLineChars="200"/>
        <w:rPr>
          <w:rFonts w:hint="eastAsia" w:ascii="宋体" w:hAnsi="宋体" w:eastAsia="宋体" w:cs="宋体"/>
          <w:color w:val="auto"/>
          <w:sz w:val="21"/>
        </w:rPr>
      </w:pPr>
      <w:r>
        <w:rPr>
          <w:rFonts w:hint="eastAsia" w:ascii="宋体" w:hAnsi="宋体" w:eastAsia="宋体" w:cs="宋体"/>
          <w:color w:val="auto"/>
          <w:sz w:val="21"/>
        </w:rPr>
        <w:t>40.</w:t>
      </w:r>
      <w:r>
        <w:rPr>
          <w:rFonts w:hint="eastAsia" w:ascii="宋体" w:hAnsi="宋体" w:eastAsia="宋体" w:cs="宋体"/>
          <w:color w:val="auto"/>
          <w:sz w:val="21"/>
        </w:rPr>
        <w:t>4如由于询问、质疑和投诉、验收环节，需要核实关于投标文件中的相关证明材料，投标人必须按照要求配合，否则按照虚假材料认定，并报告本级财政部门进行核实并按照规定作出相关处罚。</w:t>
      </w:r>
    </w:p>
    <w:p w14:paraId="75A585E0">
      <w:pPr>
        <w:pStyle w:val="25"/>
        <w:wordWrap w:val="0"/>
        <w:spacing w:line="440" w:lineRule="exact"/>
        <w:ind w:firstLine="420" w:firstLineChars="200"/>
        <w:rPr>
          <w:rFonts w:hint="eastAsia" w:ascii="宋体" w:hAnsi="宋体" w:eastAsia="宋体" w:cs="宋体"/>
          <w:color w:val="auto"/>
          <w:sz w:val="21"/>
        </w:rPr>
      </w:pPr>
      <w:bookmarkStart w:id="205" w:name="_Hlk65857140"/>
      <w:r>
        <w:rPr>
          <w:rFonts w:hint="eastAsia" w:ascii="宋体" w:hAnsi="宋体" w:eastAsia="宋体" w:cs="宋体"/>
          <w:color w:val="auto"/>
          <w:sz w:val="21"/>
        </w:rPr>
        <w:t>40.</w:t>
      </w:r>
      <w:r>
        <w:rPr>
          <w:rFonts w:hint="eastAsia" w:ascii="宋体" w:hAnsi="宋体" w:eastAsia="宋体" w:cs="宋体"/>
          <w:color w:val="auto"/>
          <w:sz w:val="21"/>
        </w:rPr>
        <w:t>5</w:t>
      </w:r>
      <w:r>
        <w:rPr>
          <w:rFonts w:hint="eastAsia" w:ascii="宋体" w:hAnsi="宋体" w:eastAsia="宋体" w:cs="宋体"/>
          <w:color w:val="auto"/>
          <w:sz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宋体" w:hAnsi="宋体" w:eastAsia="宋体" w:cs="宋体"/>
          <w:color w:val="auto"/>
          <w:sz w:val="21"/>
        </w:rPr>
        <w:t>投标人</w:t>
      </w:r>
      <w:r>
        <w:rPr>
          <w:rFonts w:hint="eastAsia" w:ascii="宋体" w:hAnsi="宋体" w:eastAsia="宋体" w:cs="宋体"/>
          <w:color w:val="auto"/>
          <w:sz w:val="21"/>
        </w:rPr>
        <w:t>提供的货物、工程或者服务符合下列情形的，享受本招标文件规定的中小企业扶持政策：</w:t>
      </w:r>
    </w:p>
    <w:p w14:paraId="6A0DC79A">
      <w:pPr>
        <w:pStyle w:val="25"/>
        <w:wordWrap w:val="0"/>
        <w:spacing w:line="440" w:lineRule="exact"/>
        <w:ind w:firstLine="420" w:firstLineChars="200"/>
        <w:rPr>
          <w:rFonts w:hint="eastAsia" w:ascii="宋体" w:hAnsi="宋体" w:eastAsia="宋体" w:cs="宋体"/>
          <w:color w:val="auto"/>
          <w:sz w:val="21"/>
        </w:rPr>
      </w:pPr>
      <w:r>
        <w:rPr>
          <w:rFonts w:hint="eastAsia" w:ascii="宋体" w:hAnsi="宋体" w:eastAsia="宋体" w:cs="宋体"/>
          <w:color w:val="auto"/>
          <w:sz w:val="21"/>
        </w:rPr>
        <w:t>（</w:t>
      </w:r>
      <w:r>
        <w:rPr>
          <w:rFonts w:hint="eastAsia" w:ascii="宋体" w:hAnsi="宋体" w:eastAsia="宋体" w:cs="宋体"/>
          <w:color w:val="auto"/>
          <w:sz w:val="21"/>
        </w:rPr>
        <w:t>1）在货物采购项目中，货物由中小企业制造，即货物由中小企业生产且使用该中小企业商号或者注册商标，不对其中涉及的工程承建商和服务的承接商作出要求；</w:t>
      </w:r>
    </w:p>
    <w:p w14:paraId="2DAF4812">
      <w:pPr>
        <w:pStyle w:val="25"/>
        <w:wordWrap w:val="0"/>
        <w:spacing w:line="440" w:lineRule="exact"/>
        <w:ind w:firstLine="420" w:firstLineChars="200"/>
        <w:rPr>
          <w:rFonts w:hint="eastAsia" w:ascii="宋体" w:hAnsi="宋体" w:eastAsia="宋体" w:cs="宋体"/>
          <w:color w:val="auto"/>
          <w:sz w:val="21"/>
        </w:rPr>
      </w:pPr>
      <w:r>
        <w:rPr>
          <w:rFonts w:hint="eastAsia" w:ascii="宋体" w:hAnsi="宋体" w:eastAsia="宋体" w:cs="宋体"/>
          <w:color w:val="auto"/>
          <w:sz w:val="21"/>
        </w:rPr>
        <w:t>（</w:t>
      </w:r>
      <w:r>
        <w:rPr>
          <w:rFonts w:hint="eastAsia" w:ascii="宋体" w:hAnsi="宋体" w:eastAsia="宋体" w:cs="宋体"/>
          <w:color w:val="auto"/>
          <w:sz w:val="21"/>
        </w:rPr>
        <w:t>2）在工程采购项目中，工程由中小企业承建，即工程施工单位为中小企业，不对其中涉及的货物的制造商和服务的承接商作出要求；</w:t>
      </w:r>
    </w:p>
    <w:p w14:paraId="386CAE4F">
      <w:pPr>
        <w:pStyle w:val="25"/>
        <w:wordWrap w:val="0"/>
        <w:spacing w:line="440" w:lineRule="exact"/>
        <w:ind w:firstLine="420" w:firstLineChars="200"/>
        <w:rPr>
          <w:rFonts w:hint="eastAsia" w:ascii="宋体" w:hAnsi="宋体" w:eastAsia="宋体" w:cs="宋体"/>
          <w:color w:val="auto"/>
          <w:sz w:val="21"/>
        </w:rPr>
      </w:pPr>
      <w:r>
        <w:rPr>
          <w:rFonts w:hint="eastAsia" w:ascii="宋体" w:hAnsi="宋体" w:eastAsia="宋体" w:cs="宋体"/>
          <w:color w:val="auto"/>
          <w:sz w:val="21"/>
        </w:rPr>
        <w:t>（</w:t>
      </w:r>
      <w:r>
        <w:rPr>
          <w:rFonts w:hint="eastAsia" w:ascii="宋体" w:hAnsi="宋体" w:eastAsia="宋体" w:cs="宋体"/>
          <w:color w:val="auto"/>
          <w:sz w:val="21"/>
        </w:rPr>
        <w:t>3）在服务采购项目中，服务由中小企业承接，即提供服务的人员为中小企业依照《中华人民共和国劳动合同法》订立劳动合同的从业人员，不对其中涉及的货物的制造商和工程承建商作出要求。</w:t>
      </w:r>
    </w:p>
    <w:p w14:paraId="3C67E963">
      <w:pPr>
        <w:pStyle w:val="25"/>
        <w:wordWrap w:val="0"/>
        <w:spacing w:line="440" w:lineRule="exact"/>
        <w:ind w:firstLine="420" w:firstLineChars="200"/>
        <w:rPr>
          <w:rFonts w:hint="eastAsia" w:ascii="宋体" w:hAnsi="宋体" w:eastAsia="宋体" w:cs="宋体"/>
          <w:color w:val="auto"/>
          <w:sz w:val="21"/>
        </w:rPr>
      </w:pPr>
      <w:r>
        <w:rPr>
          <w:rFonts w:hint="eastAsia" w:ascii="宋体" w:hAnsi="宋体" w:eastAsia="宋体" w:cs="宋体"/>
          <w:color w:val="auto"/>
          <w:sz w:val="21"/>
        </w:rPr>
        <w:t>在货物采购项目中，投标人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797148E3">
      <w:pPr>
        <w:pStyle w:val="25"/>
        <w:wordWrap w:val="0"/>
        <w:spacing w:line="440" w:lineRule="exact"/>
        <w:ind w:firstLine="420" w:firstLineChars="200"/>
        <w:rPr>
          <w:rFonts w:hint="eastAsia" w:ascii="宋体" w:hAnsi="宋体" w:eastAsia="宋体" w:cs="宋体"/>
          <w:color w:val="auto"/>
          <w:sz w:val="21"/>
        </w:rPr>
      </w:pPr>
      <w:r>
        <w:rPr>
          <w:rFonts w:hint="eastAsia" w:ascii="宋体" w:hAnsi="宋体" w:eastAsia="宋体" w:cs="宋体"/>
          <w:color w:val="auto"/>
          <w:sz w:val="21"/>
        </w:rPr>
        <w:t>依据本招标文件规定享受扶持政策获得政府采购合同的，小微企业不得将合同分包给大中型企业，中型企业不得将合同分包给大型企业。</w:t>
      </w:r>
      <w:bookmarkEnd w:id="205"/>
    </w:p>
    <w:p w14:paraId="0A062913">
      <w:pPr>
        <w:pStyle w:val="25"/>
        <w:wordWrap w:val="0"/>
        <w:spacing w:line="440" w:lineRule="exact"/>
        <w:ind w:firstLine="400" w:firstLineChars="200"/>
        <w:contextualSpacing/>
        <w:rPr>
          <w:rFonts w:hint="eastAsia" w:ascii="宋体" w:hAnsi="宋体" w:eastAsia="宋体" w:cs="宋体"/>
          <w:color w:val="auto"/>
        </w:rPr>
      </w:pPr>
    </w:p>
    <w:p w14:paraId="29627414">
      <w:pPr>
        <w:pStyle w:val="2"/>
        <w:keepNext w:val="0"/>
        <w:keepLines w:val="0"/>
        <w:tabs>
          <w:tab w:val="left" w:pos="0"/>
          <w:tab w:val="left" w:pos="3165"/>
          <w:tab w:val="center" w:pos="4153"/>
        </w:tabs>
        <w:autoSpaceDE w:val="0"/>
        <w:autoSpaceDN w:val="0"/>
        <w:adjustRightInd w:val="0"/>
        <w:spacing w:before="0" w:after="0" w:line="360" w:lineRule="auto"/>
        <w:rPr>
          <w:rFonts w:hint="eastAsia" w:ascii="宋体" w:hAnsi="宋体" w:eastAsia="宋体" w:cs="宋体"/>
          <w:color w:val="auto"/>
        </w:rPr>
      </w:pPr>
      <w:bookmarkStart w:id="206" w:name="_Toc254970548"/>
      <w:bookmarkStart w:id="207" w:name="_Toc330456896"/>
      <w:bookmarkStart w:id="208" w:name="_Toc254970689"/>
      <w:r>
        <w:rPr>
          <w:rFonts w:hint="eastAsia" w:ascii="宋体" w:hAnsi="宋体" w:eastAsia="宋体" w:cs="宋体"/>
          <w:color w:val="auto"/>
        </w:rPr>
        <w:br w:type="page"/>
      </w:r>
      <w:bookmarkStart w:id="209" w:name="_Toc148453335"/>
      <w:r>
        <w:rPr>
          <w:rFonts w:hint="eastAsia" w:ascii="宋体" w:hAnsi="宋体" w:eastAsia="宋体" w:cs="宋体"/>
          <w:color w:val="auto"/>
        </w:rPr>
        <w:t>第四章 评标方法及评标标准</w:t>
      </w:r>
      <w:bookmarkEnd w:id="206"/>
      <w:bookmarkEnd w:id="207"/>
      <w:bookmarkEnd w:id="208"/>
      <w:bookmarkEnd w:id="209"/>
    </w:p>
    <w:p w14:paraId="410BE341">
      <w:pPr>
        <w:pStyle w:val="25"/>
        <w:spacing w:line="360" w:lineRule="auto"/>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一、评标方法</w:t>
      </w:r>
    </w:p>
    <w:p w14:paraId="001A131A">
      <w:pPr>
        <w:pStyle w:val="25"/>
        <w:wordWrap w:val="0"/>
        <w:spacing w:line="360" w:lineRule="auto"/>
        <w:ind w:firstLine="420"/>
        <w:rPr>
          <w:rFonts w:hint="eastAsia" w:ascii="宋体" w:hAnsi="宋体" w:eastAsia="宋体" w:cs="宋体"/>
          <w:color w:val="auto"/>
          <w:sz w:val="21"/>
        </w:rPr>
      </w:pPr>
      <w:r>
        <w:rPr>
          <w:rFonts w:hint="eastAsia" w:ascii="宋体" w:hAnsi="宋体" w:eastAsia="宋体" w:cs="宋体"/>
          <w:color w:val="auto"/>
          <w:sz w:val="21"/>
        </w:rPr>
        <w:t>综合评分法，是指投标文件满足招标文件全部实质性要求，且按照评审因素的量化指标评审得分最高的投标人为中标候选人的评标方法。</w:t>
      </w:r>
    </w:p>
    <w:p w14:paraId="035B81CC">
      <w:pPr>
        <w:pStyle w:val="25"/>
        <w:spacing w:line="360" w:lineRule="auto"/>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二、评标程序</w:t>
      </w:r>
    </w:p>
    <w:p w14:paraId="688F2F2C">
      <w:pPr>
        <w:wordWrap w:val="0"/>
        <w:spacing w:line="360" w:lineRule="auto"/>
        <w:ind w:firstLine="422" w:firstLineChars="200"/>
        <w:outlineLvl w:val="2"/>
        <w:rPr>
          <w:rFonts w:hint="eastAsia" w:ascii="宋体" w:hAnsi="宋体" w:eastAsia="宋体" w:cs="宋体"/>
          <w:b/>
          <w:color w:val="auto"/>
          <w:szCs w:val="21"/>
        </w:rPr>
      </w:pPr>
      <w:r>
        <w:rPr>
          <w:rFonts w:hint="eastAsia" w:ascii="宋体" w:hAnsi="宋体" w:eastAsia="宋体" w:cs="宋体"/>
          <w:b/>
          <w:color w:val="auto"/>
          <w:szCs w:val="21"/>
        </w:rPr>
        <w:t>1.符合性审查</w:t>
      </w:r>
    </w:p>
    <w:p w14:paraId="58119ECF">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评标委员会应当对符合资格的投标人的投标文件进行投标报价、商务、技术等实质性内容符合性审查，以确定其是否满足招标文件的实质性要求。</w:t>
      </w:r>
    </w:p>
    <w:p w14:paraId="37064D82">
      <w:pPr>
        <w:wordWrap w:val="0"/>
        <w:spacing w:line="360" w:lineRule="auto"/>
        <w:ind w:firstLine="422" w:firstLineChars="200"/>
        <w:outlineLvl w:val="2"/>
        <w:rPr>
          <w:rFonts w:hint="eastAsia" w:ascii="宋体" w:hAnsi="宋体" w:eastAsia="宋体" w:cs="宋体"/>
          <w:b/>
          <w:color w:val="auto"/>
          <w:szCs w:val="21"/>
        </w:rPr>
      </w:pPr>
      <w:r>
        <w:rPr>
          <w:rFonts w:hint="eastAsia" w:ascii="宋体" w:hAnsi="宋体" w:eastAsia="宋体" w:cs="宋体"/>
          <w:b/>
          <w:color w:val="auto"/>
          <w:szCs w:val="21"/>
        </w:rPr>
        <w:t>2.符合性审查不通过而导致投标无效的情形</w:t>
      </w:r>
    </w:p>
    <w:p w14:paraId="07D833B2">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投标人的投标文件中存在对招标文件的任何实质性要求和条件的负偏离，将被视为投标无效。</w:t>
      </w:r>
    </w:p>
    <w:p w14:paraId="0C43E160">
      <w:pPr>
        <w:wordWrap w:val="0"/>
        <w:spacing w:line="360" w:lineRule="auto"/>
        <w:ind w:firstLine="420" w:firstLineChars="200"/>
        <w:outlineLvl w:val="3"/>
        <w:rPr>
          <w:rFonts w:hint="eastAsia" w:ascii="宋体" w:hAnsi="宋体" w:eastAsia="宋体" w:cs="宋体"/>
          <w:color w:val="auto"/>
          <w:szCs w:val="21"/>
        </w:rPr>
      </w:pPr>
      <w:r>
        <w:rPr>
          <w:rFonts w:hint="eastAsia" w:ascii="宋体" w:hAnsi="宋体" w:eastAsia="宋体" w:cs="宋体"/>
          <w:color w:val="auto"/>
          <w:szCs w:val="21"/>
        </w:rPr>
        <w:t>2.1在报价评审时，如发现下列情形之一的，将被视为投标无效：</w:t>
      </w:r>
    </w:p>
    <w:p w14:paraId="2329CBB6">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1）报价文件未提供“投标人须知前附表”第13.1条规定中“必须提供”的文件资料的；</w:t>
      </w:r>
    </w:p>
    <w:p w14:paraId="1578C290">
      <w:pPr>
        <w:wordWrap w:val="0"/>
        <w:spacing w:line="360" w:lineRule="auto"/>
        <w:ind w:firstLine="420" w:firstLineChars="200"/>
        <w:outlineLvl w:val="4"/>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2）未采用人民币报价或者未按照招标文件标明的币种报价的；</w:t>
      </w:r>
    </w:p>
    <w:p w14:paraId="54CCBFB0">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3）各分标报价超出招标文件相应分标规定最高限价，或者超出相应分标采购预算金额的；</w:t>
      </w:r>
    </w:p>
    <w:p w14:paraId="4DE2B7AD">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4）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0DAD418A">
      <w:pPr>
        <w:wordWrap w:val="0"/>
        <w:spacing w:line="360" w:lineRule="auto"/>
        <w:ind w:firstLine="420" w:firstLineChars="200"/>
        <w:outlineLvl w:val="4"/>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5）修正后的报价，投标人不确认的；</w:t>
      </w:r>
    </w:p>
    <w:p w14:paraId="4AB80EDE">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6）投标人属于本章第5.1条（2）或者第5.2条（2）项情形的；</w:t>
      </w:r>
    </w:p>
    <w:p w14:paraId="121F3C48">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7）报价文件响应的标的数量及单位与招标文件要求实质性不一致的。</w:t>
      </w:r>
    </w:p>
    <w:p w14:paraId="535863A2">
      <w:pPr>
        <w:wordWrap w:val="0"/>
        <w:spacing w:line="360" w:lineRule="auto"/>
        <w:ind w:firstLine="420" w:firstLineChars="200"/>
        <w:outlineLvl w:val="3"/>
        <w:rPr>
          <w:rFonts w:hint="eastAsia" w:ascii="宋体" w:hAnsi="宋体" w:eastAsia="宋体" w:cs="宋体"/>
          <w:color w:val="auto"/>
          <w:szCs w:val="21"/>
        </w:rPr>
      </w:pPr>
      <w:r>
        <w:rPr>
          <w:rFonts w:hint="eastAsia" w:ascii="宋体" w:hAnsi="宋体" w:eastAsia="宋体" w:cs="宋体"/>
          <w:color w:val="auto"/>
          <w:szCs w:val="21"/>
        </w:rPr>
        <w:t>2.2在商务评审时，如发现下列情形之一的，将被视为投标无效：</w:t>
      </w:r>
    </w:p>
    <w:p w14:paraId="00F310A7">
      <w:pPr>
        <w:wordWrap w:val="0"/>
        <w:spacing w:line="360" w:lineRule="auto"/>
        <w:ind w:firstLine="420" w:firstLineChars="200"/>
        <w:outlineLvl w:val="4"/>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1）投标文件未按招标文件要求签署、盖章的；</w:t>
      </w:r>
    </w:p>
    <w:p w14:paraId="07D27F22">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2）委托代理人未能出具有效身份证或者出具的身份证与授权委托书中的信息不符的；</w:t>
      </w:r>
    </w:p>
    <w:p w14:paraId="3163F220">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3）为无效投标保证金的或者未按照招标文件的规定提交投标保证金的；</w:t>
      </w:r>
    </w:p>
    <w:p w14:paraId="624C927F">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4）投标文件未提供“投标人须知前附表”第13.1条规定中“必须提供”或者“委托时必须提供”的文件资料的；</w:t>
      </w:r>
    </w:p>
    <w:p w14:paraId="2E9D04AA">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w:t>
      </w:r>
      <w:r>
        <w:rPr>
          <w:rFonts w:hint="eastAsia" w:ascii="宋体" w:hAnsi="宋体" w:eastAsia="宋体" w:cs="宋体"/>
          <w:color w:val="auto"/>
          <w:szCs w:val="21"/>
        </w:rPr>
        <w:t>）投标文件的实质性内容未使用中文表述、使用计量单位不符合招标文件要求的；</w:t>
      </w:r>
    </w:p>
    <w:p w14:paraId="58C8CCEA">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（6</w:t>
      </w:r>
      <w:r>
        <w:rPr>
          <w:rFonts w:hint="eastAsia" w:ascii="宋体" w:hAnsi="宋体" w:eastAsia="宋体" w:cs="宋体"/>
          <w:color w:val="auto"/>
          <w:szCs w:val="21"/>
        </w:rPr>
        <w:t>）投标文件中的文件资料因填写不齐全或者内容虚假或者出现其他情形而导致被评标委员会认定无效的；</w:t>
      </w:r>
    </w:p>
    <w:p w14:paraId="2A6A2113">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w:t>
      </w:r>
      <w:r>
        <w:rPr>
          <w:rFonts w:hint="eastAsia" w:ascii="宋体" w:hAnsi="宋体" w:eastAsia="宋体" w:cs="宋体"/>
          <w:color w:val="auto"/>
          <w:szCs w:val="21"/>
        </w:rPr>
        <w:t>）投标文件含有采购人不能接受的附加条件的；</w:t>
      </w:r>
    </w:p>
    <w:p w14:paraId="4483973D">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（8</w:t>
      </w:r>
      <w:r>
        <w:rPr>
          <w:rFonts w:hint="eastAsia" w:ascii="宋体" w:hAnsi="宋体" w:eastAsia="宋体" w:cs="宋体"/>
          <w:color w:val="auto"/>
          <w:szCs w:val="21"/>
        </w:rPr>
        <w:t>）属于投标人须知正文第9.2条情形的；</w:t>
      </w:r>
    </w:p>
    <w:p w14:paraId="074DE7FD">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（9</w:t>
      </w:r>
      <w:r>
        <w:rPr>
          <w:rFonts w:hint="eastAsia" w:ascii="宋体" w:hAnsi="宋体" w:eastAsia="宋体" w:cs="宋体"/>
          <w:color w:val="auto"/>
          <w:szCs w:val="21"/>
        </w:rPr>
        <w:t>）投标文件标注的项目名称或者项目编号与招标文件标注的项目名称或者项目编号不一致的；</w:t>
      </w:r>
    </w:p>
    <w:p w14:paraId="52C98CCE">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（10</w:t>
      </w:r>
      <w:r>
        <w:rPr>
          <w:rFonts w:hint="eastAsia" w:ascii="宋体" w:hAnsi="宋体" w:eastAsia="宋体" w:cs="宋体"/>
          <w:color w:val="auto"/>
          <w:szCs w:val="21"/>
        </w:rPr>
        <w:t>）招标文件明确不允许分包，投标文件拟分包的；</w:t>
      </w:r>
    </w:p>
    <w:p w14:paraId="192BA802">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w:t>
      </w:r>
      <w:r>
        <w:rPr>
          <w:rFonts w:hint="eastAsia" w:ascii="宋体" w:hAnsi="宋体" w:eastAsia="宋体" w:cs="宋体"/>
          <w:color w:val="auto"/>
          <w:szCs w:val="21"/>
        </w:rPr>
        <w:t>）未响应招标文件实质性要求的；</w:t>
      </w:r>
    </w:p>
    <w:p w14:paraId="3AD92127">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（12</w:t>
      </w:r>
      <w:r>
        <w:rPr>
          <w:rFonts w:hint="eastAsia" w:ascii="宋体" w:hAnsi="宋体" w:eastAsia="宋体" w:cs="宋体"/>
          <w:color w:val="auto"/>
          <w:szCs w:val="21"/>
        </w:rPr>
        <w:t>）法律、法规和招标文件规定的其他无效情形。</w:t>
      </w:r>
    </w:p>
    <w:p w14:paraId="36D9B97F">
      <w:pPr>
        <w:wordWrap w:val="0"/>
        <w:spacing w:line="360" w:lineRule="auto"/>
        <w:ind w:firstLine="420" w:firstLineChars="200"/>
        <w:outlineLvl w:val="3"/>
        <w:rPr>
          <w:rFonts w:hint="eastAsia" w:ascii="宋体" w:hAnsi="宋体" w:eastAsia="宋体" w:cs="宋体"/>
          <w:color w:val="auto"/>
          <w:szCs w:val="21"/>
        </w:rPr>
      </w:pPr>
      <w:r>
        <w:rPr>
          <w:rFonts w:hint="eastAsia" w:ascii="宋体" w:hAnsi="宋体" w:eastAsia="宋体" w:cs="宋体"/>
          <w:color w:val="auto"/>
          <w:szCs w:val="21"/>
        </w:rPr>
        <w:t>2.3在技术评审时，如发现下列情形之一的，将被视为投标无效：</w:t>
      </w:r>
    </w:p>
    <w:p w14:paraId="59AE1F4B">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rPr>
        <w:t>）投标文件未提供“投标人须知前附表”第13.1条规定中“必须提供”的文件资料的；</w:t>
      </w:r>
    </w:p>
    <w:p w14:paraId="07F35824">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Cs w:val="21"/>
        </w:rPr>
        <w:t>）虚假投标，或者出现其他情形而导致被评标委员会认定无效的；</w:t>
      </w:r>
    </w:p>
    <w:p w14:paraId="1D891307">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color w:val="auto"/>
          <w:szCs w:val="21"/>
        </w:rPr>
        <w:t>）招标文件未载明允许提供备选（替代）投标方案或明确不允许提供备选（替代）投标方案时，投标人提供了备选（替代）投标方案的；</w:t>
      </w:r>
    </w:p>
    <w:p w14:paraId="2EABC4FE">
      <w:pPr>
        <w:wordWrap w:val="0"/>
        <w:spacing w:line="360" w:lineRule="auto"/>
        <w:ind w:firstLine="420" w:firstLineChars="200"/>
        <w:outlineLvl w:val="4"/>
        <w:rPr>
          <w:rFonts w:hint="eastAsia" w:ascii="宋体" w:hAnsi="宋体" w:eastAsia="宋体" w:cs="宋体"/>
          <w:color w:val="auto"/>
          <w:szCs w:val="21"/>
        </w:rPr>
      </w:pPr>
      <w:r>
        <w:rPr>
          <w:rFonts w:hint="eastAsia" w:ascii="宋体" w:hAnsi="宋体" w:eastAsia="宋体" w:cs="宋体"/>
          <w:color w:val="auto"/>
          <w:szCs w:val="21"/>
        </w:rPr>
        <w:t>（4</w:t>
      </w:r>
      <w:r>
        <w:rPr>
          <w:rFonts w:hint="eastAsia" w:ascii="宋体" w:hAnsi="宋体" w:eastAsia="宋体" w:cs="宋体"/>
          <w:color w:val="auto"/>
          <w:szCs w:val="21"/>
        </w:rPr>
        <w:t>）未响应招标文件实质性要求的。</w:t>
      </w:r>
    </w:p>
    <w:p w14:paraId="0EB108C3">
      <w:pPr>
        <w:wordWrap w:val="0"/>
        <w:spacing w:line="360" w:lineRule="auto"/>
        <w:ind w:firstLine="422" w:firstLineChars="200"/>
        <w:outlineLvl w:val="2"/>
        <w:rPr>
          <w:rFonts w:hint="eastAsia" w:ascii="宋体" w:hAnsi="宋体" w:eastAsia="宋体" w:cs="宋体"/>
          <w:b/>
          <w:color w:val="auto"/>
          <w:szCs w:val="21"/>
        </w:rPr>
      </w:pPr>
      <w:r>
        <w:rPr>
          <w:rFonts w:hint="eastAsia" w:ascii="宋体" w:hAnsi="宋体" w:eastAsia="宋体" w:cs="宋体"/>
          <w:b/>
          <w:color w:val="auto"/>
          <w:szCs w:val="21"/>
        </w:rPr>
        <w:t>3.</w:t>
      </w:r>
      <w:r>
        <w:rPr>
          <w:rFonts w:hint="eastAsia" w:ascii="宋体" w:hAnsi="宋体" w:eastAsia="宋体" w:cs="宋体"/>
          <w:b/>
          <w:color w:val="auto"/>
          <w:szCs w:val="21"/>
        </w:rPr>
        <w:t>澄清补正</w:t>
      </w:r>
    </w:p>
    <w:p w14:paraId="38A9D511">
      <w:pPr>
        <w:wordWrap w:val="0"/>
        <w:spacing w:line="360" w:lineRule="auto"/>
        <w:ind w:firstLine="420" w:firstLineChars="200"/>
        <w:rPr>
          <w:rFonts w:hint="eastAsia" w:ascii="宋体" w:hAnsi="宋体" w:eastAsia="宋体" w:cs="宋体"/>
          <w:b/>
          <w:color w:val="auto"/>
          <w:szCs w:val="21"/>
        </w:rPr>
      </w:pPr>
      <w:r>
        <w:rPr>
          <w:rFonts w:hint="eastAsia" w:ascii="宋体" w:hAnsi="宋体" w:eastAsia="宋体" w:cs="宋体"/>
          <w:color w:val="auto"/>
          <w:szCs w:val="21"/>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w:t>
      </w:r>
      <w:r>
        <w:rPr>
          <w:rFonts w:hint="eastAsia" w:ascii="宋体" w:hAnsi="宋体" w:eastAsia="宋体" w:cs="宋体"/>
          <w:color w:val="auto"/>
          <w:szCs w:val="21"/>
        </w:rPr>
        <w:t>PDF格式回函，电子澄清答复函使用CA证书加盖投标人电子签章后在线上传至评标委员会。投标人的澄清、说明或者补正不得超出投标文件的范围或者改变投标文件的实质性内容。</w:t>
      </w:r>
    </w:p>
    <w:p w14:paraId="665FB7CD">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011B3062">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未按评标委员会的要求作出明确澄清、说明或者更正的投标人的投标文件将按照有利于采购人的原则由评标委员会进行判定。</w:t>
      </w:r>
    </w:p>
    <w:p w14:paraId="0B1BCB37">
      <w:pPr>
        <w:pStyle w:val="6"/>
        <w:keepNext w:val="0"/>
        <w:keepLines w:val="0"/>
        <w:wordWrap w:val="0"/>
        <w:spacing w:before="0" w:after="0" w:line="360" w:lineRule="auto"/>
        <w:ind w:left="420" w:leftChars="200"/>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rPr>
        <w:t>投标文件修正</w:t>
      </w:r>
    </w:p>
    <w:p w14:paraId="444FA585">
      <w:pPr>
        <w:pStyle w:val="6"/>
        <w:keepNext w:val="0"/>
        <w:keepLines w:val="0"/>
        <w:wordWrap w:val="0"/>
        <w:spacing w:before="0" w:after="0" w:line="360" w:lineRule="auto"/>
        <w:ind w:left="420" w:leftChars="200"/>
        <w:rPr>
          <w:rFonts w:hint="eastAsia" w:ascii="宋体" w:hAnsi="宋体" w:eastAsia="宋体" w:cs="宋体"/>
          <w:b w:val="0"/>
          <w:color w:val="auto"/>
          <w:sz w:val="21"/>
          <w:szCs w:val="21"/>
        </w:rPr>
      </w:pPr>
      <w:r>
        <w:rPr>
          <w:rFonts w:hint="eastAsia" w:ascii="宋体" w:hAnsi="宋体" w:eastAsia="宋体" w:cs="宋体"/>
          <w:b w:val="0"/>
          <w:color w:val="auto"/>
          <w:sz w:val="21"/>
          <w:szCs w:val="21"/>
        </w:rPr>
        <w:t>4.1投标文件报价出现前后不一致的，按照下列规定修正：</w:t>
      </w:r>
    </w:p>
    <w:p w14:paraId="3E8DA88F">
      <w:pPr>
        <w:pStyle w:val="25"/>
        <w:wordWrap w:val="0"/>
        <w:snapToGrid w:val="0"/>
        <w:spacing w:line="360" w:lineRule="auto"/>
        <w:ind w:firstLine="420" w:firstLineChars="200"/>
        <w:rPr>
          <w:rFonts w:hint="eastAsia" w:ascii="宋体" w:hAnsi="宋体" w:eastAsia="宋体" w:cs="宋体"/>
          <w:color w:val="auto"/>
          <w:sz w:val="21"/>
        </w:rPr>
      </w:pPr>
      <w:r>
        <w:rPr>
          <w:rFonts w:hint="eastAsia" w:ascii="宋体" w:hAnsi="宋体" w:eastAsia="宋体" w:cs="宋体"/>
          <w:color w:val="auto"/>
          <w:sz w:val="21"/>
        </w:rPr>
        <w:t>（</w:t>
      </w:r>
      <w:r>
        <w:rPr>
          <w:rFonts w:hint="eastAsia" w:ascii="宋体" w:hAnsi="宋体" w:eastAsia="宋体" w:cs="宋体"/>
          <w:color w:val="auto"/>
          <w:sz w:val="21"/>
        </w:rPr>
        <w:t>1）投标文件中开标一览表（报价表）内容与投标文件中相应内容不一致的，以开标一览表（报价表）为准；</w:t>
      </w:r>
    </w:p>
    <w:p w14:paraId="5B8851CF">
      <w:pPr>
        <w:pStyle w:val="25"/>
        <w:wordWrap w:val="0"/>
        <w:snapToGrid w:val="0"/>
        <w:spacing w:line="360" w:lineRule="auto"/>
        <w:ind w:firstLine="420" w:firstLineChars="200"/>
        <w:outlineLvl w:val="4"/>
        <w:rPr>
          <w:rFonts w:hint="eastAsia" w:ascii="宋体" w:hAnsi="宋体" w:eastAsia="宋体" w:cs="宋体"/>
          <w:color w:val="auto"/>
          <w:sz w:val="21"/>
        </w:rPr>
      </w:pPr>
      <w:r>
        <w:rPr>
          <w:rFonts w:hint="eastAsia" w:ascii="宋体" w:hAnsi="宋体" w:eastAsia="宋体" w:cs="宋体"/>
          <w:color w:val="auto"/>
          <w:sz w:val="21"/>
        </w:rPr>
        <w:t>（</w:t>
      </w:r>
      <w:r>
        <w:rPr>
          <w:rFonts w:hint="eastAsia" w:ascii="宋体" w:hAnsi="宋体" w:eastAsia="宋体" w:cs="宋体"/>
          <w:color w:val="auto"/>
          <w:sz w:val="21"/>
        </w:rPr>
        <w:t>2）大写金额和小写金额不一致的，以大写金额为准；</w:t>
      </w:r>
    </w:p>
    <w:p w14:paraId="17B76691">
      <w:pPr>
        <w:pStyle w:val="25"/>
        <w:wordWrap w:val="0"/>
        <w:snapToGrid w:val="0"/>
        <w:spacing w:line="360" w:lineRule="auto"/>
        <w:ind w:firstLine="420" w:firstLineChars="200"/>
        <w:rPr>
          <w:rFonts w:hint="eastAsia" w:ascii="宋体" w:hAnsi="宋体" w:eastAsia="宋体" w:cs="宋体"/>
          <w:color w:val="auto"/>
          <w:sz w:val="21"/>
        </w:rPr>
      </w:pPr>
      <w:r>
        <w:rPr>
          <w:rFonts w:hint="eastAsia" w:ascii="宋体" w:hAnsi="宋体" w:eastAsia="宋体" w:cs="宋体"/>
          <w:color w:val="auto"/>
          <w:sz w:val="21"/>
        </w:rPr>
        <w:t>（</w:t>
      </w:r>
      <w:r>
        <w:rPr>
          <w:rFonts w:hint="eastAsia" w:ascii="宋体" w:hAnsi="宋体" w:eastAsia="宋体" w:cs="宋体"/>
          <w:color w:val="auto"/>
          <w:sz w:val="21"/>
        </w:rPr>
        <w:t>3）单价金额小数点或者百分比有明显错位的，以开标一览表的总价为准，并修改单价；</w:t>
      </w:r>
    </w:p>
    <w:p w14:paraId="71E67F85">
      <w:pPr>
        <w:pStyle w:val="25"/>
        <w:wordWrap w:val="0"/>
        <w:snapToGrid w:val="0"/>
        <w:spacing w:line="360" w:lineRule="auto"/>
        <w:ind w:firstLine="420" w:firstLineChars="200"/>
        <w:rPr>
          <w:rFonts w:hint="eastAsia" w:ascii="宋体" w:hAnsi="宋体" w:eastAsia="宋体" w:cs="宋体"/>
          <w:color w:val="auto"/>
          <w:sz w:val="21"/>
        </w:rPr>
      </w:pPr>
      <w:r>
        <w:rPr>
          <w:rFonts w:hint="eastAsia" w:ascii="宋体" w:hAnsi="宋体" w:eastAsia="宋体" w:cs="宋体"/>
          <w:color w:val="auto"/>
          <w:sz w:val="21"/>
        </w:rPr>
        <w:t>（</w:t>
      </w:r>
      <w:r>
        <w:rPr>
          <w:rFonts w:hint="eastAsia" w:ascii="宋体" w:hAnsi="宋体" w:eastAsia="宋体" w:cs="宋体"/>
          <w:color w:val="auto"/>
          <w:sz w:val="21"/>
        </w:rPr>
        <w:t>4）总价金额与按单价汇总金额不一致的，以单价金额计算结果为准。</w:t>
      </w:r>
    </w:p>
    <w:p w14:paraId="32B71005">
      <w:pPr>
        <w:pStyle w:val="25"/>
        <w:wordWrap w:val="0"/>
        <w:snapToGrid w:val="0"/>
        <w:spacing w:line="360" w:lineRule="auto"/>
        <w:ind w:firstLine="420" w:firstLineChars="200"/>
        <w:rPr>
          <w:rFonts w:hint="eastAsia" w:ascii="宋体" w:hAnsi="宋体" w:eastAsia="宋体" w:cs="宋体"/>
          <w:color w:val="auto"/>
          <w:sz w:val="21"/>
        </w:rPr>
      </w:pPr>
      <w:r>
        <w:rPr>
          <w:rFonts w:hint="eastAsia" w:ascii="宋体" w:hAnsi="宋体" w:eastAsia="宋体" w:cs="宋体"/>
          <w:color w:val="auto"/>
          <w:sz w:val="21"/>
        </w:rPr>
        <w:t>同时出现两种以上不一致的，按照以上（</w:t>
      </w:r>
      <w:r>
        <w:rPr>
          <w:rFonts w:hint="eastAsia" w:ascii="宋体" w:hAnsi="宋体" w:eastAsia="宋体" w:cs="宋体"/>
          <w:color w:val="auto"/>
          <w:sz w:val="21"/>
        </w:rPr>
        <w:t>1）-（4）规定的顺序修正。修正后的报价经投标人确认后产生约束力，投标人不确认的，</w:t>
      </w:r>
      <w:r>
        <w:rPr>
          <w:rFonts w:hint="eastAsia" w:ascii="宋体" w:hAnsi="宋体" w:eastAsia="宋体" w:cs="宋体"/>
          <w:b/>
          <w:color w:val="auto"/>
          <w:kern w:val="2"/>
          <w:sz w:val="21"/>
        </w:rPr>
        <w:t>其投标无效</w:t>
      </w:r>
      <w:r>
        <w:rPr>
          <w:rFonts w:hint="eastAsia" w:ascii="宋体" w:hAnsi="宋体" w:eastAsia="宋体" w:cs="宋体"/>
          <w:color w:val="auto"/>
          <w:sz w:val="21"/>
        </w:rPr>
        <w:t>。</w:t>
      </w:r>
    </w:p>
    <w:p w14:paraId="33EE6FA7">
      <w:pPr>
        <w:pStyle w:val="6"/>
        <w:keepNext w:val="0"/>
        <w:keepLines w:val="0"/>
        <w:wordWrap w:val="0"/>
        <w:spacing w:before="0" w:after="0" w:line="360"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 xml:space="preserve">    4.2经投标人确认修正后的报价若超过采购预算金额或者最高限价，</w:t>
      </w:r>
      <w:r>
        <w:rPr>
          <w:rFonts w:hint="eastAsia" w:ascii="宋体" w:hAnsi="宋体" w:eastAsia="宋体" w:cs="宋体"/>
          <w:color w:val="auto"/>
          <w:sz w:val="21"/>
          <w:szCs w:val="21"/>
        </w:rPr>
        <w:t>投标人的投标文件作无效投标处理</w:t>
      </w:r>
      <w:r>
        <w:rPr>
          <w:rFonts w:hint="eastAsia" w:ascii="宋体" w:hAnsi="宋体" w:eastAsia="宋体" w:cs="宋体"/>
          <w:b w:val="0"/>
          <w:color w:val="auto"/>
          <w:sz w:val="21"/>
          <w:szCs w:val="21"/>
        </w:rPr>
        <w:t>。</w:t>
      </w:r>
    </w:p>
    <w:p w14:paraId="5D3E195B">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4.3经投标人确认修正后的报价作为签订合同的依据，并以此报价计算价格分。</w:t>
      </w:r>
    </w:p>
    <w:p w14:paraId="325FA109">
      <w:pPr>
        <w:pStyle w:val="6"/>
        <w:keepNext w:val="0"/>
        <w:keepLines w:val="0"/>
        <w:wordWrap w:val="0"/>
        <w:spacing w:before="0" w:after="0" w:line="360" w:lineRule="auto"/>
        <w:ind w:left="420" w:leftChars="200"/>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rPr>
        <w:t>比较与评价</w:t>
      </w:r>
    </w:p>
    <w:p w14:paraId="19B19C1B">
      <w:pPr>
        <w:wordWrap w:val="0"/>
        <w:snapToGrid w:val="0"/>
        <w:spacing w:line="360" w:lineRule="auto"/>
        <w:ind w:firstLine="420" w:firstLineChars="200"/>
        <w:outlineLvl w:val="3"/>
        <w:rPr>
          <w:rFonts w:hint="eastAsia" w:ascii="宋体" w:hAnsi="宋体" w:eastAsia="宋体" w:cs="宋体"/>
          <w:color w:val="auto"/>
          <w:szCs w:val="21"/>
        </w:rPr>
      </w:pPr>
      <w:r>
        <w:rPr>
          <w:rFonts w:hint="eastAsia" w:ascii="宋体" w:hAnsi="宋体" w:eastAsia="宋体" w:cs="宋体"/>
          <w:color w:val="auto"/>
          <w:szCs w:val="21"/>
        </w:rPr>
        <w:t>5.1采用综合评分法的</w:t>
      </w:r>
    </w:p>
    <w:p w14:paraId="4DBE7660">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1）评审委员会成员要根据政府采购法律法规和采购文件所载明的评审方法、标准进行评审。对</w:t>
      </w:r>
      <w:r>
        <w:rPr>
          <w:rFonts w:hint="eastAsia" w:ascii="宋体" w:hAnsi="宋体" w:eastAsia="宋体" w:cs="宋体"/>
          <w:color w:val="auto"/>
          <w:szCs w:val="21"/>
        </w:rPr>
        <w:t>投标人</w:t>
      </w:r>
      <w:r>
        <w:rPr>
          <w:rFonts w:hint="eastAsia" w:ascii="宋体" w:hAnsi="宋体" w:eastAsia="宋体" w:cs="宋体"/>
          <w:color w:val="auto"/>
          <w:szCs w:val="21"/>
        </w:rPr>
        <w:t>的价格分等客观评分项的评分应当一致，对其他需要借助专业知识评判的主观评分项，应当严格按照评分细则公正评分。</w:t>
      </w:r>
    </w:p>
    <w:p w14:paraId="1ED00E0E">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2）评标委员会独立对每个投标人的投标文件进行评价，并汇总每个投标人的得分。</w:t>
      </w:r>
    </w:p>
    <w:p w14:paraId="2EB7E602">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为了确保采购质量和维护公平的竞争，根据《中华人民共和国政府采购法》第七十七条和</w:t>
      </w:r>
      <w:r>
        <w:rPr>
          <w:rFonts w:hint="eastAsia" w:ascii="宋体" w:hAnsi="宋体" w:eastAsia="宋体" w:cs="宋体"/>
          <w:color w:val="auto"/>
          <w:kern w:val="0"/>
          <w:szCs w:val="21"/>
        </w:rPr>
        <w:t>《</w:t>
      </w:r>
      <w:r>
        <w:rPr>
          <w:rFonts w:hint="eastAsia" w:ascii="宋体" w:hAnsi="宋体" w:eastAsia="宋体" w:cs="宋体"/>
          <w:color w:val="auto"/>
          <w:kern w:val="0"/>
          <w:szCs w:val="21"/>
        </w:rPr>
        <w:t>中华人民共和国反不正当竞争法</w:t>
      </w:r>
      <w:r>
        <w:rPr>
          <w:rFonts w:hint="eastAsia" w:ascii="宋体" w:hAnsi="宋体" w:eastAsia="宋体" w:cs="宋体"/>
          <w:color w:val="auto"/>
          <w:kern w:val="0"/>
          <w:szCs w:val="21"/>
        </w:rPr>
        <w:t>》</w:t>
      </w:r>
      <w:r>
        <w:rPr>
          <w:rFonts w:hint="eastAsia" w:ascii="宋体" w:hAnsi="宋体" w:eastAsia="宋体" w:cs="宋体"/>
          <w:color w:val="auto"/>
          <w:kern w:val="0"/>
          <w:szCs w:val="21"/>
        </w:rPr>
        <w:t>第十一条，经营者不得以排挤对手为目的，以低于成本的价格销售商品（服务）。采购人不能接受供应商的恶意低价的竞争。</w:t>
      </w:r>
      <w:r>
        <w:rPr>
          <w:rFonts w:hint="eastAsia" w:ascii="宋体" w:hAnsi="宋体" w:eastAsia="宋体" w:cs="宋体"/>
          <w:color w:val="auto"/>
          <w:szCs w:val="21"/>
        </w:rPr>
        <w:t>评标委员会认为投标人的报价明显低于其他通过符合性审查投标人的报价，有可能影响产品、服务质量或者不能诚信履约的，应当要求其在评标现场合理的时间内提供书面说明，必要时提交相关证明材料；</w:t>
      </w:r>
      <w:r>
        <w:rPr>
          <w:rFonts w:hint="eastAsia" w:ascii="宋体" w:hAnsi="宋体" w:eastAsia="宋体" w:cs="宋体"/>
          <w:b/>
          <w:color w:val="auto"/>
          <w:szCs w:val="21"/>
        </w:rPr>
        <w:t>投标人不能证明其报价合理性的，评标委员会将其作为无效投标处理</w:t>
      </w:r>
      <w:r>
        <w:rPr>
          <w:rFonts w:hint="eastAsia" w:ascii="宋体" w:hAnsi="宋体" w:eastAsia="宋体" w:cs="宋体"/>
          <w:color w:val="auto"/>
          <w:szCs w:val="21"/>
        </w:rPr>
        <w:t>。</w:t>
      </w:r>
    </w:p>
    <w:p w14:paraId="5FFFBA09">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3）评标委员会按照招标文件中规定的评标方法和标准计算各投标人的报价得分。在计算过程中，不得去掉最高报价或者最低报价。</w:t>
      </w:r>
    </w:p>
    <w:p w14:paraId="7090C6E7">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4）各投标人的得分为所有评委的有效评分的算术平均数。</w:t>
      </w:r>
    </w:p>
    <w:p w14:paraId="7D2B91BD">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5）评标委员会按照招标文件中的规定推荐中标候选人。</w:t>
      </w:r>
    </w:p>
    <w:p w14:paraId="0B82E963">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384039D5">
      <w:pPr>
        <w:pStyle w:val="6"/>
        <w:keepNext w:val="0"/>
        <w:keepLines w:val="0"/>
        <w:wordWrap w:val="0"/>
        <w:spacing w:before="0" w:after="0" w:line="360" w:lineRule="auto"/>
        <w:ind w:left="420" w:leftChars="200"/>
        <w:rPr>
          <w:rFonts w:hint="eastAsia" w:ascii="宋体" w:hAnsi="宋体" w:eastAsia="宋体" w:cs="宋体"/>
          <w:color w:val="auto"/>
          <w:sz w:val="21"/>
          <w:szCs w:val="21"/>
        </w:rPr>
      </w:pPr>
      <w:r>
        <w:rPr>
          <w:rFonts w:hint="eastAsia" w:ascii="宋体" w:hAnsi="宋体" w:eastAsia="宋体" w:cs="宋体"/>
          <w:color w:val="auto"/>
          <w:sz w:val="21"/>
          <w:szCs w:val="21"/>
        </w:rPr>
        <w:t>6.</w:t>
      </w:r>
      <w:r>
        <w:rPr>
          <w:rFonts w:hint="eastAsia" w:ascii="宋体" w:hAnsi="宋体" w:eastAsia="宋体" w:cs="宋体"/>
          <w:color w:val="auto"/>
          <w:sz w:val="21"/>
          <w:szCs w:val="21"/>
        </w:rPr>
        <w:t>偏离认定说明</w:t>
      </w:r>
    </w:p>
    <w:p w14:paraId="12F76311">
      <w:pPr>
        <w:wordWrap w:val="0"/>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供应商根据采购需求中技术参数为基准，填写响应表，对于响应表或证明材料与技术参数不符的， 按如下规定：</w:t>
      </w:r>
    </w:p>
    <w:p w14:paraId="37A04FFA">
      <w:pPr>
        <w:wordWrap w:val="0"/>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（1）实质性参数要求提交证明材料的，证明材料没有体现响应表中响应的内容的或未提供证明材 料的，视为无效响应。非实质性参数要求提交证明材料的，证明材料没有体现响应表中响应的内容的 或未提供证明材料的，视为负偏离。</w:t>
      </w:r>
    </w:p>
    <w:p w14:paraId="1C290AA1">
      <w:pPr>
        <w:wordWrap w:val="0"/>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（2）响应表中响应的内容与证明材料不一致的，以证明材料为准作为评审依据。</w:t>
      </w:r>
    </w:p>
    <w:p w14:paraId="6D899009">
      <w:pPr>
        <w:wordWrap w:val="0"/>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（3）同时出现以上两种情况的，按照（1）-（2）顺序认定。</w:t>
      </w:r>
    </w:p>
    <w:p w14:paraId="5167A965">
      <w:pPr>
        <w:wordWrap w:val="0"/>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（4）响应表与采购需求中技术参数比较有漏项的，如为实质性参数漏项，视为未响应；如为非实 质性参数漏项，视为负偏离。</w:t>
      </w:r>
    </w:p>
    <w:p w14:paraId="10DA78E9">
      <w:pPr>
        <w:wordWrap w:val="0"/>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（5）一项技术参数有多条小项要求的，必须全部响应。如只响应部分参数，视为漏项，按照（4）判定。评审时以每一条技术参数为评审依据。</w:t>
      </w:r>
    </w:p>
    <w:p w14:paraId="285D47BB">
      <w:pPr>
        <w:wordWrap w:val="0"/>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（6）对于区间涵盖值参数，例：电压“测量范围 3V-5V”，同时满足下限值更低及上限值更高才  视为正偏离，例：响应为“测量范围 2V-6V”。如有一端负偏离，不管另一端如何，均视为负偏离，例： 响应为“测量范围 4V-6V”。</w:t>
      </w:r>
    </w:p>
    <w:p w14:paraId="1D95968B">
      <w:pPr>
        <w:wordWrap w:val="0"/>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（7）对于区间任意值参数，例“5mm≤间距≤10mm”或“间距 7.5±2.5mm”，若间距响应值为 5mm-10mm  中任意区间值或任意一个数值（含本数）时为无偏离，例：“6mm≤间距≤8mm”、“8 ±2mm”、“8mm”。超过区间范围视为负偏离，例： “3mm≤间距≤12mm”、“8±4mm”、“3- 12mm”、“3mm”。此类参数不存在正偏离。</w:t>
      </w:r>
    </w:p>
    <w:p w14:paraId="0EBD2286">
      <w:pPr>
        <w:wordWrap w:val="0"/>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（8）对于单边任意参数的要求，例“长度≥50cm”，若响应为 50 cm 及 50cm 以上任意一个数值， 均视为无偏离；若响应小于 50cm，视为负偏离。此类参数无正偏离。</w:t>
      </w:r>
    </w:p>
    <w:p w14:paraId="08E221DC">
      <w:pPr>
        <w:wordWrap w:val="0"/>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（9）对于固定参数，响应与采购需求中技术参数一致，视为无偏离，其他均视为负偏离，此类参 数无正偏离。</w:t>
      </w:r>
    </w:p>
    <w:p w14:paraId="6639AAB8">
      <w:pPr>
        <w:wordWrap w:val="0"/>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（10）如采购需求中技术参数有特殊要求与上述说明不一致的，以特殊要求为准。</w:t>
      </w:r>
    </w:p>
    <w:p w14:paraId="4D573EB8">
      <w:pPr>
        <w:wordWrap w:val="0"/>
        <w:spacing w:line="400" w:lineRule="exact"/>
        <w:ind w:firstLine="420" w:firstLineChars="200"/>
        <w:rPr>
          <w:rFonts w:hint="eastAsia" w:ascii="宋体" w:hAnsi="宋体" w:eastAsia="宋体" w:cs="宋体"/>
          <w:color w:val="auto"/>
          <w:szCs w:val="21"/>
        </w:rPr>
      </w:pPr>
    </w:p>
    <w:p w14:paraId="270DE592">
      <w:pPr>
        <w:wordWrap w:val="0"/>
        <w:snapToGrid w:val="0"/>
        <w:spacing w:line="360" w:lineRule="auto"/>
        <w:ind w:firstLine="422" w:firstLineChars="200"/>
        <w:rPr>
          <w:rFonts w:hint="eastAsia" w:ascii="宋体" w:hAnsi="宋体" w:eastAsia="宋体" w:cs="宋体"/>
          <w:b/>
          <w:bCs/>
          <w:color w:val="auto"/>
          <w:szCs w:val="21"/>
        </w:rPr>
      </w:pPr>
    </w:p>
    <w:p w14:paraId="5B2CEBE0">
      <w:pPr>
        <w:pStyle w:val="25"/>
        <w:spacing w:line="360" w:lineRule="auto"/>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三、评标标准</w:t>
      </w:r>
      <w:bookmarkStart w:id="210" w:name="OLE_LINK175"/>
      <w:bookmarkStart w:id="211" w:name="OLE_LINK176"/>
    </w:p>
    <w:p w14:paraId="6561E868">
      <w:pPr>
        <w:pStyle w:val="25"/>
        <w:wordWrap w:val="0"/>
        <w:spacing w:line="360" w:lineRule="auto"/>
        <w:ind w:firstLine="420"/>
        <w:rPr>
          <w:rFonts w:hint="eastAsia" w:ascii="宋体" w:hAnsi="宋体" w:eastAsia="宋体" w:cs="宋体"/>
          <w:color w:val="auto"/>
          <w:sz w:val="21"/>
        </w:rPr>
      </w:pPr>
      <w:r>
        <w:rPr>
          <w:rFonts w:hint="eastAsia" w:ascii="宋体" w:hAnsi="宋体" w:eastAsia="宋体" w:cs="宋体"/>
          <w:color w:val="auto"/>
          <w:sz w:val="21"/>
        </w:rPr>
        <w:t>（综合评分法，计分方法按四舍五入取至百分位）</w:t>
      </w:r>
    </w:p>
    <w:p w14:paraId="781DDD88">
      <w:pPr>
        <w:wordWrap w:val="0"/>
        <w:rPr>
          <w:rFonts w:hint="eastAsia" w:ascii="宋体" w:hAnsi="宋体" w:eastAsia="宋体" w:cs="宋体"/>
          <w:color w:val="auto"/>
        </w:rPr>
      </w:pPr>
    </w:p>
    <w:tbl>
      <w:tblPr>
        <w:tblStyle w:val="48"/>
        <w:tblW w:w="10033" w:type="dxa"/>
        <w:jc w:val="center"/>
        <w:tblLayout w:type="fixed"/>
        <w:tblCellMar>
          <w:top w:w="0" w:type="dxa"/>
          <w:left w:w="108" w:type="dxa"/>
          <w:bottom w:w="0" w:type="dxa"/>
          <w:right w:w="108" w:type="dxa"/>
        </w:tblCellMar>
      </w:tblPr>
      <w:tblGrid>
        <w:gridCol w:w="846"/>
        <w:gridCol w:w="1276"/>
        <w:gridCol w:w="1275"/>
        <w:gridCol w:w="6636"/>
      </w:tblGrid>
      <w:tr w14:paraId="2AE9F5DD">
        <w:tblPrEx>
          <w:tblCellMar>
            <w:top w:w="0" w:type="dxa"/>
            <w:left w:w="108" w:type="dxa"/>
            <w:bottom w:w="0" w:type="dxa"/>
            <w:right w:w="108" w:type="dxa"/>
          </w:tblCellMar>
        </w:tblPrEx>
        <w:trPr>
          <w:trHeight w:val="990" w:hRule="atLeast"/>
          <w:tblHeader/>
          <w:jc w:val="center"/>
        </w:trPr>
        <w:tc>
          <w:tcPr>
            <w:tcW w:w="846" w:type="dxa"/>
            <w:tcBorders>
              <w:top w:val="single" w:color="auto" w:sz="4" w:space="0"/>
              <w:left w:val="single" w:color="auto" w:sz="4" w:space="0"/>
              <w:bottom w:val="single" w:color="auto" w:sz="4" w:space="0"/>
              <w:right w:val="single" w:color="auto" w:sz="4" w:space="0"/>
            </w:tcBorders>
            <w:shd w:val="clear" w:color="auto" w:fill="E5DFEC" w:themeFill="accent4" w:themeFillTint="33"/>
            <w:vAlign w:val="center"/>
          </w:tcPr>
          <w:p w14:paraId="2CC89EFF">
            <w:pPr>
              <w:wordWrap w:val="0"/>
              <w:spacing w:line="360" w:lineRule="auto"/>
              <w:jc w:val="center"/>
              <w:textAlignment w:val="baseline"/>
              <w:rPr>
                <w:rFonts w:hint="eastAsia" w:ascii="宋体" w:hAnsi="宋体" w:eastAsia="宋体" w:cs="宋体"/>
                <w:color w:val="auto"/>
                <w:szCs w:val="21"/>
              </w:rPr>
            </w:pPr>
            <w:r>
              <w:rPr>
                <w:rFonts w:hint="eastAsia" w:ascii="宋体" w:hAnsi="宋体" w:eastAsia="宋体" w:cs="宋体"/>
                <w:b/>
                <w:color w:val="auto"/>
                <w:szCs w:val="21"/>
              </w:rPr>
              <w:t>序号</w:t>
            </w:r>
          </w:p>
        </w:tc>
        <w:tc>
          <w:tcPr>
            <w:tcW w:w="1276" w:type="dxa"/>
            <w:tcBorders>
              <w:top w:val="single" w:color="auto" w:sz="4" w:space="0"/>
              <w:left w:val="single" w:color="auto" w:sz="4" w:space="0"/>
              <w:bottom w:val="single" w:color="auto" w:sz="4" w:space="0"/>
              <w:right w:val="single" w:color="auto" w:sz="4" w:space="0"/>
            </w:tcBorders>
            <w:shd w:val="clear" w:color="auto" w:fill="E5DFEC" w:themeFill="accent4" w:themeFillTint="33"/>
            <w:vAlign w:val="center"/>
          </w:tcPr>
          <w:p w14:paraId="27886864">
            <w:pPr>
              <w:wordWrap w:val="0"/>
              <w:spacing w:line="360" w:lineRule="auto"/>
              <w:jc w:val="center"/>
              <w:textAlignment w:val="baseline"/>
              <w:rPr>
                <w:rFonts w:hint="eastAsia" w:ascii="宋体" w:hAnsi="宋体" w:eastAsia="宋体" w:cs="宋体"/>
                <w:b/>
                <w:color w:val="auto"/>
                <w:szCs w:val="21"/>
              </w:rPr>
            </w:pPr>
            <w:r>
              <w:rPr>
                <w:rFonts w:hint="eastAsia" w:ascii="宋体" w:hAnsi="宋体" w:eastAsia="宋体" w:cs="宋体"/>
                <w:b/>
                <w:color w:val="auto"/>
                <w:szCs w:val="21"/>
              </w:rPr>
              <w:t>评审事项</w:t>
            </w:r>
          </w:p>
        </w:tc>
        <w:tc>
          <w:tcPr>
            <w:tcW w:w="1275" w:type="dxa"/>
            <w:tcBorders>
              <w:top w:val="single" w:color="auto" w:sz="4" w:space="0"/>
              <w:left w:val="nil"/>
              <w:bottom w:val="single" w:color="auto" w:sz="4" w:space="0"/>
              <w:right w:val="single" w:color="auto" w:sz="4" w:space="0"/>
            </w:tcBorders>
            <w:shd w:val="clear" w:color="auto" w:fill="E5DFEC" w:themeFill="accent4" w:themeFillTint="33"/>
            <w:vAlign w:val="center"/>
          </w:tcPr>
          <w:p w14:paraId="3719904E">
            <w:pPr>
              <w:wordWrap w:val="0"/>
              <w:spacing w:line="360" w:lineRule="auto"/>
              <w:jc w:val="center"/>
              <w:textAlignment w:val="baseline"/>
              <w:rPr>
                <w:rFonts w:hint="eastAsia" w:ascii="宋体" w:hAnsi="宋体" w:eastAsia="宋体" w:cs="宋体"/>
                <w:color w:val="auto"/>
                <w:szCs w:val="21"/>
              </w:rPr>
            </w:pPr>
            <w:r>
              <w:rPr>
                <w:rFonts w:hint="eastAsia" w:ascii="宋体" w:hAnsi="宋体" w:eastAsia="宋体" w:cs="宋体"/>
                <w:b/>
                <w:color w:val="auto"/>
                <w:szCs w:val="21"/>
              </w:rPr>
              <w:t>评审因素</w:t>
            </w:r>
          </w:p>
        </w:tc>
        <w:tc>
          <w:tcPr>
            <w:tcW w:w="6636" w:type="dxa"/>
            <w:tcBorders>
              <w:top w:val="single" w:color="auto" w:sz="4" w:space="0"/>
              <w:left w:val="nil"/>
              <w:bottom w:val="single" w:color="auto" w:sz="4" w:space="0"/>
              <w:right w:val="single" w:color="auto" w:sz="4" w:space="0"/>
            </w:tcBorders>
            <w:shd w:val="clear" w:color="auto" w:fill="E5DFEC" w:themeFill="accent4" w:themeFillTint="33"/>
            <w:vAlign w:val="center"/>
          </w:tcPr>
          <w:p w14:paraId="6AC1E137">
            <w:pPr>
              <w:wordWrap w:val="0"/>
              <w:spacing w:line="360" w:lineRule="auto"/>
              <w:jc w:val="center"/>
              <w:textAlignment w:val="baseline"/>
              <w:rPr>
                <w:rFonts w:hint="eastAsia" w:ascii="宋体" w:hAnsi="宋体" w:eastAsia="宋体" w:cs="宋体"/>
                <w:color w:val="auto"/>
                <w:szCs w:val="21"/>
              </w:rPr>
            </w:pPr>
            <w:r>
              <w:rPr>
                <w:rFonts w:hint="eastAsia" w:ascii="宋体" w:hAnsi="宋体" w:eastAsia="宋体" w:cs="宋体"/>
                <w:b/>
                <w:color w:val="auto"/>
                <w:szCs w:val="21"/>
              </w:rPr>
              <w:t>评标标准</w:t>
            </w:r>
          </w:p>
        </w:tc>
      </w:tr>
      <w:tr w14:paraId="00CEB4A3">
        <w:tblPrEx>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14:paraId="6C89F4ED">
            <w:pPr>
              <w:wordWrap w:val="0"/>
              <w:spacing w:line="360" w:lineRule="auto"/>
              <w:textAlignment w:val="baseline"/>
              <w:rPr>
                <w:rFonts w:hint="eastAsia" w:ascii="宋体" w:hAnsi="宋体" w:eastAsia="宋体" w:cs="宋体"/>
                <w:bCs/>
                <w:color w:val="auto"/>
                <w:szCs w:val="21"/>
              </w:rPr>
            </w:pPr>
            <w:r>
              <w:rPr>
                <w:rFonts w:hint="eastAsia" w:ascii="宋体" w:hAnsi="宋体" w:eastAsia="宋体" w:cs="宋体"/>
                <w:bCs/>
                <w:color w:val="auto"/>
                <w:szCs w:val="21"/>
              </w:rPr>
              <w:t>1</w:t>
            </w:r>
          </w:p>
        </w:tc>
        <w:tc>
          <w:tcPr>
            <w:tcW w:w="1276" w:type="dxa"/>
            <w:tcBorders>
              <w:top w:val="single" w:color="auto" w:sz="4" w:space="0"/>
              <w:left w:val="nil"/>
              <w:bottom w:val="single" w:color="auto" w:sz="4" w:space="0"/>
              <w:right w:val="single" w:color="auto" w:sz="4" w:space="0"/>
            </w:tcBorders>
            <w:vAlign w:val="center"/>
          </w:tcPr>
          <w:p w14:paraId="0386198B">
            <w:pPr>
              <w:wordWrap w:val="0"/>
              <w:spacing w:line="360" w:lineRule="auto"/>
              <w:textAlignment w:val="baseline"/>
              <w:rPr>
                <w:rFonts w:hint="eastAsia" w:ascii="宋体" w:hAnsi="宋体" w:eastAsia="宋体" w:cs="宋体"/>
                <w:bCs/>
                <w:color w:val="auto"/>
                <w:szCs w:val="21"/>
              </w:rPr>
            </w:pPr>
            <w:r>
              <w:rPr>
                <w:rFonts w:hint="eastAsia" w:ascii="宋体" w:hAnsi="宋体" w:eastAsia="宋体" w:cs="宋体"/>
                <w:bCs/>
                <w:color w:val="auto"/>
                <w:szCs w:val="21"/>
              </w:rPr>
              <w:t>价格分</w:t>
            </w:r>
          </w:p>
          <w:p w14:paraId="4A8E9D45">
            <w:pPr>
              <w:wordWrap w:val="0"/>
              <w:spacing w:line="360" w:lineRule="auto"/>
              <w:textAlignment w:val="baseline"/>
              <w:rPr>
                <w:rFonts w:hint="eastAsia" w:ascii="宋体" w:hAnsi="宋体" w:eastAsia="宋体" w:cs="宋体"/>
                <w:bCs/>
                <w:color w:val="auto"/>
                <w:szCs w:val="21"/>
              </w:rPr>
            </w:pPr>
            <w:r>
              <w:rPr>
                <w:rFonts w:hint="eastAsia" w:ascii="宋体" w:hAnsi="宋体" w:eastAsia="宋体" w:cs="宋体"/>
                <w:bCs/>
                <w:color w:val="auto"/>
                <w:szCs w:val="21"/>
              </w:rPr>
              <w:t>（满分</w:t>
            </w:r>
            <w:r>
              <w:rPr>
                <w:rFonts w:hint="eastAsia" w:ascii="宋体" w:hAnsi="宋体" w:eastAsia="宋体" w:cs="宋体"/>
                <w:bCs/>
                <w:color w:val="auto"/>
                <w:szCs w:val="21"/>
                <w:u w:val="single"/>
              </w:rPr>
              <w:t>30</w:t>
            </w:r>
            <w:r>
              <w:rPr>
                <w:rFonts w:hint="eastAsia" w:ascii="宋体" w:hAnsi="宋体" w:eastAsia="宋体" w:cs="宋体"/>
                <w:bCs/>
                <w:color w:val="auto"/>
                <w:szCs w:val="21"/>
              </w:rPr>
              <w:t>分）</w:t>
            </w:r>
          </w:p>
        </w:tc>
        <w:tc>
          <w:tcPr>
            <w:tcW w:w="1275" w:type="dxa"/>
            <w:tcBorders>
              <w:top w:val="single" w:color="auto" w:sz="4" w:space="0"/>
              <w:left w:val="nil"/>
              <w:bottom w:val="single" w:color="auto" w:sz="4" w:space="0"/>
              <w:right w:val="single" w:color="auto" w:sz="4" w:space="0"/>
            </w:tcBorders>
            <w:vAlign w:val="center"/>
          </w:tcPr>
          <w:p w14:paraId="5C344D9C">
            <w:pPr>
              <w:wordWrap w:val="0"/>
              <w:spacing w:line="360" w:lineRule="auto"/>
              <w:textAlignment w:val="baseline"/>
              <w:rPr>
                <w:rFonts w:hint="eastAsia" w:ascii="宋体" w:hAnsi="宋体" w:eastAsia="宋体" w:cs="宋体"/>
                <w:bCs/>
                <w:color w:val="auto"/>
                <w:szCs w:val="21"/>
              </w:rPr>
            </w:pPr>
            <w:r>
              <w:rPr>
                <w:rFonts w:hint="eastAsia" w:ascii="宋体" w:hAnsi="宋体" w:eastAsia="宋体" w:cs="宋体"/>
                <w:bCs/>
                <w:color w:val="auto"/>
                <w:szCs w:val="21"/>
              </w:rPr>
              <w:t>投标报价</w:t>
            </w:r>
          </w:p>
        </w:tc>
        <w:tc>
          <w:tcPr>
            <w:tcW w:w="6636" w:type="dxa"/>
            <w:tcBorders>
              <w:top w:val="single" w:color="auto" w:sz="4" w:space="0"/>
              <w:left w:val="nil"/>
              <w:bottom w:val="single" w:color="auto" w:sz="4" w:space="0"/>
              <w:right w:val="single" w:color="auto" w:sz="4" w:space="0"/>
            </w:tcBorders>
            <w:vAlign w:val="center"/>
          </w:tcPr>
          <w:p w14:paraId="5D9248F0">
            <w:pPr>
              <w:pStyle w:val="25"/>
              <w:wordWrap w:val="0"/>
              <w:spacing w:line="360" w:lineRule="auto"/>
              <w:rPr>
                <w:rFonts w:hint="eastAsia" w:ascii="宋体" w:hAnsi="宋体" w:eastAsia="宋体" w:cs="宋体"/>
                <w:color w:val="auto"/>
                <w:sz w:val="21"/>
              </w:rPr>
            </w:pPr>
            <w:r>
              <w:rPr>
                <w:rFonts w:hint="eastAsia" w:ascii="宋体" w:hAnsi="宋体" w:eastAsia="宋体" w:cs="宋体"/>
                <w:color w:val="auto"/>
                <w:sz w:val="21"/>
              </w:rPr>
              <w:t>（1）评标报价为投标人的投标报价进行政策性扣除后的价格，评标报价只是作为评标时使用。最终中标人的中标金额等于投标报价。</w:t>
            </w:r>
          </w:p>
          <w:p w14:paraId="50051546">
            <w:pPr>
              <w:pStyle w:val="25"/>
              <w:wordWrap w:val="0"/>
              <w:spacing w:line="360" w:lineRule="auto"/>
              <w:rPr>
                <w:rFonts w:hint="eastAsia" w:ascii="宋体" w:hAnsi="宋体" w:eastAsia="宋体" w:cs="宋体"/>
                <w:color w:val="auto"/>
                <w:sz w:val="21"/>
              </w:rPr>
            </w:pPr>
            <w:r>
              <w:rPr>
                <w:rFonts w:hint="eastAsia" w:ascii="宋体" w:hAnsi="宋体" w:eastAsia="宋体" w:cs="宋体"/>
                <w:color w:val="auto"/>
                <w:sz w:val="21"/>
              </w:rPr>
              <w:t>（2）按照《政府采购促进中小企业发展管理办法》（财库〔2020〕46号）的规定，投标人在其投标文件中提供《中小企业声明函》，且其所投标产品全部为小型和微型企业产品的，对其投标价格给予20%的扣除。</w:t>
            </w:r>
          </w:p>
          <w:p w14:paraId="6E0E0275">
            <w:pPr>
              <w:pStyle w:val="25"/>
              <w:wordWrap w:val="0"/>
              <w:spacing w:line="360" w:lineRule="auto"/>
              <w:rPr>
                <w:rFonts w:hint="eastAsia" w:ascii="宋体" w:hAnsi="宋体" w:eastAsia="宋体" w:cs="宋体"/>
                <w:color w:val="auto"/>
                <w:sz w:val="21"/>
              </w:rPr>
            </w:pPr>
            <w:r>
              <w:rPr>
                <w:rFonts w:hint="eastAsia" w:ascii="宋体" w:hAnsi="宋体" w:eastAsia="宋体" w:cs="宋体"/>
                <w:color w:val="auto"/>
                <w:sz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2A812F27">
            <w:pPr>
              <w:pStyle w:val="25"/>
              <w:wordWrap w:val="0"/>
              <w:spacing w:line="360" w:lineRule="auto"/>
              <w:rPr>
                <w:rFonts w:hint="eastAsia" w:ascii="宋体" w:hAnsi="宋体" w:eastAsia="宋体" w:cs="宋体"/>
                <w:color w:val="auto"/>
                <w:sz w:val="21"/>
              </w:rPr>
            </w:pPr>
            <w:r>
              <w:rPr>
                <w:rFonts w:hint="eastAsia" w:ascii="宋体" w:hAnsi="宋体" w:eastAsia="宋体" w:cs="宋体"/>
                <w:color w:val="auto"/>
                <w:sz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8FAAD55">
            <w:pPr>
              <w:pStyle w:val="25"/>
              <w:wordWrap w:val="0"/>
              <w:spacing w:line="360" w:lineRule="auto"/>
              <w:rPr>
                <w:rFonts w:hint="eastAsia" w:ascii="宋体" w:hAnsi="宋体" w:eastAsia="宋体" w:cs="宋体"/>
                <w:color w:val="auto"/>
                <w:sz w:val="21"/>
              </w:rPr>
            </w:pPr>
            <w:r>
              <w:rPr>
                <w:rFonts w:hint="eastAsia" w:ascii="宋体" w:hAnsi="宋体" w:eastAsia="宋体" w:cs="宋体"/>
                <w:color w:val="auto"/>
                <w:sz w:val="21"/>
              </w:rPr>
              <w:t>（5）政策性扣除计算方法。</w:t>
            </w:r>
          </w:p>
          <w:p w14:paraId="03D85845">
            <w:pPr>
              <w:pStyle w:val="25"/>
              <w:wordWrap w:val="0"/>
              <w:spacing w:line="360" w:lineRule="auto"/>
              <w:rPr>
                <w:rFonts w:hint="eastAsia" w:ascii="宋体" w:hAnsi="宋体" w:eastAsia="宋体" w:cs="宋体"/>
                <w:color w:val="auto"/>
                <w:sz w:val="21"/>
              </w:rPr>
            </w:pPr>
            <w:r>
              <w:rPr>
                <w:rFonts w:hint="eastAsia" w:ascii="宋体" w:hAnsi="宋体" w:eastAsia="宋体" w:cs="宋体"/>
                <w:color w:val="auto"/>
                <w:sz w:val="21"/>
              </w:rPr>
              <w:t>投标人被评定为监狱企业或者残疾人福利性单位或者小型和微型企业且其所投标全部产品为小型和微型企业产品的，该投标人的投标报价给予20%的扣除，扣除后的价格为评标报价，即评标报价=投标报价×（1-20%）；除上述情况外，评标报价=投标报价。</w:t>
            </w:r>
          </w:p>
          <w:p w14:paraId="1DBEFFFF">
            <w:pPr>
              <w:pStyle w:val="25"/>
              <w:wordWrap w:val="0"/>
              <w:spacing w:line="360" w:lineRule="auto"/>
              <w:rPr>
                <w:rFonts w:hint="eastAsia" w:ascii="宋体" w:hAnsi="宋体" w:eastAsia="宋体" w:cs="宋体"/>
                <w:color w:val="auto"/>
                <w:sz w:val="21"/>
              </w:rPr>
            </w:pPr>
            <w:r>
              <w:rPr>
                <w:rFonts w:hint="eastAsia" w:ascii="宋体" w:hAnsi="宋体" w:eastAsia="宋体" w:cs="宋体"/>
                <w:color w:val="auto"/>
                <w:sz w:val="21"/>
              </w:rPr>
              <w:t>（6）满足招标文件要求且评标报价最低的评标报价为评标基准价，基准价得分为 30 分。</w:t>
            </w:r>
          </w:p>
          <w:p w14:paraId="436FA491">
            <w:pPr>
              <w:pStyle w:val="25"/>
              <w:wordWrap w:val="0"/>
              <w:spacing w:line="360" w:lineRule="auto"/>
              <w:rPr>
                <w:rFonts w:hint="eastAsia" w:ascii="宋体" w:hAnsi="宋体" w:eastAsia="宋体" w:cs="宋体"/>
                <w:color w:val="auto"/>
                <w:sz w:val="21"/>
              </w:rPr>
            </w:pPr>
            <w:r>
              <w:rPr>
                <w:rFonts w:hint="eastAsia" w:ascii="宋体" w:hAnsi="宋体" w:eastAsia="宋体" w:cs="宋体"/>
                <w:color w:val="auto"/>
                <w:sz w:val="21"/>
              </w:rPr>
              <w:t>（7）价格分计算公式：</w:t>
            </w:r>
          </w:p>
          <w:p w14:paraId="2D091ABB">
            <w:pPr>
              <w:pStyle w:val="25"/>
              <w:wordWrap w:val="0"/>
              <w:spacing w:line="360" w:lineRule="auto"/>
              <w:rPr>
                <w:rFonts w:hint="eastAsia" w:ascii="宋体" w:hAnsi="宋体" w:eastAsia="宋体" w:cs="宋体"/>
                <w:color w:val="auto"/>
                <w:sz w:val="21"/>
              </w:rPr>
            </w:pPr>
            <w:r>
              <w:rPr>
                <w:rFonts w:hint="eastAsia" w:ascii="宋体" w:hAnsi="宋体" w:eastAsia="宋体" w:cs="宋体"/>
                <w:color w:val="auto"/>
                <w:sz w:val="21"/>
              </w:rPr>
              <w:t>价格分=(评标基准价／投标报价)×30分</w:t>
            </w:r>
          </w:p>
          <w:p w14:paraId="5153396C">
            <w:pPr>
              <w:pStyle w:val="132"/>
              <w:wordWrap w:val="0"/>
              <w:ind w:firstLine="0" w:firstLineChars="0"/>
              <w:jc w:val="both"/>
              <w:rPr>
                <w:rFonts w:hint="eastAsia" w:ascii="宋体" w:hAnsi="宋体" w:eastAsia="宋体" w:cs="宋体"/>
                <w:color w:val="auto"/>
              </w:rPr>
            </w:pPr>
            <w:r>
              <w:rPr>
                <w:rFonts w:hint="eastAsia" w:ascii="宋体" w:hAnsi="宋体" w:eastAsia="宋体" w:cs="宋体"/>
                <w:color w:val="auto"/>
                <w:spacing w:val="-6"/>
                <w:szCs w:val="21"/>
              </w:rPr>
              <w:t>【说明：本项目根据市场报价，为了确保采购质量和维护公平的竞争，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投标人必须提供本项目成本分析报告，同时提供（包括但不限于）以下支撑证明材料：①投标人须提供承诺函原件，承诺函原件体现承诺完全能实现本项目招标要求实现的功能，体现完整的系统架构图和实现的方式，如不满足承担相应的法律责任，并加盖有投标人的公章和法人签字；②2021～2023年度经第三方具备审计资质的机构出具的审计报告；③提供项目成本组成明细，其中：人力成本必须根据投标人所在省（自治区、直辖市）政府部门或者人力资源社会保障部门公布的最新的投标人所在地最低工资标准相关文件要求编制，税务成本必须提供近一年不少于3个项目或公司的年度税务缴纳凭证作为参考依据（证明材料复印件须加盖单位公章）；投标人不能证明其报价合理性的，评标委员会应当将其作为无效投标处理。）】</w:t>
            </w:r>
          </w:p>
        </w:tc>
      </w:tr>
      <w:tr w14:paraId="4C98443F">
        <w:tblPrEx>
          <w:tblCellMar>
            <w:top w:w="0" w:type="dxa"/>
            <w:left w:w="108" w:type="dxa"/>
            <w:bottom w:w="0" w:type="dxa"/>
            <w:right w:w="108" w:type="dxa"/>
          </w:tblCellMar>
        </w:tblPrEx>
        <w:trPr>
          <w:trHeight w:val="775" w:hRule="atLeast"/>
          <w:jc w:val="center"/>
        </w:trPr>
        <w:tc>
          <w:tcPr>
            <w:tcW w:w="846" w:type="dxa"/>
            <w:vMerge w:val="restart"/>
            <w:tcBorders>
              <w:top w:val="single" w:color="auto" w:sz="4" w:space="0"/>
              <w:left w:val="single" w:color="auto" w:sz="4" w:space="0"/>
              <w:bottom w:val="single" w:color="auto" w:sz="4" w:space="0"/>
              <w:right w:val="single" w:color="auto" w:sz="4" w:space="0"/>
            </w:tcBorders>
            <w:vAlign w:val="center"/>
          </w:tcPr>
          <w:p w14:paraId="14F480DF">
            <w:pPr>
              <w:wordWrap w:val="0"/>
              <w:spacing w:line="360" w:lineRule="auto"/>
              <w:textAlignment w:val="baseline"/>
              <w:rPr>
                <w:rFonts w:hint="eastAsia" w:ascii="宋体" w:hAnsi="宋体" w:eastAsia="宋体" w:cs="宋体"/>
                <w:b/>
                <w:color w:val="auto"/>
                <w:szCs w:val="21"/>
              </w:rPr>
            </w:pPr>
            <w:r>
              <w:rPr>
                <w:rFonts w:hint="eastAsia" w:ascii="宋体" w:hAnsi="宋体" w:eastAsia="宋体" w:cs="宋体"/>
                <w:b/>
                <w:color w:val="auto"/>
                <w:szCs w:val="21"/>
              </w:rPr>
              <w:t>2</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0300B293">
            <w:pPr>
              <w:wordWrap w:val="0"/>
              <w:spacing w:line="360" w:lineRule="auto"/>
              <w:textAlignment w:val="baseline"/>
              <w:rPr>
                <w:rFonts w:hint="eastAsia" w:ascii="宋体" w:hAnsi="宋体" w:eastAsia="宋体" w:cs="宋体"/>
                <w:b/>
                <w:color w:val="auto"/>
                <w:szCs w:val="21"/>
              </w:rPr>
            </w:pPr>
            <w:r>
              <w:rPr>
                <w:rFonts w:hint="eastAsia" w:ascii="宋体" w:hAnsi="宋体" w:eastAsia="宋体" w:cs="宋体"/>
                <w:b/>
                <w:color w:val="auto"/>
                <w:szCs w:val="21"/>
              </w:rPr>
              <w:t>技术分</w:t>
            </w:r>
          </w:p>
          <w:p w14:paraId="4CCF5BEC">
            <w:pPr>
              <w:wordWrap w:val="0"/>
              <w:spacing w:line="360" w:lineRule="auto"/>
              <w:textAlignment w:val="baseline"/>
              <w:rPr>
                <w:rFonts w:hint="eastAsia" w:ascii="宋体" w:hAnsi="宋体" w:eastAsia="宋体" w:cs="宋体"/>
                <w:color w:val="auto"/>
                <w:spacing w:val="-18"/>
                <w:szCs w:val="21"/>
              </w:rPr>
            </w:pPr>
            <w:r>
              <w:rPr>
                <w:rFonts w:hint="eastAsia" w:ascii="宋体" w:hAnsi="宋体" w:eastAsia="宋体" w:cs="宋体"/>
                <w:color w:val="auto"/>
                <w:szCs w:val="21"/>
              </w:rPr>
              <w:t>（满分</w:t>
            </w:r>
            <w:r>
              <w:rPr>
                <w:rFonts w:hint="eastAsia" w:ascii="宋体" w:hAnsi="宋体" w:eastAsia="宋体" w:cs="宋体"/>
                <w:color w:val="auto"/>
                <w:szCs w:val="21"/>
              </w:rPr>
              <w:t>44</w:t>
            </w:r>
            <w:r>
              <w:rPr>
                <w:rFonts w:hint="eastAsia" w:ascii="宋体" w:hAnsi="宋体" w:eastAsia="宋体" w:cs="宋体"/>
                <w:color w:val="auto"/>
                <w:szCs w:val="21"/>
              </w:rPr>
              <w:t>分）</w:t>
            </w:r>
          </w:p>
        </w:tc>
        <w:tc>
          <w:tcPr>
            <w:tcW w:w="1275" w:type="dxa"/>
            <w:tcBorders>
              <w:top w:val="single" w:color="auto" w:sz="4" w:space="0"/>
              <w:left w:val="nil"/>
              <w:right w:val="single" w:color="auto" w:sz="4" w:space="0"/>
            </w:tcBorders>
            <w:vAlign w:val="center"/>
          </w:tcPr>
          <w:p w14:paraId="4A065CDE">
            <w:pPr>
              <w:wordWrap w:val="0"/>
              <w:spacing w:line="360" w:lineRule="auto"/>
              <w:textAlignment w:val="baseline"/>
              <w:rPr>
                <w:rFonts w:hint="eastAsia" w:ascii="宋体" w:hAnsi="宋体" w:eastAsia="宋体" w:cs="宋体"/>
                <w:color w:val="auto"/>
                <w:szCs w:val="21"/>
              </w:rPr>
            </w:pPr>
            <w:r>
              <w:rPr>
                <w:rFonts w:hint="eastAsia" w:ascii="宋体" w:hAnsi="宋体" w:eastAsia="宋体" w:cs="宋体"/>
                <w:color w:val="auto"/>
                <w:szCs w:val="21"/>
              </w:rPr>
              <w:t>2.1货物性能分</w:t>
            </w:r>
          </w:p>
          <w:p w14:paraId="71258790">
            <w:pPr>
              <w:wordWrap w:val="0"/>
              <w:spacing w:line="360" w:lineRule="auto"/>
              <w:textAlignment w:val="baseline"/>
              <w:rPr>
                <w:rFonts w:hint="eastAsia" w:ascii="宋体" w:hAnsi="宋体" w:eastAsia="宋体" w:cs="宋体"/>
                <w:color w:val="auto"/>
                <w:szCs w:val="21"/>
              </w:rPr>
            </w:pPr>
            <w:r>
              <w:rPr>
                <w:rFonts w:hint="eastAsia" w:ascii="宋体" w:hAnsi="宋体" w:eastAsia="宋体" w:cs="宋体"/>
                <w:color w:val="auto"/>
                <w:szCs w:val="21"/>
              </w:rPr>
              <w:t>（满分</w:t>
            </w:r>
            <w:r>
              <w:rPr>
                <w:rFonts w:hint="eastAsia" w:ascii="宋体" w:hAnsi="宋体" w:eastAsia="宋体" w:cs="宋体"/>
                <w:color w:val="auto"/>
                <w:szCs w:val="21"/>
              </w:rPr>
              <w:t>26</w:t>
            </w:r>
            <w:r>
              <w:rPr>
                <w:rFonts w:hint="eastAsia" w:ascii="宋体" w:hAnsi="宋体" w:eastAsia="宋体" w:cs="宋体"/>
                <w:color w:val="auto"/>
                <w:szCs w:val="21"/>
              </w:rPr>
              <w:t>分）</w:t>
            </w:r>
          </w:p>
        </w:tc>
        <w:tc>
          <w:tcPr>
            <w:tcW w:w="6636" w:type="dxa"/>
            <w:tcBorders>
              <w:top w:val="single" w:color="auto" w:sz="4" w:space="0"/>
              <w:left w:val="nil"/>
              <w:bottom w:val="single" w:color="auto" w:sz="4" w:space="0"/>
              <w:right w:val="single" w:color="auto" w:sz="4" w:space="0"/>
            </w:tcBorders>
            <w:vAlign w:val="center"/>
          </w:tcPr>
          <w:p w14:paraId="47CE9420">
            <w:pPr>
              <w:pStyle w:val="132"/>
              <w:wordWrap w:val="0"/>
              <w:ind w:firstLine="0" w:firstLineChars="0"/>
              <w:jc w:val="both"/>
              <w:rPr>
                <w:rFonts w:hint="eastAsia" w:ascii="宋体" w:hAnsi="宋体" w:eastAsia="宋体" w:cs="宋体"/>
                <w:color w:val="auto"/>
                <w:spacing w:val="-6"/>
                <w:szCs w:val="21"/>
              </w:rPr>
            </w:pPr>
            <w:r>
              <w:rPr>
                <w:rFonts w:hint="eastAsia" w:ascii="宋体" w:hAnsi="宋体" w:eastAsia="宋体" w:cs="宋体"/>
                <w:color w:val="auto"/>
                <w:spacing w:val="-6"/>
                <w:szCs w:val="21"/>
              </w:rPr>
              <w:t>1．一般技术性能分（满分</w:t>
            </w:r>
            <w:r>
              <w:rPr>
                <w:rFonts w:hint="eastAsia" w:ascii="宋体" w:hAnsi="宋体" w:eastAsia="宋体" w:cs="宋体"/>
                <w:color w:val="auto"/>
                <w:spacing w:val="-6"/>
                <w:szCs w:val="21"/>
                <w:lang w:val="en-US" w:eastAsia="zh-CN"/>
              </w:rPr>
              <w:t>6</w:t>
            </w:r>
            <w:r>
              <w:rPr>
                <w:rFonts w:hint="eastAsia" w:ascii="宋体" w:hAnsi="宋体" w:eastAsia="宋体" w:cs="宋体"/>
                <w:color w:val="auto"/>
                <w:spacing w:val="-6"/>
                <w:szCs w:val="21"/>
              </w:rPr>
              <w:t>分）：完全满足招标文件一般技术指标要求（指不带●和▲的技术参数，</w:t>
            </w:r>
            <w:r>
              <w:rPr>
                <w:rFonts w:hint="eastAsia" w:ascii="宋体" w:hAnsi="宋体" w:eastAsia="宋体" w:cs="宋体"/>
                <w:color w:val="auto"/>
                <w:szCs w:val="21"/>
              </w:rPr>
              <w:t>即没有负偏离的；漏项、缺项的也视为负偏离</w:t>
            </w:r>
            <w:r>
              <w:rPr>
                <w:rFonts w:hint="eastAsia" w:ascii="宋体" w:hAnsi="宋体" w:eastAsia="宋体" w:cs="宋体"/>
                <w:color w:val="auto"/>
                <w:spacing w:val="-6"/>
                <w:szCs w:val="21"/>
              </w:rPr>
              <w:t>）的得基本分</w:t>
            </w:r>
            <w:r>
              <w:rPr>
                <w:rFonts w:hint="eastAsia" w:ascii="宋体" w:hAnsi="宋体" w:eastAsia="宋体" w:cs="宋体"/>
                <w:color w:val="auto"/>
                <w:spacing w:val="-6"/>
                <w:szCs w:val="21"/>
                <w:lang w:val="en-US" w:eastAsia="zh-CN"/>
              </w:rPr>
              <w:t>6</w:t>
            </w:r>
            <w:r>
              <w:rPr>
                <w:rFonts w:hint="eastAsia" w:ascii="宋体" w:hAnsi="宋体" w:eastAsia="宋体" w:cs="宋体"/>
                <w:color w:val="auto"/>
                <w:spacing w:val="-6"/>
                <w:szCs w:val="21"/>
              </w:rPr>
              <w:t>分。</w:t>
            </w:r>
          </w:p>
          <w:p w14:paraId="5B15705B">
            <w:pPr>
              <w:pStyle w:val="132"/>
              <w:wordWrap w:val="0"/>
              <w:ind w:firstLine="0" w:firstLineChars="0"/>
              <w:jc w:val="both"/>
              <w:rPr>
                <w:rFonts w:hint="eastAsia" w:ascii="宋体" w:hAnsi="宋体" w:eastAsia="宋体" w:cs="宋体"/>
                <w:color w:val="auto"/>
                <w:spacing w:val="-6"/>
                <w:szCs w:val="21"/>
              </w:rPr>
            </w:pPr>
            <w:r>
              <w:rPr>
                <w:rFonts w:hint="eastAsia" w:ascii="宋体" w:hAnsi="宋体" w:eastAsia="宋体" w:cs="宋体"/>
                <w:color w:val="auto"/>
                <w:spacing w:val="-6"/>
                <w:szCs w:val="21"/>
              </w:rPr>
              <w:t>2．重要技术性能分（满分20分）：完全满足带●的技术参数要求的前提下（带●的技术参数，合计40项），提供全部佐证材料的得20分，每少一份佐证材料或佐证材料不符合要求的扣0.5分，最多扣完本项分值即0分。</w:t>
            </w:r>
          </w:p>
          <w:p w14:paraId="60844001">
            <w:pPr>
              <w:pStyle w:val="132"/>
              <w:wordWrap w:val="0"/>
              <w:ind w:firstLine="0" w:firstLineChars="0"/>
              <w:jc w:val="both"/>
              <w:rPr>
                <w:rFonts w:hint="eastAsia" w:ascii="宋体" w:hAnsi="宋体" w:eastAsia="宋体" w:cs="宋体"/>
                <w:color w:val="auto"/>
                <w:spacing w:val="-6"/>
                <w:szCs w:val="21"/>
              </w:rPr>
            </w:pPr>
            <w:r>
              <w:rPr>
                <w:rFonts w:hint="eastAsia" w:ascii="宋体" w:hAnsi="宋体" w:eastAsia="宋体" w:cs="宋体"/>
                <w:color w:val="auto"/>
                <w:spacing w:val="-6"/>
                <w:szCs w:val="21"/>
              </w:rPr>
              <w:t>【注：技术参数中“▲”项为实质性条款，不允许负偏离，否则视为无效投标；技术参数中●项参数要求提供相关佐证材料（具有国家认可资质的第三方检测机构出具的检验（测）报告复印件或功能截图），证明材料需要与招标文件描述功能或指标吻合，在投标文件中逐点应答出检测（验）报告或功能截图指标点具体位置，项目中标后，采购人如有疑问，有权要求中标人提供检测（验）报告原件或响应的功能点进行审查。同时必须提供投标人针对其所提供的证明材料真实性及如提供虚假材料自愿承担相关法律责任的承诺书（格式自拟并加盖投标人公章），否则证明材料不予承认】</w:t>
            </w:r>
          </w:p>
        </w:tc>
      </w:tr>
      <w:tr w14:paraId="5BBBC27F">
        <w:tblPrEx>
          <w:tblCellMar>
            <w:top w:w="0" w:type="dxa"/>
            <w:left w:w="108" w:type="dxa"/>
            <w:bottom w:w="0" w:type="dxa"/>
            <w:right w:w="108" w:type="dxa"/>
          </w:tblCellMar>
        </w:tblPrEx>
        <w:trPr>
          <w:trHeight w:val="699"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14:paraId="087F1595">
            <w:pPr>
              <w:wordWrap w:val="0"/>
              <w:spacing w:line="360" w:lineRule="auto"/>
              <w:textAlignment w:val="baseline"/>
              <w:rPr>
                <w:rFonts w:hint="eastAsia" w:ascii="宋体" w:hAnsi="宋体" w:eastAsia="宋体" w:cs="宋体"/>
                <w:b/>
                <w:color w:val="auto"/>
                <w:szCs w:val="21"/>
              </w:rPr>
            </w:pPr>
          </w:p>
        </w:tc>
        <w:tc>
          <w:tcPr>
            <w:tcW w:w="1276" w:type="dxa"/>
            <w:vMerge w:val="continue"/>
            <w:tcBorders>
              <w:top w:val="single" w:color="auto" w:sz="4" w:space="0"/>
              <w:left w:val="nil"/>
              <w:bottom w:val="single" w:color="auto" w:sz="4" w:space="0"/>
              <w:right w:val="single" w:color="auto" w:sz="4" w:space="0"/>
            </w:tcBorders>
            <w:vAlign w:val="center"/>
          </w:tcPr>
          <w:p w14:paraId="0E6BAFCD">
            <w:pPr>
              <w:wordWrap w:val="0"/>
              <w:spacing w:line="360" w:lineRule="auto"/>
              <w:textAlignment w:val="baseline"/>
              <w:rPr>
                <w:rFonts w:hint="eastAsia" w:ascii="宋体" w:hAnsi="宋体" w:eastAsia="宋体" w:cs="宋体"/>
                <w:color w:val="auto"/>
                <w:szCs w:val="21"/>
              </w:rPr>
            </w:pPr>
          </w:p>
        </w:tc>
        <w:tc>
          <w:tcPr>
            <w:tcW w:w="1275" w:type="dxa"/>
            <w:tcBorders>
              <w:top w:val="single" w:color="auto" w:sz="4" w:space="0"/>
              <w:left w:val="single" w:color="auto" w:sz="4" w:space="0"/>
              <w:bottom w:val="single" w:color="auto" w:sz="4" w:space="0"/>
              <w:right w:val="single" w:color="auto" w:sz="4" w:space="0"/>
            </w:tcBorders>
            <w:vAlign w:val="center"/>
          </w:tcPr>
          <w:p w14:paraId="54440790">
            <w:pPr>
              <w:wordWrap w:val="0"/>
              <w:spacing w:line="360" w:lineRule="auto"/>
              <w:textAlignment w:val="baseline"/>
              <w:rPr>
                <w:rFonts w:hint="eastAsia" w:ascii="宋体" w:hAnsi="宋体" w:eastAsia="宋体" w:cs="宋体"/>
                <w:color w:val="auto"/>
                <w:szCs w:val="21"/>
              </w:rPr>
            </w:pPr>
            <w:r>
              <w:rPr>
                <w:rFonts w:hint="eastAsia" w:ascii="宋体" w:hAnsi="宋体" w:eastAsia="宋体" w:cs="宋体"/>
                <w:color w:val="auto"/>
                <w:szCs w:val="21"/>
              </w:rPr>
              <w:t>2.2实施方案分（满分18分）</w:t>
            </w:r>
          </w:p>
        </w:tc>
        <w:tc>
          <w:tcPr>
            <w:tcW w:w="6636" w:type="dxa"/>
            <w:tcBorders>
              <w:top w:val="single" w:color="auto" w:sz="4" w:space="0"/>
              <w:left w:val="single" w:color="auto" w:sz="4" w:space="0"/>
              <w:bottom w:val="single" w:color="auto" w:sz="4" w:space="0"/>
              <w:right w:val="single" w:color="auto" w:sz="4" w:space="0"/>
            </w:tcBorders>
            <w:vAlign w:val="center"/>
          </w:tcPr>
          <w:p w14:paraId="50E31313">
            <w:pPr>
              <w:wordWrap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评委在打分前根据投标文件中的保证实施的技术力量安排、技术服务、技术培训的服务内容和措施、建议的安装、调试、验收方法或方案等所属档次，由评委在相应档次内独立打分。</w:t>
            </w:r>
          </w:p>
          <w:p w14:paraId="325FB218">
            <w:pPr>
              <w:wordWrap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一档（6分）提供对整体项目的理解程度、技术实施方案有描述，没有明显技术错误，方案内容包含有项目主要施工技术、实施进度、质量保证措施、安全保障措施等方面描述，描述符合本项目的要求。</w:t>
            </w:r>
          </w:p>
          <w:p w14:paraId="1C4015AB">
            <w:pPr>
              <w:wordWrap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二档（12分）对整体项目的理解程度技术实施方案有描述，方案内容包含有项目主要施工技术、实施进度、组织机构、质量保证措施、安全保障措施、验收方案、组织人员、场地清理维护等方面描述且符合项目要求。此外，投标人或投标人所投产品厂商具有优秀安防系统集成能力，且投标人拟投入项目实施团队中项目经理1人及以上且投标人拟投入本项目的实施人员数量10人及以上，且实施人员中持有国家计算机专业中级认证证书（系统集成项目管理工程师（中级）证书或信息系统监理工程师（中级）证书）不少于2人，持有中级工程师职称证书（计算机专业或电子专业）至少有3人；</w:t>
            </w:r>
          </w:p>
          <w:p w14:paraId="618BF784">
            <w:pPr>
              <w:wordWrap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三档（18分）在二档的基础上，对整体项目的理解程度、技术实施方案有描述，项目实施步骤有序且符合项目要求，能有针对性提出合理化建议且为评标小组接受，实施方案内容包含有：总体目标、组织机构及职能分工、关键工作安排、项目协调管理、主要施工技术、设备安装与调试、优化建议方案、进度保障措施、质量保障、安全保障、现场管理、文档管理、风险管理、验收方案等方面且符合项目要求。此外，投标人或投标人所投产品厂商具备较好的系统集成能力、系统服务能力以及提供关键性技术支撑，且投标人拟投入项目实施团队中项目经理应1人及以上且投标人拟投入本项目的实施人员数量15人及以上，且实施人员中持有国家计算机专业中级认证证书（系统集成项目管理工程师（中级）证书或信息系统监理工程师（中级）证书）不少于3人；持有国家计算机专业资格高级认证证书（高级软件开发工程师或系统集成项目管理工程师（高级）证书或信息系统项目管理师（高级）证书或高级网络信息安全工程师证书）不少于2人，持有中级工程师职称（计算机专业或电子专业）至少有8人。</w:t>
            </w:r>
          </w:p>
          <w:p w14:paraId="51A37E36">
            <w:pPr>
              <w:wordWrap w:val="0"/>
              <w:spacing w:line="360" w:lineRule="auto"/>
              <w:rPr>
                <w:rFonts w:hint="eastAsia" w:ascii="宋体" w:hAnsi="宋体" w:eastAsia="宋体" w:cs="宋体"/>
                <w:color w:val="auto"/>
                <w:kern w:val="0"/>
                <w:szCs w:val="21"/>
              </w:rPr>
            </w:pPr>
            <w:r>
              <w:rPr>
                <w:rFonts w:hint="eastAsia" w:ascii="宋体" w:hAnsi="宋体" w:eastAsia="宋体" w:cs="宋体"/>
                <w:color w:val="auto"/>
                <w:spacing w:val="-6"/>
                <w:szCs w:val="21"/>
              </w:rPr>
              <w:t>【</w:t>
            </w:r>
            <w:r>
              <w:rPr>
                <w:rFonts w:hint="eastAsia" w:ascii="宋体" w:hAnsi="宋体" w:eastAsia="宋体" w:cs="宋体"/>
                <w:color w:val="auto"/>
                <w:kern w:val="0"/>
                <w:szCs w:val="21"/>
              </w:rPr>
              <w:t>注：1.以上所有人员必须提供为投标人在职人员，以上拟投入项目人员必须提供投标人于投标截止之日前半年内任意一个月（由于社保部门原因最近一个月的社保证明无法提供的可往前顺延一个月）依法为其缴纳社会保险参保缴费有效证明。</w:t>
            </w:r>
          </w:p>
          <w:p w14:paraId="082DAFBE">
            <w:pPr>
              <w:wordWrap w:val="0"/>
              <w:spacing w:line="360" w:lineRule="auto"/>
              <w:rPr>
                <w:rFonts w:hint="eastAsia" w:ascii="宋体" w:hAnsi="宋体" w:eastAsia="宋体" w:cs="宋体"/>
                <w:color w:val="auto"/>
              </w:rPr>
            </w:pPr>
            <w:r>
              <w:rPr>
                <w:rFonts w:hint="eastAsia" w:ascii="宋体" w:hAnsi="宋体" w:eastAsia="宋体" w:cs="宋体"/>
                <w:color w:val="auto"/>
                <w:kern w:val="0"/>
                <w:szCs w:val="21"/>
              </w:rPr>
              <w:t>2.以上材料的复印件要求加盖公章或CA签章，否则此项不得分。</w:t>
            </w:r>
            <w:r>
              <w:rPr>
                <w:rFonts w:hint="eastAsia" w:ascii="宋体" w:hAnsi="宋体" w:eastAsia="宋体" w:cs="宋体"/>
                <w:color w:val="auto"/>
                <w:spacing w:val="-6"/>
                <w:szCs w:val="21"/>
              </w:rPr>
              <w:t>】</w:t>
            </w:r>
          </w:p>
        </w:tc>
      </w:tr>
      <w:tr w14:paraId="6493600C">
        <w:tblPrEx>
          <w:tblCellMar>
            <w:top w:w="0" w:type="dxa"/>
            <w:left w:w="108" w:type="dxa"/>
            <w:bottom w:w="0" w:type="dxa"/>
            <w:right w:w="108" w:type="dxa"/>
          </w:tblCellMar>
        </w:tblPrEx>
        <w:trPr>
          <w:trHeight w:val="416" w:hRule="atLeast"/>
          <w:jc w:val="center"/>
        </w:trPr>
        <w:tc>
          <w:tcPr>
            <w:tcW w:w="846" w:type="dxa"/>
            <w:vMerge w:val="restart"/>
            <w:tcBorders>
              <w:top w:val="single" w:color="auto" w:sz="4" w:space="0"/>
              <w:left w:val="single" w:color="auto" w:sz="4" w:space="0"/>
              <w:bottom w:val="single" w:color="auto" w:sz="4" w:space="0"/>
              <w:right w:val="single" w:color="auto" w:sz="4" w:space="0"/>
            </w:tcBorders>
            <w:vAlign w:val="center"/>
          </w:tcPr>
          <w:p w14:paraId="4D215E00">
            <w:pPr>
              <w:wordWrap w:val="0"/>
              <w:spacing w:line="360" w:lineRule="auto"/>
              <w:rPr>
                <w:rFonts w:hint="eastAsia" w:ascii="宋体" w:hAnsi="宋体" w:eastAsia="宋体" w:cs="宋体"/>
                <w:b/>
                <w:color w:val="auto"/>
                <w:szCs w:val="21"/>
              </w:rPr>
            </w:pPr>
            <w:r>
              <w:rPr>
                <w:rFonts w:hint="eastAsia" w:ascii="宋体" w:hAnsi="宋体" w:eastAsia="宋体" w:cs="宋体"/>
                <w:b/>
                <w:color w:val="auto"/>
                <w:szCs w:val="21"/>
              </w:rPr>
              <w:t>3</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141FF401">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商务分（26分）</w:t>
            </w: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28E08136">
            <w:pPr>
              <w:pStyle w:val="25"/>
              <w:wordWrap w:val="0"/>
              <w:spacing w:line="360" w:lineRule="auto"/>
              <w:rPr>
                <w:rFonts w:hint="eastAsia" w:ascii="宋体" w:hAnsi="宋体" w:eastAsia="宋体" w:cs="宋体"/>
                <w:color w:val="auto"/>
                <w:sz w:val="21"/>
              </w:rPr>
            </w:pPr>
            <w:r>
              <w:rPr>
                <w:rFonts w:hint="eastAsia" w:ascii="宋体" w:hAnsi="宋体" w:eastAsia="宋体" w:cs="宋体"/>
                <w:color w:val="auto"/>
                <w:sz w:val="21"/>
              </w:rPr>
              <w:t>3.1售后服务分（满分18分）</w:t>
            </w:r>
          </w:p>
        </w:tc>
        <w:tc>
          <w:tcPr>
            <w:tcW w:w="6636"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47C9CCF5">
            <w:pPr>
              <w:wordWrap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3.1.1质保期在满足招标文件要求的基础上每延长6个月得1.5分，满分3分。</w:t>
            </w:r>
          </w:p>
          <w:p w14:paraId="23C8B2C4">
            <w:pPr>
              <w:wordWrap w:val="0"/>
              <w:spacing w:line="360" w:lineRule="auto"/>
              <w:rPr>
                <w:rFonts w:hint="eastAsia" w:ascii="宋体" w:hAnsi="宋体" w:eastAsia="宋体" w:cs="宋体"/>
                <w:b/>
                <w:color w:val="auto"/>
                <w:kern w:val="0"/>
                <w:szCs w:val="21"/>
              </w:rPr>
            </w:pPr>
            <w:r>
              <w:rPr>
                <w:rFonts w:hint="eastAsia" w:ascii="宋体" w:hAnsi="宋体" w:eastAsia="宋体" w:cs="宋体"/>
                <w:color w:val="auto"/>
                <w:kern w:val="0"/>
                <w:szCs w:val="21"/>
              </w:rPr>
              <w:t>3.1.2售后服务方案（满分15分）</w:t>
            </w:r>
          </w:p>
          <w:p w14:paraId="657EC1EC">
            <w:pPr>
              <w:wordWrap w:val="0"/>
              <w:spacing w:line="360" w:lineRule="auto"/>
              <w:rPr>
                <w:rFonts w:hint="eastAsia" w:ascii="宋体" w:hAnsi="宋体" w:eastAsia="宋体" w:cs="宋体"/>
                <w:b/>
                <w:color w:val="auto"/>
                <w:kern w:val="0"/>
                <w:szCs w:val="21"/>
              </w:rPr>
            </w:pPr>
            <w:r>
              <w:rPr>
                <w:rFonts w:hint="eastAsia" w:ascii="宋体" w:hAnsi="宋体" w:eastAsia="宋体" w:cs="宋体"/>
                <w:color w:val="auto"/>
                <w:kern w:val="0"/>
                <w:szCs w:val="21"/>
              </w:rPr>
              <w:t>评委根据招标文件售后服务要求并结合投标人售后服务方案内容的完整性、可行性、保质期、到达故障现场时间、故障出现解决方案、免费技术培训方案、保修期外维修方案等由评委集体讨论确定各投标人所属档次，由评委在相应档次内独立打分。</w:t>
            </w:r>
          </w:p>
          <w:p w14:paraId="4AE267D4">
            <w:pPr>
              <w:wordWrap w:val="0"/>
              <w:spacing w:line="360" w:lineRule="auto"/>
              <w:rPr>
                <w:rFonts w:hint="eastAsia" w:ascii="宋体" w:hAnsi="宋体" w:eastAsia="宋体" w:cs="宋体"/>
                <w:b/>
                <w:color w:val="auto"/>
                <w:kern w:val="0"/>
                <w:szCs w:val="21"/>
              </w:rPr>
            </w:pPr>
            <w:r>
              <w:rPr>
                <w:rFonts w:hint="eastAsia" w:ascii="宋体" w:hAnsi="宋体" w:eastAsia="宋体" w:cs="宋体"/>
                <w:color w:val="auto"/>
                <w:kern w:val="0"/>
                <w:szCs w:val="21"/>
              </w:rPr>
              <w:t>一档（6分）：提供售后服务方案，方案包含响应时间、服务承诺等，仅满足项目基本需求。</w:t>
            </w:r>
          </w:p>
          <w:p w14:paraId="6AB61BD6">
            <w:pPr>
              <w:wordWrap w:val="0"/>
              <w:spacing w:line="360" w:lineRule="auto"/>
              <w:rPr>
                <w:rFonts w:hint="eastAsia" w:ascii="宋体" w:hAnsi="宋体" w:eastAsia="宋体" w:cs="宋体"/>
                <w:b/>
                <w:color w:val="auto"/>
                <w:kern w:val="0"/>
                <w:szCs w:val="21"/>
              </w:rPr>
            </w:pPr>
            <w:r>
              <w:rPr>
                <w:rFonts w:hint="eastAsia" w:ascii="宋体" w:hAnsi="宋体" w:eastAsia="宋体" w:cs="宋体"/>
                <w:color w:val="auto"/>
                <w:kern w:val="0"/>
                <w:szCs w:val="21"/>
              </w:rPr>
              <w:t>二档（10分）：在满足一档的前提下，售后服务方案包含技术培训计划、服务承诺等，此外，投标人或投标人所投的投标产品厂商应具有充足的售后资源及完善的售后服务体系，具备满足标准规范的服务能力并可提供相关佐证，且售后技术服务队伍固定服务人员8人及以上，响应时间优于采购文件要求。投标人运行维护具有信息技术标准服务。</w:t>
            </w:r>
          </w:p>
          <w:p w14:paraId="6756C931">
            <w:pPr>
              <w:wordWrap w:val="0"/>
              <w:spacing w:line="360" w:lineRule="auto"/>
              <w:rPr>
                <w:rFonts w:hint="eastAsia" w:ascii="宋体" w:hAnsi="宋体" w:eastAsia="宋体" w:cs="宋体"/>
                <w:b/>
                <w:bCs/>
                <w:color w:val="auto"/>
                <w:kern w:val="0"/>
                <w:szCs w:val="21"/>
              </w:rPr>
            </w:pPr>
            <w:r>
              <w:rPr>
                <w:rFonts w:hint="eastAsia" w:ascii="宋体" w:hAnsi="宋体" w:eastAsia="宋体" w:cs="宋体"/>
                <w:color w:val="auto"/>
                <w:kern w:val="0"/>
                <w:szCs w:val="21"/>
              </w:rPr>
              <w:t>三档（15分）：在满足二档前提下，售后服务方案包含的技术培训计划、服务承诺、服务响应时间、到达现场时间、完善的售后服务体系，完善的服务流程及配套资源，确保向本项目提供专业、快捷、规范的售后服务的方案。此外，投标人可提供</w:t>
            </w:r>
            <w:r>
              <w:rPr>
                <w:rFonts w:hint="eastAsia" w:ascii="宋体" w:hAnsi="宋体" w:eastAsia="宋体" w:cs="宋体"/>
                <w:color w:val="auto"/>
                <w:szCs w:val="21"/>
              </w:rPr>
              <w:t>具有本地化服务能力的承诺书，</w:t>
            </w:r>
            <w:r>
              <w:rPr>
                <w:rFonts w:hint="eastAsia" w:ascii="宋体" w:hAnsi="宋体" w:eastAsia="宋体" w:cs="宋体"/>
                <w:color w:val="auto"/>
                <w:kern w:val="0"/>
                <w:szCs w:val="21"/>
              </w:rPr>
              <w:t>售后技术服务队伍固定服务人员不少于10人，同时拟投入的售后服务人员中有2人以上具有软件设计师中级或以上或网络工程师证书中级或以上。</w:t>
            </w:r>
          </w:p>
          <w:p w14:paraId="07713E96">
            <w:pPr>
              <w:wordWrap w:val="0"/>
              <w:spacing w:line="360" w:lineRule="auto"/>
              <w:rPr>
                <w:rFonts w:hint="eastAsia" w:ascii="宋体" w:hAnsi="宋体" w:eastAsia="宋体" w:cs="宋体"/>
                <w:b/>
                <w:bCs/>
                <w:color w:val="auto"/>
                <w:kern w:val="0"/>
                <w:szCs w:val="21"/>
              </w:rPr>
            </w:pPr>
            <w:r>
              <w:rPr>
                <w:rFonts w:hint="eastAsia" w:ascii="宋体" w:hAnsi="宋体" w:eastAsia="宋体" w:cs="宋体"/>
                <w:color w:val="auto"/>
                <w:spacing w:val="-6"/>
                <w:szCs w:val="21"/>
              </w:rPr>
              <w:t>【</w:t>
            </w:r>
            <w:r>
              <w:rPr>
                <w:rFonts w:hint="eastAsia" w:ascii="宋体" w:hAnsi="宋体" w:eastAsia="宋体" w:cs="宋体"/>
                <w:color w:val="auto"/>
                <w:kern w:val="0"/>
                <w:szCs w:val="21"/>
              </w:rPr>
              <w:t>注：1.以上所有人员必须提供为投标人在职人员，以上拟投入项目人员必须提供投标人于投标截止之日前半年内任意一个月（由于社保部门原因最近一个月的社保证明无法提供的可往前顺延一个月）依法为其缴纳社会保险参保缴费有效证明。</w:t>
            </w:r>
          </w:p>
          <w:p w14:paraId="1E7AB58B">
            <w:pPr>
              <w:wordWrap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2.以上材料的复印件要求加盖公章或CA签章，否则此项不得分。</w:t>
            </w:r>
            <w:r>
              <w:rPr>
                <w:rFonts w:hint="eastAsia" w:ascii="宋体" w:hAnsi="宋体" w:eastAsia="宋体" w:cs="宋体"/>
                <w:color w:val="auto"/>
                <w:spacing w:val="-6"/>
                <w:szCs w:val="21"/>
              </w:rPr>
              <w:t>】</w:t>
            </w:r>
          </w:p>
        </w:tc>
      </w:tr>
      <w:tr w14:paraId="1093DEB6">
        <w:tblPrEx>
          <w:tblCellMar>
            <w:top w:w="0" w:type="dxa"/>
            <w:left w:w="108" w:type="dxa"/>
            <w:bottom w:w="0" w:type="dxa"/>
            <w:right w:w="108" w:type="dxa"/>
          </w:tblCellMar>
        </w:tblPrEx>
        <w:trPr>
          <w:trHeight w:val="416"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14:paraId="04D8A24D">
            <w:pPr>
              <w:wordWrap w:val="0"/>
              <w:spacing w:line="360" w:lineRule="auto"/>
              <w:rPr>
                <w:rFonts w:hint="eastAsia" w:ascii="宋体" w:hAnsi="宋体" w:eastAsia="宋体" w:cs="宋体"/>
                <w:color w:val="auto"/>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05D713B5">
            <w:pPr>
              <w:wordWrap w:val="0"/>
              <w:spacing w:line="360" w:lineRule="auto"/>
              <w:rPr>
                <w:rFonts w:hint="eastAsia" w:ascii="宋体" w:hAnsi="宋体" w:eastAsia="宋体" w:cs="宋体"/>
                <w:color w:val="auto"/>
                <w:szCs w:val="21"/>
              </w:rPr>
            </w:pP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271BAEEB">
            <w:pPr>
              <w:pStyle w:val="25"/>
              <w:wordWrap w:val="0"/>
              <w:spacing w:line="360" w:lineRule="auto"/>
              <w:rPr>
                <w:rFonts w:hint="eastAsia" w:ascii="宋体" w:hAnsi="宋体" w:eastAsia="宋体" w:cs="宋体"/>
                <w:color w:val="auto"/>
                <w:sz w:val="21"/>
              </w:rPr>
            </w:pPr>
            <w:r>
              <w:rPr>
                <w:rFonts w:hint="eastAsia" w:ascii="宋体" w:hAnsi="宋体" w:eastAsia="宋体" w:cs="宋体"/>
                <w:color w:val="auto"/>
                <w:sz w:val="21"/>
              </w:rPr>
              <w:t>3.</w:t>
            </w:r>
            <w:r>
              <w:rPr>
                <w:rFonts w:hint="eastAsia" w:ascii="宋体" w:hAnsi="宋体" w:eastAsia="宋体" w:cs="宋体"/>
                <w:color w:val="auto"/>
                <w:sz w:val="21"/>
              </w:rPr>
              <w:t>2</w:t>
            </w:r>
            <w:r>
              <w:rPr>
                <w:rFonts w:hint="eastAsia" w:ascii="宋体" w:hAnsi="宋体" w:eastAsia="宋体" w:cs="宋体"/>
                <w:color w:val="auto"/>
                <w:sz w:val="21"/>
              </w:rPr>
              <w:t>业绩分（满分6分）</w:t>
            </w:r>
          </w:p>
        </w:tc>
        <w:tc>
          <w:tcPr>
            <w:tcW w:w="663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6C122EA2">
            <w:pPr>
              <w:pStyle w:val="25"/>
              <w:wordWrap w:val="0"/>
              <w:spacing w:line="360" w:lineRule="auto"/>
              <w:rPr>
                <w:rFonts w:hint="eastAsia" w:ascii="宋体" w:hAnsi="宋体" w:eastAsia="宋体" w:cs="宋体"/>
                <w:color w:val="auto"/>
                <w:sz w:val="21"/>
              </w:rPr>
            </w:pPr>
            <w:r>
              <w:rPr>
                <w:rFonts w:hint="eastAsia" w:ascii="宋体" w:hAnsi="宋体" w:eastAsia="宋体" w:cs="宋体"/>
                <w:color w:val="auto"/>
                <w:sz w:val="21"/>
              </w:rPr>
              <w:t>投标人自2021年以来具有同类项目的业绩分，以合同或中标（成交）通知书复印件为准，每份得2分，满分6分。</w:t>
            </w:r>
          </w:p>
        </w:tc>
      </w:tr>
      <w:tr w14:paraId="5C883028">
        <w:tblPrEx>
          <w:tblCellMar>
            <w:top w:w="0" w:type="dxa"/>
            <w:left w:w="108" w:type="dxa"/>
            <w:bottom w:w="0" w:type="dxa"/>
            <w:right w:w="108" w:type="dxa"/>
          </w:tblCellMar>
        </w:tblPrEx>
        <w:trPr>
          <w:trHeight w:val="416"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14:paraId="13D3A84A">
            <w:pPr>
              <w:wordWrap w:val="0"/>
              <w:spacing w:line="360" w:lineRule="auto"/>
              <w:rPr>
                <w:rFonts w:hint="eastAsia" w:ascii="宋体" w:hAnsi="宋体" w:eastAsia="宋体" w:cs="宋体"/>
                <w:color w:val="auto"/>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39EBCCE4">
            <w:pPr>
              <w:wordWrap w:val="0"/>
              <w:spacing w:line="360" w:lineRule="auto"/>
              <w:rPr>
                <w:rFonts w:hint="eastAsia" w:ascii="宋体" w:hAnsi="宋体" w:eastAsia="宋体" w:cs="宋体"/>
                <w:color w:val="auto"/>
                <w:szCs w:val="21"/>
              </w:rPr>
            </w:pP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26200E89">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3.3</w:t>
            </w:r>
            <w:r>
              <w:rPr>
                <w:rFonts w:hint="eastAsia" w:ascii="宋体" w:hAnsi="宋体" w:eastAsia="宋体" w:cs="宋体"/>
                <w:color w:val="auto"/>
                <w:szCs w:val="21"/>
              </w:rPr>
              <w:t>政策分（满分</w:t>
            </w:r>
          </w:p>
          <w:p w14:paraId="36DA7117">
            <w:pPr>
              <w:pStyle w:val="25"/>
              <w:wordWrap w:val="0"/>
              <w:spacing w:line="360" w:lineRule="auto"/>
              <w:rPr>
                <w:rFonts w:hint="eastAsia" w:ascii="宋体" w:hAnsi="宋体" w:eastAsia="宋体" w:cs="宋体"/>
                <w:color w:val="auto"/>
                <w:sz w:val="21"/>
              </w:rPr>
            </w:pPr>
            <w:r>
              <w:rPr>
                <w:rFonts w:hint="eastAsia" w:ascii="宋体" w:hAnsi="宋体" w:eastAsia="宋体" w:cs="宋体"/>
                <w:color w:val="auto"/>
                <w:sz w:val="21"/>
                <w:u w:val="single"/>
              </w:rPr>
              <w:t>2</w:t>
            </w:r>
            <w:r>
              <w:rPr>
                <w:rFonts w:hint="eastAsia" w:ascii="宋体" w:hAnsi="宋体" w:eastAsia="宋体" w:cs="宋体"/>
                <w:color w:val="auto"/>
                <w:sz w:val="21"/>
              </w:rPr>
              <w:t>分）</w:t>
            </w:r>
          </w:p>
        </w:tc>
        <w:tc>
          <w:tcPr>
            <w:tcW w:w="663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75315898">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（1）投标产品纳入《财政部 发展改革委 生态环境部 市场监管总局关于调整优化节能产品 环境标志产品政府采购执行机制的通知》（财库〔2019〕9号）中节能产品政府采购品目清单的（适用于非强制采购节能产品，产品提供投标产品所属节能产品认证证书扫描件并加盖单位公章），得1分。</w:t>
            </w:r>
          </w:p>
          <w:p w14:paraId="0120A5E0">
            <w:pPr>
              <w:pStyle w:val="25"/>
              <w:wordWrap w:val="0"/>
              <w:spacing w:line="360" w:lineRule="auto"/>
              <w:rPr>
                <w:rFonts w:hint="eastAsia" w:ascii="宋体" w:hAnsi="宋体" w:eastAsia="宋体" w:cs="宋体"/>
                <w:color w:val="auto"/>
                <w:sz w:val="21"/>
              </w:rPr>
            </w:pPr>
            <w:r>
              <w:rPr>
                <w:rFonts w:hint="eastAsia" w:ascii="宋体" w:hAnsi="宋体" w:eastAsia="宋体" w:cs="宋体"/>
                <w:color w:val="auto"/>
                <w:sz w:val="21"/>
              </w:rPr>
              <w:t>（2）投标产品纳入《财政部发展改革委 生态环境部 市场监管总局关于调整优化节能产品 环境标志产品政府采购执行机制的通知》（财库〔2019〕9号）中环境标志产品政府采购品目清单的（提供投标产品所属环境标志产品认证证书扫描件并加盖单位公章），得1分。</w:t>
            </w:r>
          </w:p>
        </w:tc>
      </w:tr>
      <w:tr w14:paraId="30A695D0">
        <w:tblPrEx>
          <w:tblCellMar>
            <w:top w:w="0" w:type="dxa"/>
            <w:left w:w="108" w:type="dxa"/>
            <w:bottom w:w="0" w:type="dxa"/>
            <w:right w:w="108" w:type="dxa"/>
          </w:tblCellMar>
        </w:tblPrEx>
        <w:trPr>
          <w:jc w:val="center"/>
        </w:trPr>
        <w:tc>
          <w:tcPr>
            <w:tcW w:w="10033" w:type="dxa"/>
            <w:gridSpan w:val="4"/>
            <w:tcBorders>
              <w:top w:val="single" w:color="auto" w:sz="4" w:space="0"/>
              <w:left w:val="single" w:color="auto" w:sz="4" w:space="0"/>
              <w:bottom w:val="single" w:color="auto" w:sz="4" w:space="0"/>
              <w:right w:val="single" w:color="auto" w:sz="4" w:space="0"/>
            </w:tcBorders>
            <w:vAlign w:val="center"/>
          </w:tcPr>
          <w:p w14:paraId="6FAC47B2">
            <w:pPr>
              <w:pStyle w:val="25"/>
              <w:wordWrap w:val="0"/>
              <w:spacing w:line="360" w:lineRule="auto"/>
              <w:rPr>
                <w:rFonts w:hint="eastAsia" w:ascii="宋体" w:hAnsi="宋体" w:eastAsia="宋体" w:cs="宋体"/>
                <w:color w:val="auto"/>
                <w:sz w:val="21"/>
              </w:rPr>
            </w:pPr>
            <w:r>
              <w:rPr>
                <w:rFonts w:hint="eastAsia" w:ascii="宋体" w:hAnsi="宋体" w:eastAsia="宋体" w:cs="宋体"/>
                <w:color w:val="auto"/>
                <w:sz w:val="21"/>
              </w:rPr>
              <w:t>1.总得分=1+2+3</w:t>
            </w:r>
          </w:p>
          <w:p w14:paraId="3F4762D0">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2.评标委员会将根据总得分由高到低排列次序并推荐中标候选人。得分相同的，以投标报价由低到高顺序排列。得分相同且投标报价相同的，按照技术指标优劣顺序推荐（按技术得分由高到低排序，技术得分相同的按照技术需求偏离分由高到低排序）。评审得分、投标报价、技术得分、技术需求偏离分均相同的，由评标委员会成员记名投票，按少数服从多数原则推荐中标候选人。</w:t>
            </w:r>
          </w:p>
        </w:tc>
      </w:tr>
    </w:tbl>
    <w:p w14:paraId="01CE14A6">
      <w:pPr>
        <w:wordWrap w:val="0"/>
        <w:rPr>
          <w:rFonts w:hint="eastAsia" w:ascii="宋体" w:hAnsi="宋体" w:eastAsia="宋体" w:cs="宋体"/>
          <w:color w:val="auto"/>
        </w:rPr>
      </w:pPr>
    </w:p>
    <w:bookmarkEnd w:id="210"/>
    <w:bookmarkEnd w:id="211"/>
    <w:p w14:paraId="05B3B6AA">
      <w:pPr>
        <w:pStyle w:val="25"/>
        <w:wordWrap w:val="0"/>
        <w:spacing w:line="360" w:lineRule="auto"/>
        <w:outlineLvl w:val="1"/>
        <w:rPr>
          <w:rFonts w:hint="eastAsia" w:ascii="宋体" w:hAnsi="宋体" w:eastAsia="宋体" w:cs="宋体"/>
          <w:b/>
          <w:color w:val="auto"/>
          <w:sz w:val="32"/>
          <w:szCs w:val="32"/>
        </w:rPr>
      </w:pPr>
    </w:p>
    <w:p w14:paraId="5A734A8F">
      <w:pPr>
        <w:pStyle w:val="25"/>
        <w:spacing w:line="360" w:lineRule="auto"/>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四、中标候选人推荐</w:t>
      </w:r>
    </w:p>
    <w:p w14:paraId="14002FA3">
      <w:pPr>
        <w:pStyle w:val="25"/>
        <w:wordWrap w:val="0"/>
        <w:spacing w:line="360" w:lineRule="auto"/>
        <w:contextualSpacing/>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（一）综合评分法</w:t>
      </w:r>
    </w:p>
    <w:p w14:paraId="663031F7">
      <w:pPr>
        <w:pStyle w:val="25"/>
        <w:wordWrap w:val="0"/>
        <w:spacing w:line="360" w:lineRule="auto"/>
        <w:ind w:firstLine="420" w:firstLineChars="200"/>
        <w:contextualSpacing/>
        <w:rPr>
          <w:rFonts w:hint="eastAsia" w:ascii="宋体" w:hAnsi="宋体" w:eastAsia="宋体" w:cs="宋体"/>
          <w:color w:val="auto"/>
          <w:sz w:val="21"/>
        </w:rPr>
      </w:pPr>
      <w:r>
        <w:rPr>
          <w:rFonts w:hint="eastAsia" w:ascii="宋体" w:hAnsi="宋体" w:eastAsia="宋体" w:cs="宋体"/>
          <w:color w:val="auto"/>
          <w:sz w:val="21"/>
        </w:rPr>
        <w:t>1.评标委员会根据原始评标记录和评标结果编写评标报告，并通过电子交易平台向采购人、采购代理机构提交。</w:t>
      </w:r>
    </w:p>
    <w:p w14:paraId="61F9C1F2">
      <w:pPr>
        <w:pStyle w:val="25"/>
        <w:wordWrap w:val="0"/>
        <w:spacing w:line="360" w:lineRule="auto"/>
        <w:ind w:firstLine="420" w:firstLineChars="200"/>
        <w:contextualSpacing/>
        <w:rPr>
          <w:rFonts w:hint="eastAsia" w:ascii="宋体" w:hAnsi="宋体" w:eastAsia="宋体" w:cs="宋体"/>
          <w:color w:val="auto"/>
          <w:sz w:val="21"/>
        </w:rPr>
      </w:pPr>
      <w:r>
        <w:rPr>
          <w:rFonts w:hint="eastAsia" w:ascii="宋体" w:hAnsi="宋体" w:eastAsia="宋体" w:cs="宋体"/>
          <w:color w:val="auto"/>
          <w:sz w:val="21"/>
        </w:rPr>
        <w:t>2.评标委员会将按评审后得分由高到低顺序排列，出现中标候选人并列的情形，采购人按以下的方式确定中标人：（总得分相同时，按“</w:t>
      </w:r>
      <w:r>
        <w:rPr>
          <w:rFonts w:hint="eastAsia" w:ascii="宋体" w:hAnsi="宋体" w:eastAsia="宋体" w:cs="宋体"/>
          <w:color w:val="auto"/>
          <w:sz w:val="21"/>
        </w:rPr>
        <w:t>投标人</w:t>
      </w:r>
      <w:r>
        <w:rPr>
          <w:rFonts w:hint="eastAsia" w:ascii="宋体" w:hAnsi="宋体" w:eastAsia="宋体" w:cs="宋体"/>
          <w:color w:val="auto"/>
          <w:sz w:val="21"/>
        </w:rPr>
        <w:t>须知前附表”第30.1条规定的顺序确定），并编写评审报告。</w:t>
      </w:r>
    </w:p>
    <w:bookmarkEnd w:id="55"/>
    <w:bookmarkEnd w:id="56"/>
    <w:p w14:paraId="45924C5C">
      <w:pPr>
        <w:wordWrap w:val="0"/>
        <w:spacing w:before="120" w:beforeLines="50" w:after="120" w:afterLines="50" w:line="400" w:lineRule="exact"/>
        <w:rPr>
          <w:rFonts w:hint="eastAsia" w:ascii="宋体" w:hAnsi="宋体" w:eastAsia="宋体" w:cs="宋体"/>
          <w:b/>
          <w:color w:val="auto"/>
          <w:sz w:val="24"/>
        </w:rPr>
      </w:pPr>
    </w:p>
    <w:bookmarkEnd w:id="12"/>
    <w:p w14:paraId="18885165">
      <w:pPr>
        <w:wordWrap w:val="0"/>
        <w:spacing w:before="120" w:beforeLines="50" w:after="120" w:afterLines="50" w:line="400" w:lineRule="exact"/>
        <w:rPr>
          <w:rFonts w:hint="eastAsia" w:ascii="宋体" w:hAnsi="宋体" w:eastAsia="宋体" w:cs="宋体"/>
          <w:b/>
          <w:color w:val="auto"/>
          <w:sz w:val="24"/>
        </w:rPr>
      </w:pPr>
    </w:p>
    <w:p w14:paraId="40A75FB7">
      <w:pPr>
        <w:pStyle w:val="2"/>
        <w:keepNext w:val="0"/>
        <w:keepLines w:val="0"/>
        <w:tabs>
          <w:tab w:val="left" w:pos="0"/>
          <w:tab w:val="left" w:pos="3165"/>
          <w:tab w:val="center" w:pos="4153"/>
        </w:tabs>
        <w:autoSpaceDE w:val="0"/>
        <w:autoSpaceDN w:val="0"/>
        <w:adjustRightInd w:val="0"/>
        <w:spacing w:before="0" w:after="0" w:line="360" w:lineRule="auto"/>
        <w:rPr>
          <w:rFonts w:hint="eastAsia" w:ascii="宋体" w:hAnsi="宋体" w:eastAsia="宋体" w:cs="宋体"/>
          <w:color w:val="auto"/>
        </w:rPr>
      </w:pPr>
      <w:r>
        <w:rPr>
          <w:rFonts w:hint="eastAsia" w:ascii="宋体" w:hAnsi="宋体" w:eastAsia="宋体" w:cs="宋体"/>
          <w:color w:val="auto"/>
        </w:rPr>
        <w:br w:type="page"/>
      </w:r>
      <w:bookmarkStart w:id="212" w:name="_Toc148453336"/>
      <w:r>
        <w:rPr>
          <w:rFonts w:hint="eastAsia" w:ascii="宋体" w:hAnsi="宋体" w:eastAsia="宋体" w:cs="宋体"/>
          <w:color w:val="auto"/>
        </w:rPr>
        <w:t>第五章 拟签订的合同文本</w:t>
      </w:r>
      <w:bookmarkEnd w:id="212"/>
    </w:p>
    <w:p w14:paraId="700FC904">
      <w:pPr>
        <w:snapToGrid w:val="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政府采购合同</w:t>
      </w:r>
      <w:r>
        <w:rPr>
          <w:rFonts w:hint="eastAsia" w:ascii="宋体" w:hAnsi="宋体" w:eastAsia="宋体" w:cs="宋体"/>
          <w:b/>
          <w:color w:val="auto"/>
          <w:sz w:val="32"/>
          <w:szCs w:val="32"/>
        </w:rPr>
        <w:t>文本</w:t>
      </w:r>
    </w:p>
    <w:p w14:paraId="289FA0FB">
      <w:pPr>
        <w:wordWrap w:val="0"/>
        <w:snapToGrid w:val="0"/>
        <w:spacing w:line="400" w:lineRule="exact"/>
        <w:ind w:right="480" w:firstLine="5250" w:firstLineChars="2500"/>
        <w:rPr>
          <w:rFonts w:hint="eastAsia" w:ascii="宋体" w:hAnsi="宋体" w:eastAsia="宋体" w:cs="宋体"/>
          <w:bCs/>
          <w:color w:val="auto"/>
          <w:szCs w:val="21"/>
          <w:u w:val="single"/>
        </w:rPr>
      </w:pPr>
      <w:r>
        <w:rPr>
          <w:rFonts w:hint="eastAsia" w:ascii="宋体" w:hAnsi="宋体" w:eastAsia="宋体" w:cs="宋体"/>
          <w:bCs/>
          <w:color w:val="auto"/>
          <w:szCs w:val="21"/>
        </w:rPr>
        <w:t>合同编号：</w:t>
      </w:r>
    </w:p>
    <w:p w14:paraId="0EEF80D9">
      <w:pPr>
        <w:wordWrap w:val="0"/>
        <w:snapToGrid w:val="0"/>
        <w:spacing w:line="360" w:lineRule="exact"/>
        <w:rPr>
          <w:rFonts w:hint="eastAsia" w:ascii="宋体" w:hAnsi="宋体" w:eastAsia="宋体" w:cs="宋体"/>
          <w:color w:val="auto"/>
          <w:szCs w:val="21"/>
        </w:rPr>
      </w:pPr>
    </w:p>
    <w:p w14:paraId="152EB923">
      <w:pPr>
        <w:wordWrap w:val="0"/>
        <w:snapToGrid w:val="0"/>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采购人（甲方）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r>
        <w:rPr>
          <w:rFonts w:hint="eastAsia" w:ascii="宋体" w:hAnsi="宋体" w:eastAsia="宋体" w:cs="宋体"/>
          <w:color w:val="auto"/>
          <w:spacing w:val="-20"/>
          <w:szCs w:val="21"/>
        </w:rPr>
        <w:t>采 购 计 划 号</w:t>
      </w:r>
      <w:r>
        <w:rPr>
          <w:rFonts w:hint="eastAsia" w:ascii="宋体" w:hAnsi="宋体" w:eastAsia="宋体" w:cs="宋体"/>
          <w:color w:val="auto"/>
          <w:szCs w:val="21"/>
          <w:u w:val="single"/>
        </w:rPr>
        <w:t xml:space="preserve">             </w:t>
      </w:r>
    </w:p>
    <w:p w14:paraId="3C811EF3">
      <w:pPr>
        <w:wordWrap w:val="0"/>
        <w:snapToGrid w:val="0"/>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供 应 商（乙方）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项 目</w:t>
      </w:r>
      <w:r>
        <w:rPr>
          <w:rFonts w:hint="eastAsia" w:ascii="宋体" w:hAnsi="宋体" w:eastAsia="宋体" w:cs="宋体"/>
          <w:color w:val="auto"/>
          <w:spacing w:val="-20"/>
          <w:szCs w:val="21"/>
        </w:rPr>
        <w:t xml:space="preserve">  编  号</w:t>
      </w:r>
      <w:r>
        <w:rPr>
          <w:rFonts w:hint="eastAsia" w:ascii="宋体" w:hAnsi="宋体" w:eastAsia="宋体" w:cs="宋体"/>
          <w:color w:val="auto"/>
          <w:szCs w:val="21"/>
          <w:u w:val="single"/>
        </w:rPr>
        <w:t xml:space="preserve">             </w:t>
      </w:r>
    </w:p>
    <w:p w14:paraId="408D22B3">
      <w:pPr>
        <w:wordWrap w:val="0"/>
        <w:snapToGrid w:val="0"/>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 xml:space="preserve">签  订  地  点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签 订 时 间</w:t>
      </w:r>
      <w:r>
        <w:rPr>
          <w:rFonts w:hint="eastAsia" w:ascii="宋体" w:hAnsi="宋体" w:eastAsia="宋体" w:cs="宋体"/>
          <w:color w:val="auto"/>
          <w:szCs w:val="21"/>
          <w:u w:val="single"/>
        </w:rPr>
        <w:t xml:space="preserve">             </w:t>
      </w:r>
    </w:p>
    <w:p w14:paraId="0178FF61">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本合同为中小企业预留合同：</w:t>
      </w:r>
      <w:r>
        <w:rPr>
          <w:rFonts w:hint="eastAsia" w:ascii="宋体" w:hAnsi="宋体" w:eastAsia="宋体" w:cs="宋体"/>
          <w:color w:val="auto"/>
          <w:szCs w:val="21"/>
          <w:u w:val="single"/>
        </w:rPr>
        <w:t>（是/否）</w:t>
      </w:r>
      <w:r>
        <w:rPr>
          <w:rFonts w:hint="eastAsia" w:ascii="宋体" w:hAnsi="宋体" w:eastAsia="宋体" w:cs="宋体"/>
          <w:color w:val="auto"/>
          <w:szCs w:val="21"/>
        </w:rPr>
        <w:t>。</w:t>
      </w:r>
    </w:p>
    <w:p w14:paraId="19E9D141">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根据《中华人民共和国政府采购法》、《中华人民共和国民法典》等法律、法规规定，按照招标文件规定条款和中标供应商承诺，甲乙双方签订本合同。</w:t>
      </w:r>
    </w:p>
    <w:p w14:paraId="3A0D7A1D">
      <w:pPr>
        <w:wordWrap w:val="0"/>
        <w:snapToGrid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第一条　合同标的</w:t>
      </w:r>
    </w:p>
    <w:p w14:paraId="32128529">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1.供货一览表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2292"/>
        <w:gridCol w:w="1210"/>
        <w:gridCol w:w="908"/>
        <w:gridCol w:w="668"/>
        <w:gridCol w:w="947"/>
        <w:gridCol w:w="1189"/>
      </w:tblGrid>
      <w:tr w14:paraId="39F1D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09" w:type="dxa"/>
            <w:vAlign w:val="center"/>
          </w:tcPr>
          <w:p w14:paraId="0B8B5728">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序号</w:t>
            </w:r>
          </w:p>
        </w:tc>
        <w:tc>
          <w:tcPr>
            <w:tcW w:w="1233" w:type="dxa"/>
            <w:vAlign w:val="center"/>
          </w:tcPr>
          <w:p w14:paraId="7B9B442A">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产品名称</w:t>
            </w:r>
          </w:p>
        </w:tc>
        <w:tc>
          <w:tcPr>
            <w:tcW w:w="2292" w:type="dxa"/>
            <w:vAlign w:val="center"/>
          </w:tcPr>
          <w:p w14:paraId="0E92E6AA">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品牌、规格型号</w:t>
            </w:r>
          </w:p>
        </w:tc>
        <w:tc>
          <w:tcPr>
            <w:tcW w:w="1210" w:type="dxa"/>
            <w:vAlign w:val="center"/>
          </w:tcPr>
          <w:p w14:paraId="34A7AE59">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生产厂家</w:t>
            </w:r>
          </w:p>
        </w:tc>
        <w:tc>
          <w:tcPr>
            <w:tcW w:w="908" w:type="dxa"/>
            <w:vAlign w:val="center"/>
          </w:tcPr>
          <w:p w14:paraId="1FD854B7">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数 量</w:t>
            </w:r>
          </w:p>
        </w:tc>
        <w:tc>
          <w:tcPr>
            <w:tcW w:w="668" w:type="dxa"/>
            <w:vAlign w:val="center"/>
          </w:tcPr>
          <w:p w14:paraId="4936B5CA">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单位</w:t>
            </w:r>
          </w:p>
        </w:tc>
        <w:tc>
          <w:tcPr>
            <w:tcW w:w="947" w:type="dxa"/>
            <w:vAlign w:val="center"/>
          </w:tcPr>
          <w:p w14:paraId="52E8E0E5">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单 价</w:t>
            </w:r>
          </w:p>
          <w:p w14:paraId="4B089B37">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（元）</w:t>
            </w:r>
          </w:p>
        </w:tc>
        <w:tc>
          <w:tcPr>
            <w:tcW w:w="1189" w:type="dxa"/>
            <w:vAlign w:val="center"/>
          </w:tcPr>
          <w:p w14:paraId="243767A5">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金 额</w:t>
            </w:r>
          </w:p>
          <w:p w14:paraId="7C8FF689">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（元）</w:t>
            </w:r>
          </w:p>
        </w:tc>
      </w:tr>
      <w:tr w14:paraId="093A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14:paraId="0EF3BFEF">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1</w:t>
            </w:r>
          </w:p>
        </w:tc>
        <w:tc>
          <w:tcPr>
            <w:tcW w:w="1233" w:type="dxa"/>
            <w:vAlign w:val="center"/>
          </w:tcPr>
          <w:p w14:paraId="3816FF34">
            <w:pPr>
              <w:wordWrap w:val="0"/>
              <w:snapToGrid w:val="0"/>
              <w:spacing w:line="360" w:lineRule="auto"/>
              <w:rPr>
                <w:rFonts w:hint="eastAsia" w:ascii="宋体" w:hAnsi="宋体" w:eastAsia="宋体" w:cs="宋体"/>
                <w:color w:val="auto"/>
                <w:szCs w:val="21"/>
              </w:rPr>
            </w:pPr>
          </w:p>
        </w:tc>
        <w:tc>
          <w:tcPr>
            <w:tcW w:w="2292" w:type="dxa"/>
            <w:vAlign w:val="center"/>
          </w:tcPr>
          <w:p w14:paraId="65493D63">
            <w:pPr>
              <w:wordWrap w:val="0"/>
              <w:snapToGrid w:val="0"/>
              <w:spacing w:line="360" w:lineRule="auto"/>
              <w:rPr>
                <w:rFonts w:hint="eastAsia" w:ascii="宋体" w:hAnsi="宋体" w:eastAsia="宋体" w:cs="宋体"/>
                <w:color w:val="auto"/>
                <w:szCs w:val="21"/>
              </w:rPr>
            </w:pPr>
          </w:p>
        </w:tc>
        <w:tc>
          <w:tcPr>
            <w:tcW w:w="1210" w:type="dxa"/>
          </w:tcPr>
          <w:p w14:paraId="45C4F474">
            <w:pPr>
              <w:wordWrap w:val="0"/>
              <w:snapToGrid w:val="0"/>
              <w:spacing w:line="360" w:lineRule="auto"/>
              <w:rPr>
                <w:rFonts w:hint="eastAsia" w:ascii="宋体" w:hAnsi="宋体" w:eastAsia="宋体" w:cs="宋体"/>
                <w:color w:val="auto"/>
                <w:szCs w:val="21"/>
              </w:rPr>
            </w:pPr>
          </w:p>
        </w:tc>
        <w:tc>
          <w:tcPr>
            <w:tcW w:w="908" w:type="dxa"/>
          </w:tcPr>
          <w:p w14:paraId="2FE2D8CA">
            <w:pPr>
              <w:wordWrap w:val="0"/>
              <w:snapToGrid w:val="0"/>
              <w:spacing w:line="360" w:lineRule="auto"/>
              <w:rPr>
                <w:rFonts w:hint="eastAsia" w:ascii="宋体" w:hAnsi="宋体" w:eastAsia="宋体" w:cs="宋体"/>
                <w:color w:val="auto"/>
                <w:szCs w:val="21"/>
              </w:rPr>
            </w:pPr>
          </w:p>
        </w:tc>
        <w:tc>
          <w:tcPr>
            <w:tcW w:w="668" w:type="dxa"/>
          </w:tcPr>
          <w:p w14:paraId="2CA37E46">
            <w:pPr>
              <w:wordWrap w:val="0"/>
              <w:snapToGrid w:val="0"/>
              <w:spacing w:line="360" w:lineRule="auto"/>
              <w:rPr>
                <w:rFonts w:hint="eastAsia" w:ascii="宋体" w:hAnsi="宋体" w:eastAsia="宋体" w:cs="宋体"/>
                <w:color w:val="auto"/>
                <w:szCs w:val="21"/>
              </w:rPr>
            </w:pPr>
          </w:p>
        </w:tc>
        <w:tc>
          <w:tcPr>
            <w:tcW w:w="947" w:type="dxa"/>
            <w:vAlign w:val="center"/>
          </w:tcPr>
          <w:p w14:paraId="17300272">
            <w:pPr>
              <w:wordWrap w:val="0"/>
              <w:snapToGrid w:val="0"/>
              <w:spacing w:line="360" w:lineRule="auto"/>
              <w:rPr>
                <w:rFonts w:hint="eastAsia" w:ascii="宋体" w:hAnsi="宋体" w:eastAsia="宋体" w:cs="宋体"/>
                <w:color w:val="auto"/>
                <w:szCs w:val="21"/>
              </w:rPr>
            </w:pPr>
          </w:p>
        </w:tc>
        <w:tc>
          <w:tcPr>
            <w:tcW w:w="1189" w:type="dxa"/>
            <w:vAlign w:val="center"/>
          </w:tcPr>
          <w:p w14:paraId="27DAA00A">
            <w:pPr>
              <w:wordWrap w:val="0"/>
              <w:snapToGrid w:val="0"/>
              <w:spacing w:line="360" w:lineRule="auto"/>
              <w:rPr>
                <w:rFonts w:hint="eastAsia" w:ascii="宋体" w:hAnsi="宋体" w:eastAsia="宋体" w:cs="宋体"/>
                <w:color w:val="auto"/>
                <w:szCs w:val="21"/>
              </w:rPr>
            </w:pPr>
          </w:p>
        </w:tc>
      </w:tr>
      <w:tr w14:paraId="63E7A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14:paraId="20228D5C">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2</w:t>
            </w:r>
          </w:p>
        </w:tc>
        <w:tc>
          <w:tcPr>
            <w:tcW w:w="1233" w:type="dxa"/>
            <w:vAlign w:val="center"/>
          </w:tcPr>
          <w:p w14:paraId="6895C8ED">
            <w:pPr>
              <w:wordWrap w:val="0"/>
              <w:snapToGrid w:val="0"/>
              <w:spacing w:line="360" w:lineRule="auto"/>
              <w:rPr>
                <w:rFonts w:hint="eastAsia" w:ascii="宋体" w:hAnsi="宋体" w:eastAsia="宋体" w:cs="宋体"/>
                <w:color w:val="auto"/>
                <w:szCs w:val="21"/>
              </w:rPr>
            </w:pPr>
          </w:p>
        </w:tc>
        <w:tc>
          <w:tcPr>
            <w:tcW w:w="2292" w:type="dxa"/>
            <w:vAlign w:val="center"/>
          </w:tcPr>
          <w:p w14:paraId="554A2960">
            <w:pPr>
              <w:wordWrap w:val="0"/>
              <w:snapToGrid w:val="0"/>
              <w:spacing w:line="360" w:lineRule="auto"/>
              <w:rPr>
                <w:rFonts w:hint="eastAsia" w:ascii="宋体" w:hAnsi="宋体" w:eastAsia="宋体" w:cs="宋体"/>
                <w:color w:val="auto"/>
                <w:szCs w:val="21"/>
              </w:rPr>
            </w:pPr>
          </w:p>
        </w:tc>
        <w:tc>
          <w:tcPr>
            <w:tcW w:w="1210" w:type="dxa"/>
          </w:tcPr>
          <w:p w14:paraId="19223CB1">
            <w:pPr>
              <w:wordWrap w:val="0"/>
              <w:snapToGrid w:val="0"/>
              <w:spacing w:line="360" w:lineRule="auto"/>
              <w:rPr>
                <w:rFonts w:hint="eastAsia" w:ascii="宋体" w:hAnsi="宋体" w:eastAsia="宋体" w:cs="宋体"/>
                <w:color w:val="auto"/>
                <w:szCs w:val="21"/>
              </w:rPr>
            </w:pPr>
          </w:p>
        </w:tc>
        <w:tc>
          <w:tcPr>
            <w:tcW w:w="908" w:type="dxa"/>
          </w:tcPr>
          <w:p w14:paraId="517F0C98">
            <w:pPr>
              <w:wordWrap w:val="0"/>
              <w:snapToGrid w:val="0"/>
              <w:spacing w:line="360" w:lineRule="auto"/>
              <w:rPr>
                <w:rFonts w:hint="eastAsia" w:ascii="宋体" w:hAnsi="宋体" w:eastAsia="宋体" w:cs="宋体"/>
                <w:color w:val="auto"/>
                <w:szCs w:val="21"/>
              </w:rPr>
            </w:pPr>
          </w:p>
        </w:tc>
        <w:tc>
          <w:tcPr>
            <w:tcW w:w="668" w:type="dxa"/>
          </w:tcPr>
          <w:p w14:paraId="12130933">
            <w:pPr>
              <w:wordWrap w:val="0"/>
              <w:snapToGrid w:val="0"/>
              <w:spacing w:line="360" w:lineRule="auto"/>
              <w:rPr>
                <w:rFonts w:hint="eastAsia" w:ascii="宋体" w:hAnsi="宋体" w:eastAsia="宋体" w:cs="宋体"/>
                <w:color w:val="auto"/>
                <w:szCs w:val="21"/>
              </w:rPr>
            </w:pPr>
          </w:p>
        </w:tc>
        <w:tc>
          <w:tcPr>
            <w:tcW w:w="947" w:type="dxa"/>
            <w:vAlign w:val="center"/>
          </w:tcPr>
          <w:p w14:paraId="7F54A52B">
            <w:pPr>
              <w:wordWrap w:val="0"/>
              <w:snapToGrid w:val="0"/>
              <w:spacing w:line="360" w:lineRule="auto"/>
              <w:rPr>
                <w:rFonts w:hint="eastAsia" w:ascii="宋体" w:hAnsi="宋体" w:eastAsia="宋体" w:cs="宋体"/>
                <w:color w:val="auto"/>
                <w:szCs w:val="21"/>
              </w:rPr>
            </w:pPr>
          </w:p>
        </w:tc>
        <w:tc>
          <w:tcPr>
            <w:tcW w:w="1189" w:type="dxa"/>
            <w:vAlign w:val="center"/>
          </w:tcPr>
          <w:p w14:paraId="6D5152F0">
            <w:pPr>
              <w:wordWrap w:val="0"/>
              <w:snapToGrid w:val="0"/>
              <w:spacing w:line="360" w:lineRule="auto"/>
              <w:rPr>
                <w:rFonts w:hint="eastAsia" w:ascii="宋体" w:hAnsi="宋体" w:eastAsia="宋体" w:cs="宋体"/>
                <w:color w:val="auto"/>
                <w:szCs w:val="21"/>
              </w:rPr>
            </w:pPr>
          </w:p>
        </w:tc>
      </w:tr>
      <w:tr w14:paraId="18F8E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156" w:type="dxa"/>
            <w:gridSpan w:val="8"/>
            <w:vAlign w:val="center"/>
          </w:tcPr>
          <w:p w14:paraId="48D11AAB">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人民币合计金额（大写）                          （小写）                 </w:t>
            </w:r>
          </w:p>
        </w:tc>
      </w:tr>
    </w:tbl>
    <w:p w14:paraId="1EC941D4">
      <w:pPr>
        <w:wordWrap w:val="0"/>
        <w:snapToGrid w:val="0"/>
        <w:spacing w:line="360" w:lineRule="auto"/>
        <w:ind w:right="420" w:firstLine="420" w:firstLineChars="200"/>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rPr>
        <w:t xml:space="preserve"> </w:t>
      </w:r>
      <w:r>
        <w:rPr>
          <w:rFonts w:hint="eastAsia" w:ascii="宋体" w:hAnsi="宋体" w:eastAsia="宋体" w:cs="宋体"/>
          <w:color w:val="auto"/>
          <w:szCs w:val="21"/>
        </w:rPr>
        <w:t>合同合计金额包括服务及货物价款，安装、调试、检验、技术培训及技术资料和包装、运输等全部费用。如招投标文件对其另有规定的，从其规定。</w:t>
      </w:r>
    </w:p>
    <w:p w14:paraId="29EF25C1">
      <w:pPr>
        <w:wordWrap w:val="0"/>
        <w:snapToGrid w:val="0"/>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第二条　质量要求</w:t>
      </w:r>
    </w:p>
    <w:p w14:paraId="56881861">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1.乙方所提供的货物型号、技术规格、技术参数等质量必须与招投标文件和承诺相一致。</w:t>
      </w:r>
    </w:p>
    <w:p w14:paraId="3E1C3514">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2.乙方所提供的货物必须是全新、未使用的原装产品，且在正常安装、使用和保养条件下，其使用寿命期内各项指标均达到质量要求。</w:t>
      </w:r>
    </w:p>
    <w:p w14:paraId="5B2D130F">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3.满足乙方在投标文件中对质量承诺和采购人对项目总体要求。</w:t>
      </w:r>
    </w:p>
    <w:p w14:paraId="6B411BA2">
      <w:pPr>
        <w:wordWrap w:val="0"/>
        <w:snapToGrid w:val="0"/>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第三条　权利保证</w:t>
      </w:r>
    </w:p>
    <w:p w14:paraId="3BCE195A">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1.乙方应保证所提供货物在使用时不会侵犯任何第三方的专利权、商标权、工业设计权或其他权利。</w:t>
      </w:r>
    </w:p>
    <w:p w14:paraId="6CAF6324">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2.乙方应按招标文件规定的时间向甲方提供使用货物的有关技术资料(包括系统的相关软件)。</w:t>
      </w:r>
    </w:p>
    <w:p w14:paraId="1F7B46EE">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75CCCD6">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4.乙方保证所交付的货物的所有权完全属于乙方且无任何抵押、质押、查封等产权瑕疵。</w:t>
      </w:r>
    </w:p>
    <w:p w14:paraId="1E2B064F">
      <w:pPr>
        <w:wordWrap w:val="0"/>
        <w:snapToGrid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第四条　包装和运输</w:t>
      </w:r>
    </w:p>
    <w:p w14:paraId="739DD2FF">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1.乙方提供的货物均应按招标文件规定或者投标文件承诺的要求的包装材料、包装标准、包装方式进行包装，每一包装单元内应附详细的装箱单和质量合格证。</w:t>
      </w:r>
    </w:p>
    <w:p w14:paraId="08B479B9">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2.货物的运输方式：</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0EAE7611">
      <w:pPr>
        <w:wordWrap w:val="0"/>
        <w:snapToGrid w:val="0"/>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3.乙方负责货物运输，货物运输合理损耗及计算方法：</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55F42512">
      <w:pPr>
        <w:wordWrap w:val="0"/>
        <w:snapToGrid w:val="0"/>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第五条　交付和验收</w:t>
      </w:r>
    </w:p>
    <w:p w14:paraId="123EF48A">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1.交付时间：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；交付地点：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1438132C">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2.乙方提供不符合招标文件规定或者投标文件承诺的和本合同规定的货物，甲方有权拒绝接受。</w:t>
      </w:r>
    </w:p>
    <w:p w14:paraId="46444BF0">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4521FE91">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4.甲方应当在到货（安装、调试完）后七个工作日内进行验收，逾期不验收的，乙方可视同验收合格。验收合格后由甲乙双方签署货物验收单并加盖采购人公章，甲乙双方各执一份。</w:t>
      </w:r>
    </w:p>
    <w:p w14:paraId="442FEC59">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7D8AECD8">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6.甲方对验收有异议的，在验收后五个工作日内以书面形式向乙方提出，乙方应自收到甲方书面异议后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日内及时予以解决。</w:t>
      </w:r>
    </w:p>
    <w:p w14:paraId="55AD047E">
      <w:pPr>
        <w:wordWrap w:val="0"/>
        <w:snapToGrid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第六条　安装和培训</w:t>
      </w:r>
    </w:p>
    <w:p w14:paraId="69923082">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1.甲方应提供必要安装条件（如场地、电源、水源等）。</w:t>
      </w:r>
    </w:p>
    <w:p w14:paraId="285BEA28">
      <w:pPr>
        <w:wordWrap w:val="0"/>
        <w:snapToGrid w:val="0"/>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2.乙方投标文件承诺负责甲方有关人员的培训。培训时间、地点：</w:t>
      </w:r>
      <w:r>
        <w:rPr>
          <w:rFonts w:hint="eastAsia" w:ascii="宋体" w:hAnsi="宋体" w:eastAsia="宋体" w:cs="宋体"/>
          <w:color w:val="auto"/>
          <w:szCs w:val="21"/>
          <w:u w:val="single"/>
        </w:rPr>
        <w:t xml:space="preserve">                   。</w:t>
      </w:r>
    </w:p>
    <w:p w14:paraId="6932CED4">
      <w:pPr>
        <w:wordWrap w:val="0"/>
        <w:snapToGrid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第七条  售后服务、保修期</w:t>
      </w:r>
    </w:p>
    <w:p w14:paraId="5D359419">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1.乙方应按照国家有关法律法规和“三包”规定以及本合同所附的《服务承诺》，为甲方提供售后服务。</w:t>
      </w:r>
    </w:p>
    <w:p w14:paraId="6B7F714D">
      <w:pPr>
        <w:pStyle w:val="25"/>
        <w:wordWrap w:val="0"/>
        <w:snapToGrid w:val="0"/>
        <w:spacing w:line="360" w:lineRule="auto"/>
        <w:ind w:firstLine="420" w:firstLineChars="200"/>
        <w:rPr>
          <w:rFonts w:hint="eastAsia" w:ascii="宋体" w:hAnsi="宋体" w:eastAsia="宋体" w:cs="宋体"/>
          <w:color w:val="auto"/>
          <w:sz w:val="21"/>
        </w:rPr>
      </w:pPr>
      <w:r>
        <w:rPr>
          <w:rFonts w:hint="eastAsia" w:ascii="宋体" w:hAnsi="宋体" w:eastAsia="宋体" w:cs="宋体"/>
          <w:color w:val="auto"/>
          <w:sz w:val="21"/>
        </w:rPr>
        <w:t>2.在保修期内，乙方应对货物出现的质量及安全问题负责处理解决并承担一切费用。</w:t>
      </w:r>
    </w:p>
    <w:p w14:paraId="132A783C">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3.上述的货物保修期为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年，因人为因素出现的故障不在免费保修范围内。超过保修期的机器设备，终生维修，维修时只收部件成本费。</w:t>
      </w:r>
    </w:p>
    <w:p w14:paraId="5F534094">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4.乙方提供的服务承诺和售后服务及保修期责任等其它具体约定事项。（见合同附件）</w:t>
      </w:r>
    </w:p>
    <w:p w14:paraId="17E1631B">
      <w:pPr>
        <w:wordWrap w:val="0"/>
        <w:snapToGrid w:val="0"/>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第八条　付款方式</w:t>
      </w:r>
    </w:p>
    <w:p w14:paraId="3CA3C785">
      <w:pPr>
        <w:pStyle w:val="25"/>
        <w:wordWrap w:val="0"/>
        <w:snapToGrid w:val="0"/>
        <w:spacing w:line="360" w:lineRule="auto"/>
        <w:ind w:firstLine="420" w:firstLineChars="200"/>
        <w:rPr>
          <w:rFonts w:hint="eastAsia" w:ascii="宋体" w:hAnsi="宋体" w:eastAsia="宋体" w:cs="宋体"/>
          <w:color w:val="auto"/>
          <w:sz w:val="21"/>
        </w:rPr>
      </w:pPr>
      <w:r>
        <w:rPr>
          <w:rFonts w:hint="eastAsia" w:ascii="宋体" w:hAnsi="宋体" w:eastAsia="宋体" w:cs="宋体"/>
          <w:bCs/>
          <w:color w:val="auto"/>
          <w:sz w:val="21"/>
        </w:rPr>
        <w:t>1</w:t>
      </w:r>
      <w:r>
        <w:rPr>
          <w:rFonts w:hint="eastAsia" w:ascii="宋体" w:hAnsi="宋体" w:eastAsia="宋体" w:cs="宋体"/>
          <w:color w:val="auto"/>
          <w:sz w:val="21"/>
        </w:rPr>
        <w:t>.当采购数量与实际使用数量不一致时，乙方应根据实际使用量供货，合同的最终结算金额按实际使用量乘以中标单价进行计算，但不得超出合同价的10%。</w:t>
      </w:r>
    </w:p>
    <w:p w14:paraId="722A0272">
      <w:pPr>
        <w:pStyle w:val="25"/>
        <w:wordWrap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bCs/>
          <w:color w:val="auto"/>
          <w:sz w:val="21"/>
        </w:rPr>
        <w:t>2.</w:t>
      </w:r>
      <w:r>
        <w:rPr>
          <w:rFonts w:hint="eastAsia" w:ascii="宋体" w:hAnsi="宋体" w:eastAsia="宋体" w:cs="宋体"/>
          <w:color w:val="auto"/>
          <w:sz w:val="21"/>
        </w:rPr>
        <w:t>付款方式：</w:t>
      </w:r>
      <w:r>
        <w:rPr>
          <w:rFonts w:hint="eastAsia" w:ascii="宋体" w:hAnsi="宋体" w:eastAsia="宋体" w:cs="宋体"/>
          <w:color w:val="auto"/>
          <w:u w:val="single"/>
        </w:rPr>
        <w:t xml:space="preserve">                             。</w:t>
      </w:r>
    </w:p>
    <w:p w14:paraId="50ACB40B">
      <w:pPr>
        <w:wordWrap w:val="0"/>
        <w:autoSpaceDE w:val="0"/>
        <w:autoSpaceDN w:val="0"/>
        <w:snapToGrid w:val="0"/>
        <w:spacing w:line="400" w:lineRule="exact"/>
        <w:textAlignment w:val="bottom"/>
        <w:rPr>
          <w:rFonts w:hint="eastAsia" w:ascii="宋体" w:hAnsi="宋体" w:eastAsia="宋体" w:cs="宋体"/>
          <w:b/>
          <w:color w:val="auto"/>
          <w:szCs w:val="21"/>
        </w:rPr>
      </w:pPr>
      <w:r>
        <w:rPr>
          <w:rFonts w:hint="eastAsia" w:ascii="宋体" w:hAnsi="宋体" w:eastAsia="宋体" w:cs="宋体"/>
          <w:b/>
          <w:color w:val="auto"/>
          <w:szCs w:val="21"/>
        </w:rPr>
        <w:t>第九条　履约保证金：</w:t>
      </w:r>
    </w:p>
    <w:p w14:paraId="0C83E1BE">
      <w:pPr>
        <w:wordWrap w:val="0"/>
        <w:snapToGrid w:val="0"/>
        <w:spacing w:line="360" w:lineRule="auto"/>
        <w:ind w:left="-61" w:firstLine="514"/>
        <w:rPr>
          <w:rFonts w:hint="eastAsia" w:ascii="宋体" w:hAnsi="宋体" w:eastAsia="宋体" w:cs="宋体"/>
          <w:bCs/>
          <w:color w:val="auto"/>
          <w:szCs w:val="21"/>
        </w:rPr>
      </w:pPr>
      <w:r>
        <w:rPr>
          <w:rFonts w:hint="eastAsia" w:ascii="宋体" w:hAnsi="宋体" w:eastAsia="宋体" w:cs="宋体"/>
          <w:bCs/>
          <w:color w:val="auto"/>
          <w:szCs w:val="21"/>
        </w:rPr>
        <w:t>履约保证金金额：按中标金额的</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 xml:space="preserve">%。即人民币：   </w:t>
      </w:r>
      <w:r>
        <w:rPr>
          <w:rFonts w:hint="eastAsia" w:ascii="宋体" w:hAnsi="宋体" w:eastAsia="宋体" w:cs="宋体"/>
          <w:bCs/>
          <w:color w:val="auto"/>
          <w:szCs w:val="21"/>
          <w:u w:val="single"/>
        </w:rPr>
        <w:t>（¥ ）</w:t>
      </w:r>
      <w:r>
        <w:rPr>
          <w:rFonts w:hint="eastAsia" w:ascii="宋体" w:hAnsi="宋体" w:eastAsia="宋体" w:cs="宋体"/>
          <w:bCs/>
          <w:color w:val="auto"/>
          <w:szCs w:val="21"/>
        </w:rPr>
        <w:t>。乙方应在合同签订前按中标金额的</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%向甲方指定账户提交履约保证金，凭履约保证金缴纳凭证签订合同。</w:t>
      </w:r>
    </w:p>
    <w:p w14:paraId="3A77DE09">
      <w:pPr>
        <w:wordWrap w:val="0"/>
        <w:snapToGrid w:val="0"/>
        <w:spacing w:line="360" w:lineRule="auto"/>
        <w:ind w:left="-61" w:firstLine="514"/>
        <w:rPr>
          <w:rFonts w:hint="eastAsia" w:ascii="宋体" w:hAnsi="宋体" w:eastAsia="宋体" w:cs="宋体"/>
          <w:bCs/>
          <w:color w:val="auto"/>
          <w:szCs w:val="21"/>
        </w:rPr>
      </w:pPr>
      <w:r>
        <w:rPr>
          <w:rFonts w:hint="eastAsia" w:ascii="宋体" w:hAnsi="宋体" w:eastAsia="宋体" w:cs="宋体"/>
          <w:bCs/>
          <w:color w:val="auto"/>
          <w:szCs w:val="21"/>
        </w:rPr>
        <w:t>履约保证金递交方式：以银行转账、支票、汇票、本票或者金融机构、担保机构出具的保函等非现金方式，银行转账、支票、汇票、本票由乙方直接缴入以下甲方账户：</w:t>
      </w:r>
    </w:p>
    <w:p w14:paraId="238DD8F6">
      <w:pPr>
        <w:wordWrap w:val="0"/>
        <w:snapToGrid w:val="0"/>
        <w:spacing w:line="360" w:lineRule="auto"/>
        <w:ind w:left="-61" w:firstLine="514"/>
        <w:rPr>
          <w:rFonts w:hint="eastAsia" w:ascii="宋体" w:hAnsi="宋体" w:eastAsia="宋体" w:cs="宋体"/>
          <w:bCs/>
          <w:color w:val="auto"/>
          <w:szCs w:val="21"/>
        </w:rPr>
      </w:pPr>
      <w:r>
        <w:rPr>
          <w:rFonts w:hint="eastAsia" w:ascii="宋体" w:hAnsi="宋体" w:eastAsia="宋体" w:cs="宋体"/>
          <w:bCs/>
          <w:color w:val="auto"/>
          <w:szCs w:val="21"/>
        </w:rPr>
        <w:t>开户名称：河池学院</w:t>
      </w:r>
    </w:p>
    <w:p w14:paraId="13C9191B">
      <w:pPr>
        <w:wordWrap w:val="0"/>
        <w:snapToGrid w:val="0"/>
        <w:spacing w:line="360" w:lineRule="auto"/>
        <w:ind w:left="-61" w:firstLine="514"/>
        <w:rPr>
          <w:rFonts w:hint="eastAsia" w:ascii="宋体" w:hAnsi="宋体" w:eastAsia="宋体" w:cs="宋体"/>
          <w:bCs/>
          <w:color w:val="auto"/>
          <w:szCs w:val="21"/>
        </w:rPr>
      </w:pPr>
      <w:r>
        <w:rPr>
          <w:rFonts w:hint="eastAsia" w:ascii="宋体" w:hAnsi="宋体" w:eastAsia="宋体" w:cs="宋体"/>
          <w:bCs/>
          <w:color w:val="auto"/>
          <w:szCs w:val="21"/>
        </w:rPr>
        <w:t>开户行：建行宜州支行营业部</w:t>
      </w:r>
    </w:p>
    <w:p w14:paraId="24D4DC14">
      <w:pPr>
        <w:wordWrap w:val="0"/>
        <w:snapToGrid w:val="0"/>
        <w:spacing w:line="360" w:lineRule="auto"/>
        <w:ind w:left="-61" w:firstLine="514"/>
        <w:rPr>
          <w:rFonts w:hint="eastAsia" w:ascii="宋体" w:hAnsi="宋体" w:eastAsia="宋体" w:cs="宋体"/>
          <w:bCs/>
          <w:color w:val="auto"/>
          <w:szCs w:val="21"/>
        </w:rPr>
      </w:pPr>
      <w:r>
        <w:rPr>
          <w:rFonts w:hint="eastAsia" w:ascii="宋体" w:hAnsi="宋体" w:eastAsia="宋体" w:cs="宋体"/>
          <w:bCs/>
          <w:color w:val="auto"/>
          <w:szCs w:val="21"/>
        </w:rPr>
        <w:t>账号：4500 1697 1460 5050 2776</w:t>
      </w:r>
    </w:p>
    <w:p w14:paraId="150BB8BF">
      <w:pPr>
        <w:wordWrap w:val="0"/>
        <w:snapToGrid w:val="0"/>
        <w:spacing w:line="360" w:lineRule="auto"/>
        <w:ind w:left="-61" w:firstLine="514"/>
        <w:rPr>
          <w:rFonts w:hint="eastAsia" w:ascii="宋体" w:hAnsi="宋体" w:eastAsia="宋体" w:cs="宋体"/>
          <w:bCs/>
          <w:color w:val="auto"/>
          <w:szCs w:val="21"/>
        </w:rPr>
      </w:pPr>
      <w:r>
        <w:rPr>
          <w:rFonts w:hint="eastAsia" w:ascii="宋体" w:hAnsi="宋体" w:eastAsia="宋体" w:cs="宋体"/>
          <w:bCs/>
          <w:color w:val="auto"/>
          <w:szCs w:val="21"/>
        </w:rPr>
        <w:t>注：履约金转账时备注项目名称或项目编号+履约保证金。</w:t>
      </w:r>
    </w:p>
    <w:p w14:paraId="7DBB23D1">
      <w:pPr>
        <w:wordWrap w:val="0"/>
        <w:snapToGrid w:val="0"/>
        <w:spacing w:line="360" w:lineRule="auto"/>
        <w:ind w:left="-61" w:firstLine="514"/>
        <w:rPr>
          <w:rFonts w:hint="eastAsia" w:ascii="宋体" w:hAnsi="宋体" w:eastAsia="宋体" w:cs="宋体"/>
          <w:b/>
          <w:color w:val="auto"/>
          <w:szCs w:val="21"/>
        </w:rPr>
      </w:pPr>
      <w:r>
        <w:rPr>
          <w:rFonts w:hint="eastAsia" w:ascii="宋体" w:hAnsi="宋体" w:eastAsia="宋体" w:cs="宋体"/>
          <w:bCs/>
          <w:color w:val="auto"/>
          <w:szCs w:val="21"/>
        </w:rPr>
        <w:t>履约保证金退付：乙方若不能完全履行合同，履约保证金不返还；乙方若完全履行合同及质量保证义务，且没有任何未解决的质量问题，货到验收合格且质保期满</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年后乙方凭履约保证金退付申请书和履约保证金汇款（转账）单到甲方办理无息退还手续。</w:t>
      </w:r>
      <w:r>
        <w:rPr>
          <w:rFonts w:hint="eastAsia" w:ascii="宋体" w:hAnsi="宋体" w:eastAsia="宋体" w:cs="宋体"/>
          <w:color w:val="auto"/>
          <w:szCs w:val="21"/>
        </w:rPr>
        <w:t>甲方应当按照合同约定的退还方式，在5个工作日内办理履约保证金退还手续。</w:t>
      </w:r>
    </w:p>
    <w:p w14:paraId="0F59FE1E">
      <w:pPr>
        <w:wordWrap w:val="0"/>
        <w:snapToGrid w:val="0"/>
        <w:spacing w:line="360" w:lineRule="auto"/>
        <w:ind w:left="-61" w:firstLine="514"/>
        <w:rPr>
          <w:rFonts w:hint="eastAsia" w:ascii="宋体" w:hAnsi="宋体" w:eastAsia="宋体" w:cs="宋体"/>
          <w:b/>
          <w:color w:val="auto"/>
          <w:szCs w:val="21"/>
        </w:rPr>
      </w:pPr>
      <w:r>
        <w:rPr>
          <w:rFonts w:hint="eastAsia" w:ascii="宋体" w:hAnsi="宋体" w:eastAsia="宋体" w:cs="宋体"/>
          <w:b/>
          <w:color w:val="auto"/>
          <w:szCs w:val="21"/>
        </w:rPr>
        <w:t>第十条  税费</w:t>
      </w:r>
    </w:p>
    <w:p w14:paraId="0A767BAD">
      <w:pPr>
        <w:wordWrap w:val="0"/>
        <w:snapToGrid w:val="0"/>
        <w:spacing w:line="360" w:lineRule="auto"/>
        <w:ind w:left="-61" w:firstLine="514"/>
        <w:rPr>
          <w:rFonts w:hint="eastAsia" w:ascii="宋体" w:hAnsi="宋体" w:eastAsia="宋体" w:cs="宋体"/>
          <w:color w:val="auto"/>
          <w:szCs w:val="21"/>
        </w:rPr>
      </w:pPr>
      <w:r>
        <w:rPr>
          <w:rFonts w:hint="eastAsia" w:ascii="宋体" w:hAnsi="宋体" w:eastAsia="宋体" w:cs="宋体"/>
          <w:color w:val="auto"/>
          <w:szCs w:val="21"/>
        </w:rPr>
        <w:t>本合同执行中相关的一切税费均由乙方负担，合同另有约定的除外。</w:t>
      </w:r>
    </w:p>
    <w:p w14:paraId="7E7346DA">
      <w:pPr>
        <w:wordWrap w:val="0"/>
        <w:snapToGrid w:val="0"/>
        <w:spacing w:line="360" w:lineRule="auto"/>
        <w:ind w:left="-61" w:firstLine="514"/>
        <w:rPr>
          <w:rFonts w:hint="eastAsia" w:ascii="宋体" w:hAnsi="宋体" w:eastAsia="宋体" w:cs="宋体"/>
          <w:color w:val="auto"/>
          <w:szCs w:val="21"/>
        </w:rPr>
      </w:pPr>
      <w:r>
        <w:rPr>
          <w:rFonts w:hint="eastAsia" w:ascii="宋体" w:hAnsi="宋体" w:eastAsia="宋体" w:cs="宋体"/>
          <w:b/>
          <w:color w:val="auto"/>
          <w:szCs w:val="21"/>
        </w:rPr>
        <w:t>第十一条  质量保证、质保期</w:t>
      </w:r>
    </w:p>
    <w:p w14:paraId="27722371">
      <w:pPr>
        <w:pStyle w:val="25"/>
        <w:wordWrap w:val="0"/>
        <w:snapToGrid w:val="0"/>
        <w:spacing w:line="360" w:lineRule="auto"/>
        <w:ind w:firstLine="420" w:firstLineChars="200"/>
        <w:rPr>
          <w:rFonts w:hint="eastAsia" w:ascii="宋体" w:hAnsi="宋体" w:eastAsia="宋体" w:cs="宋体"/>
          <w:color w:val="auto"/>
          <w:sz w:val="21"/>
        </w:rPr>
      </w:pPr>
      <w:r>
        <w:rPr>
          <w:rFonts w:hint="eastAsia" w:ascii="宋体" w:hAnsi="宋体" w:eastAsia="宋体" w:cs="宋体"/>
          <w:bCs/>
          <w:color w:val="auto"/>
          <w:sz w:val="21"/>
        </w:rPr>
        <w:t>1.</w:t>
      </w:r>
      <w:r>
        <w:rPr>
          <w:rFonts w:hint="eastAsia" w:ascii="宋体" w:hAnsi="宋体" w:eastAsia="宋体" w:cs="宋体"/>
          <w:color w:val="auto"/>
          <w:sz w:val="21"/>
        </w:rPr>
        <w:t>乙方应按招标文件规定的产品名称、商标品牌、生产厂家、规格型号、技术参数、质量标准向甲方提供未经使用的全新产品。不符合要求的，根据实际情况，经双方协商，可按以下办法处理：</w:t>
      </w:r>
    </w:p>
    <w:p w14:paraId="60C65E78">
      <w:pPr>
        <w:pStyle w:val="25"/>
        <w:wordWrap w:val="0"/>
        <w:snapToGrid w:val="0"/>
        <w:spacing w:line="360" w:lineRule="auto"/>
        <w:ind w:firstLine="420" w:firstLineChars="200"/>
        <w:rPr>
          <w:rFonts w:hint="eastAsia" w:ascii="宋体" w:hAnsi="宋体" w:eastAsia="宋体" w:cs="宋体"/>
          <w:color w:val="auto"/>
          <w:sz w:val="21"/>
        </w:rPr>
      </w:pPr>
      <w:r>
        <w:rPr>
          <w:rFonts w:hint="eastAsia" w:ascii="宋体" w:hAnsi="宋体" w:eastAsia="宋体" w:cs="宋体"/>
          <w:color w:val="auto"/>
          <w:sz w:val="21"/>
        </w:rPr>
        <w:t>⑴更换：由乙方承担所发生的全部费用。</w:t>
      </w:r>
    </w:p>
    <w:p w14:paraId="3523192E">
      <w:pPr>
        <w:pStyle w:val="25"/>
        <w:wordWrap w:val="0"/>
        <w:snapToGrid w:val="0"/>
        <w:spacing w:line="360" w:lineRule="auto"/>
        <w:ind w:firstLine="420"/>
        <w:rPr>
          <w:rFonts w:hint="eastAsia" w:ascii="宋体" w:hAnsi="宋体" w:eastAsia="宋体" w:cs="宋体"/>
          <w:color w:val="auto"/>
          <w:sz w:val="21"/>
        </w:rPr>
      </w:pPr>
      <w:r>
        <w:rPr>
          <w:rFonts w:hint="eastAsia" w:ascii="宋体" w:hAnsi="宋体" w:eastAsia="宋体" w:cs="宋体"/>
          <w:color w:val="auto"/>
          <w:sz w:val="21"/>
        </w:rPr>
        <w:t>⑵贬值处理：由甲乙双方合议定价。</w:t>
      </w:r>
    </w:p>
    <w:p w14:paraId="1E89CFA8">
      <w:pPr>
        <w:pStyle w:val="25"/>
        <w:wordWrap w:val="0"/>
        <w:snapToGrid w:val="0"/>
        <w:spacing w:line="360" w:lineRule="auto"/>
        <w:ind w:firstLine="420"/>
        <w:rPr>
          <w:rFonts w:hint="eastAsia" w:ascii="宋体" w:hAnsi="宋体" w:eastAsia="宋体" w:cs="宋体"/>
          <w:color w:val="auto"/>
          <w:sz w:val="21"/>
        </w:rPr>
      </w:pPr>
      <w:r>
        <w:rPr>
          <w:rFonts w:hint="eastAsia" w:ascii="宋体" w:hAnsi="宋体" w:eastAsia="宋体" w:cs="宋体"/>
          <w:color w:val="auto"/>
          <w:sz w:val="21"/>
        </w:rPr>
        <w:t>⑶退货处理：乙方应退还甲方支付的合同款，同时应承担该货物的直接费用（运输、保险、检验、货款利息及银行手续费等）。</w:t>
      </w:r>
    </w:p>
    <w:p w14:paraId="27F0209F">
      <w:pPr>
        <w:pStyle w:val="25"/>
        <w:wordWrap w:val="0"/>
        <w:snapToGrid w:val="0"/>
        <w:spacing w:line="360" w:lineRule="auto"/>
        <w:ind w:firstLine="400" w:firstLineChars="200"/>
        <w:rPr>
          <w:rFonts w:hint="eastAsia" w:ascii="宋体" w:hAnsi="宋体" w:eastAsia="宋体" w:cs="宋体"/>
          <w:color w:val="auto"/>
          <w:u w:val="single"/>
        </w:rPr>
      </w:pPr>
      <w:r>
        <w:rPr>
          <w:rFonts w:hint="eastAsia" w:ascii="宋体" w:hAnsi="宋体" w:eastAsia="宋体" w:cs="宋体"/>
          <w:color w:val="auto"/>
        </w:rPr>
        <w:t>2.货物质保期：</w:t>
      </w:r>
      <w:r>
        <w:rPr>
          <w:rFonts w:hint="eastAsia" w:ascii="宋体" w:hAnsi="宋体" w:eastAsia="宋体" w:cs="宋体"/>
          <w:color w:val="auto"/>
          <w:u w:val="single"/>
        </w:rPr>
        <w:t xml:space="preserve">                                          。</w:t>
      </w:r>
    </w:p>
    <w:p w14:paraId="42203D44">
      <w:pPr>
        <w:pStyle w:val="25"/>
        <w:wordWrap w:val="0"/>
        <w:snapToGrid w:val="0"/>
        <w:spacing w:line="360" w:lineRule="auto"/>
        <w:ind w:firstLine="420" w:firstLineChars="200"/>
        <w:rPr>
          <w:rFonts w:hint="eastAsia" w:ascii="宋体" w:hAnsi="宋体" w:eastAsia="宋体" w:cs="宋体"/>
          <w:color w:val="auto"/>
          <w:sz w:val="21"/>
        </w:rPr>
      </w:pPr>
      <w:r>
        <w:rPr>
          <w:rFonts w:hint="eastAsia" w:ascii="宋体" w:hAnsi="宋体" w:eastAsia="宋体" w:cs="宋体"/>
          <w:color w:val="auto"/>
          <w:sz w:val="21"/>
        </w:rPr>
        <w:t>3.如在使用过程中发生质量问题，乙方在接到甲方通知后到达甲方现场处理的时间（</w:t>
      </w:r>
      <w:r>
        <w:rPr>
          <w:rFonts w:hint="eastAsia" w:ascii="宋体" w:hAnsi="宋体" w:eastAsia="宋体" w:cs="宋体"/>
          <w:color w:val="auto"/>
          <w:sz w:val="21"/>
          <w:u w:val="single"/>
        </w:rPr>
        <w:t>按投标文件承诺的数据填写</w:t>
      </w:r>
      <w:r>
        <w:rPr>
          <w:rFonts w:hint="eastAsia" w:ascii="宋体" w:hAnsi="宋体" w:eastAsia="宋体" w:cs="宋体"/>
          <w:color w:val="auto"/>
          <w:sz w:val="21"/>
        </w:rPr>
        <w:t>）小时内。</w:t>
      </w:r>
    </w:p>
    <w:p w14:paraId="69DB3ACF">
      <w:pPr>
        <w:wordWrap w:val="0"/>
        <w:snapToGrid w:val="0"/>
        <w:spacing w:line="360" w:lineRule="auto"/>
        <w:ind w:left="-61" w:firstLine="514"/>
        <w:rPr>
          <w:rFonts w:hint="eastAsia" w:ascii="宋体" w:hAnsi="宋体" w:eastAsia="宋体" w:cs="宋体"/>
          <w:color w:val="auto"/>
          <w:szCs w:val="21"/>
        </w:rPr>
      </w:pPr>
      <w:r>
        <w:rPr>
          <w:rFonts w:hint="eastAsia" w:ascii="宋体" w:hAnsi="宋体" w:eastAsia="宋体" w:cs="宋体"/>
          <w:b/>
          <w:color w:val="auto"/>
          <w:szCs w:val="21"/>
        </w:rPr>
        <w:t>第十二条  调试和验收</w:t>
      </w:r>
    </w:p>
    <w:p w14:paraId="1A6C00A0">
      <w:pPr>
        <w:pStyle w:val="25"/>
        <w:wordWrap w:val="0"/>
        <w:snapToGrid w:val="0"/>
        <w:spacing w:line="360" w:lineRule="auto"/>
        <w:ind w:firstLine="420" w:firstLineChars="200"/>
        <w:rPr>
          <w:rFonts w:hint="eastAsia" w:ascii="宋体" w:hAnsi="宋体" w:eastAsia="宋体" w:cs="宋体"/>
          <w:color w:val="auto"/>
          <w:sz w:val="21"/>
        </w:rPr>
      </w:pPr>
      <w:r>
        <w:rPr>
          <w:rFonts w:hint="eastAsia" w:ascii="宋体" w:hAnsi="宋体" w:eastAsia="宋体" w:cs="宋体"/>
          <w:color w:val="auto"/>
          <w:sz w:val="21"/>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3C60C368">
      <w:pPr>
        <w:pStyle w:val="25"/>
        <w:wordWrap w:val="0"/>
        <w:snapToGrid w:val="0"/>
        <w:spacing w:line="360" w:lineRule="auto"/>
        <w:ind w:firstLine="420" w:firstLineChars="200"/>
        <w:rPr>
          <w:rFonts w:hint="eastAsia" w:ascii="宋体" w:hAnsi="宋体" w:eastAsia="宋体" w:cs="宋体"/>
          <w:color w:val="auto"/>
          <w:sz w:val="21"/>
        </w:rPr>
      </w:pPr>
      <w:r>
        <w:rPr>
          <w:rFonts w:hint="eastAsia" w:ascii="宋体" w:hAnsi="宋体" w:eastAsia="宋体" w:cs="宋体"/>
          <w:color w:val="auto"/>
          <w:sz w:val="21"/>
        </w:rPr>
        <w:t>2.乙方交货前应对产品作出全面检查和对验收文件进行整理，并列出清单，作为甲方收货验收和使用的技术条件依据，检验的结果应随货物交甲方。</w:t>
      </w:r>
    </w:p>
    <w:p w14:paraId="673538FB">
      <w:pPr>
        <w:pStyle w:val="25"/>
        <w:wordWrap w:val="0"/>
        <w:snapToGrid w:val="0"/>
        <w:spacing w:line="360" w:lineRule="auto"/>
        <w:ind w:firstLine="420" w:firstLineChars="200"/>
        <w:rPr>
          <w:rFonts w:hint="eastAsia" w:ascii="宋体" w:hAnsi="宋体" w:eastAsia="宋体" w:cs="宋体"/>
          <w:color w:val="auto"/>
          <w:sz w:val="21"/>
        </w:rPr>
      </w:pPr>
      <w:r>
        <w:rPr>
          <w:rFonts w:hint="eastAsia" w:ascii="宋体" w:hAnsi="宋体" w:eastAsia="宋体" w:cs="宋体"/>
          <w:color w:val="auto"/>
          <w:sz w:val="21"/>
        </w:rPr>
        <w:t>3.甲方对乙方提供的货物在使用前进行调试时，乙方需负责安装并培训甲方的使用操作人员，并协助甲方一起调试，直到符合技术要求，甲方才做最终验收。</w:t>
      </w:r>
    </w:p>
    <w:p w14:paraId="7FD7EAF8">
      <w:pPr>
        <w:pStyle w:val="25"/>
        <w:wordWrap w:val="0"/>
        <w:snapToGrid w:val="0"/>
        <w:spacing w:line="360" w:lineRule="auto"/>
        <w:ind w:firstLine="420" w:firstLineChars="200"/>
        <w:rPr>
          <w:rFonts w:hint="eastAsia" w:ascii="宋体" w:hAnsi="宋体" w:eastAsia="宋体" w:cs="宋体"/>
          <w:color w:val="auto"/>
          <w:sz w:val="21"/>
        </w:rPr>
      </w:pPr>
      <w:r>
        <w:rPr>
          <w:rFonts w:hint="eastAsia" w:ascii="宋体" w:hAnsi="宋体" w:eastAsia="宋体" w:cs="宋体"/>
          <w:color w:val="auto"/>
          <w:sz w:val="21"/>
        </w:rPr>
        <w:t>4.对技术复杂的货物，甲方应请国家认可的专业检测机构参与初步验收及最终验收，并由其出具质量检测报告。</w:t>
      </w:r>
    </w:p>
    <w:p w14:paraId="195E1A9E">
      <w:pPr>
        <w:wordWrap w:val="0"/>
        <w:snapToGrid w:val="0"/>
        <w:spacing w:line="360" w:lineRule="auto"/>
        <w:ind w:left="-61" w:firstLine="514"/>
        <w:rPr>
          <w:rFonts w:hint="eastAsia" w:ascii="宋体" w:hAnsi="宋体" w:eastAsia="宋体" w:cs="宋体"/>
          <w:color w:val="auto"/>
          <w:szCs w:val="21"/>
        </w:rPr>
      </w:pPr>
      <w:r>
        <w:rPr>
          <w:rFonts w:hint="eastAsia" w:ascii="宋体" w:hAnsi="宋体" w:eastAsia="宋体" w:cs="宋体"/>
          <w:color w:val="auto"/>
          <w:szCs w:val="21"/>
        </w:rPr>
        <w:t>5. 验收时乙方必须在现场，验收完毕后作出验收结果报告；验收费用按招标文件约定承担方负责。</w:t>
      </w:r>
    </w:p>
    <w:p w14:paraId="4A2FCFE0">
      <w:pPr>
        <w:pStyle w:val="25"/>
        <w:wordWrap w:val="0"/>
        <w:snapToGrid w:val="0"/>
        <w:spacing w:line="360" w:lineRule="auto"/>
        <w:ind w:firstLine="413" w:firstLineChars="196"/>
        <w:rPr>
          <w:rFonts w:hint="eastAsia" w:ascii="宋体" w:hAnsi="宋体" w:eastAsia="宋体" w:cs="宋体"/>
          <w:b/>
          <w:color w:val="auto"/>
          <w:sz w:val="21"/>
        </w:rPr>
      </w:pPr>
      <w:r>
        <w:rPr>
          <w:rFonts w:hint="eastAsia" w:ascii="宋体" w:hAnsi="宋体" w:eastAsia="宋体" w:cs="宋体"/>
          <w:b/>
          <w:color w:val="auto"/>
          <w:sz w:val="21"/>
        </w:rPr>
        <w:t>第十三条  货物包装、发运及运输</w:t>
      </w:r>
    </w:p>
    <w:p w14:paraId="2746B239">
      <w:pPr>
        <w:pStyle w:val="25"/>
        <w:wordWrap w:val="0"/>
        <w:snapToGrid w:val="0"/>
        <w:spacing w:line="360" w:lineRule="auto"/>
        <w:ind w:firstLine="420" w:firstLineChars="200"/>
        <w:rPr>
          <w:rFonts w:hint="eastAsia" w:ascii="宋体" w:hAnsi="宋体" w:eastAsia="宋体" w:cs="宋体"/>
          <w:color w:val="auto"/>
          <w:sz w:val="21"/>
        </w:rPr>
      </w:pPr>
      <w:r>
        <w:rPr>
          <w:rFonts w:hint="eastAsia" w:ascii="宋体" w:hAnsi="宋体" w:eastAsia="宋体" w:cs="宋体"/>
          <w:color w:val="auto"/>
          <w:sz w:val="21"/>
        </w:rPr>
        <w:t>1.乙方应在货物发运前对其进行满足运输距离、防潮、防震、防锈和防破损装卸等要求包装，以保证货物安全运达甲方指定地点。</w:t>
      </w:r>
    </w:p>
    <w:p w14:paraId="5E2FF31F">
      <w:pPr>
        <w:pStyle w:val="25"/>
        <w:wordWrap w:val="0"/>
        <w:snapToGrid w:val="0"/>
        <w:spacing w:line="360" w:lineRule="auto"/>
        <w:ind w:firstLine="420" w:firstLineChars="200"/>
        <w:rPr>
          <w:rFonts w:hint="eastAsia" w:ascii="宋体" w:hAnsi="宋体" w:eastAsia="宋体" w:cs="宋体"/>
          <w:color w:val="auto"/>
          <w:sz w:val="21"/>
        </w:rPr>
      </w:pPr>
      <w:r>
        <w:rPr>
          <w:rFonts w:hint="eastAsia" w:ascii="宋体" w:hAnsi="宋体" w:eastAsia="宋体" w:cs="宋体"/>
          <w:color w:val="auto"/>
          <w:sz w:val="21"/>
        </w:rPr>
        <w:t>2. 使用说明书（货物属于进口产品的，供货时应同时附上中文使用说明书）、质量检验证明书、随配附件和工具以及清单一并附于货物内。</w:t>
      </w:r>
    </w:p>
    <w:p w14:paraId="708ED1DD">
      <w:pPr>
        <w:pStyle w:val="25"/>
        <w:wordWrap w:val="0"/>
        <w:snapToGrid w:val="0"/>
        <w:spacing w:line="360" w:lineRule="auto"/>
        <w:ind w:firstLine="420" w:firstLineChars="200"/>
        <w:rPr>
          <w:rFonts w:hint="eastAsia" w:ascii="宋体" w:hAnsi="宋体" w:eastAsia="宋体" w:cs="宋体"/>
          <w:color w:val="auto"/>
          <w:sz w:val="21"/>
        </w:rPr>
      </w:pPr>
      <w:r>
        <w:rPr>
          <w:rFonts w:hint="eastAsia" w:ascii="宋体" w:hAnsi="宋体" w:eastAsia="宋体" w:cs="宋体"/>
          <w:color w:val="auto"/>
          <w:sz w:val="21"/>
        </w:rPr>
        <w:t>3.乙方在货物发运手续办理完毕后二十四小时内或者货到甲方四十八小时前通知甲方，以准备接货。</w:t>
      </w:r>
    </w:p>
    <w:p w14:paraId="3215F0D0">
      <w:pPr>
        <w:pStyle w:val="25"/>
        <w:wordWrap w:val="0"/>
        <w:snapToGrid w:val="0"/>
        <w:spacing w:line="360" w:lineRule="auto"/>
        <w:ind w:firstLine="420" w:firstLineChars="200"/>
        <w:rPr>
          <w:rFonts w:hint="eastAsia" w:ascii="宋体" w:hAnsi="宋体" w:eastAsia="宋体" w:cs="宋体"/>
          <w:color w:val="auto"/>
          <w:sz w:val="21"/>
        </w:rPr>
      </w:pPr>
      <w:r>
        <w:rPr>
          <w:rFonts w:hint="eastAsia" w:ascii="宋体" w:hAnsi="宋体" w:eastAsia="宋体" w:cs="宋体"/>
          <w:color w:val="auto"/>
          <w:sz w:val="21"/>
        </w:rPr>
        <w:t>4.货物在交付甲方前发生的风险均由乙方负责。</w:t>
      </w:r>
    </w:p>
    <w:p w14:paraId="0EC43A33">
      <w:pPr>
        <w:pStyle w:val="25"/>
        <w:wordWrap w:val="0"/>
        <w:snapToGrid w:val="0"/>
        <w:spacing w:line="360" w:lineRule="auto"/>
        <w:ind w:firstLine="420" w:firstLineChars="200"/>
        <w:rPr>
          <w:rFonts w:hint="eastAsia" w:ascii="宋体" w:hAnsi="宋体" w:eastAsia="宋体" w:cs="宋体"/>
          <w:color w:val="auto"/>
          <w:sz w:val="21"/>
        </w:rPr>
      </w:pPr>
      <w:r>
        <w:rPr>
          <w:rFonts w:hint="eastAsia" w:ascii="宋体" w:hAnsi="宋体" w:eastAsia="宋体" w:cs="宋体"/>
          <w:color w:val="auto"/>
          <w:sz w:val="21"/>
        </w:rPr>
        <w:t>5.货物在规</w:t>
      </w:r>
      <w:r>
        <w:rPr>
          <w:rFonts w:hint="eastAsia" w:ascii="宋体" w:hAnsi="宋体" w:eastAsia="宋体" w:cs="宋体"/>
          <w:color w:val="auto"/>
          <w:spacing w:val="-8"/>
          <w:sz w:val="21"/>
        </w:rPr>
        <w:t>定的交付期限内由乙方送达甲方指定的地点视为交付，乙方同时需通知甲方货物已送达。</w:t>
      </w:r>
    </w:p>
    <w:p w14:paraId="18F979D1">
      <w:pPr>
        <w:wordWrap w:val="0"/>
        <w:snapToGrid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第十四条　违约责任</w:t>
      </w:r>
    </w:p>
    <w:p w14:paraId="35C2FEC0">
      <w:pPr>
        <w:pStyle w:val="25"/>
        <w:wordWrap w:val="0"/>
        <w:snapToGrid w:val="0"/>
        <w:spacing w:line="360" w:lineRule="auto"/>
        <w:ind w:firstLine="420" w:firstLineChars="200"/>
        <w:rPr>
          <w:rFonts w:hint="eastAsia" w:ascii="宋体" w:hAnsi="宋体" w:eastAsia="宋体" w:cs="宋体"/>
          <w:color w:val="auto"/>
          <w:sz w:val="21"/>
        </w:rPr>
      </w:pPr>
      <w:r>
        <w:rPr>
          <w:rFonts w:hint="eastAsia" w:ascii="宋体" w:hAnsi="宋体" w:eastAsia="宋体" w:cs="宋体"/>
          <w:color w:val="auto"/>
          <w:sz w:val="21"/>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14:paraId="14B3CB98">
      <w:pPr>
        <w:pStyle w:val="25"/>
        <w:wordWrap w:val="0"/>
        <w:snapToGrid w:val="0"/>
        <w:spacing w:line="360" w:lineRule="auto"/>
        <w:ind w:firstLine="420" w:firstLineChars="200"/>
        <w:rPr>
          <w:rFonts w:hint="eastAsia" w:ascii="宋体" w:hAnsi="宋体" w:eastAsia="宋体" w:cs="宋体"/>
          <w:color w:val="auto"/>
          <w:sz w:val="21"/>
        </w:rPr>
      </w:pPr>
      <w:r>
        <w:rPr>
          <w:rFonts w:hint="eastAsia" w:ascii="宋体" w:hAnsi="宋体" w:eastAsia="宋体" w:cs="宋体"/>
          <w:color w:val="auto"/>
          <w:sz w:val="21"/>
        </w:rPr>
        <w:t>2.乙方提供的货物如侵犯了第三方合法权益而引发的任何纠纷或者诉讼，均由乙方负责交涉并承担全部责任。</w:t>
      </w:r>
    </w:p>
    <w:p w14:paraId="50963067">
      <w:pPr>
        <w:pStyle w:val="25"/>
        <w:wordWrap w:val="0"/>
        <w:snapToGrid w:val="0"/>
        <w:spacing w:line="360" w:lineRule="auto"/>
        <w:ind w:firstLine="420" w:firstLineChars="200"/>
        <w:rPr>
          <w:rFonts w:hint="eastAsia" w:ascii="宋体" w:hAnsi="宋体" w:eastAsia="宋体" w:cs="宋体"/>
          <w:color w:val="auto"/>
          <w:sz w:val="21"/>
        </w:rPr>
      </w:pPr>
      <w:r>
        <w:rPr>
          <w:rFonts w:hint="eastAsia" w:ascii="宋体" w:hAnsi="宋体" w:eastAsia="宋体" w:cs="宋体"/>
          <w:color w:val="auto"/>
          <w:sz w:val="21"/>
        </w:rPr>
        <w:t>3.因包装、运输引起的货物损坏，按质量不合格处罚。</w:t>
      </w:r>
    </w:p>
    <w:p w14:paraId="2CCBC360">
      <w:pPr>
        <w:pStyle w:val="25"/>
        <w:wordWrap w:val="0"/>
        <w:snapToGrid w:val="0"/>
        <w:spacing w:line="360" w:lineRule="auto"/>
        <w:ind w:firstLine="420" w:firstLineChars="200"/>
        <w:rPr>
          <w:rFonts w:hint="eastAsia" w:ascii="宋体" w:hAnsi="宋体" w:eastAsia="宋体" w:cs="宋体"/>
          <w:color w:val="auto"/>
          <w:sz w:val="21"/>
        </w:rPr>
      </w:pPr>
      <w:r>
        <w:rPr>
          <w:rFonts w:hint="eastAsia" w:ascii="宋体" w:hAnsi="宋体" w:eastAsia="宋体" w:cs="宋体"/>
          <w:color w:val="auto"/>
          <w:sz w:val="21"/>
        </w:rPr>
        <w:t>4.甲方无故延期接收货物、乙方逾期交货的，每天向对方偿付违约货款额3‰违约金，但违约金累计不得超过违约货款额5%，超过</w:t>
      </w:r>
      <w:r>
        <w:rPr>
          <w:rFonts w:hint="eastAsia" w:ascii="宋体" w:hAnsi="宋体" w:eastAsia="宋体" w:cs="宋体"/>
          <w:color w:val="auto"/>
          <w:sz w:val="21"/>
          <w:u w:val="single"/>
        </w:rPr>
        <w:t xml:space="preserve">   </w:t>
      </w:r>
      <w:r>
        <w:rPr>
          <w:rFonts w:hint="eastAsia" w:ascii="宋体" w:hAnsi="宋体" w:eastAsia="宋体" w:cs="宋体"/>
          <w:color w:val="auto"/>
          <w:sz w:val="21"/>
        </w:rPr>
        <w:t>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14:paraId="2012F931">
      <w:pPr>
        <w:pStyle w:val="25"/>
        <w:wordWrap w:val="0"/>
        <w:snapToGrid w:val="0"/>
        <w:spacing w:line="360" w:lineRule="auto"/>
        <w:ind w:firstLine="420" w:firstLineChars="200"/>
        <w:rPr>
          <w:rFonts w:hint="eastAsia" w:ascii="宋体" w:hAnsi="宋体" w:eastAsia="宋体" w:cs="宋体"/>
          <w:color w:val="auto"/>
          <w:sz w:val="21"/>
        </w:rPr>
      </w:pPr>
      <w:r>
        <w:rPr>
          <w:rFonts w:hint="eastAsia" w:ascii="宋体" w:hAnsi="宋体" w:eastAsia="宋体" w:cs="宋体"/>
          <w:color w:val="auto"/>
          <w:sz w:val="21"/>
        </w:rPr>
        <w:t>5. 乙方未按本合同和投标文件中规定的服务承诺提供售后服务的，乙方应按本合同合计金额 5%向甲方支付违约金。</w:t>
      </w:r>
    </w:p>
    <w:p w14:paraId="12EE92F0">
      <w:pPr>
        <w:pStyle w:val="25"/>
        <w:wordWrap w:val="0"/>
        <w:snapToGrid w:val="0"/>
        <w:spacing w:line="360" w:lineRule="auto"/>
        <w:ind w:firstLine="420" w:firstLineChars="200"/>
        <w:rPr>
          <w:rFonts w:hint="eastAsia" w:ascii="宋体" w:hAnsi="宋体" w:eastAsia="宋体" w:cs="宋体"/>
          <w:color w:val="auto"/>
          <w:sz w:val="21"/>
        </w:rPr>
      </w:pPr>
      <w:r>
        <w:rPr>
          <w:rFonts w:hint="eastAsia" w:ascii="宋体" w:hAnsi="宋体" w:eastAsia="宋体" w:cs="宋体"/>
          <w:color w:val="auto"/>
          <w:sz w:val="21"/>
        </w:rPr>
        <w:t>6. 乙方提供的货物在质量保证期内，因设计、工艺或者材料的缺陷和其它质量原因造成的问题，由乙方负责，费用从余款或者履约保证金中扣除，不足另补。</w:t>
      </w:r>
    </w:p>
    <w:p w14:paraId="6587B543">
      <w:pPr>
        <w:pStyle w:val="25"/>
        <w:wordWrap w:val="0"/>
        <w:snapToGrid w:val="0"/>
        <w:spacing w:line="360" w:lineRule="auto"/>
        <w:ind w:firstLine="420" w:firstLineChars="200"/>
        <w:rPr>
          <w:rFonts w:hint="eastAsia" w:ascii="宋体" w:hAnsi="宋体" w:eastAsia="宋体" w:cs="宋体"/>
          <w:color w:val="auto"/>
          <w:sz w:val="21"/>
        </w:rPr>
      </w:pPr>
      <w:r>
        <w:rPr>
          <w:rFonts w:hint="eastAsia" w:ascii="宋体" w:hAnsi="宋体" w:eastAsia="宋体" w:cs="宋体"/>
          <w:color w:val="auto"/>
          <w:sz w:val="21"/>
        </w:rPr>
        <w:t>7. 甲乙双方有其它违约行为的，由违约方向对方支付违约内容涉及货款额的5%，违约内容涉及货款额的5%不足以赔偿经济损失的按实际赔偿。</w:t>
      </w:r>
    </w:p>
    <w:p w14:paraId="2241AE66">
      <w:pPr>
        <w:pStyle w:val="25"/>
        <w:wordWrap w:val="0"/>
        <w:snapToGrid w:val="0"/>
        <w:spacing w:line="360" w:lineRule="auto"/>
        <w:ind w:firstLine="413" w:firstLineChars="196"/>
        <w:rPr>
          <w:rFonts w:hint="eastAsia" w:ascii="宋体" w:hAnsi="宋体" w:eastAsia="宋体" w:cs="宋体"/>
          <w:b/>
          <w:color w:val="auto"/>
          <w:sz w:val="21"/>
        </w:rPr>
      </w:pPr>
      <w:r>
        <w:rPr>
          <w:rFonts w:hint="eastAsia" w:ascii="宋体" w:hAnsi="宋体" w:eastAsia="宋体" w:cs="宋体"/>
          <w:b/>
          <w:color w:val="auto"/>
          <w:sz w:val="21"/>
        </w:rPr>
        <w:t>第十五条  不可抗力事件处理</w:t>
      </w:r>
    </w:p>
    <w:p w14:paraId="4CCC377A">
      <w:pPr>
        <w:pStyle w:val="25"/>
        <w:wordWrap w:val="0"/>
        <w:snapToGrid w:val="0"/>
        <w:spacing w:line="360" w:lineRule="auto"/>
        <w:ind w:firstLine="420" w:firstLineChars="200"/>
        <w:rPr>
          <w:rFonts w:hint="eastAsia" w:ascii="宋体" w:hAnsi="宋体" w:eastAsia="宋体" w:cs="宋体"/>
          <w:color w:val="auto"/>
          <w:sz w:val="21"/>
        </w:rPr>
      </w:pPr>
      <w:r>
        <w:rPr>
          <w:rFonts w:hint="eastAsia" w:ascii="宋体" w:hAnsi="宋体" w:eastAsia="宋体" w:cs="宋体"/>
          <w:color w:val="auto"/>
          <w:sz w:val="21"/>
        </w:rPr>
        <w:t>1.在合同有效期内，任何一方因不可抗力事件导致不能履行合同，则合同履行期可延长，其延长期与不可抗力影响期相同。</w:t>
      </w:r>
    </w:p>
    <w:p w14:paraId="5179148B">
      <w:pPr>
        <w:pStyle w:val="25"/>
        <w:wordWrap w:val="0"/>
        <w:snapToGrid w:val="0"/>
        <w:spacing w:line="360" w:lineRule="auto"/>
        <w:ind w:firstLine="420" w:firstLineChars="200"/>
        <w:rPr>
          <w:rFonts w:hint="eastAsia" w:ascii="宋体" w:hAnsi="宋体" w:eastAsia="宋体" w:cs="宋体"/>
          <w:color w:val="auto"/>
          <w:sz w:val="21"/>
        </w:rPr>
      </w:pPr>
      <w:r>
        <w:rPr>
          <w:rFonts w:hint="eastAsia" w:ascii="宋体" w:hAnsi="宋体" w:eastAsia="宋体" w:cs="宋体"/>
          <w:color w:val="auto"/>
          <w:sz w:val="21"/>
        </w:rPr>
        <w:t>2.不可抗力事件发生后，应立即通知对方，并寄送有关权威机构出具的证明。</w:t>
      </w:r>
    </w:p>
    <w:p w14:paraId="2D15EE71">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3.不可抗力事件延续一百二十天以上，双方应通过友好协商，确定是否继续履行合同。</w:t>
      </w:r>
    </w:p>
    <w:p w14:paraId="3D6925A4">
      <w:pPr>
        <w:wordWrap w:val="0"/>
        <w:snapToGrid w:val="0"/>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第十六条  合同争议解决</w:t>
      </w:r>
    </w:p>
    <w:p w14:paraId="05D5CE16">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 因货物质量问题发生争议的，应邀请国家认可的质量检测机构对货物质量进行鉴定。货物符合标准的，鉴定费由甲方承担；货物不符合标准的，鉴定费由乙方承担。</w:t>
      </w:r>
    </w:p>
    <w:p w14:paraId="764FDCBC">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 因履行本合同引起的或者与本合同有关的争议，甲乙双方应首先通过友好协商解决，如果协商不能解决，可向甲方所在地有管辖权的人民法院提起诉讼。</w:t>
      </w:r>
    </w:p>
    <w:p w14:paraId="70D401B8">
      <w:pPr>
        <w:wordWrap w:val="0"/>
        <w:snapToGrid w:val="0"/>
        <w:spacing w:line="360" w:lineRule="auto"/>
        <w:ind w:left="-61" w:firstLine="514"/>
        <w:rPr>
          <w:rFonts w:hint="eastAsia" w:ascii="宋体" w:hAnsi="宋体" w:eastAsia="宋体" w:cs="宋体"/>
          <w:color w:val="auto"/>
          <w:szCs w:val="21"/>
        </w:rPr>
      </w:pPr>
      <w:r>
        <w:rPr>
          <w:rFonts w:hint="eastAsia" w:ascii="宋体" w:hAnsi="宋体" w:eastAsia="宋体" w:cs="宋体"/>
          <w:color w:val="auto"/>
          <w:szCs w:val="21"/>
        </w:rPr>
        <w:t>3.诉讼期间，本合同继续履行。</w:t>
      </w:r>
    </w:p>
    <w:p w14:paraId="1052DF91">
      <w:pPr>
        <w:pStyle w:val="25"/>
        <w:wordWrap w:val="0"/>
        <w:snapToGrid w:val="0"/>
        <w:spacing w:line="360" w:lineRule="auto"/>
        <w:ind w:firstLine="413" w:firstLineChars="196"/>
        <w:rPr>
          <w:rFonts w:hint="eastAsia" w:ascii="宋体" w:hAnsi="宋体" w:eastAsia="宋体" w:cs="宋体"/>
          <w:b/>
          <w:color w:val="auto"/>
          <w:sz w:val="21"/>
        </w:rPr>
      </w:pPr>
      <w:r>
        <w:rPr>
          <w:rFonts w:hint="eastAsia" w:ascii="宋体" w:hAnsi="宋体" w:eastAsia="宋体" w:cs="宋体"/>
          <w:b/>
          <w:color w:val="auto"/>
          <w:sz w:val="21"/>
        </w:rPr>
        <w:t>第十七条  合同生效及其它</w:t>
      </w:r>
    </w:p>
    <w:p w14:paraId="56576A8F">
      <w:pPr>
        <w:pStyle w:val="25"/>
        <w:wordWrap w:val="0"/>
        <w:snapToGrid w:val="0"/>
        <w:spacing w:line="360" w:lineRule="auto"/>
        <w:ind w:firstLine="422" w:firstLineChars="200"/>
        <w:rPr>
          <w:rFonts w:hint="eastAsia" w:ascii="宋体" w:hAnsi="宋体" w:eastAsia="宋体" w:cs="宋体"/>
          <w:b/>
          <w:color w:val="auto"/>
          <w:sz w:val="21"/>
        </w:rPr>
      </w:pPr>
      <w:r>
        <w:rPr>
          <w:rFonts w:hint="eastAsia" w:ascii="宋体" w:hAnsi="宋体" w:eastAsia="宋体" w:cs="宋体"/>
          <w:b/>
          <w:color w:val="auto"/>
          <w:sz w:val="21"/>
        </w:rPr>
        <w:t>1. 合同经双方法定代表人或者委托代理人签字并加盖单位公章后生效（委托代理人签字的需后附授权委托书，格式自拟）。</w:t>
      </w:r>
    </w:p>
    <w:p w14:paraId="729FC238">
      <w:pPr>
        <w:pStyle w:val="25"/>
        <w:wordWrap w:val="0"/>
        <w:snapToGrid w:val="0"/>
        <w:spacing w:line="360" w:lineRule="auto"/>
        <w:ind w:firstLine="422" w:firstLineChars="200"/>
        <w:rPr>
          <w:rFonts w:hint="eastAsia" w:ascii="宋体" w:hAnsi="宋体" w:eastAsia="宋体" w:cs="宋体"/>
          <w:b/>
          <w:color w:val="auto"/>
          <w:sz w:val="21"/>
        </w:rPr>
      </w:pPr>
      <w:r>
        <w:rPr>
          <w:rFonts w:hint="eastAsia" w:ascii="宋体" w:hAnsi="宋体" w:eastAsia="宋体" w:cs="宋体"/>
          <w:b/>
          <w:color w:val="auto"/>
          <w:sz w:val="21"/>
        </w:rPr>
        <w:t>2.合同执行中涉及采购资金和采购内容修改或者补充的，须经财政部门审批，并签书面补充协议报财政部门备案，方可作为主合同不可分割的一部分。</w:t>
      </w:r>
    </w:p>
    <w:p w14:paraId="75EAC91D">
      <w:pPr>
        <w:pStyle w:val="25"/>
        <w:wordWrap w:val="0"/>
        <w:snapToGrid w:val="0"/>
        <w:spacing w:line="360" w:lineRule="auto"/>
        <w:ind w:left="420" w:leftChars="200"/>
        <w:rPr>
          <w:rFonts w:hint="eastAsia" w:ascii="宋体" w:hAnsi="宋体" w:eastAsia="宋体" w:cs="宋体"/>
          <w:b/>
          <w:color w:val="auto"/>
          <w:sz w:val="21"/>
        </w:rPr>
      </w:pPr>
      <w:r>
        <w:rPr>
          <w:rFonts w:hint="eastAsia" w:ascii="宋体" w:hAnsi="宋体" w:eastAsia="宋体" w:cs="宋体"/>
          <w:b/>
          <w:color w:val="auto"/>
          <w:sz w:val="21"/>
        </w:rPr>
        <w:t>3.本合同未尽事宜，遵照《中华人民共和国民法典》有关条文执行。</w:t>
      </w:r>
    </w:p>
    <w:p w14:paraId="4B325798">
      <w:pPr>
        <w:wordWrap w:val="0"/>
        <w:snapToGrid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第十八条　合同的变更、终止与转让</w:t>
      </w:r>
    </w:p>
    <w:p w14:paraId="65573802">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 除《中华人民共和国政府采购法》第五十条规定的情形外，本合同一经签订，甲乙双方不得擅自变更、中止或者终止。</w:t>
      </w:r>
    </w:p>
    <w:p w14:paraId="5E0CA41A">
      <w:pPr>
        <w:wordWrap w:val="0"/>
        <w:snapToGrid w:val="0"/>
        <w:spacing w:line="360" w:lineRule="auto"/>
        <w:ind w:left="-61" w:firstLine="514"/>
        <w:rPr>
          <w:rFonts w:hint="eastAsia" w:ascii="宋体" w:hAnsi="宋体" w:eastAsia="宋体" w:cs="宋体"/>
          <w:color w:val="auto"/>
          <w:szCs w:val="21"/>
        </w:rPr>
      </w:pPr>
      <w:r>
        <w:rPr>
          <w:rFonts w:hint="eastAsia" w:ascii="宋体" w:hAnsi="宋体" w:eastAsia="宋体" w:cs="宋体"/>
          <w:color w:val="auto"/>
          <w:szCs w:val="21"/>
        </w:rPr>
        <w:t>2. 乙方不得擅自转让（无进口资格的供应商委托进口货物除外）其应履行的合同义务。</w:t>
      </w:r>
    </w:p>
    <w:p w14:paraId="2600718F">
      <w:pPr>
        <w:wordWrap w:val="0"/>
        <w:snapToGrid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第十九条　</w:t>
      </w:r>
      <w:r>
        <w:rPr>
          <w:rFonts w:hint="eastAsia" w:ascii="宋体" w:hAnsi="宋体" w:eastAsia="宋体" w:cs="宋体"/>
          <w:color w:val="auto"/>
          <w:spacing w:val="-2"/>
          <w:kern w:val="0"/>
          <w:szCs w:val="21"/>
        </w:rPr>
        <w:t>本</w:t>
      </w:r>
      <w:r>
        <w:rPr>
          <w:rFonts w:hint="eastAsia" w:ascii="宋体" w:hAnsi="宋体" w:eastAsia="宋体" w:cs="宋体"/>
          <w:color w:val="auto"/>
          <w:kern w:val="0"/>
          <w:szCs w:val="21"/>
        </w:rPr>
        <w:t>合同书</w:t>
      </w:r>
      <w:r>
        <w:rPr>
          <w:rFonts w:hint="eastAsia" w:ascii="宋体" w:hAnsi="宋体" w:eastAsia="宋体" w:cs="宋体"/>
          <w:color w:val="auto"/>
          <w:spacing w:val="-2"/>
          <w:kern w:val="0"/>
          <w:szCs w:val="21"/>
        </w:rPr>
        <w:t>与</w:t>
      </w:r>
      <w:r>
        <w:rPr>
          <w:rFonts w:hint="eastAsia" w:ascii="宋体" w:hAnsi="宋体" w:eastAsia="宋体" w:cs="宋体"/>
          <w:color w:val="auto"/>
          <w:kern w:val="0"/>
          <w:szCs w:val="21"/>
        </w:rPr>
        <w:t>下</w:t>
      </w:r>
      <w:r>
        <w:rPr>
          <w:rFonts w:hint="eastAsia" w:ascii="宋体" w:hAnsi="宋体" w:eastAsia="宋体" w:cs="宋体"/>
          <w:color w:val="auto"/>
          <w:spacing w:val="-2"/>
          <w:kern w:val="0"/>
          <w:szCs w:val="21"/>
        </w:rPr>
        <w:t>列</w:t>
      </w:r>
      <w:r>
        <w:rPr>
          <w:rFonts w:hint="eastAsia" w:ascii="宋体" w:hAnsi="宋体" w:eastAsia="宋体" w:cs="宋体"/>
          <w:color w:val="auto"/>
          <w:kern w:val="0"/>
          <w:szCs w:val="21"/>
        </w:rPr>
        <w:t>文</w:t>
      </w:r>
      <w:r>
        <w:rPr>
          <w:rFonts w:hint="eastAsia" w:ascii="宋体" w:hAnsi="宋体" w:eastAsia="宋体" w:cs="宋体"/>
          <w:color w:val="auto"/>
          <w:spacing w:val="-2"/>
          <w:kern w:val="0"/>
          <w:szCs w:val="21"/>
        </w:rPr>
        <w:t>件一</w:t>
      </w:r>
      <w:r>
        <w:rPr>
          <w:rFonts w:hint="eastAsia" w:ascii="宋体" w:hAnsi="宋体" w:eastAsia="宋体" w:cs="宋体"/>
          <w:color w:val="auto"/>
          <w:kern w:val="0"/>
          <w:szCs w:val="21"/>
        </w:rPr>
        <w:t>起构</w:t>
      </w:r>
      <w:r>
        <w:rPr>
          <w:rFonts w:hint="eastAsia" w:ascii="宋体" w:hAnsi="宋体" w:eastAsia="宋体" w:cs="宋体"/>
          <w:color w:val="auto"/>
          <w:spacing w:val="-2"/>
          <w:kern w:val="0"/>
          <w:szCs w:val="21"/>
        </w:rPr>
        <w:t>成</w:t>
      </w:r>
      <w:r>
        <w:rPr>
          <w:rFonts w:hint="eastAsia" w:ascii="宋体" w:hAnsi="宋体" w:eastAsia="宋体" w:cs="宋体"/>
          <w:color w:val="auto"/>
          <w:kern w:val="0"/>
          <w:szCs w:val="21"/>
        </w:rPr>
        <w:t>合</w:t>
      </w:r>
      <w:r>
        <w:rPr>
          <w:rFonts w:hint="eastAsia" w:ascii="宋体" w:hAnsi="宋体" w:eastAsia="宋体" w:cs="宋体"/>
          <w:color w:val="auto"/>
          <w:spacing w:val="-2"/>
          <w:kern w:val="0"/>
          <w:szCs w:val="21"/>
        </w:rPr>
        <w:t>同</w:t>
      </w:r>
      <w:r>
        <w:rPr>
          <w:rFonts w:hint="eastAsia" w:ascii="宋体" w:hAnsi="宋体" w:eastAsia="宋体" w:cs="宋体"/>
          <w:color w:val="auto"/>
          <w:kern w:val="0"/>
          <w:szCs w:val="21"/>
        </w:rPr>
        <w:t>文</w:t>
      </w:r>
      <w:r>
        <w:rPr>
          <w:rFonts w:hint="eastAsia" w:ascii="宋体" w:hAnsi="宋体" w:eastAsia="宋体" w:cs="宋体"/>
          <w:color w:val="auto"/>
          <w:spacing w:val="-2"/>
          <w:kern w:val="0"/>
          <w:szCs w:val="21"/>
        </w:rPr>
        <w:t>件</w:t>
      </w:r>
    </w:p>
    <w:p w14:paraId="7A1134F1">
      <w:pPr>
        <w:pStyle w:val="25"/>
        <w:wordWrap w:val="0"/>
        <w:snapToGrid w:val="0"/>
        <w:spacing w:line="360" w:lineRule="auto"/>
        <w:ind w:left="420" w:leftChars="200"/>
        <w:rPr>
          <w:rFonts w:hint="eastAsia" w:ascii="宋体" w:hAnsi="宋体" w:eastAsia="宋体" w:cs="宋体"/>
          <w:color w:val="auto"/>
          <w:sz w:val="21"/>
        </w:rPr>
      </w:pPr>
      <w:r>
        <w:rPr>
          <w:rFonts w:hint="eastAsia" w:ascii="宋体" w:hAnsi="宋体" w:eastAsia="宋体" w:cs="宋体"/>
          <w:color w:val="auto"/>
          <w:sz w:val="21"/>
        </w:rPr>
        <w:t>1.中标通知书；</w:t>
      </w:r>
    </w:p>
    <w:p w14:paraId="0128F206">
      <w:pPr>
        <w:pStyle w:val="25"/>
        <w:wordWrap w:val="0"/>
        <w:snapToGrid w:val="0"/>
        <w:spacing w:line="360" w:lineRule="auto"/>
        <w:ind w:left="420" w:leftChars="200"/>
        <w:rPr>
          <w:rFonts w:hint="eastAsia" w:ascii="宋体" w:hAnsi="宋体" w:eastAsia="宋体" w:cs="宋体"/>
          <w:color w:val="auto"/>
          <w:sz w:val="21"/>
        </w:rPr>
      </w:pPr>
      <w:r>
        <w:rPr>
          <w:rFonts w:hint="eastAsia" w:ascii="宋体" w:hAnsi="宋体" w:eastAsia="宋体" w:cs="宋体"/>
          <w:color w:val="auto"/>
          <w:sz w:val="21"/>
        </w:rPr>
        <w:t>2.投标函；</w:t>
      </w:r>
    </w:p>
    <w:p w14:paraId="1AD97605">
      <w:pPr>
        <w:pStyle w:val="25"/>
        <w:wordWrap w:val="0"/>
        <w:snapToGrid w:val="0"/>
        <w:spacing w:line="360" w:lineRule="auto"/>
        <w:ind w:left="420" w:leftChars="200"/>
        <w:rPr>
          <w:rFonts w:hint="eastAsia" w:ascii="宋体" w:hAnsi="宋体" w:eastAsia="宋体" w:cs="宋体"/>
          <w:color w:val="auto"/>
          <w:sz w:val="21"/>
        </w:rPr>
      </w:pPr>
      <w:r>
        <w:rPr>
          <w:rFonts w:hint="eastAsia" w:ascii="宋体" w:hAnsi="宋体" w:eastAsia="宋体" w:cs="宋体"/>
          <w:color w:val="auto"/>
          <w:sz w:val="21"/>
        </w:rPr>
        <w:t>3.商务要求偏离表和技术要求偏离表；</w:t>
      </w:r>
    </w:p>
    <w:p w14:paraId="23916D3E">
      <w:pPr>
        <w:pStyle w:val="25"/>
        <w:wordWrap w:val="0"/>
        <w:snapToGrid w:val="0"/>
        <w:spacing w:line="360" w:lineRule="auto"/>
        <w:ind w:left="420" w:leftChars="200"/>
        <w:rPr>
          <w:rFonts w:hint="eastAsia" w:ascii="宋体" w:hAnsi="宋体" w:eastAsia="宋体" w:cs="宋体"/>
          <w:color w:val="auto"/>
          <w:sz w:val="21"/>
        </w:rPr>
      </w:pPr>
      <w:r>
        <w:rPr>
          <w:rFonts w:hint="eastAsia" w:ascii="宋体" w:hAnsi="宋体" w:eastAsia="宋体" w:cs="宋体"/>
          <w:color w:val="auto"/>
          <w:sz w:val="21"/>
        </w:rPr>
        <w:t>4.采购需求；</w:t>
      </w:r>
    </w:p>
    <w:p w14:paraId="1D18B72F">
      <w:pPr>
        <w:pStyle w:val="25"/>
        <w:wordWrap w:val="0"/>
        <w:snapToGrid w:val="0"/>
        <w:spacing w:line="360" w:lineRule="auto"/>
        <w:ind w:left="420" w:leftChars="200"/>
        <w:rPr>
          <w:rFonts w:hint="eastAsia" w:ascii="宋体" w:hAnsi="宋体" w:eastAsia="宋体" w:cs="宋体"/>
          <w:color w:val="auto"/>
          <w:sz w:val="21"/>
        </w:rPr>
      </w:pPr>
      <w:r>
        <w:rPr>
          <w:rFonts w:hint="eastAsia" w:ascii="宋体" w:hAnsi="宋体" w:eastAsia="宋体" w:cs="宋体"/>
          <w:color w:val="auto"/>
          <w:sz w:val="21"/>
        </w:rPr>
        <w:t>5.开标一览表；</w:t>
      </w:r>
    </w:p>
    <w:p w14:paraId="58384520">
      <w:pPr>
        <w:pStyle w:val="25"/>
        <w:wordWrap w:val="0"/>
        <w:snapToGrid w:val="0"/>
        <w:spacing w:line="360" w:lineRule="auto"/>
        <w:ind w:left="420" w:leftChars="200"/>
        <w:rPr>
          <w:rFonts w:hint="eastAsia" w:ascii="宋体" w:hAnsi="宋体" w:eastAsia="宋体" w:cs="宋体"/>
          <w:color w:val="auto"/>
          <w:sz w:val="21"/>
        </w:rPr>
      </w:pPr>
      <w:r>
        <w:rPr>
          <w:rFonts w:hint="eastAsia" w:ascii="宋体" w:hAnsi="宋体" w:eastAsia="宋体" w:cs="宋体"/>
          <w:color w:val="auto"/>
          <w:sz w:val="21"/>
        </w:rPr>
        <w:t>6.设备性能配置清单；</w:t>
      </w:r>
    </w:p>
    <w:p w14:paraId="01C0C3EB">
      <w:pPr>
        <w:pStyle w:val="25"/>
        <w:wordWrap w:val="0"/>
        <w:snapToGrid w:val="0"/>
        <w:spacing w:line="360" w:lineRule="auto"/>
        <w:ind w:left="420" w:leftChars="200"/>
        <w:rPr>
          <w:rFonts w:hint="eastAsia" w:ascii="宋体" w:hAnsi="宋体" w:eastAsia="宋体" w:cs="宋体"/>
          <w:color w:val="auto"/>
          <w:sz w:val="21"/>
        </w:rPr>
      </w:pPr>
      <w:r>
        <w:rPr>
          <w:rFonts w:hint="eastAsia" w:ascii="宋体" w:hAnsi="宋体" w:eastAsia="宋体" w:cs="宋体"/>
          <w:color w:val="auto"/>
          <w:sz w:val="21"/>
        </w:rPr>
        <w:t>7.其他合同文件。</w:t>
      </w:r>
    </w:p>
    <w:p w14:paraId="5B28BDB9">
      <w:pPr>
        <w:pStyle w:val="25"/>
        <w:wordWrap w:val="0"/>
        <w:snapToGrid w:val="0"/>
        <w:spacing w:line="360" w:lineRule="auto"/>
        <w:ind w:left="420" w:leftChars="200"/>
        <w:rPr>
          <w:rFonts w:hint="eastAsia" w:ascii="宋体" w:hAnsi="宋体" w:eastAsia="宋体" w:cs="宋体"/>
          <w:b/>
          <w:color w:val="auto"/>
          <w:sz w:val="21"/>
        </w:rPr>
      </w:pPr>
      <w:r>
        <w:rPr>
          <w:rFonts w:hint="eastAsia" w:ascii="宋体" w:hAnsi="宋体" w:eastAsia="宋体" w:cs="宋体"/>
          <w:color w:val="auto"/>
          <w:sz w:val="21"/>
        </w:rPr>
        <w:t>8.上述合同文件互相补充和解释。如果合同文件之间存在矛盾或者不一致之处，以上述文件 的排列顺序在先者为准。</w:t>
      </w:r>
    </w:p>
    <w:p w14:paraId="45035A9F">
      <w:pPr>
        <w:wordWrap w:val="0"/>
        <w:snapToGrid w:val="0"/>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第二十条　</w:t>
      </w:r>
      <w:r>
        <w:rPr>
          <w:rFonts w:hint="eastAsia" w:ascii="宋体" w:hAnsi="宋体" w:eastAsia="宋体" w:cs="宋体"/>
          <w:color w:val="auto"/>
          <w:szCs w:val="21"/>
        </w:rPr>
        <w:t>本合同一式五份，具有同等法律效力，甲乙双方各两份，采购代理机构存一份，（可根据需要另增加）。</w:t>
      </w:r>
    </w:p>
    <w:p w14:paraId="2CB84C45">
      <w:pPr>
        <w:wordWrap w:val="0"/>
        <w:snapToGrid w:val="0"/>
        <w:spacing w:line="360" w:lineRule="auto"/>
        <w:ind w:left="-61" w:firstLine="514"/>
        <w:rPr>
          <w:rFonts w:hint="eastAsia" w:ascii="宋体" w:hAnsi="宋体" w:eastAsia="宋体" w:cs="宋体"/>
          <w:color w:val="auto"/>
          <w:szCs w:val="21"/>
        </w:rPr>
      </w:pPr>
      <w:r>
        <w:rPr>
          <w:rFonts w:hint="eastAsia" w:ascii="宋体" w:hAnsi="宋体" w:eastAsia="宋体" w:cs="宋体"/>
          <w:color w:val="auto"/>
          <w:szCs w:val="21"/>
        </w:rPr>
        <w:t>本合同甲乙双方签字盖章后生效，自签订之日起七个工作日内，甲方应当将合同副本报同级财政部门备案。</w:t>
      </w:r>
    </w:p>
    <w:p w14:paraId="3552C9FC">
      <w:pPr>
        <w:wordWrap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本合同自签订之日起2个工作日内，甲方应当将采购合同在广西壮族自治区财政厅指定的媒体上公告。</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2"/>
        <w:gridCol w:w="4707"/>
      </w:tblGrid>
      <w:tr w14:paraId="76DF8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842" w:type="dxa"/>
            <w:vAlign w:val="center"/>
          </w:tcPr>
          <w:p w14:paraId="441B96FF">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甲方（章）河池学院           </w:t>
            </w:r>
          </w:p>
          <w:p w14:paraId="717C954B">
            <w:pPr>
              <w:wordWrap w:val="0"/>
              <w:snapToGrid w:val="0"/>
              <w:spacing w:line="360" w:lineRule="auto"/>
              <w:rPr>
                <w:rFonts w:hint="eastAsia" w:ascii="宋体" w:hAnsi="宋体" w:eastAsia="宋体" w:cs="宋体"/>
                <w:color w:val="auto"/>
                <w:szCs w:val="21"/>
              </w:rPr>
            </w:pPr>
          </w:p>
          <w:p w14:paraId="53784439">
            <w:pPr>
              <w:wordWrap w:val="0"/>
              <w:snapToGrid w:val="0"/>
              <w:spacing w:line="360" w:lineRule="auto"/>
              <w:ind w:firstLine="945" w:firstLineChars="450"/>
              <w:rPr>
                <w:rFonts w:hint="eastAsia" w:ascii="宋体" w:hAnsi="宋体" w:eastAsia="宋体" w:cs="宋体"/>
                <w:color w:val="auto"/>
                <w:szCs w:val="21"/>
              </w:rPr>
            </w:pPr>
            <w:r>
              <w:rPr>
                <w:rFonts w:hint="eastAsia" w:ascii="宋体" w:hAnsi="宋体" w:eastAsia="宋体" w:cs="宋体"/>
                <w:color w:val="auto"/>
                <w:szCs w:val="21"/>
              </w:rPr>
              <w:t>年   月   日</w:t>
            </w:r>
          </w:p>
        </w:tc>
        <w:tc>
          <w:tcPr>
            <w:tcW w:w="4707" w:type="dxa"/>
            <w:vAlign w:val="center"/>
          </w:tcPr>
          <w:p w14:paraId="47DE20CA">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乙方（章）              </w:t>
            </w:r>
          </w:p>
          <w:p w14:paraId="2F9CB64F">
            <w:pPr>
              <w:wordWrap w:val="0"/>
              <w:snapToGrid w:val="0"/>
              <w:spacing w:line="360" w:lineRule="auto"/>
              <w:rPr>
                <w:rFonts w:hint="eastAsia" w:ascii="宋体" w:hAnsi="宋体" w:eastAsia="宋体" w:cs="宋体"/>
                <w:color w:val="auto"/>
                <w:szCs w:val="21"/>
              </w:rPr>
            </w:pPr>
          </w:p>
          <w:p w14:paraId="2A0AAEC5">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年   月   日</w:t>
            </w:r>
          </w:p>
        </w:tc>
      </w:tr>
      <w:tr w14:paraId="581E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4842" w:type="dxa"/>
            <w:vAlign w:val="center"/>
          </w:tcPr>
          <w:p w14:paraId="79233795">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单位地址：河池市宜州区龙江路42号</w:t>
            </w:r>
          </w:p>
        </w:tc>
        <w:tc>
          <w:tcPr>
            <w:tcW w:w="4707" w:type="dxa"/>
            <w:vAlign w:val="center"/>
          </w:tcPr>
          <w:p w14:paraId="57183E65">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单位地址：</w:t>
            </w:r>
          </w:p>
        </w:tc>
      </w:tr>
      <w:tr w14:paraId="39867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4842" w:type="dxa"/>
          </w:tcPr>
          <w:p w14:paraId="29C0FC32">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法定代表人或者委托代理人：</w:t>
            </w:r>
          </w:p>
        </w:tc>
        <w:tc>
          <w:tcPr>
            <w:tcW w:w="4707" w:type="dxa"/>
          </w:tcPr>
          <w:p w14:paraId="6B97CC53">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法定代表人或者委托代理人：</w:t>
            </w:r>
          </w:p>
        </w:tc>
      </w:tr>
      <w:tr w14:paraId="5AB4D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842" w:type="dxa"/>
            <w:vAlign w:val="center"/>
          </w:tcPr>
          <w:p w14:paraId="763F995B">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电话：0778-3147831</w:t>
            </w:r>
          </w:p>
        </w:tc>
        <w:tc>
          <w:tcPr>
            <w:tcW w:w="4707" w:type="dxa"/>
            <w:vAlign w:val="center"/>
          </w:tcPr>
          <w:p w14:paraId="00EB374B">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电话：</w:t>
            </w:r>
          </w:p>
        </w:tc>
      </w:tr>
      <w:tr w14:paraId="2805A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842" w:type="dxa"/>
            <w:vAlign w:val="center"/>
          </w:tcPr>
          <w:p w14:paraId="667C8FA4">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电子邮箱：</w:t>
            </w:r>
          </w:p>
        </w:tc>
        <w:tc>
          <w:tcPr>
            <w:tcW w:w="4707" w:type="dxa"/>
            <w:vAlign w:val="center"/>
          </w:tcPr>
          <w:p w14:paraId="539F7984">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电子邮箱：</w:t>
            </w:r>
          </w:p>
        </w:tc>
      </w:tr>
      <w:tr w14:paraId="7C96E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842" w:type="dxa"/>
            <w:vAlign w:val="center"/>
          </w:tcPr>
          <w:p w14:paraId="7D1FD141">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开户银行：</w:t>
            </w:r>
          </w:p>
        </w:tc>
        <w:tc>
          <w:tcPr>
            <w:tcW w:w="4707" w:type="dxa"/>
            <w:vAlign w:val="center"/>
          </w:tcPr>
          <w:p w14:paraId="48ABA99E">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开户银行：</w:t>
            </w:r>
          </w:p>
        </w:tc>
      </w:tr>
      <w:tr w14:paraId="7A197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842" w:type="dxa"/>
            <w:vAlign w:val="center"/>
          </w:tcPr>
          <w:p w14:paraId="44453997">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账号：</w:t>
            </w:r>
          </w:p>
        </w:tc>
        <w:tc>
          <w:tcPr>
            <w:tcW w:w="4707" w:type="dxa"/>
            <w:vAlign w:val="center"/>
          </w:tcPr>
          <w:p w14:paraId="2EBF407B">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账号：</w:t>
            </w:r>
          </w:p>
        </w:tc>
      </w:tr>
      <w:tr w14:paraId="029A2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842" w:type="dxa"/>
            <w:vAlign w:val="center"/>
          </w:tcPr>
          <w:p w14:paraId="3D921124">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邮政编码：</w:t>
            </w:r>
          </w:p>
        </w:tc>
        <w:tc>
          <w:tcPr>
            <w:tcW w:w="4707" w:type="dxa"/>
            <w:vAlign w:val="center"/>
          </w:tcPr>
          <w:p w14:paraId="27A86793">
            <w:pPr>
              <w:wordWrap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邮政编码：</w:t>
            </w:r>
          </w:p>
        </w:tc>
      </w:tr>
    </w:tbl>
    <w:p w14:paraId="701EC9B9">
      <w:pPr>
        <w:wordWrap w:val="0"/>
        <w:rPr>
          <w:rFonts w:hint="eastAsia" w:ascii="宋体" w:hAnsi="宋体" w:eastAsia="宋体" w:cs="宋体"/>
          <w:color w:val="auto"/>
        </w:rPr>
      </w:pPr>
    </w:p>
    <w:p w14:paraId="682DC36E">
      <w:pPr>
        <w:pStyle w:val="2"/>
        <w:keepNext w:val="0"/>
        <w:keepLines w:val="0"/>
        <w:tabs>
          <w:tab w:val="left" w:pos="0"/>
          <w:tab w:val="left" w:pos="3165"/>
          <w:tab w:val="center" w:pos="4153"/>
        </w:tabs>
        <w:autoSpaceDE w:val="0"/>
        <w:autoSpaceDN w:val="0"/>
        <w:adjustRightInd w:val="0"/>
        <w:spacing w:before="0" w:after="0" w:line="360" w:lineRule="auto"/>
        <w:rPr>
          <w:rFonts w:hint="eastAsia" w:ascii="宋体" w:hAnsi="宋体" w:eastAsia="宋体" w:cs="宋体"/>
          <w:color w:val="auto"/>
        </w:rPr>
      </w:pPr>
      <w:bookmarkStart w:id="213" w:name="_Toc148453337"/>
      <w:r>
        <w:rPr>
          <w:rFonts w:hint="eastAsia" w:ascii="宋体" w:hAnsi="宋体" w:eastAsia="宋体" w:cs="宋体"/>
          <w:color w:val="auto"/>
        </w:rPr>
        <w:t>第六章 投标文件格式</w:t>
      </w:r>
      <w:bookmarkEnd w:id="213"/>
    </w:p>
    <w:p w14:paraId="3EAF423B">
      <w:pPr>
        <w:wordWrap w:val="0"/>
        <w:snapToGrid w:val="0"/>
        <w:spacing w:before="120" w:beforeLines="50" w:after="50"/>
        <w:rPr>
          <w:rFonts w:hint="eastAsia" w:ascii="宋体" w:hAnsi="宋体" w:eastAsia="宋体" w:cs="宋体"/>
          <w:color w:val="auto"/>
        </w:rPr>
      </w:pPr>
    </w:p>
    <w:p w14:paraId="648CA128">
      <w:pPr>
        <w:wordWrap w:val="0"/>
        <w:spacing w:line="360" w:lineRule="auto"/>
        <w:outlineLvl w:val="1"/>
        <w:rPr>
          <w:rFonts w:hint="eastAsia" w:ascii="宋体" w:hAnsi="宋体" w:eastAsia="宋体" w:cs="宋体"/>
          <w:b/>
          <w:color w:val="auto"/>
          <w:sz w:val="28"/>
          <w:szCs w:val="28"/>
        </w:rPr>
      </w:pPr>
      <w:bookmarkStart w:id="214" w:name="_Toc19686836"/>
      <w:bookmarkStart w:id="215" w:name="_Toc254970698"/>
      <w:bookmarkStart w:id="216" w:name="_Toc254970557"/>
      <w:r>
        <w:rPr>
          <w:rFonts w:hint="eastAsia" w:ascii="宋体" w:hAnsi="宋体" w:eastAsia="宋体" w:cs="宋体"/>
          <w:b/>
          <w:color w:val="auto"/>
          <w:sz w:val="28"/>
          <w:szCs w:val="28"/>
        </w:rPr>
        <w:t>一、报价文件格式</w:t>
      </w:r>
      <w:bookmarkEnd w:id="214"/>
    </w:p>
    <w:p w14:paraId="020F5F91">
      <w:pPr>
        <w:wordWrap w:val="0"/>
        <w:snapToGrid w:val="0"/>
        <w:spacing w:before="120" w:beforeLines="50" w:after="50" w:line="360" w:lineRule="auto"/>
        <w:ind w:left="142"/>
        <w:outlineLvl w:val="2"/>
        <w:rPr>
          <w:rFonts w:hint="eastAsia" w:ascii="宋体" w:hAnsi="宋体" w:eastAsia="宋体" w:cs="宋体"/>
          <w:b/>
          <w:color w:val="auto"/>
          <w:sz w:val="24"/>
        </w:rPr>
      </w:pPr>
      <w:r>
        <w:rPr>
          <w:rFonts w:hint="eastAsia" w:ascii="宋体" w:hAnsi="宋体" w:eastAsia="宋体" w:cs="宋体"/>
          <w:b/>
          <w:color w:val="auto"/>
          <w:sz w:val="24"/>
        </w:rPr>
        <w:t xml:space="preserve">1. </w:t>
      </w:r>
      <w:r>
        <w:rPr>
          <w:rFonts w:hint="eastAsia" w:ascii="宋体" w:hAnsi="宋体" w:eastAsia="宋体" w:cs="宋体"/>
          <w:b/>
          <w:color w:val="auto"/>
          <w:sz w:val="24"/>
        </w:rPr>
        <w:t>报价文件封面格式：</w:t>
      </w:r>
    </w:p>
    <w:p w14:paraId="22D1DD99">
      <w:pPr>
        <w:snapToGrid w:val="0"/>
        <w:spacing w:before="120" w:beforeLines="50" w:after="50" w:line="360" w:lineRule="auto"/>
        <w:ind w:left="142"/>
        <w:jc w:val="center"/>
        <w:outlineLvl w:val="3"/>
        <w:rPr>
          <w:rFonts w:hint="eastAsia" w:ascii="宋体" w:hAnsi="宋体" w:eastAsia="宋体" w:cs="宋体"/>
          <w:bCs/>
          <w:color w:val="auto"/>
          <w:sz w:val="48"/>
          <w:szCs w:val="48"/>
        </w:rPr>
      </w:pPr>
      <w:r>
        <w:rPr>
          <w:rFonts w:hint="eastAsia" w:ascii="宋体" w:hAnsi="宋体" w:eastAsia="宋体" w:cs="宋体"/>
          <w:bCs/>
          <w:color w:val="auto"/>
          <w:sz w:val="48"/>
          <w:szCs w:val="48"/>
        </w:rPr>
        <w:t>电子投标文件</w:t>
      </w:r>
    </w:p>
    <w:p w14:paraId="682EF898">
      <w:pPr>
        <w:wordWrap w:val="0"/>
        <w:snapToGrid w:val="0"/>
        <w:spacing w:before="120" w:beforeLines="50" w:after="50" w:line="400" w:lineRule="exact"/>
        <w:rPr>
          <w:rFonts w:hint="eastAsia" w:ascii="宋体" w:hAnsi="宋体" w:eastAsia="宋体" w:cs="宋体"/>
          <w:bCs/>
          <w:color w:val="auto"/>
          <w:sz w:val="48"/>
          <w:szCs w:val="48"/>
        </w:rPr>
      </w:pPr>
    </w:p>
    <w:p w14:paraId="6D03D108">
      <w:pPr>
        <w:snapToGrid w:val="0"/>
        <w:spacing w:before="120" w:beforeLines="50" w:after="50" w:line="400" w:lineRule="exact"/>
        <w:jc w:val="center"/>
        <w:outlineLvl w:val="3"/>
        <w:rPr>
          <w:rFonts w:hint="eastAsia" w:ascii="宋体" w:hAnsi="宋体" w:eastAsia="宋体" w:cs="宋体"/>
          <w:b/>
          <w:color w:val="auto"/>
          <w:sz w:val="44"/>
          <w:szCs w:val="44"/>
        </w:rPr>
      </w:pPr>
      <w:r>
        <w:rPr>
          <w:rFonts w:hint="eastAsia" w:ascii="宋体" w:hAnsi="宋体" w:eastAsia="宋体" w:cs="宋体"/>
          <w:b/>
          <w:color w:val="auto"/>
          <w:sz w:val="44"/>
          <w:szCs w:val="44"/>
        </w:rPr>
        <w:t>第一部分报价文件</w:t>
      </w:r>
    </w:p>
    <w:p w14:paraId="46771CBD">
      <w:pPr>
        <w:wordWrap w:val="0"/>
        <w:snapToGrid w:val="0"/>
        <w:spacing w:before="120" w:beforeLines="50" w:after="50" w:line="400" w:lineRule="exact"/>
        <w:rPr>
          <w:rFonts w:hint="eastAsia" w:ascii="宋体" w:hAnsi="宋体" w:eastAsia="宋体" w:cs="宋体"/>
          <w:bCs/>
          <w:color w:val="auto"/>
          <w:sz w:val="24"/>
          <w:szCs w:val="20"/>
        </w:rPr>
      </w:pPr>
    </w:p>
    <w:p w14:paraId="629649D0">
      <w:pPr>
        <w:wordWrap w:val="0"/>
        <w:snapToGrid w:val="0"/>
        <w:spacing w:before="120" w:beforeLines="50" w:after="50" w:line="400" w:lineRule="exact"/>
        <w:ind w:left="840" w:leftChars="400"/>
        <w:rPr>
          <w:rFonts w:hint="eastAsia" w:ascii="宋体" w:hAnsi="宋体" w:eastAsia="宋体" w:cs="宋体"/>
          <w:bCs/>
          <w:color w:val="auto"/>
          <w:sz w:val="24"/>
          <w:szCs w:val="20"/>
        </w:rPr>
      </w:pPr>
    </w:p>
    <w:p w14:paraId="3A9A9185">
      <w:pPr>
        <w:wordWrap w:val="0"/>
        <w:snapToGrid w:val="0"/>
        <w:spacing w:before="120" w:beforeLines="50" w:after="50" w:line="400" w:lineRule="exact"/>
        <w:ind w:left="840" w:leftChars="400" w:firstLine="360" w:firstLineChars="150"/>
        <w:rPr>
          <w:rFonts w:hint="eastAsia" w:ascii="宋体" w:hAnsi="宋体" w:eastAsia="宋体" w:cs="宋体"/>
          <w:bCs/>
          <w:color w:val="auto"/>
          <w:sz w:val="24"/>
          <w:u w:val="single"/>
        </w:rPr>
      </w:pPr>
      <w:r>
        <w:rPr>
          <w:rFonts w:hint="eastAsia" w:ascii="宋体" w:hAnsi="宋体" w:eastAsia="宋体" w:cs="宋体"/>
          <w:bCs/>
          <w:color w:val="auto"/>
          <w:sz w:val="24"/>
        </w:rPr>
        <w:t>项目名称：</w:t>
      </w:r>
    </w:p>
    <w:p w14:paraId="56CD76CE">
      <w:pPr>
        <w:wordWrap w:val="0"/>
        <w:snapToGrid w:val="0"/>
        <w:spacing w:before="120" w:beforeLines="50" w:after="50" w:line="400" w:lineRule="exact"/>
        <w:ind w:left="840" w:leftChars="400" w:firstLine="360" w:firstLineChars="150"/>
        <w:rPr>
          <w:rFonts w:hint="eastAsia" w:ascii="宋体" w:hAnsi="宋体" w:eastAsia="宋体" w:cs="宋体"/>
          <w:bCs/>
          <w:color w:val="auto"/>
          <w:sz w:val="24"/>
        </w:rPr>
      </w:pPr>
    </w:p>
    <w:p w14:paraId="23538E5C">
      <w:pPr>
        <w:wordWrap w:val="0"/>
        <w:snapToGrid w:val="0"/>
        <w:spacing w:before="120" w:beforeLines="50" w:after="50" w:line="400" w:lineRule="exact"/>
        <w:ind w:left="840" w:leftChars="400" w:firstLine="360" w:firstLineChars="150"/>
        <w:rPr>
          <w:rFonts w:hint="eastAsia" w:ascii="宋体" w:hAnsi="宋体" w:eastAsia="宋体" w:cs="宋体"/>
          <w:bCs/>
          <w:color w:val="auto"/>
          <w:sz w:val="24"/>
        </w:rPr>
      </w:pPr>
      <w:r>
        <w:rPr>
          <w:rFonts w:hint="eastAsia" w:ascii="宋体" w:hAnsi="宋体" w:eastAsia="宋体" w:cs="宋体"/>
          <w:bCs/>
          <w:color w:val="auto"/>
          <w:sz w:val="24"/>
        </w:rPr>
        <w:t>项目编号：</w:t>
      </w:r>
    </w:p>
    <w:p w14:paraId="57892AE0">
      <w:pPr>
        <w:wordWrap w:val="0"/>
        <w:snapToGrid w:val="0"/>
        <w:spacing w:before="120" w:beforeLines="50" w:after="50" w:line="400" w:lineRule="exact"/>
        <w:ind w:left="840" w:leftChars="400" w:firstLine="360" w:firstLineChars="150"/>
        <w:rPr>
          <w:rFonts w:hint="eastAsia" w:ascii="宋体" w:hAnsi="宋体" w:eastAsia="宋体" w:cs="宋体"/>
          <w:bCs/>
          <w:color w:val="auto"/>
          <w:sz w:val="24"/>
        </w:rPr>
      </w:pPr>
    </w:p>
    <w:p w14:paraId="443EA9D8">
      <w:pPr>
        <w:wordWrap w:val="0"/>
        <w:snapToGrid w:val="0"/>
        <w:spacing w:before="120" w:beforeLines="50" w:after="50" w:line="400" w:lineRule="exact"/>
        <w:ind w:left="840" w:leftChars="400" w:firstLine="360" w:firstLineChars="150"/>
        <w:rPr>
          <w:rFonts w:hint="eastAsia" w:ascii="宋体" w:hAnsi="宋体" w:eastAsia="宋体" w:cs="宋体"/>
          <w:bCs/>
          <w:color w:val="auto"/>
          <w:sz w:val="24"/>
        </w:rPr>
      </w:pPr>
      <w:r>
        <w:rPr>
          <w:rFonts w:hint="eastAsia" w:ascii="宋体" w:hAnsi="宋体" w:eastAsia="宋体" w:cs="宋体"/>
          <w:bCs/>
          <w:color w:val="auto"/>
          <w:sz w:val="24"/>
        </w:rPr>
        <w:t>所投分标：</w:t>
      </w:r>
    </w:p>
    <w:p w14:paraId="33068E79">
      <w:pPr>
        <w:wordWrap w:val="0"/>
        <w:snapToGrid w:val="0"/>
        <w:spacing w:before="120" w:beforeLines="50" w:after="50" w:line="400" w:lineRule="exact"/>
        <w:ind w:left="840" w:leftChars="400" w:firstLine="360" w:firstLineChars="150"/>
        <w:rPr>
          <w:rFonts w:hint="eastAsia" w:ascii="宋体" w:hAnsi="宋体" w:eastAsia="宋体" w:cs="宋体"/>
          <w:bCs/>
          <w:color w:val="auto"/>
          <w:sz w:val="24"/>
        </w:rPr>
      </w:pPr>
    </w:p>
    <w:p w14:paraId="1D948AFB">
      <w:pPr>
        <w:wordWrap w:val="0"/>
        <w:snapToGrid w:val="0"/>
        <w:spacing w:before="120" w:beforeLines="50" w:after="50" w:line="400" w:lineRule="exact"/>
        <w:ind w:left="840" w:leftChars="400" w:firstLine="360" w:firstLineChars="150"/>
        <w:rPr>
          <w:rFonts w:hint="eastAsia" w:ascii="宋体" w:hAnsi="宋体" w:eastAsia="宋体" w:cs="宋体"/>
          <w:bCs/>
          <w:color w:val="auto"/>
          <w:sz w:val="24"/>
        </w:rPr>
      </w:pPr>
      <w:r>
        <w:rPr>
          <w:rFonts w:hint="eastAsia" w:ascii="宋体" w:hAnsi="宋体" w:eastAsia="宋体" w:cs="宋体"/>
          <w:bCs/>
          <w:color w:val="auto"/>
          <w:sz w:val="24"/>
        </w:rPr>
        <w:t>投标人名称：</w:t>
      </w:r>
    </w:p>
    <w:p w14:paraId="66A47C8C">
      <w:pPr>
        <w:wordWrap w:val="0"/>
        <w:snapToGrid w:val="0"/>
        <w:spacing w:before="120" w:beforeLines="50" w:after="50" w:line="400" w:lineRule="exact"/>
        <w:ind w:left="840" w:leftChars="400" w:firstLine="360" w:firstLineChars="150"/>
        <w:rPr>
          <w:rFonts w:hint="eastAsia" w:ascii="宋体" w:hAnsi="宋体" w:eastAsia="宋体" w:cs="宋体"/>
          <w:bCs/>
          <w:color w:val="auto"/>
          <w:sz w:val="24"/>
        </w:rPr>
      </w:pPr>
    </w:p>
    <w:p w14:paraId="4F4AFDFF">
      <w:pPr>
        <w:wordWrap w:val="0"/>
        <w:snapToGrid w:val="0"/>
        <w:spacing w:before="120" w:beforeLines="50" w:after="50" w:line="400" w:lineRule="exact"/>
        <w:ind w:left="840" w:leftChars="400" w:firstLine="360" w:firstLineChars="150"/>
        <w:rPr>
          <w:rFonts w:hint="eastAsia" w:ascii="宋体" w:hAnsi="宋体" w:eastAsia="宋体" w:cs="宋体"/>
          <w:bCs/>
          <w:color w:val="auto"/>
          <w:sz w:val="24"/>
        </w:rPr>
      </w:pPr>
      <w:r>
        <w:rPr>
          <w:rFonts w:hint="eastAsia" w:ascii="宋体" w:hAnsi="宋体" w:eastAsia="宋体" w:cs="宋体"/>
          <w:bCs/>
          <w:color w:val="auto"/>
          <w:sz w:val="24"/>
        </w:rPr>
        <w:t>投标人地址：</w:t>
      </w:r>
    </w:p>
    <w:p w14:paraId="0AFEF223">
      <w:pPr>
        <w:wordWrap w:val="0"/>
        <w:snapToGrid w:val="0"/>
        <w:spacing w:before="120" w:beforeLines="50" w:after="50" w:line="400" w:lineRule="exact"/>
        <w:rPr>
          <w:rFonts w:hint="eastAsia" w:ascii="宋体" w:hAnsi="宋体" w:eastAsia="宋体" w:cs="宋体"/>
          <w:color w:val="auto"/>
          <w:sz w:val="24"/>
        </w:rPr>
      </w:pPr>
    </w:p>
    <w:p w14:paraId="719BDBAA">
      <w:pPr>
        <w:wordWrap w:val="0"/>
        <w:snapToGrid w:val="0"/>
        <w:spacing w:before="120" w:beforeLines="50" w:after="50" w:line="400" w:lineRule="exact"/>
        <w:rPr>
          <w:rFonts w:hint="eastAsia" w:ascii="宋体" w:hAnsi="宋体" w:eastAsia="宋体" w:cs="宋体"/>
          <w:color w:val="auto"/>
          <w:sz w:val="24"/>
        </w:rPr>
      </w:pPr>
    </w:p>
    <w:p w14:paraId="0346F662">
      <w:pPr>
        <w:snapToGrid w:val="0"/>
        <w:spacing w:before="120" w:beforeLines="50" w:after="50" w:line="400" w:lineRule="exact"/>
        <w:jc w:val="center"/>
        <w:rPr>
          <w:rFonts w:hint="eastAsia" w:ascii="宋体" w:hAnsi="宋体" w:eastAsia="宋体" w:cs="宋体"/>
          <w:color w:val="auto"/>
          <w:sz w:val="24"/>
        </w:rPr>
      </w:pPr>
      <w:r>
        <w:rPr>
          <w:rFonts w:hint="eastAsia" w:ascii="宋体" w:hAnsi="宋体" w:eastAsia="宋体" w:cs="宋体"/>
          <w:color w:val="auto"/>
          <w:sz w:val="24"/>
        </w:rPr>
        <w:t>年月日</w:t>
      </w:r>
    </w:p>
    <w:p w14:paraId="5466B730">
      <w:pPr>
        <w:wordWrap w:val="0"/>
        <w:snapToGrid w:val="0"/>
        <w:spacing w:before="120" w:beforeLines="50" w:after="50" w:line="360" w:lineRule="auto"/>
        <w:outlineLvl w:val="2"/>
        <w:rPr>
          <w:rFonts w:hint="eastAsia" w:ascii="宋体" w:hAnsi="宋体" w:eastAsia="宋体" w:cs="宋体"/>
          <w:color w:val="auto"/>
          <w:sz w:val="24"/>
          <w:szCs w:val="20"/>
        </w:rPr>
      </w:pPr>
      <w:r>
        <w:rPr>
          <w:rFonts w:hint="eastAsia" w:ascii="宋体" w:hAnsi="宋体" w:eastAsia="宋体" w:cs="宋体"/>
          <w:b/>
          <w:color w:val="auto"/>
          <w:sz w:val="24"/>
        </w:rPr>
        <w:br w:type="page"/>
      </w:r>
      <w:r>
        <w:rPr>
          <w:rFonts w:hint="eastAsia" w:ascii="宋体" w:hAnsi="宋体" w:eastAsia="宋体" w:cs="宋体"/>
          <w:b/>
          <w:color w:val="auto"/>
          <w:sz w:val="24"/>
        </w:rPr>
        <w:t>2.</w:t>
      </w:r>
      <w:r>
        <w:rPr>
          <w:rFonts w:hint="eastAsia" w:ascii="宋体" w:hAnsi="宋体" w:eastAsia="宋体" w:cs="宋体"/>
          <w:b/>
          <w:bCs/>
          <w:color w:val="auto"/>
          <w:sz w:val="24"/>
        </w:rPr>
        <w:t>报价文件目录</w:t>
      </w:r>
    </w:p>
    <w:p w14:paraId="038E7F04">
      <w:pPr>
        <w:wordWrap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根据招标文件规定及投标人提供的材料自行编写目录。</w:t>
      </w:r>
    </w:p>
    <w:p w14:paraId="0CAB6704">
      <w:pPr>
        <w:wordWrap w:val="0"/>
        <w:snapToGrid w:val="0"/>
        <w:spacing w:before="120" w:beforeLines="50" w:after="50"/>
        <w:rPr>
          <w:rFonts w:hint="eastAsia" w:ascii="宋体" w:hAnsi="宋体" w:eastAsia="宋体" w:cs="宋体"/>
          <w:b/>
          <w:color w:val="auto"/>
          <w:sz w:val="24"/>
        </w:rPr>
      </w:pPr>
    </w:p>
    <w:p w14:paraId="269BBE86">
      <w:pPr>
        <w:wordWrap w:val="0"/>
        <w:snapToGrid w:val="0"/>
        <w:spacing w:before="120" w:beforeLines="50" w:after="50"/>
        <w:rPr>
          <w:rFonts w:hint="eastAsia" w:ascii="宋体" w:hAnsi="宋体" w:eastAsia="宋体" w:cs="宋体"/>
          <w:b/>
          <w:color w:val="auto"/>
          <w:sz w:val="24"/>
        </w:rPr>
      </w:pPr>
    </w:p>
    <w:p w14:paraId="3FE8EBC1">
      <w:pPr>
        <w:wordWrap w:val="0"/>
        <w:snapToGrid w:val="0"/>
        <w:spacing w:before="120" w:beforeLines="50" w:after="50"/>
        <w:rPr>
          <w:rFonts w:hint="eastAsia" w:ascii="宋体" w:hAnsi="宋体" w:eastAsia="宋体" w:cs="宋体"/>
          <w:b/>
          <w:color w:val="auto"/>
          <w:sz w:val="24"/>
        </w:rPr>
      </w:pPr>
    </w:p>
    <w:p w14:paraId="65A9131E">
      <w:pPr>
        <w:wordWrap w:val="0"/>
        <w:snapToGrid w:val="0"/>
        <w:spacing w:before="120" w:beforeLines="50" w:after="50"/>
        <w:ind w:left="142"/>
        <w:outlineLvl w:val="2"/>
        <w:rPr>
          <w:rFonts w:hint="eastAsia" w:ascii="宋体" w:hAnsi="宋体" w:eastAsia="宋体" w:cs="宋体"/>
          <w:b/>
          <w:color w:val="auto"/>
          <w:sz w:val="24"/>
        </w:rPr>
      </w:pPr>
      <w:r>
        <w:rPr>
          <w:rFonts w:hint="eastAsia" w:ascii="宋体" w:hAnsi="宋体" w:eastAsia="宋体" w:cs="宋体"/>
          <w:b/>
          <w:color w:val="auto"/>
          <w:sz w:val="24"/>
        </w:rPr>
        <w:br w:type="page"/>
      </w:r>
      <w:r>
        <w:rPr>
          <w:rFonts w:hint="eastAsia" w:ascii="宋体" w:hAnsi="宋体" w:eastAsia="宋体" w:cs="宋体"/>
          <w:b/>
          <w:color w:val="auto"/>
          <w:sz w:val="24"/>
        </w:rPr>
        <w:t>3.投标函格式：</w:t>
      </w:r>
    </w:p>
    <w:p w14:paraId="224F5518">
      <w:pPr>
        <w:snapToGrid w:val="0"/>
        <w:spacing w:before="50" w:after="50"/>
        <w:jc w:val="center"/>
        <w:rPr>
          <w:rFonts w:hint="eastAsia" w:ascii="宋体" w:hAnsi="宋体" w:eastAsia="宋体" w:cs="宋体"/>
          <w:b/>
          <w:color w:val="auto"/>
          <w:sz w:val="32"/>
        </w:rPr>
      </w:pPr>
      <w:r>
        <w:rPr>
          <w:rFonts w:hint="eastAsia" w:ascii="宋体" w:hAnsi="宋体" w:eastAsia="宋体" w:cs="宋体"/>
          <w:b/>
          <w:color w:val="auto"/>
          <w:sz w:val="32"/>
        </w:rPr>
        <w:t>投标函</w:t>
      </w:r>
    </w:p>
    <w:p w14:paraId="58804279">
      <w:pPr>
        <w:wordWrap w:val="0"/>
        <w:spacing w:line="360" w:lineRule="auto"/>
        <w:contextualSpacing/>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z w:val="24"/>
          <w:u w:val="single"/>
        </w:rPr>
        <w:t>采购代理机构/采购人</w:t>
      </w:r>
      <w:r>
        <w:rPr>
          <w:rFonts w:hint="eastAsia" w:ascii="宋体" w:hAnsi="宋体" w:eastAsia="宋体" w:cs="宋体"/>
          <w:color w:val="auto"/>
          <w:sz w:val="24"/>
        </w:rPr>
        <w:t>：</w:t>
      </w:r>
    </w:p>
    <w:p w14:paraId="4B83041B">
      <w:pPr>
        <w:wordWrap w:val="0"/>
        <w:spacing w:line="360" w:lineRule="auto"/>
        <w:ind w:firstLine="480"/>
        <w:contextualSpacing/>
        <w:rPr>
          <w:rFonts w:hint="eastAsia" w:ascii="宋体" w:hAnsi="宋体" w:eastAsia="宋体" w:cs="宋体"/>
          <w:color w:val="auto"/>
          <w:sz w:val="24"/>
        </w:rPr>
      </w:pPr>
      <w:r>
        <w:rPr>
          <w:rFonts w:hint="eastAsia" w:ascii="宋体" w:hAnsi="宋体" w:eastAsia="宋体" w:cs="宋体"/>
          <w:color w:val="auto"/>
          <w:sz w:val="24"/>
        </w:rPr>
        <w:t>我方已仔细阅读了贵方组织的</w:t>
      </w:r>
      <w:bookmarkStart w:id="217" w:name="OLE_LINK184"/>
      <w:bookmarkStart w:id="218" w:name="OLE_LINK185"/>
      <w:r>
        <w:rPr>
          <w:rFonts w:hint="eastAsia" w:ascii="宋体" w:hAnsi="宋体" w:eastAsia="宋体" w:cs="宋体"/>
          <w:color w:val="auto"/>
          <w:sz w:val="24"/>
          <w:u w:val="single"/>
        </w:rPr>
        <w:t>（项目名称/项目编号）</w:t>
      </w:r>
      <w:bookmarkEnd w:id="217"/>
      <w:bookmarkEnd w:id="218"/>
      <w:r>
        <w:rPr>
          <w:rFonts w:hint="eastAsia" w:ascii="宋体" w:hAnsi="宋体" w:eastAsia="宋体" w:cs="宋体"/>
          <w:color w:val="auto"/>
          <w:sz w:val="24"/>
        </w:rPr>
        <w:t>招标文件的全部内容，授权</w:t>
      </w:r>
      <w:r>
        <w:rPr>
          <w:rFonts w:hint="eastAsia" w:ascii="宋体" w:hAnsi="宋体" w:eastAsia="宋体" w:cs="宋体"/>
          <w:color w:val="auto"/>
          <w:sz w:val="24"/>
          <w:u w:val="single"/>
        </w:rPr>
        <w:t>（姓名/</w:t>
      </w:r>
      <w:r>
        <w:rPr>
          <w:rFonts w:hint="eastAsia" w:ascii="宋体" w:hAnsi="宋体" w:eastAsia="宋体" w:cs="宋体"/>
          <w:color w:val="auto"/>
          <w:sz w:val="24"/>
          <w:u w:val="single"/>
        </w:rPr>
        <w:t>职务)</w:t>
      </w:r>
      <w:r>
        <w:rPr>
          <w:rFonts w:hint="eastAsia" w:ascii="宋体" w:hAnsi="宋体" w:eastAsia="宋体" w:cs="宋体"/>
          <w:color w:val="auto"/>
          <w:sz w:val="24"/>
        </w:rPr>
        <w:t>为全权代表，现正式递交下述文件参加贵方组织的本次政府采购活动：</w:t>
      </w:r>
    </w:p>
    <w:p w14:paraId="7C416C14">
      <w:pPr>
        <w:wordWrap w:val="0"/>
        <w:spacing w:line="360" w:lineRule="auto"/>
        <w:ind w:firstLine="480"/>
        <w:contextualSpacing/>
        <w:rPr>
          <w:rFonts w:hint="eastAsia" w:ascii="宋体" w:hAnsi="宋体" w:eastAsia="宋体" w:cs="宋体"/>
          <w:color w:val="auto"/>
          <w:sz w:val="24"/>
        </w:rPr>
      </w:pPr>
      <w:r>
        <w:rPr>
          <w:rFonts w:hint="eastAsia" w:ascii="宋体" w:hAnsi="宋体" w:eastAsia="宋体" w:cs="宋体"/>
          <w:color w:val="auto"/>
          <w:sz w:val="24"/>
        </w:rPr>
        <w:t>一、报价文件电子版一份（包含按投标人须知前附表要求提交的全部文件）；</w:t>
      </w:r>
    </w:p>
    <w:p w14:paraId="74DC2729">
      <w:pPr>
        <w:wordWrap w:val="0"/>
        <w:spacing w:line="360" w:lineRule="auto"/>
        <w:ind w:firstLine="480"/>
        <w:contextualSpacing/>
        <w:rPr>
          <w:rFonts w:hint="eastAsia" w:ascii="宋体" w:hAnsi="宋体" w:eastAsia="宋体" w:cs="宋体"/>
          <w:color w:val="auto"/>
          <w:sz w:val="24"/>
        </w:rPr>
      </w:pPr>
      <w:r>
        <w:rPr>
          <w:rFonts w:hint="eastAsia" w:ascii="宋体" w:hAnsi="宋体" w:eastAsia="宋体" w:cs="宋体"/>
          <w:color w:val="auto"/>
          <w:sz w:val="24"/>
        </w:rPr>
        <w:t>二、资格文件电子版一份（包含按投标人须知前附表要求提交的全部文件）；</w:t>
      </w:r>
    </w:p>
    <w:p w14:paraId="3CD73F50">
      <w:pPr>
        <w:wordWrap w:val="0"/>
        <w:spacing w:line="360" w:lineRule="auto"/>
        <w:ind w:firstLine="480"/>
        <w:contextualSpacing/>
        <w:rPr>
          <w:rFonts w:hint="eastAsia" w:ascii="宋体" w:hAnsi="宋体" w:eastAsia="宋体" w:cs="宋体"/>
          <w:color w:val="auto"/>
          <w:sz w:val="24"/>
        </w:rPr>
      </w:pPr>
      <w:r>
        <w:rPr>
          <w:rFonts w:hint="eastAsia" w:ascii="宋体" w:hAnsi="宋体" w:eastAsia="宋体" w:cs="宋体"/>
          <w:color w:val="auto"/>
          <w:sz w:val="24"/>
        </w:rPr>
        <w:t>三、商务文件电子版一份（包含按投标人须知前附表要求提交的全部文件）；</w:t>
      </w:r>
    </w:p>
    <w:p w14:paraId="28A4BDCD">
      <w:pPr>
        <w:wordWrap w:val="0"/>
        <w:spacing w:line="360" w:lineRule="auto"/>
        <w:ind w:firstLine="480"/>
        <w:contextualSpacing/>
        <w:rPr>
          <w:rFonts w:hint="eastAsia" w:ascii="宋体" w:hAnsi="宋体" w:eastAsia="宋体" w:cs="宋体"/>
          <w:color w:val="auto"/>
          <w:sz w:val="24"/>
        </w:rPr>
      </w:pPr>
      <w:r>
        <w:rPr>
          <w:rFonts w:hint="eastAsia" w:ascii="宋体" w:hAnsi="宋体" w:eastAsia="宋体" w:cs="宋体"/>
          <w:color w:val="auto"/>
          <w:sz w:val="24"/>
        </w:rPr>
        <w:t>四、技术文件电子版一份（包含按投标人须知前附表要求提交的全部文件）；</w:t>
      </w:r>
    </w:p>
    <w:p w14:paraId="53121DDD">
      <w:pPr>
        <w:wordWrap w:val="0"/>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据此函，我方宣布同意如下：</w:t>
      </w:r>
    </w:p>
    <w:p w14:paraId="7910908E">
      <w:pPr>
        <w:pStyle w:val="25"/>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1.我方愿意以报价文件电子版的开标一览表中的投标总报价，按照我方承诺的内容提供本项目招标文件第二章“采购需求”中的相应的采购内容。</w:t>
      </w:r>
    </w:p>
    <w:p w14:paraId="0B869FA9">
      <w:pPr>
        <w:pStyle w:val="25"/>
        <w:wordWrap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2.我方同意自本项目招标文件“第三章投标人须知”第一节投标人须知前附表第21.2项规定的投标截止时间（开标时间）起遵循本投标函，并承诺在“投标人须知前附表”第17.2项规定的投标有效期内不修改、撤销投标文件。</w:t>
      </w:r>
    </w:p>
    <w:p w14:paraId="46A7C47A">
      <w:pPr>
        <w:pStyle w:val="25"/>
        <w:wordWrap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3.我方所递交的投标文件及有关资料都是内容完整、真实和准确的。</w:t>
      </w:r>
    </w:p>
    <w:p w14:paraId="2D294AFF">
      <w:pPr>
        <w:pStyle w:val="25"/>
        <w:wordWrap w:val="0"/>
        <w:spacing w:line="360" w:lineRule="auto"/>
        <w:ind w:firstLine="482"/>
        <w:rPr>
          <w:rFonts w:hint="eastAsia" w:ascii="宋体" w:hAnsi="宋体" w:eastAsia="宋体" w:cs="宋体"/>
          <w:color w:val="auto"/>
          <w:sz w:val="24"/>
          <w:szCs w:val="24"/>
        </w:rPr>
      </w:pPr>
      <w:r>
        <w:rPr>
          <w:rFonts w:hint="eastAsia" w:ascii="宋体" w:hAnsi="宋体" w:eastAsia="宋体" w:cs="宋体"/>
          <w:color w:val="auto"/>
          <w:sz w:val="24"/>
          <w:szCs w:val="24"/>
        </w:rPr>
        <w:t>4.我方承诺已经具备《中华人民共和国政府采购法》中规定的参加政府采购活动的投标人应当具备的全部条件。</w:t>
      </w:r>
    </w:p>
    <w:p w14:paraId="242EE7D7">
      <w:pPr>
        <w:pStyle w:val="25"/>
        <w:wordWrap w:val="0"/>
        <w:spacing w:line="360" w:lineRule="auto"/>
        <w:ind w:firstLine="482"/>
        <w:rPr>
          <w:rFonts w:hint="eastAsia" w:ascii="宋体" w:hAnsi="宋体" w:eastAsia="宋体" w:cs="宋体"/>
          <w:color w:val="auto"/>
          <w:sz w:val="24"/>
          <w:szCs w:val="24"/>
        </w:rPr>
      </w:pPr>
      <w:r>
        <w:rPr>
          <w:rFonts w:hint="eastAsia" w:ascii="宋体" w:hAnsi="宋体" w:eastAsia="宋体" w:cs="宋体"/>
          <w:color w:val="auto"/>
          <w:sz w:val="24"/>
          <w:szCs w:val="24"/>
        </w:rPr>
        <w:t>5.如本项目采购内容涉及须符合国家强制规定的，我方承诺我方本次投标（包括资格条件和所投产品）均符合国家有关强制规定。</w:t>
      </w:r>
    </w:p>
    <w:p w14:paraId="3680D65B">
      <w:pPr>
        <w:pStyle w:val="25"/>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07AC4431">
      <w:pPr>
        <w:pStyle w:val="25"/>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7.我方已详细审核招标文件，我方知道必须放弃提出含糊不清或误解问题的权利。</w:t>
      </w:r>
    </w:p>
    <w:p w14:paraId="76C0CB30">
      <w:pPr>
        <w:pStyle w:val="25"/>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8.我方同意应贵方要求提供与本投标有关的任何数据或资料。若贵方需要，我方愿意提供我方作出的一切承诺的证明材料。</w:t>
      </w:r>
    </w:p>
    <w:p w14:paraId="5D3FE3E7">
      <w:pPr>
        <w:pStyle w:val="25"/>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9.我方完全理解贵方不一定接受投标报价最低的投标人为中标投标人的行为。</w:t>
      </w:r>
    </w:p>
    <w:p w14:paraId="7716EB4F">
      <w:pPr>
        <w:pStyle w:val="25"/>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我方将严格遵守《中华人民共和国政府采购法》第七十七条的规定，即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54E2019">
      <w:pPr>
        <w:pStyle w:val="25"/>
        <w:wordWrap w:val="0"/>
        <w:spacing w:line="360" w:lineRule="auto"/>
        <w:ind w:left="420"/>
        <w:rPr>
          <w:rFonts w:hint="eastAsia" w:ascii="宋体" w:hAnsi="宋体" w:eastAsia="宋体" w:cs="宋体"/>
          <w:color w:val="auto"/>
          <w:sz w:val="24"/>
          <w:szCs w:val="24"/>
        </w:rPr>
      </w:pPr>
      <w:r>
        <w:rPr>
          <w:rFonts w:hint="eastAsia" w:ascii="宋体" w:hAnsi="宋体" w:eastAsia="宋体" w:cs="宋体"/>
          <w:color w:val="auto"/>
          <w:sz w:val="24"/>
          <w:szCs w:val="24"/>
        </w:rPr>
        <w:t>（1）提供虚假材料谋取中标、成交的；</w:t>
      </w:r>
    </w:p>
    <w:p w14:paraId="61323639">
      <w:pPr>
        <w:pStyle w:val="25"/>
        <w:wordWrap w:val="0"/>
        <w:spacing w:line="360" w:lineRule="auto"/>
        <w:ind w:left="420"/>
        <w:rPr>
          <w:rFonts w:hint="eastAsia" w:ascii="宋体" w:hAnsi="宋体" w:eastAsia="宋体" w:cs="宋体"/>
          <w:color w:val="auto"/>
          <w:sz w:val="24"/>
          <w:szCs w:val="24"/>
        </w:rPr>
      </w:pPr>
      <w:r>
        <w:rPr>
          <w:rFonts w:hint="eastAsia" w:ascii="宋体" w:hAnsi="宋体" w:eastAsia="宋体" w:cs="宋体"/>
          <w:color w:val="auto"/>
          <w:sz w:val="24"/>
          <w:szCs w:val="24"/>
        </w:rPr>
        <w:t>（2）采取不正当手段诋毁、排挤其他投标人的；</w:t>
      </w:r>
    </w:p>
    <w:p w14:paraId="5E570C0F">
      <w:pPr>
        <w:pStyle w:val="25"/>
        <w:wordWrap w:val="0"/>
        <w:spacing w:line="360" w:lineRule="auto"/>
        <w:ind w:left="420"/>
        <w:rPr>
          <w:rFonts w:hint="eastAsia" w:ascii="宋体" w:hAnsi="宋体" w:eastAsia="宋体" w:cs="宋体"/>
          <w:color w:val="auto"/>
          <w:sz w:val="24"/>
          <w:szCs w:val="24"/>
        </w:rPr>
      </w:pPr>
      <w:r>
        <w:rPr>
          <w:rFonts w:hint="eastAsia" w:ascii="宋体" w:hAnsi="宋体" w:eastAsia="宋体" w:cs="宋体"/>
          <w:color w:val="auto"/>
          <w:sz w:val="24"/>
          <w:szCs w:val="24"/>
        </w:rPr>
        <w:t>（3）与采购人、其他投标人或者采购代理机构恶意串通的；</w:t>
      </w:r>
    </w:p>
    <w:p w14:paraId="4C76961B">
      <w:pPr>
        <w:pStyle w:val="25"/>
        <w:wordWrap w:val="0"/>
        <w:spacing w:line="360" w:lineRule="auto"/>
        <w:ind w:left="420"/>
        <w:rPr>
          <w:rFonts w:hint="eastAsia" w:ascii="宋体" w:hAnsi="宋体" w:eastAsia="宋体" w:cs="宋体"/>
          <w:color w:val="auto"/>
          <w:sz w:val="24"/>
          <w:szCs w:val="24"/>
        </w:rPr>
      </w:pPr>
      <w:r>
        <w:rPr>
          <w:rFonts w:hint="eastAsia" w:ascii="宋体" w:hAnsi="宋体" w:eastAsia="宋体" w:cs="宋体"/>
          <w:color w:val="auto"/>
          <w:sz w:val="24"/>
          <w:szCs w:val="24"/>
        </w:rPr>
        <w:t>（4）向采购人、采购代理机构行贿或者提供其他不正当利益的；</w:t>
      </w:r>
    </w:p>
    <w:p w14:paraId="7C6970E8">
      <w:pPr>
        <w:pStyle w:val="25"/>
        <w:wordWrap w:val="0"/>
        <w:spacing w:line="360" w:lineRule="auto"/>
        <w:ind w:left="420"/>
        <w:rPr>
          <w:rFonts w:hint="eastAsia" w:ascii="宋体" w:hAnsi="宋体" w:eastAsia="宋体" w:cs="宋体"/>
          <w:color w:val="auto"/>
          <w:sz w:val="24"/>
          <w:szCs w:val="24"/>
        </w:rPr>
      </w:pPr>
      <w:r>
        <w:rPr>
          <w:rFonts w:hint="eastAsia" w:ascii="宋体" w:hAnsi="宋体" w:eastAsia="宋体" w:cs="宋体"/>
          <w:color w:val="auto"/>
          <w:sz w:val="24"/>
          <w:szCs w:val="24"/>
        </w:rPr>
        <w:t>（5）在招标采购过程中与采购人进行协商谈判的；</w:t>
      </w:r>
    </w:p>
    <w:p w14:paraId="741D7215">
      <w:pPr>
        <w:pStyle w:val="25"/>
        <w:wordWrap w:val="0"/>
        <w:spacing w:line="360" w:lineRule="auto"/>
        <w:ind w:left="420"/>
        <w:rPr>
          <w:rFonts w:hint="eastAsia" w:ascii="宋体" w:hAnsi="宋体" w:eastAsia="宋体" w:cs="宋体"/>
          <w:color w:val="auto"/>
          <w:sz w:val="24"/>
          <w:szCs w:val="24"/>
        </w:rPr>
      </w:pPr>
      <w:r>
        <w:rPr>
          <w:rFonts w:hint="eastAsia" w:ascii="宋体" w:hAnsi="宋体" w:eastAsia="宋体" w:cs="宋体"/>
          <w:color w:val="auto"/>
          <w:sz w:val="24"/>
          <w:szCs w:val="24"/>
        </w:rPr>
        <w:t>（6）拒绝有关部门监督检查或提供虚假情况的。</w:t>
      </w:r>
    </w:p>
    <w:p w14:paraId="28AE8EEF">
      <w:pPr>
        <w:pStyle w:val="25"/>
        <w:wordWrap w:val="0"/>
        <w:spacing w:line="360" w:lineRule="auto"/>
        <w:ind w:left="420"/>
        <w:rPr>
          <w:rFonts w:hint="eastAsia" w:ascii="宋体" w:hAnsi="宋体" w:eastAsia="宋体" w:cs="宋体"/>
          <w:color w:val="auto"/>
          <w:sz w:val="24"/>
          <w:szCs w:val="24"/>
          <w:u w:val="single"/>
        </w:rPr>
      </w:pPr>
      <w:r>
        <w:rPr>
          <w:rFonts w:hint="eastAsia" w:ascii="宋体" w:hAnsi="宋体" w:eastAsia="宋体" w:cs="宋体"/>
          <w:color w:val="auto"/>
          <w:sz w:val="24"/>
          <w:szCs w:val="24"/>
        </w:rPr>
        <w:t>11.我方及由本人担任法定代表人的其他机构最近三年内被处罚的违法行为有：</w:t>
      </w:r>
      <w:r>
        <w:rPr>
          <w:rFonts w:hint="eastAsia" w:ascii="宋体" w:hAnsi="宋体" w:eastAsia="宋体" w:cs="宋体"/>
          <w:color w:val="auto"/>
          <w:sz w:val="24"/>
          <w:szCs w:val="24"/>
          <w:u w:val="single"/>
        </w:rPr>
        <w:t>。</w:t>
      </w:r>
    </w:p>
    <w:p w14:paraId="4BAE31AD">
      <w:pPr>
        <w:pStyle w:val="25"/>
        <w:wordWrap w:val="0"/>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12.以上事项如有虚假或隐瞒，我方愿意承担一切后果，并不再寻求任何旨在减轻或免除法律责任的辩解。</w:t>
      </w:r>
    </w:p>
    <w:p w14:paraId="74B4A54B">
      <w:pPr>
        <w:pStyle w:val="25"/>
        <w:wordWrap w:val="0"/>
        <w:spacing w:line="360" w:lineRule="auto"/>
        <w:ind w:firstLine="420"/>
        <w:outlineLvl w:val="2"/>
        <w:rPr>
          <w:rFonts w:hint="eastAsia" w:ascii="宋体" w:hAnsi="宋体" w:eastAsia="宋体" w:cs="宋体"/>
          <w:color w:val="auto"/>
          <w:sz w:val="24"/>
          <w:szCs w:val="24"/>
        </w:rPr>
      </w:pPr>
      <w:r>
        <w:rPr>
          <w:rFonts w:hint="eastAsia" w:ascii="宋体" w:hAnsi="宋体" w:eastAsia="宋体" w:cs="宋体"/>
          <w:color w:val="auto"/>
          <w:sz w:val="24"/>
          <w:szCs w:val="24"/>
        </w:rPr>
        <w:t>13.与本投标有关的一切正式往来信函请寄：</w:t>
      </w:r>
    </w:p>
    <w:p w14:paraId="51361A38">
      <w:pPr>
        <w:pStyle w:val="25"/>
        <w:wordWrap w:val="0"/>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地址：</w:t>
      </w:r>
    </w:p>
    <w:p w14:paraId="2398A672">
      <w:pPr>
        <w:pStyle w:val="25"/>
        <w:wordWrap w:val="0"/>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联系人：联系电话：</w:t>
      </w:r>
    </w:p>
    <w:p w14:paraId="32361D8F">
      <w:pPr>
        <w:pStyle w:val="25"/>
        <w:wordWrap w:val="0"/>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电子邮箱：传真：</w:t>
      </w:r>
      <w:r>
        <w:rPr>
          <w:rFonts w:hint="eastAsia" w:ascii="宋体" w:hAnsi="宋体" w:eastAsia="宋体" w:cs="宋体"/>
          <w:color w:val="auto"/>
          <w:sz w:val="24"/>
          <w:szCs w:val="24"/>
          <w:u w:val="single"/>
        </w:rPr>
        <w:t>　　　　　　　　　　　　　</w:t>
      </w:r>
    </w:p>
    <w:p w14:paraId="6118CEFD">
      <w:pPr>
        <w:pStyle w:val="25"/>
        <w:wordWrap w:val="0"/>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邮政编码：</w:t>
      </w:r>
    </w:p>
    <w:p w14:paraId="0FC9AA29">
      <w:pPr>
        <w:pStyle w:val="25"/>
        <w:wordWrap w:val="0"/>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开户名称：开户银行：</w:t>
      </w:r>
    </w:p>
    <w:p w14:paraId="4691B019">
      <w:pPr>
        <w:pStyle w:val="25"/>
        <w:wordWrap w:val="0"/>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银行账号：</w:t>
      </w:r>
    </w:p>
    <w:p w14:paraId="5E1D9AAD">
      <w:pPr>
        <w:wordWrap w:val="0"/>
        <w:spacing w:line="360" w:lineRule="auto"/>
        <w:ind w:firstLine="480" w:firstLineChars="200"/>
        <w:contextualSpacing/>
        <w:rPr>
          <w:rFonts w:hint="eastAsia" w:ascii="宋体" w:hAnsi="宋体" w:eastAsia="宋体" w:cs="宋体"/>
          <w:color w:val="auto"/>
          <w:sz w:val="24"/>
        </w:rPr>
      </w:pPr>
    </w:p>
    <w:p w14:paraId="30C3D8C2">
      <w:pPr>
        <w:wordWrap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投标人名称（电子签章）：</w:t>
      </w:r>
    </w:p>
    <w:p w14:paraId="645F5242">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日期：年月日</w:t>
      </w:r>
    </w:p>
    <w:p w14:paraId="37E38844">
      <w:pPr>
        <w:wordWrap w:val="0"/>
        <w:snapToGrid w:val="0"/>
        <w:spacing w:before="120" w:beforeLines="50" w:after="50"/>
        <w:rPr>
          <w:rFonts w:hint="eastAsia" w:ascii="宋体" w:hAnsi="宋体" w:eastAsia="宋体" w:cs="宋体"/>
          <w:b/>
          <w:color w:val="auto"/>
          <w:sz w:val="24"/>
          <w:szCs w:val="20"/>
        </w:rPr>
      </w:pPr>
      <w:r>
        <w:rPr>
          <w:rFonts w:hint="eastAsia" w:ascii="宋体" w:hAnsi="宋体" w:eastAsia="宋体" w:cs="宋体"/>
          <w:color w:val="auto"/>
          <w:u w:val="single"/>
        </w:rPr>
        <w:br w:type="page"/>
      </w:r>
      <w:r>
        <w:rPr>
          <w:rFonts w:hint="eastAsia" w:ascii="宋体" w:hAnsi="宋体" w:eastAsia="宋体" w:cs="宋体"/>
          <w:b/>
          <w:color w:val="auto"/>
          <w:sz w:val="24"/>
        </w:rPr>
        <w:t>4.开标一览表</w:t>
      </w:r>
    </w:p>
    <w:p w14:paraId="2EEF6DD3">
      <w:pPr>
        <w:snapToGrid w:val="0"/>
        <w:spacing w:line="440" w:lineRule="exact"/>
        <w:jc w:val="center"/>
        <w:rPr>
          <w:rFonts w:hint="eastAsia" w:ascii="宋体" w:hAnsi="宋体" w:eastAsia="宋体" w:cs="宋体"/>
          <w:b/>
          <w:color w:val="auto"/>
          <w:sz w:val="32"/>
        </w:rPr>
      </w:pPr>
      <w:r>
        <w:rPr>
          <w:rFonts w:hint="eastAsia" w:ascii="宋体" w:hAnsi="宋体" w:eastAsia="宋体" w:cs="宋体"/>
          <w:b/>
          <w:color w:val="auto"/>
          <w:sz w:val="30"/>
          <w:szCs w:val="30"/>
        </w:rPr>
        <w:t>开标一览表</w:t>
      </w:r>
    </w:p>
    <w:p w14:paraId="3254F851">
      <w:pPr>
        <w:wordWrap w:val="0"/>
        <w:snapToGrid w:val="0"/>
        <w:spacing w:before="50" w:after="50" w:line="360" w:lineRule="auto"/>
        <w:rPr>
          <w:rFonts w:hint="eastAsia" w:ascii="宋体" w:hAnsi="宋体" w:eastAsia="宋体" w:cs="宋体"/>
          <w:color w:val="auto"/>
          <w:sz w:val="24"/>
          <w:u w:val="single"/>
        </w:rPr>
      </w:pP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项目编号：</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分标：</w:t>
      </w:r>
      <w:r>
        <w:rPr>
          <w:rFonts w:hint="eastAsia" w:ascii="宋体" w:hAnsi="宋体" w:eastAsia="宋体" w:cs="宋体"/>
          <w:color w:val="auto"/>
          <w:sz w:val="24"/>
          <w:u w:val="single"/>
        </w:rPr>
        <w:t xml:space="preserve">           </w:t>
      </w:r>
    </w:p>
    <w:p w14:paraId="00C70BE7">
      <w:pPr>
        <w:wordWrap w:val="0"/>
        <w:snapToGrid w:val="0"/>
        <w:spacing w:before="50" w:after="50" w:line="360" w:lineRule="auto"/>
        <w:rPr>
          <w:rFonts w:hint="eastAsia" w:ascii="宋体" w:hAnsi="宋体" w:eastAsia="宋体" w:cs="宋体"/>
          <w:color w:val="auto"/>
          <w:sz w:val="24"/>
        </w:rPr>
      </w:pPr>
      <w:r>
        <w:rPr>
          <w:rFonts w:hint="eastAsia" w:ascii="宋体" w:hAnsi="宋体" w:eastAsia="宋体" w:cs="宋体"/>
          <w:color w:val="auto"/>
          <w:sz w:val="24"/>
        </w:rPr>
        <w:t>投标人名称：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单位：元</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1"/>
        <w:gridCol w:w="1418"/>
        <w:gridCol w:w="1559"/>
        <w:gridCol w:w="709"/>
        <w:gridCol w:w="1417"/>
        <w:gridCol w:w="1558"/>
        <w:gridCol w:w="727"/>
        <w:gridCol w:w="1389"/>
      </w:tblGrid>
      <w:tr w14:paraId="6841DC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7"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6F20538A">
            <w:pPr>
              <w:wordWrap w:val="0"/>
              <w:rPr>
                <w:rFonts w:hint="eastAsia" w:ascii="宋体" w:hAnsi="宋体" w:eastAsia="宋体" w:cs="宋体"/>
                <w:b/>
                <w:color w:val="auto"/>
                <w:sz w:val="24"/>
              </w:rPr>
            </w:pPr>
            <w:r>
              <w:rPr>
                <w:rFonts w:hint="eastAsia" w:ascii="宋体" w:hAnsi="宋体" w:eastAsia="宋体" w:cs="宋体"/>
                <w:b/>
                <w:color w:val="auto"/>
                <w:sz w:val="24"/>
              </w:rPr>
              <w:t>项号</w:t>
            </w:r>
          </w:p>
        </w:tc>
        <w:tc>
          <w:tcPr>
            <w:tcW w:w="1418" w:type="dxa"/>
            <w:tcBorders>
              <w:top w:val="single" w:color="auto" w:sz="4" w:space="0"/>
              <w:left w:val="single" w:color="auto" w:sz="4" w:space="0"/>
              <w:bottom w:val="single" w:color="auto" w:sz="4" w:space="0"/>
              <w:right w:val="single" w:color="auto" w:sz="4" w:space="0"/>
            </w:tcBorders>
            <w:vAlign w:val="center"/>
          </w:tcPr>
          <w:p w14:paraId="4631BEEF">
            <w:pPr>
              <w:wordWrap w:val="0"/>
              <w:rPr>
                <w:rFonts w:hint="eastAsia" w:ascii="宋体" w:hAnsi="宋体" w:eastAsia="宋体" w:cs="宋体"/>
                <w:b/>
                <w:color w:val="auto"/>
                <w:sz w:val="24"/>
              </w:rPr>
            </w:pPr>
            <w:r>
              <w:rPr>
                <w:rFonts w:hint="eastAsia" w:ascii="宋体" w:hAnsi="宋体" w:eastAsia="宋体" w:cs="宋体"/>
                <w:b/>
                <w:color w:val="auto"/>
                <w:sz w:val="24"/>
              </w:rPr>
              <w:t>货物名称</w:t>
            </w:r>
          </w:p>
        </w:tc>
        <w:tc>
          <w:tcPr>
            <w:tcW w:w="1559" w:type="dxa"/>
            <w:tcBorders>
              <w:top w:val="single" w:color="auto" w:sz="4" w:space="0"/>
              <w:left w:val="single" w:color="auto" w:sz="4" w:space="0"/>
              <w:bottom w:val="single" w:color="auto" w:sz="4" w:space="0"/>
              <w:right w:val="single" w:color="auto" w:sz="4" w:space="0"/>
            </w:tcBorders>
            <w:vAlign w:val="center"/>
          </w:tcPr>
          <w:p w14:paraId="7D76A81E">
            <w:pPr>
              <w:wordWrap w:val="0"/>
              <w:rPr>
                <w:rFonts w:hint="eastAsia" w:ascii="宋体" w:hAnsi="宋体" w:eastAsia="宋体" w:cs="宋体"/>
                <w:b/>
                <w:color w:val="auto"/>
                <w:sz w:val="24"/>
              </w:rPr>
            </w:pPr>
            <w:r>
              <w:rPr>
                <w:rFonts w:hint="eastAsia" w:ascii="宋体" w:hAnsi="宋体" w:eastAsia="宋体" w:cs="宋体"/>
                <w:b/>
                <w:color w:val="auto"/>
                <w:sz w:val="24"/>
              </w:rPr>
              <w:t>数量（单位）</w:t>
            </w:r>
          </w:p>
          <w:p w14:paraId="4C1C8A2C">
            <w:pPr>
              <w:wordWrap w:val="0"/>
              <w:rPr>
                <w:rFonts w:hint="eastAsia" w:ascii="宋体" w:hAnsi="宋体" w:eastAsia="宋体" w:cs="宋体"/>
                <w:b/>
                <w:color w:val="auto"/>
                <w:sz w:val="24"/>
              </w:rPr>
            </w:pPr>
            <w:r>
              <w:rPr>
                <w:rFonts w:hint="eastAsia" w:ascii="宋体" w:hAnsi="宋体" w:eastAsia="宋体" w:cs="宋体"/>
                <w:b/>
                <w:color w:val="auto"/>
                <w:sz w:val="24"/>
              </w:rPr>
              <w:t>①</w:t>
            </w:r>
          </w:p>
        </w:tc>
        <w:tc>
          <w:tcPr>
            <w:tcW w:w="709" w:type="dxa"/>
            <w:tcBorders>
              <w:top w:val="single" w:color="auto" w:sz="4" w:space="0"/>
              <w:left w:val="single" w:color="auto" w:sz="4" w:space="0"/>
              <w:bottom w:val="single" w:color="auto" w:sz="4" w:space="0"/>
              <w:right w:val="single" w:color="auto" w:sz="4" w:space="0"/>
            </w:tcBorders>
            <w:vAlign w:val="center"/>
          </w:tcPr>
          <w:p w14:paraId="7DED9CD0">
            <w:pPr>
              <w:wordWrap w:val="0"/>
              <w:rPr>
                <w:rFonts w:hint="eastAsia" w:ascii="宋体" w:hAnsi="宋体" w:eastAsia="宋体" w:cs="宋体"/>
                <w:b/>
                <w:color w:val="auto"/>
                <w:sz w:val="24"/>
              </w:rPr>
            </w:pPr>
            <w:r>
              <w:rPr>
                <w:rFonts w:hint="eastAsia" w:ascii="宋体" w:hAnsi="宋体" w:eastAsia="宋体" w:cs="宋体"/>
                <w:b/>
                <w:color w:val="auto"/>
                <w:sz w:val="24"/>
              </w:rPr>
              <w:t>产地</w:t>
            </w:r>
          </w:p>
        </w:tc>
        <w:tc>
          <w:tcPr>
            <w:tcW w:w="1417" w:type="dxa"/>
            <w:tcBorders>
              <w:top w:val="single" w:color="auto" w:sz="4" w:space="0"/>
              <w:left w:val="single" w:color="auto" w:sz="4" w:space="0"/>
              <w:bottom w:val="single" w:color="auto" w:sz="4" w:space="0"/>
              <w:right w:val="single" w:color="auto" w:sz="4" w:space="0"/>
            </w:tcBorders>
            <w:vAlign w:val="center"/>
          </w:tcPr>
          <w:p w14:paraId="1FA5C7CF">
            <w:pPr>
              <w:wordWrap w:val="0"/>
              <w:rPr>
                <w:rFonts w:hint="eastAsia" w:ascii="宋体" w:hAnsi="宋体" w:eastAsia="宋体" w:cs="宋体"/>
                <w:b/>
                <w:color w:val="auto"/>
                <w:sz w:val="24"/>
              </w:rPr>
            </w:pPr>
            <w:r>
              <w:rPr>
                <w:rFonts w:hint="eastAsia" w:ascii="宋体" w:hAnsi="宋体" w:eastAsia="宋体" w:cs="宋体"/>
                <w:b/>
                <w:color w:val="auto"/>
                <w:sz w:val="24"/>
              </w:rPr>
              <w:t>品牌、</w:t>
            </w:r>
          </w:p>
          <w:p w14:paraId="35EF0792">
            <w:pPr>
              <w:wordWrap w:val="0"/>
              <w:rPr>
                <w:rFonts w:hint="eastAsia" w:ascii="宋体" w:hAnsi="宋体" w:eastAsia="宋体" w:cs="宋体"/>
                <w:b/>
                <w:color w:val="auto"/>
                <w:sz w:val="24"/>
              </w:rPr>
            </w:pPr>
            <w:r>
              <w:rPr>
                <w:rFonts w:hint="eastAsia" w:ascii="宋体" w:hAnsi="宋体" w:eastAsia="宋体" w:cs="宋体"/>
                <w:b/>
                <w:color w:val="auto"/>
                <w:sz w:val="24"/>
              </w:rPr>
              <w:t>规格型号</w:t>
            </w:r>
          </w:p>
        </w:tc>
        <w:tc>
          <w:tcPr>
            <w:tcW w:w="1558" w:type="dxa"/>
            <w:tcBorders>
              <w:top w:val="single" w:color="auto" w:sz="4" w:space="0"/>
              <w:left w:val="single" w:color="auto" w:sz="4" w:space="0"/>
              <w:bottom w:val="single" w:color="auto" w:sz="4" w:space="0"/>
              <w:right w:val="single" w:color="auto" w:sz="4" w:space="0"/>
            </w:tcBorders>
            <w:vAlign w:val="center"/>
          </w:tcPr>
          <w:p w14:paraId="2E024ECC">
            <w:pPr>
              <w:wordWrap w:val="0"/>
              <w:rPr>
                <w:rFonts w:hint="eastAsia" w:ascii="宋体" w:hAnsi="宋体" w:eastAsia="宋体" w:cs="宋体"/>
                <w:b/>
                <w:color w:val="auto"/>
                <w:sz w:val="24"/>
              </w:rPr>
            </w:pPr>
            <w:r>
              <w:rPr>
                <w:rFonts w:hint="eastAsia" w:ascii="宋体" w:hAnsi="宋体" w:eastAsia="宋体" w:cs="宋体"/>
                <w:b/>
                <w:color w:val="auto"/>
                <w:sz w:val="24"/>
              </w:rPr>
              <w:t>生产厂家</w:t>
            </w:r>
          </w:p>
        </w:tc>
        <w:tc>
          <w:tcPr>
            <w:tcW w:w="727" w:type="dxa"/>
            <w:tcBorders>
              <w:top w:val="single" w:color="auto" w:sz="4" w:space="0"/>
              <w:left w:val="single" w:color="auto" w:sz="4" w:space="0"/>
              <w:bottom w:val="single" w:color="auto" w:sz="4" w:space="0"/>
              <w:right w:val="single" w:color="auto" w:sz="4" w:space="0"/>
            </w:tcBorders>
            <w:vAlign w:val="center"/>
          </w:tcPr>
          <w:p w14:paraId="2995AB06">
            <w:pPr>
              <w:wordWrap w:val="0"/>
              <w:rPr>
                <w:rFonts w:hint="eastAsia" w:ascii="宋体" w:hAnsi="宋体" w:eastAsia="宋体" w:cs="宋体"/>
                <w:b/>
                <w:color w:val="auto"/>
                <w:sz w:val="24"/>
              </w:rPr>
            </w:pPr>
            <w:r>
              <w:rPr>
                <w:rFonts w:hint="eastAsia" w:ascii="宋体" w:hAnsi="宋体" w:eastAsia="宋体" w:cs="宋体"/>
                <w:b/>
                <w:color w:val="auto"/>
                <w:sz w:val="24"/>
              </w:rPr>
              <w:t>单价</w:t>
            </w:r>
          </w:p>
          <w:p w14:paraId="6DCEC085">
            <w:pPr>
              <w:wordWrap w:val="0"/>
              <w:rPr>
                <w:rFonts w:hint="eastAsia" w:ascii="宋体" w:hAnsi="宋体" w:eastAsia="宋体" w:cs="宋体"/>
                <w:b/>
                <w:color w:val="auto"/>
                <w:sz w:val="24"/>
              </w:rPr>
            </w:pPr>
            <w:r>
              <w:rPr>
                <w:rFonts w:hint="eastAsia" w:ascii="宋体" w:hAnsi="宋体" w:eastAsia="宋体" w:cs="宋体"/>
                <w:b/>
                <w:color w:val="auto"/>
                <w:sz w:val="24"/>
              </w:rPr>
              <w:t>②</w:t>
            </w:r>
          </w:p>
        </w:tc>
        <w:tc>
          <w:tcPr>
            <w:tcW w:w="1389" w:type="dxa"/>
            <w:tcBorders>
              <w:top w:val="single" w:color="auto" w:sz="4" w:space="0"/>
              <w:left w:val="single" w:color="auto" w:sz="4" w:space="0"/>
              <w:bottom w:val="single" w:color="auto" w:sz="4" w:space="0"/>
              <w:right w:val="single" w:color="auto" w:sz="4" w:space="0"/>
            </w:tcBorders>
            <w:vAlign w:val="center"/>
          </w:tcPr>
          <w:p w14:paraId="2FBCA920">
            <w:pPr>
              <w:wordWrap w:val="0"/>
              <w:rPr>
                <w:rFonts w:hint="eastAsia" w:ascii="宋体" w:hAnsi="宋体" w:eastAsia="宋体" w:cs="宋体"/>
                <w:b/>
                <w:color w:val="auto"/>
                <w:sz w:val="24"/>
              </w:rPr>
            </w:pPr>
            <w:r>
              <w:rPr>
                <w:rFonts w:hint="eastAsia" w:ascii="宋体" w:hAnsi="宋体" w:eastAsia="宋体" w:cs="宋体"/>
                <w:b/>
                <w:color w:val="auto"/>
                <w:sz w:val="24"/>
              </w:rPr>
              <w:t>投标报价</w:t>
            </w:r>
          </w:p>
          <w:p w14:paraId="73B0FF5F">
            <w:pPr>
              <w:wordWrap w:val="0"/>
              <w:rPr>
                <w:rFonts w:hint="eastAsia" w:ascii="宋体" w:hAnsi="宋体" w:eastAsia="宋体" w:cs="宋体"/>
                <w:b/>
                <w:color w:val="auto"/>
                <w:sz w:val="24"/>
              </w:rPr>
            </w:pPr>
            <w:r>
              <w:rPr>
                <w:rFonts w:hint="eastAsia" w:ascii="宋体" w:hAnsi="宋体" w:eastAsia="宋体" w:cs="宋体"/>
                <w:b/>
                <w:color w:val="auto"/>
                <w:sz w:val="24"/>
              </w:rPr>
              <w:t>③=①×②</w:t>
            </w:r>
          </w:p>
        </w:tc>
      </w:tr>
      <w:tr w14:paraId="1D777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41A367A4">
            <w:pPr>
              <w:wordWrap w:val="0"/>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1418" w:type="dxa"/>
            <w:tcBorders>
              <w:top w:val="single" w:color="auto" w:sz="4" w:space="0"/>
              <w:left w:val="single" w:color="auto" w:sz="4" w:space="0"/>
              <w:bottom w:val="single" w:color="auto" w:sz="4" w:space="0"/>
              <w:right w:val="single" w:color="auto" w:sz="4" w:space="0"/>
            </w:tcBorders>
            <w:vAlign w:val="center"/>
          </w:tcPr>
          <w:p w14:paraId="34CBC9A8">
            <w:pPr>
              <w:wordWrap w:val="0"/>
              <w:rPr>
                <w:rFonts w:hint="eastAsia" w:ascii="宋体" w:hAnsi="宋体" w:eastAsia="宋体" w:cs="宋体"/>
                <w:color w:val="auto"/>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9040C06">
            <w:pPr>
              <w:wordWrap w:val="0"/>
              <w:rPr>
                <w:rFonts w:hint="eastAsia" w:ascii="宋体" w:hAnsi="宋体" w:eastAsia="宋体" w:cs="宋体"/>
                <w:color w:val="auto"/>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B4DFB6C">
            <w:pPr>
              <w:wordWrap w:val="0"/>
              <w:rPr>
                <w:rFonts w:hint="eastAsia" w:ascii="宋体" w:hAnsi="宋体" w:eastAsia="宋体" w:cs="宋体"/>
                <w:b/>
                <w:color w:val="auto"/>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79B355BE">
            <w:pPr>
              <w:wordWrap w:val="0"/>
              <w:rPr>
                <w:rFonts w:hint="eastAsia" w:ascii="宋体" w:hAnsi="宋体" w:eastAsia="宋体" w:cs="宋体"/>
                <w:color w:val="auto"/>
                <w:sz w:val="24"/>
              </w:rPr>
            </w:pPr>
          </w:p>
        </w:tc>
        <w:tc>
          <w:tcPr>
            <w:tcW w:w="1558" w:type="dxa"/>
            <w:tcBorders>
              <w:top w:val="single" w:color="auto" w:sz="4" w:space="0"/>
              <w:left w:val="single" w:color="auto" w:sz="4" w:space="0"/>
              <w:bottom w:val="single" w:color="auto" w:sz="4" w:space="0"/>
              <w:right w:val="single" w:color="auto" w:sz="4" w:space="0"/>
            </w:tcBorders>
            <w:vAlign w:val="center"/>
          </w:tcPr>
          <w:p w14:paraId="6FED4F6F">
            <w:pPr>
              <w:wordWrap w:val="0"/>
              <w:rPr>
                <w:rFonts w:hint="eastAsia" w:ascii="宋体" w:hAnsi="宋体" w:eastAsia="宋体" w:cs="宋体"/>
                <w:color w:val="auto"/>
                <w:sz w:val="24"/>
              </w:rPr>
            </w:pPr>
          </w:p>
        </w:tc>
        <w:tc>
          <w:tcPr>
            <w:tcW w:w="727" w:type="dxa"/>
            <w:tcBorders>
              <w:top w:val="single" w:color="auto" w:sz="4" w:space="0"/>
              <w:left w:val="single" w:color="auto" w:sz="4" w:space="0"/>
              <w:bottom w:val="single" w:color="auto" w:sz="4" w:space="0"/>
              <w:right w:val="single" w:color="auto" w:sz="4" w:space="0"/>
            </w:tcBorders>
            <w:vAlign w:val="center"/>
          </w:tcPr>
          <w:p w14:paraId="7E0D4770">
            <w:pPr>
              <w:wordWrap w:val="0"/>
              <w:rPr>
                <w:rFonts w:hint="eastAsia" w:ascii="宋体" w:hAnsi="宋体" w:eastAsia="宋体" w:cs="宋体"/>
                <w:color w:val="auto"/>
                <w:sz w:val="24"/>
              </w:rPr>
            </w:pPr>
          </w:p>
        </w:tc>
        <w:tc>
          <w:tcPr>
            <w:tcW w:w="1389" w:type="dxa"/>
            <w:tcBorders>
              <w:top w:val="single" w:color="auto" w:sz="4" w:space="0"/>
              <w:left w:val="single" w:color="auto" w:sz="4" w:space="0"/>
              <w:bottom w:val="single" w:color="auto" w:sz="4" w:space="0"/>
              <w:right w:val="single" w:color="auto" w:sz="4" w:space="0"/>
            </w:tcBorders>
            <w:vAlign w:val="center"/>
          </w:tcPr>
          <w:p w14:paraId="5E7A861A">
            <w:pPr>
              <w:wordWrap w:val="0"/>
              <w:rPr>
                <w:rFonts w:hint="eastAsia" w:ascii="宋体" w:hAnsi="宋体" w:eastAsia="宋体" w:cs="宋体"/>
                <w:color w:val="auto"/>
                <w:sz w:val="24"/>
              </w:rPr>
            </w:pPr>
          </w:p>
        </w:tc>
      </w:tr>
      <w:tr w14:paraId="399F3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0BC4C2E2">
            <w:pPr>
              <w:wordWrap w:val="0"/>
              <w:rPr>
                <w:rFonts w:hint="eastAsia" w:ascii="宋体" w:hAnsi="宋体" w:eastAsia="宋体" w:cs="宋体"/>
                <w:color w:val="auto"/>
                <w:kern w:val="0"/>
                <w:szCs w:val="21"/>
              </w:rPr>
            </w:pPr>
            <w:r>
              <w:rPr>
                <w:rFonts w:hint="eastAsia" w:ascii="宋体" w:hAnsi="宋体" w:eastAsia="宋体" w:cs="宋体"/>
                <w:color w:val="auto"/>
                <w:kern w:val="0"/>
                <w:szCs w:val="21"/>
              </w:rPr>
              <w:t>2</w:t>
            </w:r>
          </w:p>
        </w:tc>
        <w:tc>
          <w:tcPr>
            <w:tcW w:w="1418" w:type="dxa"/>
            <w:tcBorders>
              <w:top w:val="single" w:color="auto" w:sz="4" w:space="0"/>
              <w:left w:val="single" w:color="auto" w:sz="4" w:space="0"/>
              <w:bottom w:val="single" w:color="auto" w:sz="4" w:space="0"/>
              <w:right w:val="single" w:color="auto" w:sz="4" w:space="0"/>
            </w:tcBorders>
            <w:vAlign w:val="center"/>
          </w:tcPr>
          <w:p w14:paraId="167503A3">
            <w:pPr>
              <w:wordWrap w:val="0"/>
              <w:rPr>
                <w:rFonts w:hint="eastAsia" w:ascii="宋体" w:hAnsi="宋体" w:eastAsia="宋体" w:cs="宋体"/>
                <w:color w:val="auto"/>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2194C26">
            <w:pPr>
              <w:wordWrap w:val="0"/>
              <w:rPr>
                <w:rFonts w:hint="eastAsia" w:ascii="宋体" w:hAnsi="宋体" w:eastAsia="宋体" w:cs="宋体"/>
                <w:color w:val="auto"/>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F8B0FAB">
            <w:pPr>
              <w:wordWrap w:val="0"/>
              <w:rPr>
                <w:rFonts w:hint="eastAsia" w:ascii="宋体" w:hAnsi="宋体" w:eastAsia="宋体" w:cs="宋体"/>
                <w:b/>
                <w:color w:val="auto"/>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54E4DFFF">
            <w:pPr>
              <w:wordWrap w:val="0"/>
              <w:rPr>
                <w:rFonts w:hint="eastAsia" w:ascii="宋体" w:hAnsi="宋体" w:eastAsia="宋体" w:cs="宋体"/>
                <w:color w:val="auto"/>
                <w:sz w:val="24"/>
              </w:rPr>
            </w:pPr>
          </w:p>
        </w:tc>
        <w:tc>
          <w:tcPr>
            <w:tcW w:w="1558" w:type="dxa"/>
            <w:tcBorders>
              <w:top w:val="single" w:color="auto" w:sz="4" w:space="0"/>
              <w:left w:val="single" w:color="auto" w:sz="4" w:space="0"/>
              <w:bottom w:val="single" w:color="auto" w:sz="4" w:space="0"/>
              <w:right w:val="single" w:color="auto" w:sz="4" w:space="0"/>
            </w:tcBorders>
            <w:vAlign w:val="center"/>
          </w:tcPr>
          <w:p w14:paraId="6B722169">
            <w:pPr>
              <w:wordWrap w:val="0"/>
              <w:rPr>
                <w:rFonts w:hint="eastAsia" w:ascii="宋体" w:hAnsi="宋体" w:eastAsia="宋体" w:cs="宋体"/>
                <w:color w:val="auto"/>
                <w:sz w:val="24"/>
              </w:rPr>
            </w:pPr>
          </w:p>
        </w:tc>
        <w:tc>
          <w:tcPr>
            <w:tcW w:w="727" w:type="dxa"/>
            <w:tcBorders>
              <w:top w:val="single" w:color="auto" w:sz="4" w:space="0"/>
              <w:left w:val="single" w:color="auto" w:sz="4" w:space="0"/>
              <w:bottom w:val="single" w:color="auto" w:sz="4" w:space="0"/>
              <w:right w:val="single" w:color="auto" w:sz="4" w:space="0"/>
            </w:tcBorders>
            <w:vAlign w:val="center"/>
          </w:tcPr>
          <w:p w14:paraId="1478A8F1">
            <w:pPr>
              <w:wordWrap w:val="0"/>
              <w:rPr>
                <w:rFonts w:hint="eastAsia" w:ascii="宋体" w:hAnsi="宋体" w:eastAsia="宋体" w:cs="宋体"/>
                <w:color w:val="auto"/>
                <w:sz w:val="24"/>
              </w:rPr>
            </w:pPr>
          </w:p>
        </w:tc>
        <w:tc>
          <w:tcPr>
            <w:tcW w:w="1389" w:type="dxa"/>
            <w:tcBorders>
              <w:top w:val="single" w:color="auto" w:sz="4" w:space="0"/>
              <w:left w:val="single" w:color="auto" w:sz="4" w:space="0"/>
              <w:bottom w:val="single" w:color="auto" w:sz="4" w:space="0"/>
              <w:right w:val="single" w:color="auto" w:sz="4" w:space="0"/>
            </w:tcBorders>
            <w:vAlign w:val="center"/>
          </w:tcPr>
          <w:p w14:paraId="73F5D953">
            <w:pPr>
              <w:wordWrap w:val="0"/>
              <w:rPr>
                <w:rFonts w:hint="eastAsia" w:ascii="宋体" w:hAnsi="宋体" w:eastAsia="宋体" w:cs="宋体"/>
                <w:color w:val="auto"/>
                <w:sz w:val="24"/>
              </w:rPr>
            </w:pPr>
          </w:p>
        </w:tc>
      </w:tr>
      <w:tr w14:paraId="43313D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2B68C616">
            <w:pPr>
              <w:wordWrap w:val="0"/>
              <w:rPr>
                <w:rFonts w:hint="eastAsia" w:ascii="宋体" w:hAnsi="宋体" w:eastAsia="宋体" w:cs="宋体"/>
                <w:color w:val="auto"/>
                <w:kern w:val="0"/>
                <w:szCs w:val="21"/>
              </w:rPr>
            </w:pPr>
            <w:r>
              <w:rPr>
                <w:rFonts w:hint="eastAsia" w:ascii="宋体" w:hAnsi="宋体" w:eastAsia="宋体" w:cs="宋体"/>
                <w:color w:val="auto"/>
                <w:kern w:val="0"/>
                <w:szCs w:val="21"/>
              </w:rPr>
              <w:t>……</w:t>
            </w:r>
          </w:p>
        </w:tc>
        <w:tc>
          <w:tcPr>
            <w:tcW w:w="1418" w:type="dxa"/>
            <w:tcBorders>
              <w:top w:val="single" w:color="auto" w:sz="4" w:space="0"/>
              <w:left w:val="single" w:color="auto" w:sz="4" w:space="0"/>
              <w:bottom w:val="single" w:color="auto" w:sz="4" w:space="0"/>
              <w:right w:val="single" w:color="auto" w:sz="4" w:space="0"/>
            </w:tcBorders>
            <w:vAlign w:val="center"/>
          </w:tcPr>
          <w:p w14:paraId="6D83F149">
            <w:pPr>
              <w:wordWrap w:val="0"/>
              <w:rPr>
                <w:rFonts w:hint="eastAsia" w:ascii="宋体" w:hAnsi="宋体" w:eastAsia="宋体" w:cs="宋体"/>
                <w:color w:val="auto"/>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9CC7FAB">
            <w:pPr>
              <w:wordWrap w:val="0"/>
              <w:rPr>
                <w:rFonts w:hint="eastAsia" w:ascii="宋体" w:hAnsi="宋体" w:eastAsia="宋体" w:cs="宋体"/>
                <w:color w:val="auto"/>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54AB098">
            <w:pPr>
              <w:wordWrap w:val="0"/>
              <w:rPr>
                <w:rFonts w:hint="eastAsia" w:ascii="宋体" w:hAnsi="宋体" w:eastAsia="宋体" w:cs="宋体"/>
                <w:b/>
                <w:color w:val="auto"/>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0D65793C">
            <w:pPr>
              <w:wordWrap w:val="0"/>
              <w:rPr>
                <w:rFonts w:hint="eastAsia" w:ascii="宋体" w:hAnsi="宋体" w:eastAsia="宋体" w:cs="宋体"/>
                <w:color w:val="auto"/>
                <w:sz w:val="24"/>
              </w:rPr>
            </w:pPr>
          </w:p>
        </w:tc>
        <w:tc>
          <w:tcPr>
            <w:tcW w:w="1558" w:type="dxa"/>
            <w:tcBorders>
              <w:top w:val="single" w:color="auto" w:sz="4" w:space="0"/>
              <w:left w:val="single" w:color="auto" w:sz="4" w:space="0"/>
              <w:bottom w:val="single" w:color="auto" w:sz="4" w:space="0"/>
              <w:right w:val="single" w:color="auto" w:sz="4" w:space="0"/>
            </w:tcBorders>
            <w:vAlign w:val="center"/>
          </w:tcPr>
          <w:p w14:paraId="08E8A740">
            <w:pPr>
              <w:wordWrap w:val="0"/>
              <w:rPr>
                <w:rFonts w:hint="eastAsia" w:ascii="宋体" w:hAnsi="宋体" w:eastAsia="宋体" w:cs="宋体"/>
                <w:color w:val="auto"/>
                <w:sz w:val="24"/>
              </w:rPr>
            </w:pPr>
          </w:p>
        </w:tc>
        <w:tc>
          <w:tcPr>
            <w:tcW w:w="727" w:type="dxa"/>
            <w:tcBorders>
              <w:top w:val="single" w:color="auto" w:sz="4" w:space="0"/>
              <w:left w:val="single" w:color="auto" w:sz="4" w:space="0"/>
              <w:bottom w:val="single" w:color="auto" w:sz="4" w:space="0"/>
              <w:right w:val="single" w:color="auto" w:sz="4" w:space="0"/>
            </w:tcBorders>
            <w:vAlign w:val="center"/>
          </w:tcPr>
          <w:p w14:paraId="6064FB6B">
            <w:pPr>
              <w:wordWrap w:val="0"/>
              <w:rPr>
                <w:rFonts w:hint="eastAsia" w:ascii="宋体" w:hAnsi="宋体" w:eastAsia="宋体" w:cs="宋体"/>
                <w:color w:val="auto"/>
                <w:sz w:val="24"/>
              </w:rPr>
            </w:pPr>
          </w:p>
        </w:tc>
        <w:tc>
          <w:tcPr>
            <w:tcW w:w="1389" w:type="dxa"/>
            <w:tcBorders>
              <w:top w:val="single" w:color="auto" w:sz="4" w:space="0"/>
              <w:left w:val="single" w:color="auto" w:sz="4" w:space="0"/>
              <w:bottom w:val="single" w:color="auto" w:sz="4" w:space="0"/>
              <w:right w:val="single" w:color="auto" w:sz="4" w:space="0"/>
            </w:tcBorders>
            <w:vAlign w:val="center"/>
          </w:tcPr>
          <w:p w14:paraId="1D0E286A">
            <w:pPr>
              <w:wordWrap w:val="0"/>
              <w:rPr>
                <w:rFonts w:hint="eastAsia" w:ascii="宋体" w:hAnsi="宋体" w:eastAsia="宋体" w:cs="宋体"/>
                <w:color w:val="auto"/>
                <w:sz w:val="24"/>
              </w:rPr>
            </w:pPr>
          </w:p>
        </w:tc>
      </w:tr>
      <w:tr w14:paraId="6D9EB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618" w:type="dxa"/>
            <w:gridSpan w:val="8"/>
            <w:tcBorders>
              <w:top w:val="single" w:color="auto" w:sz="4" w:space="0"/>
              <w:left w:val="single" w:color="auto" w:sz="4" w:space="0"/>
              <w:bottom w:val="single" w:color="auto" w:sz="4" w:space="0"/>
              <w:right w:val="single" w:color="auto" w:sz="4" w:space="0"/>
            </w:tcBorders>
            <w:vAlign w:val="center"/>
          </w:tcPr>
          <w:p w14:paraId="531527A4">
            <w:pPr>
              <w:wordWrap w:val="0"/>
              <w:rPr>
                <w:rFonts w:hint="eastAsia" w:ascii="宋体" w:hAnsi="宋体" w:eastAsia="宋体" w:cs="宋体"/>
                <w:color w:val="auto"/>
                <w:spacing w:val="20"/>
                <w:sz w:val="24"/>
              </w:rPr>
            </w:pPr>
            <w:r>
              <w:rPr>
                <w:rFonts w:hint="eastAsia" w:ascii="宋体" w:hAnsi="宋体" w:eastAsia="宋体" w:cs="宋体"/>
                <w:color w:val="auto"/>
                <w:sz w:val="24"/>
              </w:rPr>
              <w:t>合计总金额</w:t>
            </w:r>
            <w:r>
              <w:rPr>
                <w:rFonts w:hint="eastAsia" w:ascii="宋体" w:hAnsi="宋体" w:eastAsia="宋体" w:cs="宋体"/>
                <w:color w:val="auto"/>
                <w:spacing w:val="20"/>
                <w:sz w:val="24"/>
              </w:rPr>
              <w:t>（</w:t>
            </w:r>
            <w:r>
              <w:rPr>
                <w:rFonts w:hint="eastAsia" w:ascii="宋体" w:hAnsi="宋体" w:eastAsia="宋体" w:cs="宋体"/>
                <w:color w:val="auto"/>
                <w:sz w:val="24"/>
              </w:rPr>
              <w:t>大写）：</w:t>
            </w:r>
            <w:r>
              <w:rPr>
                <w:rFonts w:hint="eastAsia" w:ascii="宋体" w:hAnsi="宋体" w:eastAsia="宋体" w:cs="宋体"/>
                <w:color w:val="auto"/>
                <w:spacing w:val="20"/>
                <w:sz w:val="24"/>
                <w:u w:val="single"/>
              </w:rPr>
              <w:t>人民币</w:t>
            </w:r>
            <w:r>
              <w:rPr>
                <w:rFonts w:hint="eastAsia" w:ascii="宋体" w:hAnsi="宋体" w:eastAsia="宋体" w:cs="宋体"/>
                <w:color w:val="auto"/>
                <w:sz w:val="24"/>
                <w:u w:val="single"/>
              </w:rPr>
              <w:t xml:space="preserve">                     元整</w:t>
            </w:r>
            <w:r>
              <w:rPr>
                <w:rFonts w:hint="eastAsia" w:ascii="宋体" w:hAnsi="宋体" w:eastAsia="宋体" w:cs="宋体"/>
                <w:color w:val="auto"/>
                <w:spacing w:val="20"/>
                <w:sz w:val="24"/>
                <w:u w:val="single"/>
              </w:rPr>
              <w:t xml:space="preserve">（¥               </w:t>
            </w:r>
            <w:r>
              <w:rPr>
                <w:rFonts w:hint="eastAsia" w:ascii="宋体" w:hAnsi="宋体" w:eastAsia="宋体" w:cs="宋体"/>
                <w:color w:val="auto"/>
                <w:spacing w:val="20"/>
                <w:sz w:val="24"/>
              </w:rPr>
              <w:t>）</w:t>
            </w:r>
          </w:p>
        </w:tc>
      </w:tr>
      <w:tr w14:paraId="092133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618" w:type="dxa"/>
            <w:gridSpan w:val="8"/>
            <w:tcBorders>
              <w:top w:val="single" w:color="auto" w:sz="4" w:space="0"/>
              <w:left w:val="single" w:color="auto" w:sz="4" w:space="0"/>
              <w:bottom w:val="single" w:color="auto" w:sz="4" w:space="0"/>
              <w:right w:val="single" w:color="auto" w:sz="4" w:space="0"/>
            </w:tcBorders>
            <w:vAlign w:val="center"/>
          </w:tcPr>
          <w:p w14:paraId="7C0FE716">
            <w:pPr>
              <w:wordWrap w:val="0"/>
              <w:rPr>
                <w:rFonts w:hint="eastAsia" w:ascii="宋体" w:hAnsi="宋体" w:eastAsia="宋体" w:cs="宋体"/>
                <w:color w:val="auto"/>
                <w:sz w:val="24"/>
              </w:rPr>
            </w:pPr>
            <w:r>
              <w:rPr>
                <w:rFonts w:hint="eastAsia" w:ascii="宋体" w:hAnsi="宋体" w:eastAsia="宋体" w:cs="宋体"/>
                <w:bCs/>
                <w:color w:val="auto"/>
                <w:kern w:val="0"/>
                <w:sz w:val="24"/>
              </w:rPr>
              <w:t>交付时间</w:t>
            </w:r>
            <w:r>
              <w:rPr>
                <w:rFonts w:hint="eastAsia" w:ascii="宋体" w:hAnsi="宋体" w:eastAsia="宋体" w:cs="宋体"/>
                <w:color w:val="auto"/>
                <w:sz w:val="24"/>
              </w:rPr>
              <w:t>：</w:t>
            </w:r>
          </w:p>
        </w:tc>
      </w:tr>
    </w:tbl>
    <w:p w14:paraId="59B9D1A2">
      <w:pPr>
        <w:wordWrap w:val="0"/>
        <w:snapToGrid w:val="0"/>
        <w:spacing w:line="420" w:lineRule="exact"/>
        <w:rPr>
          <w:rFonts w:hint="eastAsia" w:ascii="宋体" w:hAnsi="宋体" w:eastAsia="宋体" w:cs="宋体"/>
          <w:color w:val="auto"/>
          <w:kern w:val="0"/>
          <w:sz w:val="22"/>
          <w:szCs w:val="22"/>
          <w:lang w:val="zh-CN"/>
        </w:rPr>
      </w:pPr>
    </w:p>
    <w:p w14:paraId="48AC2AB0">
      <w:pPr>
        <w:wordWrap w:val="0"/>
        <w:snapToGrid w:val="0"/>
        <w:spacing w:line="420" w:lineRule="exact"/>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注：</w:t>
      </w:r>
    </w:p>
    <w:p w14:paraId="0FEE7EED">
      <w:pPr>
        <w:wordWrap w:val="0"/>
        <w:snapToGrid w:val="0"/>
        <w:spacing w:line="420" w:lineRule="exact"/>
        <w:ind w:firstLine="440" w:firstLineChars="200"/>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1.投标人需按本表格式填写，不得自行更改，也不得留空，</w:t>
      </w:r>
      <w:r>
        <w:rPr>
          <w:rFonts w:hint="eastAsia" w:ascii="宋体" w:hAnsi="宋体" w:eastAsia="宋体" w:cs="宋体"/>
          <w:color w:val="auto"/>
          <w:kern w:val="0"/>
          <w:sz w:val="22"/>
          <w:szCs w:val="22"/>
          <w:lang w:val="zh-CN"/>
        </w:rPr>
        <w:t>如有多分标，按分标分别提供开标一览表，必须加盖投标人有效电子公章，</w:t>
      </w:r>
      <w:r>
        <w:rPr>
          <w:rFonts w:hint="eastAsia" w:ascii="宋体" w:hAnsi="宋体" w:eastAsia="宋体" w:cs="宋体"/>
          <w:b/>
          <w:color w:val="auto"/>
          <w:kern w:val="0"/>
          <w:sz w:val="22"/>
          <w:szCs w:val="22"/>
          <w:lang w:val="zh-CN"/>
        </w:rPr>
        <w:t>否则其投标作无效标处理。</w:t>
      </w:r>
    </w:p>
    <w:p w14:paraId="4B880D88">
      <w:pPr>
        <w:wordWrap w:val="0"/>
        <w:snapToGrid w:val="0"/>
        <w:spacing w:line="420" w:lineRule="exact"/>
        <w:ind w:firstLine="440" w:firstLineChars="200"/>
        <w:rPr>
          <w:rFonts w:hint="eastAsia" w:ascii="宋体" w:hAnsi="宋体" w:eastAsia="宋体" w:cs="宋体"/>
          <w:b/>
          <w:color w:val="auto"/>
          <w:kern w:val="0"/>
          <w:sz w:val="22"/>
          <w:szCs w:val="22"/>
          <w:lang w:val="zh-CN"/>
        </w:rPr>
      </w:pPr>
      <w:r>
        <w:rPr>
          <w:rFonts w:hint="eastAsia" w:ascii="宋体" w:hAnsi="宋体" w:eastAsia="宋体" w:cs="宋体"/>
          <w:color w:val="auto"/>
          <w:kern w:val="0"/>
          <w:sz w:val="22"/>
          <w:szCs w:val="22"/>
          <w:lang w:val="zh-CN"/>
        </w:rPr>
        <w:t>2.本表内容均不能涂改，</w:t>
      </w:r>
      <w:r>
        <w:rPr>
          <w:rFonts w:hint="eastAsia" w:ascii="宋体" w:hAnsi="宋体" w:eastAsia="宋体" w:cs="宋体"/>
          <w:b/>
          <w:color w:val="auto"/>
          <w:kern w:val="0"/>
          <w:sz w:val="22"/>
          <w:szCs w:val="22"/>
          <w:lang w:val="zh-CN"/>
        </w:rPr>
        <w:t>否则其投标作无效标处理。</w:t>
      </w:r>
    </w:p>
    <w:p w14:paraId="3D7C0687">
      <w:pPr>
        <w:wordWrap w:val="0"/>
        <w:snapToGrid w:val="0"/>
        <w:spacing w:line="420" w:lineRule="exact"/>
        <w:ind w:firstLine="440" w:firstLineChars="200"/>
        <w:rPr>
          <w:rFonts w:hint="eastAsia" w:ascii="宋体" w:hAnsi="宋体" w:eastAsia="宋体" w:cs="宋体"/>
          <w:b/>
          <w:color w:val="auto"/>
          <w:kern w:val="0"/>
          <w:sz w:val="22"/>
          <w:szCs w:val="22"/>
          <w:lang w:val="zh-CN"/>
        </w:rPr>
      </w:pPr>
      <w:r>
        <w:rPr>
          <w:rFonts w:hint="eastAsia" w:ascii="宋体" w:hAnsi="宋体" w:eastAsia="宋体" w:cs="宋体"/>
          <w:color w:val="auto"/>
          <w:kern w:val="0"/>
          <w:sz w:val="22"/>
          <w:szCs w:val="22"/>
        </w:rPr>
        <w:t>3</w:t>
      </w:r>
      <w:r>
        <w:rPr>
          <w:rFonts w:hint="eastAsia" w:ascii="宋体" w:hAnsi="宋体" w:eastAsia="宋体" w:cs="宋体"/>
          <w:color w:val="auto"/>
          <w:kern w:val="0"/>
          <w:sz w:val="22"/>
          <w:szCs w:val="22"/>
          <w:lang w:val="zh-CN"/>
        </w:rPr>
        <w:t>.如为联合体投标，“投标人名称”处必须列明联合体各方名称，并标注联合体牵头人名称，且盖章处须加盖联合体各方公章，</w:t>
      </w:r>
      <w:r>
        <w:rPr>
          <w:rFonts w:hint="eastAsia" w:ascii="宋体" w:hAnsi="宋体" w:eastAsia="宋体" w:cs="宋体"/>
          <w:b/>
          <w:color w:val="auto"/>
          <w:kern w:val="0"/>
          <w:sz w:val="22"/>
          <w:szCs w:val="22"/>
          <w:lang w:val="zh-CN"/>
        </w:rPr>
        <w:t>否则其投标作无效标处理。</w:t>
      </w:r>
    </w:p>
    <w:p w14:paraId="5A134700">
      <w:pPr>
        <w:wordWrap w:val="0"/>
        <w:snapToGrid w:val="0"/>
        <w:spacing w:line="420" w:lineRule="exact"/>
        <w:ind w:firstLine="440" w:firstLineChars="200"/>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rPr>
        <w:t>4</w:t>
      </w:r>
      <w:r>
        <w:rPr>
          <w:rFonts w:hint="eastAsia" w:ascii="宋体" w:hAnsi="宋体" w:eastAsia="宋体" w:cs="宋体"/>
          <w:color w:val="auto"/>
          <w:kern w:val="0"/>
          <w:sz w:val="22"/>
          <w:szCs w:val="22"/>
          <w:lang w:val="zh-CN"/>
        </w:rPr>
        <w:t>.特别提示：采购机构将对项目名称和项目编号，中标</w:t>
      </w:r>
      <w:r>
        <w:rPr>
          <w:rFonts w:hint="eastAsia" w:ascii="宋体" w:hAnsi="宋体" w:eastAsia="宋体" w:cs="宋体"/>
          <w:color w:val="auto"/>
          <w:kern w:val="0"/>
          <w:sz w:val="22"/>
          <w:szCs w:val="22"/>
          <w:lang w:val="zh-CN"/>
        </w:rPr>
        <w:t>投标人</w:t>
      </w:r>
      <w:r>
        <w:rPr>
          <w:rFonts w:hint="eastAsia" w:ascii="宋体" w:hAnsi="宋体" w:eastAsia="宋体" w:cs="宋体"/>
          <w:color w:val="auto"/>
          <w:kern w:val="0"/>
          <w:sz w:val="22"/>
          <w:szCs w:val="22"/>
          <w:lang w:val="zh-CN"/>
        </w:rPr>
        <w:t>名称、地址和中标金额、服务要求等予以公示。</w:t>
      </w:r>
    </w:p>
    <w:p w14:paraId="3097C2A9">
      <w:pPr>
        <w:wordWrap w:val="0"/>
        <w:snapToGrid w:val="0"/>
        <w:spacing w:line="420" w:lineRule="exact"/>
        <w:ind w:firstLine="440" w:firstLineChars="200"/>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rPr>
        <w:t>5</w:t>
      </w:r>
      <w:r>
        <w:rPr>
          <w:rFonts w:hint="eastAsia" w:ascii="宋体" w:hAnsi="宋体" w:eastAsia="宋体" w:cs="宋体"/>
          <w:color w:val="auto"/>
          <w:kern w:val="0"/>
          <w:sz w:val="22"/>
          <w:szCs w:val="22"/>
          <w:lang w:val="zh-CN"/>
        </w:rPr>
        <w:t>.符合招标文件中列明的可享受中小企业扶持政策的投标人，请按照格式提供中小企业声明函。</w:t>
      </w:r>
      <w:r>
        <w:rPr>
          <w:rFonts w:hint="eastAsia" w:ascii="宋体" w:hAnsi="宋体" w:eastAsia="宋体" w:cs="宋体"/>
          <w:color w:val="auto"/>
          <w:kern w:val="0"/>
          <w:sz w:val="22"/>
          <w:szCs w:val="22"/>
          <w:lang w:val="zh-CN"/>
        </w:rPr>
        <w:t>（注：投标人</w:t>
      </w:r>
      <w:r>
        <w:rPr>
          <w:rFonts w:hint="eastAsia" w:ascii="宋体" w:hAnsi="宋体" w:eastAsia="宋体" w:cs="宋体"/>
          <w:color w:val="auto"/>
          <w:kern w:val="0"/>
          <w:sz w:val="22"/>
          <w:szCs w:val="22"/>
          <w:lang w:val="zh-CN"/>
        </w:rPr>
        <w:t>提供</w:t>
      </w:r>
      <w:r>
        <w:rPr>
          <w:rFonts w:hint="eastAsia" w:ascii="宋体" w:hAnsi="宋体" w:eastAsia="宋体" w:cs="宋体"/>
          <w:color w:val="auto"/>
          <w:kern w:val="0"/>
          <w:sz w:val="22"/>
          <w:szCs w:val="22"/>
          <w:lang w:val="zh-CN"/>
        </w:rPr>
        <w:t>的中小企业</w:t>
      </w:r>
      <w:r>
        <w:rPr>
          <w:rFonts w:hint="eastAsia" w:ascii="宋体" w:hAnsi="宋体" w:eastAsia="宋体" w:cs="宋体"/>
          <w:color w:val="auto"/>
          <w:kern w:val="0"/>
          <w:sz w:val="22"/>
          <w:szCs w:val="22"/>
          <w:lang w:val="zh-CN"/>
        </w:rPr>
        <w:t>声明函内容不实的，属于提供虚假材料谋取中标、成交，依照《中华人民共和国政府采购法》等国家有关规定追究相应责任。</w:t>
      </w:r>
      <w:r>
        <w:rPr>
          <w:rFonts w:hint="eastAsia" w:ascii="宋体" w:hAnsi="宋体" w:eastAsia="宋体" w:cs="宋体"/>
          <w:color w:val="auto"/>
          <w:kern w:val="0"/>
          <w:sz w:val="22"/>
          <w:szCs w:val="22"/>
          <w:lang w:val="zh-CN"/>
        </w:rPr>
        <w:t>）</w:t>
      </w:r>
    </w:p>
    <w:p w14:paraId="4913AA4E">
      <w:pPr>
        <w:wordWrap w:val="0"/>
        <w:spacing w:line="360" w:lineRule="auto"/>
        <w:ind w:firstLine="440" w:firstLineChars="200"/>
        <w:rPr>
          <w:rFonts w:hint="eastAsia" w:ascii="宋体" w:hAnsi="宋体" w:eastAsia="宋体" w:cs="宋体"/>
          <w:color w:val="auto"/>
          <w:sz w:val="22"/>
          <w:szCs w:val="22"/>
        </w:rPr>
      </w:pPr>
    </w:p>
    <w:p w14:paraId="1279552B">
      <w:pPr>
        <w:wordWrap w:val="0"/>
        <w:spacing w:line="360" w:lineRule="auto"/>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投标人名称（电子签章）：</w:t>
      </w:r>
    </w:p>
    <w:p w14:paraId="53C51C80">
      <w:pPr>
        <w:wordWrap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日期：年月日</w:t>
      </w:r>
    </w:p>
    <w:p w14:paraId="4BE33816">
      <w:pPr>
        <w:wordWrap w:val="0"/>
        <w:spacing w:line="360" w:lineRule="auto"/>
        <w:rPr>
          <w:rFonts w:hint="eastAsia" w:ascii="宋体" w:hAnsi="宋体" w:eastAsia="宋体" w:cs="宋体"/>
          <w:b/>
          <w:color w:val="auto"/>
          <w:sz w:val="24"/>
        </w:rPr>
      </w:pPr>
    </w:p>
    <w:p w14:paraId="66EB78CF">
      <w:pPr>
        <w:widowControl/>
        <w:wordWrap w:val="0"/>
        <w:rPr>
          <w:rFonts w:hint="eastAsia" w:ascii="宋体" w:hAnsi="宋体" w:eastAsia="宋体" w:cs="宋体"/>
          <w:color w:val="auto"/>
          <w:kern w:val="0"/>
          <w:sz w:val="24"/>
        </w:rPr>
      </w:pPr>
      <w:r>
        <w:rPr>
          <w:rFonts w:hint="eastAsia" w:ascii="宋体" w:hAnsi="宋体" w:eastAsia="宋体" w:cs="宋体"/>
          <w:color w:val="auto"/>
        </w:rPr>
        <w:br w:type="page"/>
      </w:r>
    </w:p>
    <w:p w14:paraId="7EEF3E72">
      <w:pPr>
        <w:pStyle w:val="19"/>
        <w:wordWrap w:val="0"/>
        <w:rPr>
          <w:rFonts w:hint="eastAsia" w:ascii="宋体" w:hAnsi="宋体" w:eastAsia="宋体" w:cs="宋体"/>
          <w:color w:val="auto"/>
        </w:rPr>
        <w:sectPr>
          <w:footerReference r:id="rId10" w:type="default"/>
          <w:pgSz w:w="11906" w:h="16838"/>
          <w:pgMar w:top="1134" w:right="1247" w:bottom="1134" w:left="1247" w:header="737" w:footer="680" w:gutter="113"/>
          <w:cols w:space="720" w:num="1"/>
          <w:titlePg/>
          <w:docGrid w:linePitch="312" w:charSpace="0"/>
        </w:sectPr>
      </w:pPr>
    </w:p>
    <w:p w14:paraId="2F1DE370">
      <w:pPr>
        <w:wordWrap w:val="0"/>
        <w:spacing w:line="360" w:lineRule="auto"/>
        <w:rPr>
          <w:rFonts w:hint="eastAsia" w:ascii="宋体" w:hAnsi="宋体" w:eastAsia="宋体" w:cs="宋体"/>
          <w:b/>
          <w:color w:val="auto"/>
          <w:sz w:val="24"/>
        </w:rPr>
      </w:pPr>
    </w:p>
    <w:p w14:paraId="28AB1B54">
      <w:pPr>
        <w:wordWrap w:val="0"/>
        <w:spacing w:line="360" w:lineRule="auto"/>
        <w:outlineLvl w:val="1"/>
        <w:rPr>
          <w:rFonts w:hint="eastAsia" w:ascii="宋体" w:hAnsi="宋体" w:eastAsia="宋体" w:cs="宋体"/>
          <w:b/>
          <w:color w:val="auto"/>
          <w:sz w:val="28"/>
          <w:szCs w:val="28"/>
        </w:rPr>
      </w:pPr>
      <w:bookmarkStart w:id="219" w:name="_Toc19686837"/>
      <w:r>
        <w:rPr>
          <w:rFonts w:hint="eastAsia" w:ascii="宋体" w:hAnsi="宋体" w:eastAsia="宋体" w:cs="宋体"/>
          <w:b/>
          <w:color w:val="auto"/>
          <w:sz w:val="28"/>
          <w:szCs w:val="28"/>
        </w:rPr>
        <w:t>二、资格证明文件格式</w:t>
      </w:r>
      <w:bookmarkEnd w:id="215"/>
      <w:bookmarkEnd w:id="216"/>
      <w:bookmarkEnd w:id="219"/>
    </w:p>
    <w:p w14:paraId="47441E9C">
      <w:pPr>
        <w:tabs>
          <w:tab w:val="left" w:pos="1815"/>
        </w:tabs>
        <w:wordWrap w:val="0"/>
        <w:snapToGrid w:val="0"/>
        <w:spacing w:before="120" w:beforeLines="50" w:after="50" w:line="360" w:lineRule="auto"/>
        <w:outlineLvl w:val="2"/>
        <w:rPr>
          <w:rFonts w:hint="eastAsia" w:ascii="宋体" w:hAnsi="宋体" w:eastAsia="宋体" w:cs="宋体"/>
          <w:b/>
          <w:color w:val="auto"/>
          <w:sz w:val="24"/>
        </w:rPr>
      </w:pPr>
      <w:r>
        <w:rPr>
          <w:rFonts w:hint="eastAsia" w:ascii="宋体" w:hAnsi="宋体" w:eastAsia="宋体" w:cs="宋体"/>
          <w:b/>
          <w:color w:val="auto"/>
          <w:sz w:val="24"/>
        </w:rPr>
        <w:t>1.资格证明文件封面格式：</w:t>
      </w:r>
    </w:p>
    <w:p w14:paraId="1B573040">
      <w:pPr>
        <w:wordWrap w:val="0"/>
        <w:snapToGrid w:val="0"/>
        <w:spacing w:before="120" w:beforeLines="50" w:after="50" w:line="360" w:lineRule="auto"/>
        <w:rPr>
          <w:rFonts w:hint="eastAsia" w:ascii="宋体" w:hAnsi="宋体" w:eastAsia="宋体" w:cs="宋体"/>
          <w:bCs/>
          <w:color w:val="auto"/>
          <w:sz w:val="48"/>
          <w:szCs w:val="48"/>
        </w:rPr>
      </w:pPr>
    </w:p>
    <w:p w14:paraId="7AE2B81A">
      <w:pPr>
        <w:snapToGrid w:val="0"/>
        <w:spacing w:before="120" w:beforeLines="50" w:after="50" w:line="360" w:lineRule="auto"/>
        <w:jc w:val="center"/>
        <w:outlineLvl w:val="3"/>
        <w:rPr>
          <w:rFonts w:hint="eastAsia" w:ascii="宋体" w:hAnsi="宋体" w:eastAsia="宋体" w:cs="宋体"/>
          <w:bCs/>
          <w:color w:val="auto"/>
          <w:sz w:val="48"/>
          <w:szCs w:val="48"/>
        </w:rPr>
      </w:pPr>
      <w:r>
        <w:rPr>
          <w:rFonts w:hint="eastAsia" w:ascii="宋体" w:hAnsi="宋体" w:eastAsia="宋体" w:cs="宋体"/>
          <w:bCs/>
          <w:color w:val="auto"/>
          <w:sz w:val="48"/>
          <w:szCs w:val="48"/>
        </w:rPr>
        <w:t>电子投标文件</w:t>
      </w:r>
    </w:p>
    <w:p w14:paraId="66BDA7C4">
      <w:pPr>
        <w:snapToGrid w:val="0"/>
        <w:spacing w:before="120" w:beforeLines="50" w:after="50" w:line="400" w:lineRule="exact"/>
        <w:jc w:val="center"/>
        <w:outlineLvl w:val="3"/>
        <w:rPr>
          <w:rFonts w:hint="eastAsia" w:ascii="宋体" w:hAnsi="宋体" w:eastAsia="宋体" w:cs="宋体"/>
          <w:b/>
          <w:color w:val="auto"/>
          <w:sz w:val="44"/>
          <w:szCs w:val="44"/>
        </w:rPr>
      </w:pPr>
      <w:r>
        <w:rPr>
          <w:rFonts w:hint="eastAsia" w:ascii="宋体" w:hAnsi="宋体" w:eastAsia="宋体" w:cs="宋体"/>
          <w:b/>
          <w:color w:val="auto"/>
          <w:sz w:val="44"/>
          <w:szCs w:val="44"/>
        </w:rPr>
        <w:t>第二部分资格证明文件</w:t>
      </w:r>
    </w:p>
    <w:p w14:paraId="14DA00D1">
      <w:pPr>
        <w:wordWrap w:val="0"/>
        <w:snapToGrid w:val="0"/>
        <w:spacing w:before="120" w:beforeLines="50" w:after="50"/>
        <w:rPr>
          <w:rFonts w:hint="eastAsia" w:ascii="宋体" w:hAnsi="宋体" w:eastAsia="宋体" w:cs="宋体"/>
          <w:bCs/>
          <w:color w:val="auto"/>
          <w:sz w:val="24"/>
          <w:szCs w:val="20"/>
        </w:rPr>
      </w:pPr>
    </w:p>
    <w:p w14:paraId="0A5E1A03">
      <w:pPr>
        <w:wordWrap w:val="0"/>
        <w:snapToGrid w:val="0"/>
        <w:spacing w:before="120" w:beforeLines="50" w:after="50" w:line="400" w:lineRule="exact"/>
        <w:ind w:left="840" w:leftChars="400" w:firstLine="360" w:firstLineChars="150"/>
        <w:rPr>
          <w:rFonts w:hint="eastAsia" w:ascii="宋体" w:hAnsi="宋体" w:eastAsia="宋体" w:cs="宋体"/>
          <w:bCs/>
          <w:color w:val="auto"/>
          <w:sz w:val="24"/>
          <w:u w:val="single"/>
        </w:rPr>
      </w:pPr>
      <w:r>
        <w:rPr>
          <w:rFonts w:hint="eastAsia" w:ascii="宋体" w:hAnsi="宋体" w:eastAsia="宋体" w:cs="宋体"/>
          <w:bCs/>
          <w:color w:val="auto"/>
          <w:sz w:val="24"/>
        </w:rPr>
        <w:t>项目名称：</w:t>
      </w:r>
    </w:p>
    <w:p w14:paraId="57188E86">
      <w:pPr>
        <w:wordWrap w:val="0"/>
        <w:snapToGrid w:val="0"/>
        <w:spacing w:before="120" w:beforeLines="50" w:after="50" w:line="400" w:lineRule="exact"/>
        <w:ind w:left="840" w:leftChars="400" w:firstLine="360" w:firstLineChars="150"/>
        <w:rPr>
          <w:rFonts w:hint="eastAsia" w:ascii="宋体" w:hAnsi="宋体" w:eastAsia="宋体" w:cs="宋体"/>
          <w:bCs/>
          <w:color w:val="auto"/>
          <w:sz w:val="24"/>
        </w:rPr>
      </w:pPr>
    </w:p>
    <w:p w14:paraId="642095AD">
      <w:pPr>
        <w:wordWrap w:val="0"/>
        <w:snapToGrid w:val="0"/>
        <w:spacing w:before="120" w:beforeLines="50" w:after="50" w:line="400" w:lineRule="exact"/>
        <w:ind w:left="840" w:leftChars="400" w:firstLine="360" w:firstLineChars="150"/>
        <w:rPr>
          <w:rFonts w:hint="eastAsia" w:ascii="宋体" w:hAnsi="宋体" w:eastAsia="宋体" w:cs="宋体"/>
          <w:bCs/>
          <w:color w:val="auto"/>
          <w:sz w:val="24"/>
        </w:rPr>
      </w:pPr>
      <w:r>
        <w:rPr>
          <w:rFonts w:hint="eastAsia" w:ascii="宋体" w:hAnsi="宋体" w:eastAsia="宋体" w:cs="宋体"/>
          <w:bCs/>
          <w:color w:val="auto"/>
          <w:sz w:val="24"/>
        </w:rPr>
        <w:t>项目编号：</w:t>
      </w:r>
    </w:p>
    <w:p w14:paraId="511AF65F">
      <w:pPr>
        <w:wordWrap w:val="0"/>
        <w:snapToGrid w:val="0"/>
        <w:spacing w:before="120" w:beforeLines="50" w:after="50" w:line="400" w:lineRule="exact"/>
        <w:ind w:left="840" w:leftChars="400" w:firstLine="360" w:firstLineChars="150"/>
        <w:rPr>
          <w:rFonts w:hint="eastAsia" w:ascii="宋体" w:hAnsi="宋体" w:eastAsia="宋体" w:cs="宋体"/>
          <w:bCs/>
          <w:color w:val="auto"/>
          <w:sz w:val="24"/>
        </w:rPr>
      </w:pPr>
    </w:p>
    <w:p w14:paraId="126A8344">
      <w:pPr>
        <w:wordWrap w:val="0"/>
        <w:snapToGrid w:val="0"/>
        <w:spacing w:before="120" w:beforeLines="50" w:after="50" w:line="400" w:lineRule="exact"/>
        <w:ind w:left="840" w:leftChars="400" w:firstLine="360" w:firstLineChars="150"/>
        <w:rPr>
          <w:rFonts w:hint="eastAsia" w:ascii="宋体" w:hAnsi="宋体" w:eastAsia="宋体" w:cs="宋体"/>
          <w:bCs/>
          <w:color w:val="auto"/>
          <w:sz w:val="24"/>
        </w:rPr>
      </w:pPr>
      <w:r>
        <w:rPr>
          <w:rFonts w:hint="eastAsia" w:ascii="宋体" w:hAnsi="宋体" w:eastAsia="宋体" w:cs="宋体"/>
          <w:bCs/>
          <w:color w:val="auto"/>
          <w:sz w:val="24"/>
        </w:rPr>
        <w:t>所投分标：</w:t>
      </w:r>
    </w:p>
    <w:p w14:paraId="1B3A78A2">
      <w:pPr>
        <w:wordWrap w:val="0"/>
        <w:snapToGrid w:val="0"/>
        <w:spacing w:before="120" w:beforeLines="50" w:after="50" w:line="400" w:lineRule="exact"/>
        <w:ind w:left="840" w:leftChars="400" w:firstLine="360" w:firstLineChars="150"/>
        <w:rPr>
          <w:rFonts w:hint="eastAsia" w:ascii="宋体" w:hAnsi="宋体" w:eastAsia="宋体" w:cs="宋体"/>
          <w:bCs/>
          <w:color w:val="auto"/>
          <w:sz w:val="24"/>
        </w:rPr>
      </w:pPr>
    </w:p>
    <w:p w14:paraId="2D32A9C8">
      <w:pPr>
        <w:wordWrap w:val="0"/>
        <w:snapToGrid w:val="0"/>
        <w:spacing w:before="120" w:beforeLines="50" w:after="50" w:line="400" w:lineRule="exact"/>
        <w:ind w:left="840" w:leftChars="400" w:firstLine="360" w:firstLineChars="150"/>
        <w:rPr>
          <w:rFonts w:hint="eastAsia" w:ascii="宋体" w:hAnsi="宋体" w:eastAsia="宋体" w:cs="宋体"/>
          <w:bCs/>
          <w:color w:val="auto"/>
          <w:sz w:val="24"/>
        </w:rPr>
      </w:pPr>
      <w:r>
        <w:rPr>
          <w:rFonts w:hint="eastAsia" w:ascii="宋体" w:hAnsi="宋体" w:eastAsia="宋体" w:cs="宋体"/>
          <w:bCs/>
          <w:color w:val="auto"/>
          <w:sz w:val="24"/>
        </w:rPr>
        <w:t>投标人名称：</w:t>
      </w:r>
    </w:p>
    <w:p w14:paraId="0BA829B6">
      <w:pPr>
        <w:wordWrap w:val="0"/>
        <w:snapToGrid w:val="0"/>
        <w:spacing w:before="120" w:beforeLines="50" w:after="50" w:line="400" w:lineRule="exact"/>
        <w:ind w:left="840" w:leftChars="400" w:firstLine="360" w:firstLineChars="150"/>
        <w:rPr>
          <w:rFonts w:hint="eastAsia" w:ascii="宋体" w:hAnsi="宋体" w:eastAsia="宋体" w:cs="宋体"/>
          <w:bCs/>
          <w:color w:val="auto"/>
          <w:sz w:val="24"/>
        </w:rPr>
      </w:pPr>
    </w:p>
    <w:p w14:paraId="4D54EC9B">
      <w:pPr>
        <w:wordWrap w:val="0"/>
        <w:snapToGrid w:val="0"/>
        <w:spacing w:before="120" w:beforeLines="50" w:after="50" w:line="400" w:lineRule="exact"/>
        <w:ind w:left="840" w:leftChars="400" w:firstLine="360" w:firstLineChars="150"/>
        <w:rPr>
          <w:rFonts w:hint="eastAsia" w:ascii="宋体" w:hAnsi="宋体" w:eastAsia="宋体" w:cs="宋体"/>
          <w:bCs/>
          <w:color w:val="auto"/>
          <w:sz w:val="24"/>
        </w:rPr>
      </w:pPr>
      <w:r>
        <w:rPr>
          <w:rFonts w:hint="eastAsia" w:ascii="宋体" w:hAnsi="宋体" w:eastAsia="宋体" w:cs="宋体"/>
          <w:bCs/>
          <w:color w:val="auto"/>
          <w:sz w:val="24"/>
        </w:rPr>
        <w:t>投标人地址：</w:t>
      </w:r>
    </w:p>
    <w:p w14:paraId="4E05C6B5">
      <w:pPr>
        <w:wordWrap w:val="0"/>
        <w:snapToGrid w:val="0"/>
        <w:spacing w:before="120" w:beforeLines="50" w:after="50" w:line="400" w:lineRule="exact"/>
        <w:rPr>
          <w:rFonts w:hint="eastAsia" w:ascii="宋体" w:hAnsi="宋体" w:eastAsia="宋体" w:cs="宋体"/>
          <w:color w:val="auto"/>
          <w:sz w:val="24"/>
        </w:rPr>
      </w:pPr>
    </w:p>
    <w:p w14:paraId="4EA4E3C5">
      <w:pPr>
        <w:wordWrap w:val="0"/>
        <w:snapToGrid w:val="0"/>
        <w:spacing w:before="120" w:beforeLines="50" w:after="50" w:line="400" w:lineRule="exact"/>
        <w:rPr>
          <w:rFonts w:hint="eastAsia" w:ascii="宋体" w:hAnsi="宋体" w:eastAsia="宋体" w:cs="宋体"/>
          <w:color w:val="auto"/>
          <w:sz w:val="24"/>
        </w:rPr>
      </w:pPr>
    </w:p>
    <w:p w14:paraId="26C2EA7D">
      <w:pPr>
        <w:snapToGrid w:val="0"/>
        <w:spacing w:before="120" w:beforeLines="50" w:after="50" w:line="400" w:lineRule="exact"/>
        <w:jc w:val="center"/>
        <w:rPr>
          <w:rFonts w:hint="eastAsia" w:ascii="宋体" w:hAnsi="宋体" w:eastAsia="宋体" w:cs="宋体"/>
          <w:color w:val="auto"/>
          <w:sz w:val="30"/>
          <w:szCs w:val="20"/>
        </w:rPr>
      </w:pPr>
      <w:r>
        <w:rPr>
          <w:rFonts w:hint="eastAsia" w:ascii="宋体" w:hAnsi="宋体" w:eastAsia="宋体" w:cs="宋体"/>
          <w:color w:val="auto"/>
          <w:sz w:val="24"/>
        </w:rPr>
        <w:t>年月日</w:t>
      </w:r>
    </w:p>
    <w:p w14:paraId="1EAA82CC">
      <w:pPr>
        <w:wordWrap w:val="0"/>
        <w:snapToGrid w:val="0"/>
        <w:spacing w:line="360" w:lineRule="auto"/>
        <w:rPr>
          <w:rFonts w:hint="eastAsia" w:ascii="宋体" w:hAnsi="宋体" w:eastAsia="宋体" w:cs="宋体"/>
          <w:color w:val="auto"/>
          <w:sz w:val="24"/>
        </w:rPr>
      </w:pPr>
    </w:p>
    <w:p w14:paraId="0E68873B">
      <w:pPr>
        <w:tabs>
          <w:tab w:val="left" w:pos="1815"/>
        </w:tabs>
        <w:wordWrap w:val="0"/>
        <w:snapToGrid w:val="0"/>
        <w:spacing w:before="120" w:beforeLines="50" w:after="50" w:line="360" w:lineRule="auto"/>
        <w:outlineLvl w:val="2"/>
        <w:rPr>
          <w:rFonts w:hint="eastAsia" w:ascii="宋体" w:hAnsi="宋体" w:eastAsia="宋体" w:cs="宋体"/>
          <w:color w:val="auto"/>
          <w:sz w:val="24"/>
          <w:szCs w:val="20"/>
        </w:rPr>
      </w:pPr>
      <w:r>
        <w:rPr>
          <w:rFonts w:hint="eastAsia" w:ascii="宋体" w:hAnsi="宋体" w:eastAsia="宋体" w:cs="宋体"/>
          <w:b/>
          <w:bCs/>
          <w:color w:val="auto"/>
          <w:sz w:val="24"/>
        </w:rPr>
        <w:br w:type="page"/>
      </w:r>
      <w:r>
        <w:rPr>
          <w:rFonts w:hint="eastAsia" w:ascii="宋体" w:hAnsi="宋体" w:eastAsia="宋体" w:cs="宋体"/>
          <w:b/>
          <w:bCs/>
          <w:color w:val="auto"/>
          <w:sz w:val="24"/>
        </w:rPr>
        <w:t>2.</w:t>
      </w:r>
      <w:r>
        <w:rPr>
          <w:rFonts w:hint="eastAsia" w:ascii="宋体" w:hAnsi="宋体" w:eastAsia="宋体" w:cs="宋体"/>
          <w:b/>
          <w:color w:val="auto"/>
          <w:sz w:val="24"/>
        </w:rPr>
        <w:t>资格证明文件目录</w:t>
      </w:r>
    </w:p>
    <w:p w14:paraId="5B18A1F9">
      <w:pPr>
        <w:wordWrap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根据招标文件规定及投标人提供的材料自行编写目录。</w:t>
      </w:r>
    </w:p>
    <w:p w14:paraId="5B0AA87E">
      <w:pPr>
        <w:wordWrap w:val="0"/>
        <w:snapToGrid w:val="0"/>
        <w:spacing w:before="50" w:after="120" w:afterLines="50"/>
        <w:rPr>
          <w:rFonts w:hint="eastAsia" w:ascii="宋体" w:hAnsi="宋体" w:eastAsia="宋体" w:cs="宋体"/>
          <w:color w:val="auto"/>
          <w:sz w:val="24"/>
        </w:rPr>
      </w:pPr>
    </w:p>
    <w:p w14:paraId="42EEDE36">
      <w:pPr>
        <w:wordWrap w:val="0"/>
        <w:snapToGrid w:val="0"/>
        <w:spacing w:before="50" w:after="120" w:afterLines="50"/>
        <w:rPr>
          <w:rFonts w:hint="eastAsia" w:ascii="宋体" w:hAnsi="宋体" w:eastAsia="宋体" w:cs="宋体"/>
          <w:color w:val="auto"/>
          <w:sz w:val="24"/>
        </w:rPr>
      </w:pPr>
    </w:p>
    <w:p w14:paraId="60CFA1CB">
      <w:pPr>
        <w:tabs>
          <w:tab w:val="left" w:pos="1815"/>
        </w:tabs>
        <w:wordWrap w:val="0"/>
        <w:snapToGrid w:val="0"/>
        <w:spacing w:before="120" w:beforeLines="50" w:after="50" w:line="360" w:lineRule="auto"/>
        <w:outlineLvl w:val="2"/>
        <w:rPr>
          <w:rFonts w:hint="eastAsia" w:ascii="宋体" w:hAnsi="宋体" w:eastAsia="宋体" w:cs="宋体"/>
          <w:b/>
          <w:color w:val="auto"/>
          <w:sz w:val="24"/>
        </w:rPr>
      </w:pPr>
      <w:r>
        <w:rPr>
          <w:rFonts w:hint="eastAsia" w:ascii="宋体" w:hAnsi="宋体" w:eastAsia="宋体" w:cs="宋体"/>
          <w:b/>
          <w:color w:val="auto"/>
          <w:sz w:val="24"/>
        </w:rPr>
        <w:br w:type="page"/>
      </w:r>
      <w:r>
        <w:rPr>
          <w:rFonts w:hint="eastAsia" w:ascii="宋体" w:hAnsi="宋体" w:eastAsia="宋体" w:cs="宋体"/>
          <w:b/>
          <w:color w:val="auto"/>
          <w:sz w:val="24"/>
        </w:rPr>
        <w:t>3.投标人直接控股、管理关系信息表</w:t>
      </w:r>
    </w:p>
    <w:p w14:paraId="187EE355">
      <w:pPr>
        <w:wordWrap w:val="0"/>
        <w:snapToGrid w:val="0"/>
        <w:spacing w:before="50" w:after="120" w:afterLines="50"/>
        <w:rPr>
          <w:rFonts w:hint="eastAsia" w:ascii="宋体" w:hAnsi="宋体" w:eastAsia="宋体" w:cs="宋体"/>
          <w:b/>
          <w:color w:val="auto"/>
          <w:sz w:val="28"/>
          <w:szCs w:val="28"/>
        </w:rPr>
      </w:pPr>
    </w:p>
    <w:p w14:paraId="56E3EDA6">
      <w:pPr>
        <w:snapToGrid w:val="0"/>
        <w:spacing w:before="50" w:after="50"/>
        <w:jc w:val="center"/>
        <w:outlineLvl w:val="3"/>
        <w:rPr>
          <w:rFonts w:hint="eastAsia" w:ascii="宋体" w:hAnsi="宋体" w:eastAsia="宋体" w:cs="宋体"/>
          <w:b/>
          <w:color w:val="auto"/>
          <w:sz w:val="32"/>
        </w:rPr>
      </w:pPr>
      <w:r>
        <w:rPr>
          <w:rFonts w:hint="eastAsia" w:ascii="宋体" w:hAnsi="宋体" w:eastAsia="宋体" w:cs="宋体"/>
          <w:b/>
          <w:color w:val="auto"/>
          <w:sz w:val="32"/>
        </w:rPr>
        <w:t>投标人直接控股股东信息表</w:t>
      </w:r>
    </w:p>
    <w:p w14:paraId="0120D4DF">
      <w:pPr>
        <w:pStyle w:val="19"/>
        <w:wordWrap w:val="0"/>
        <w:rPr>
          <w:rFonts w:hint="eastAsia" w:ascii="宋体" w:hAnsi="宋体" w:eastAsia="宋体" w:cs="宋体"/>
          <w:color w:val="auto"/>
        </w:rPr>
      </w:pPr>
    </w:p>
    <w:tbl>
      <w:tblPr>
        <w:tblStyle w:val="48"/>
        <w:tblW w:w="9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1"/>
        <w:gridCol w:w="2268"/>
        <w:gridCol w:w="1626"/>
        <w:gridCol w:w="3902"/>
        <w:gridCol w:w="887"/>
      </w:tblGrid>
      <w:tr w14:paraId="2947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tblHeader/>
          <w:jc w:val="center"/>
        </w:trPr>
        <w:tc>
          <w:tcPr>
            <w:tcW w:w="1031" w:type="dxa"/>
            <w:shd w:val="clear" w:color="auto" w:fill="auto"/>
            <w:tcMar>
              <w:top w:w="120" w:type="dxa"/>
              <w:left w:w="120" w:type="dxa"/>
              <w:bottom w:w="120" w:type="dxa"/>
              <w:right w:w="120" w:type="dxa"/>
            </w:tcMar>
            <w:vAlign w:val="center"/>
          </w:tcPr>
          <w:p w14:paraId="63932123">
            <w:pPr>
              <w:wordWrap w:val="0"/>
              <w:spacing w:line="460" w:lineRule="exact"/>
              <w:rPr>
                <w:rFonts w:hint="eastAsia" w:ascii="宋体" w:hAnsi="宋体" w:eastAsia="宋体" w:cs="宋体"/>
                <w:b/>
                <w:bCs/>
                <w:color w:val="auto"/>
                <w:kern w:val="0"/>
                <w:sz w:val="24"/>
              </w:rPr>
            </w:pPr>
            <w:r>
              <w:rPr>
                <w:rFonts w:hint="eastAsia" w:ascii="宋体" w:hAnsi="宋体" w:eastAsia="宋体" w:cs="宋体"/>
                <w:b/>
                <w:bCs/>
                <w:color w:val="auto"/>
                <w:kern w:val="0"/>
                <w:sz w:val="24"/>
              </w:rPr>
              <w:t>序号</w:t>
            </w:r>
          </w:p>
        </w:tc>
        <w:tc>
          <w:tcPr>
            <w:tcW w:w="2268" w:type="dxa"/>
            <w:shd w:val="clear" w:color="auto" w:fill="auto"/>
            <w:tcMar>
              <w:top w:w="120" w:type="dxa"/>
              <w:left w:w="120" w:type="dxa"/>
              <w:bottom w:w="120" w:type="dxa"/>
              <w:right w:w="120" w:type="dxa"/>
            </w:tcMar>
            <w:vAlign w:val="center"/>
          </w:tcPr>
          <w:p w14:paraId="1E6B296A">
            <w:pPr>
              <w:wordWrap w:val="0"/>
              <w:spacing w:line="460" w:lineRule="exact"/>
              <w:rPr>
                <w:rFonts w:hint="eastAsia" w:ascii="宋体" w:hAnsi="宋体" w:eastAsia="宋体" w:cs="宋体"/>
                <w:b/>
                <w:bCs/>
                <w:color w:val="auto"/>
                <w:kern w:val="0"/>
                <w:sz w:val="24"/>
              </w:rPr>
            </w:pPr>
            <w:r>
              <w:rPr>
                <w:rFonts w:hint="eastAsia" w:ascii="宋体" w:hAnsi="宋体" w:eastAsia="宋体" w:cs="宋体"/>
                <w:b/>
                <w:bCs/>
                <w:color w:val="auto"/>
                <w:kern w:val="0"/>
                <w:sz w:val="24"/>
              </w:rPr>
              <w:t>直接控股股东名称</w:t>
            </w:r>
          </w:p>
        </w:tc>
        <w:tc>
          <w:tcPr>
            <w:tcW w:w="1626" w:type="dxa"/>
            <w:shd w:val="clear" w:color="auto" w:fill="auto"/>
            <w:tcMar>
              <w:top w:w="120" w:type="dxa"/>
              <w:left w:w="120" w:type="dxa"/>
              <w:bottom w:w="120" w:type="dxa"/>
              <w:right w:w="120" w:type="dxa"/>
            </w:tcMar>
            <w:vAlign w:val="center"/>
          </w:tcPr>
          <w:p w14:paraId="10208374">
            <w:pPr>
              <w:wordWrap w:val="0"/>
              <w:spacing w:line="460" w:lineRule="exact"/>
              <w:rPr>
                <w:rFonts w:hint="eastAsia" w:ascii="宋体" w:hAnsi="宋体" w:eastAsia="宋体" w:cs="宋体"/>
                <w:b/>
                <w:bCs/>
                <w:color w:val="auto"/>
                <w:kern w:val="0"/>
                <w:sz w:val="24"/>
              </w:rPr>
            </w:pPr>
            <w:r>
              <w:rPr>
                <w:rFonts w:hint="eastAsia" w:ascii="宋体" w:hAnsi="宋体" w:eastAsia="宋体" w:cs="宋体"/>
                <w:b/>
                <w:bCs/>
                <w:color w:val="auto"/>
                <w:kern w:val="0"/>
                <w:sz w:val="24"/>
              </w:rPr>
              <w:t>出资比例</w:t>
            </w:r>
            <w:r>
              <w:rPr>
                <w:rFonts w:hint="eastAsia" w:ascii="宋体" w:hAnsi="宋体" w:eastAsia="宋体" w:cs="宋体"/>
                <w:b/>
                <w:bCs/>
                <w:color w:val="auto"/>
                <w:kern w:val="0"/>
                <w:sz w:val="24"/>
              </w:rPr>
              <w:t>%</w:t>
            </w:r>
          </w:p>
        </w:tc>
        <w:tc>
          <w:tcPr>
            <w:tcW w:w="3902" w:type="dxa"/>
            <w:shd w:val="clear" w:color="auto" w:fill="auto"/>
            <w:tcMar>
              <w:top w:w="120" w:type="dxa"/>
              <w:left w:w="120" w:type="dxa"/>
              <w:bottom w:w="120" w:type="dxa"/>
              <w:right w:w="120" w:type="dxa"/>
            </w:tcMar>
            <w:vAlign w:val="center"/>
          </w:tcPr>
          <w:p w14:paraId="4A5FB89B">
            <w:pPr>
              <w:wordWrap w:val="0"/>
              <w:spacing w:line="460" w:lineRule="exact"/>
              <w:rPr>
                <w:rFonts w:hint="eastAsia" w:ascii="宋体" w:hAnsi="宋体" w:eastAsia="宋体" w:cs="宋体"/>
                <w:b/>
                <w:bCs/>
                <w:color w:val="auto"/>
                <w:kern w:val="0"/>
                <w:sz w:val="24"/>
              </w:rPr>
            </w:pPr>
            <w:r>
              <w:rPr>
                <w:rFonts w:hint="eastAsia" w:ascii="宋体" w:hAnsi="宋体" w:eastAsia="宋体" w:cs="宋体"/>
                <w:b/>
                <w:bCs/>
                <w:color w:val="auto"/>
                <w:kern w:val="0"/>
                <w:sz w:val="24"/>
              </w:rPr>
              <w:t>身份证号码或者统一社会信用代码</w:t>
            </w:r>
          </w:p>
        </w:tc>
        <w:tc>
          <w:tcPr>
            <w:tcW w:w="887" w:type="dxa"/>
            <w:shd w:val="clear" w:color="auto" w:fill="auto"/>
            <w:tcMar>
              <w:top w:w="120" w:type="dxa"/>
              <w:left w:w="120" w:type="dxa"/>
              <w:bottom w:w="120" w:type="dxa"/>
              <w:right w:w="120" w:type="dxa"/>
            </w:tcMar>
            <w:vAlign w:val="center"/>
          </w:tcPr>
          <w:p w14:paraId="5539E661">
            <w:pPr>
              <w:wordWrap w:val="0"/>
              <w:spacing w:line="460" w:lineRule="exact"/>
              <w:rPr>
                <w:rFonts w:hint="eastAsia" w:ascii="宋体" w:hAnsi="宋体" w:eastAsia="宋体" w:cs="宋体"/>
                <w:b/>
                <w:bCs/>
                <w:color w:val="auto"/>
                <w:kern w:val="0"/>
                <w:sz w:val="24"/>
              </w:rPr>
            </w:pPr>
            <w:r>
              <w:rPr>
                <w:rFonts w:hint="eastAsia" w:ascii="宋体" w:hAnsi="宋体" w:eastAsia="宋体" w:cs="宋体"/>
                <w:b/>
                <w:bCs/>
                <w:color w:val="auto"/>
                <w:kern w:val="0"/>
                <w:sz w:val="24"/>
              </w:rPr>
              <w:t>备注</w:t>
            </w:r>
          </w:p>
        </w:tc>
      </w:tr>
      <w:tr w14:paraId="4CD9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31" w:type="dxa"/>
            <w:shd w:val="clear" w:color="auto" w:fill="auto"/>
            <w:tcMar>
              <w:top w:w="120" w:type="dxa"/>
              <w:left w:w="120" w:type="dxa"/>
              <w:bottom w:w="120" w:type="dxa"/>
              <w:right w:w="120" w:type="dxa"/>
            </w:tcMar>
            <w:vAlign w:val="center"/>
          </w:tcPr>
          <w:p w14:paraId="46D32B21">
            <w:pPr>
              <w:wordWrap w:val="0"/>
              <w:spacing w:line="460" w:lineRule="exact"/>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2268" w:type="dxa"/>
            <w:shd w:val="clear" w:color="auto" w:fill="auto"/>
            <w:tcMar>
              <w:top w:w="120" w:type="dxa"/>
              <w:left w:w="120" w:type="dxa"/>
              <w:bottom w:w="120" w:type="dxa"/>
              <w:right w:w="120" w:type="dxa"/>
            </w:tcMar>
            <w:vAlign w:val="center"/>
          </w:tcPr>
          <w:p w14:paraId="2E2A68BB">
            <w:pPr>
              <w:wordWrap w:val="0"/>
              <w:spacing w:line="460" w:lineRule="exact"/>
              <w:rPr>
                <w:rFonts w:hint="eastAsia" w:ascii="宋体" w:hAnsi="宋体" w:eastAsia="宋体" w:cs="宋体"/>
                <w:color w:val="auto"/>
                <w:kern w:val="0"/>
                <w:sz w:val="24"/>
              </w:rPr>
            </w:pPr>
          </w:p>
        </w:tc>
        <w:tc>
          <w:tcPr>
            <w:tcW w:w="1626" w:type="dxa"/>
            <w:shd w:val="clear" w:color="auto" w:fill="auto"/>
            <w:tcMar>
              <w:top w:w="120" w:type="dxa"/>
              <w:left w:w="120" w:type="dxa"/>
              <w:bottom w:w="120" w:type="dxa"/>
              <w:right w:w="120" w:type="dxa"/>
            </w:tcMar>
            <w:vAlign w:val="center"/>
          </w:tcPr>
          <w:p w14:paraId="2C009C4F">
            <w:pPr>
              <w:wordWrap w:val="0"/>
              <w:spacing w:line="460" w:lineRule="exact"/>
              <w:rPr>
                <w:rFonts w:hint="eastAsia" w:ascii="宋体" w:hAnsi="宋体" w:eastAsia="宋体" w:cs="宋体"/>
                <w:color w:val="auto"/>
                <w:kern w:val="0"/>
                <w:sz w:val="24"/>
              </w:rPr>
            </w:pPr>
          </w:p>
        </w:tc>
        <w:tc>
          <w:tcPr>
            <w:tcW w:w="3902" w:type="dxa"/>
            <w:shd w:val="clear" w:color="auto" w:fill="auto"/>
            <w:tcMar>
              <w:top w:w="120" w:type="dxa"/>
              <w:left w:w="120" w:type="dxa"/>
              <w:bottom w:w="120" w:type="dxa"/>
              <w:right w:w="120" w:type="dxa"/>
            </w:tcMar>
            <w:vAlign w:val="center"/>
          </w:tcPr>
          <w:p w14:paraId="2E795C64">
            <w:pPr>
              <w:wordWrap w:val="0"/>
              <w:spacing w:line="460" w:lineRule="exact"/>
              <w:rPr>
                <w:rFonts w:hint="eastAsia" w:ascii="宋体" w:hAnsi="宋体" w:eastAsia="宋体" w:cs="宋体"/>
                <w:color w:val="auto"/>
                <w:kern w:val="0"/>
                <w:sz w:val="24"/>
              </w:rPr>
            </w:pPr>
          </w:p>
        </w:tc>
        <w:tc>
          <w:tcPr>
            <w:tcW w:w="887" w:type="dxa"/>
            <w:shd w:val="clear" w:color="auto" w:fill="auto"/>
            <w:tcMar>
              <w:top w:w="120" w:type="dxa"/>
              <w:left w:w="120" w:type="dxa"/>
              <w:bottom w:w="120" w:type="dxa"/>
              <w:right w:w="120" w:type="dxa"/>
            </w:tcMar>
            <w:vAlign w:val="center"/>
          </w:tcPr>
          <w:p w14:paraId="00DA2C11">
            <w:pPr>
              <w:wordWrap w:val="0"/>
              <w:spacing w:line="460" w:lineRule="exact"/>
              <w:rPr>
                <w:rFonts w:hint="eastAsia" w:ascii="宋体" w:hAnsi="宋体" w:eastAsia="宋体" w:cs="宋体"/>
                <w:color w:val="auto"/>
                <w:kern w:val="0"/>
                <w:sz w:val="24"/>
              </w:rPr>
            </w:pPr>
          </w:p>
        </w:tc>
      </w:tr>
      <w:tr w14:paraId="35D35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31" w:type="dxa"/>
            <w:shd w:val="clear" w:color="auto" w:fill="auto"/>
            <w:tcMar>
              <w:top w:w="120" w:type="dxa"/>
              <w:left w:w="120" w:type="dxa"/>
              <w:bottom w:w="120" w:type="dxa"/>
              <w:right w:w="120" w:type="dxa"/>
            </w:tcMar>
            <w:vAlign w:val="center"/>
          </w:tcPr>
          <w:p w14:paraId="45FD39E4">
            <w:pPr>
              <w:wordWrap w:val="0"/>
              <w:spacing w:line="460" w:lineRule="exact"/>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2268" w:type="dxa"/>
            <w:shd w:val="clear" w:color="auto" w:fill="auto"/>
            <w:tcMar>
              <w:top w:w="120" w:type="dxa"/>
              <w:left w:w="120" w:type="dxa"/>
              <w:bottom w:w="120" w:type="dxa"/>
              <w:right w:w="120" w:type="dxa"/>
            </w:tcMar>
            <w:vAlign w:val="center"/>
          </w:tcPr>
          <w:p w14:paraId="1EA2BE17">
            <w:pPr>
              <w:wordWrap w:val="0"/>
              <w:spacing w:line="460" w:lineRule="exact"/>
              <w:rPr>
                <w:rFonts w:hint="eastAsia" w:ascii="宋体" w:hAnsi="宋体" w:eastAsia="宋体" w:cs="宋体"/>
                <w:color w:val="auto"/>
                <w:kern w:val="0"/>
                <w:sz w:val="24"/>
              </w:rPr>
            </w:pPr>
          </w:p>
        </w:tc>
        <w:tc>
          <w:tcPr>
            <w:tcW w:w="1626" w:type="dxa"/>
            <w:shd w:val="clear" w:color="auto" w:fill="auto"/>
            <w:tcMar>
              <w:top w:w="120" w:type="dxa"/>
              <w:left w:w="120" w:type="dxa"/>
              <w:bottom w:w="120" w:type="dxa"/>
              <w:right w:w="120" w:type="dxa"/>
            </w:tcMar>
            <w:vAlign w:val="center"/>
          </w:tcPr>
          <w:p w14:paraId="64633F29">
            <w:pPr>
              <w:wordWrap w:val="0"/>
              <w:spacing w:line="460" w:lineRule="exact"/>
              <w:rPr>
                <w:rFonts w:hint="eastAsia" w:ascii="宋体" w:hAnsi="宋体" w:eastAsia="宋体" w:cs="宋体"/>
                <w:color w:val="auto"/>
                <w:kern w:val="0"/>
                <w:sz w:val="24"/>
              </w:rPr>
            </w:pPr>
          </w:p>
        </w:tc>
        <w:tc>
          <w:tcPr>
            <w:tcW w:w="3902" w:type="dxa"/>
            <w:shd w:val="clear" w:color="auto" w:fill="auto"/>
            <w:tcMar>
              <w:top w:w="120" w:type="dxa"/>
              <w:left w:w="120" w:type="dxa"/>
              <w:bottom w:w="120" w:type="dxa"/>
              <w:right w:w="120" w:type="dxa"/>
            </w:tcMar>
            <w:vAlign w:val="center"/>
          </w:tcPr>
          <w:p w14:paraId="4E7AFAAF">
            <w:pPr>
              <w:wordWrap w:val="0"/>
              <w:spacing w:line="460" w:lineRule="exact"/>
              <w:rPr>
                <w:rFonts w:hint="eastAsia" w:ascii="宋体" w:hAnsi="宋体" w:eastAsia="宋体" w:cs="宋体"/>
                <w:color w:val="auto"/>
                <w:kern w:val="0"/>
                <w:sz w:val="24"/>
              </w:rPr>
            </w:pPr>
          </w:p>
        </w:tc>
        <w:tc>
          <w:tcPr>
            <w:tcW w:w="887" w:type="dxa"/>
            <w:shd w:val="clear" w:color="auto" w:fill="auto"/>
            <w:tcMar>
              <w:top w:w="120" w:type="dxa"/>
              <w:left w:w="120" w:type="dxa"/>
              <w:bottom w:w="120" w:type="dxa"/>
              <w:right w:w="120" w:type="dxa"/>
            </w:tcMar>
            <w:vAlign w:val="center"/>
          </w:tcPr>
          <w:p w14:paraId="5EEFEFE7">
            <w:pPr>
              <w:wordWrap w:val="0"/>
              <w:spacing w:line="460" w:lineRule="exact"/>
              <w:rPr>
                <w:rFonts w:hint="eastAsia" w:ascii="宋体" w:hAnsi="宋体" w:eastAsia="宋体" w:cs="宋体"/>
                <w:color w:val="auto"/>
                <w:kern w:val="0"/>
                <w:sz w:val="24"/>
              </w:rPr>
            </w:pPr>
          </w:p>
        </w:tc>
      </w:tr>
      <w:tr w14:paraId="5542B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31" w:type="dxa"/>
            <w:shd w:val="clear" w:color="auto" w:fill="auto"/>
            <w:tcMar>
              <w:top w:w="120" w:type="dxa"/>
              <w:left w:w="120" w:type="dxa"/>
              <w:bottom w:w="120" w:type="dxa"/>
              <w:right w:w="120" w:type="dxa"/>
            </w:tcMar>
            <w:vAlign w:val="center"/>
          </w:tcPr>
          <w:p w14:paraId="0726D7CC">
            <w:pPr>
              <w:wordWrap w:val="0"/>
              <w:spacing w:line="460" w:lineRule="exact"/>
              <w:rPr>
                <w:rFonts w:hint="eastAsia" w:ascii="宋体" w:hAnsi="宋体" w:eastAsia="宋体" w:cs="宋体"/>
                <w:color w:val="auto"/>
                <w:kern w:val="0"/>
                <w:sz w:val="24"/>
              </w:rPr>
            </w:pPr>
            <w:r>
              <w:rPr>
                <w:rFonts w:hint="eastAsia" w:ascii="宋体" w:hAnsi="宋体" w:eastAsia="宋体" w:cs="宋体"/>
                <w:color w:val="auto"/>
                <w:kern w:val="0"/>
                <w:sz w:val="24"/>
              </w:rPr>
              <w:t>3</w:t>
            </w:r>
          </w:p>
        </w:tc>
        <w:tc>
          <w:tcPr>
            <w:tcW w:w="2268" w:type="dxa"/>
            <w:shd w:val="clear" w:color="auto" w:fill="auto"/>
            <w:tcMar>
              <w:top w:w="120" w:type="dxa"/>
              <w:left w:w="120" w:type="dxa"/>
              <w:bottom w:w="120" w:type="dxa"/>
              <w:right w:w="120" w:type="dxa"/>
            </w:tcMar>
            <w:vAlign w:val="center"/>
          </w:tcPr>
          <w:p w14:paraId="7831630E">
            <w:pPr>
              <w:wordWrap w:val="0"/>
              <w:spacing w:line="460" w:lineRule="exact"/>
              <w:rPr>
                <w:rFonts w:hint="eastAsia" w:ascii="宋体" w:hAnsi="宋体" w:eastAsia="宋体" w:cs="宋体"/>
                <w:color w:val="auto"/>
                <w:kern w:val="0"/>
                <w:sz w:val="24"/>
              </w:rPr>
            </w:pPr>
          </w:p>
        </w:tc>
        <w:tc>
          <w:tcPr>
            <w:tcW w:w="1626" w:type="dxa"/>
            <w:shd w:val="clear" w:color="auto" w:fill="auto"/>
            <w:tcMar>
              <w:top w:w="120" w:type="dxa"/>
              <w:left w:w="120" w:type="dxa"/>
              <w:bottom w:w="120" w:type="dxa"/>
              <w:right w:w="120" w:type="dxa"/>
            </w:tcMar>
            <w:vAlign w:val="center"/>
          </w:tcPr>
          <w:p w14:paraId="19B207E6">
            <w:pPr>
              <w:wordWrap w:val="0"/>
              <w:spacing w:line="460" w:lineRule="exact"/>
              <w:rPr>
                <w:rFonts w:hint="eastAsia" w:ascii="宋体" w:hAnsi="宋体" w:eastAsia="宋体" w:cs="宋体"/>
                <w:color w:val="auto"/>
                <w:kern w:val="0"/>
                <w:sz w:val="24"/>
              </w:rPr>
            </w:pPr>
          </w:p>
        </w:tc>
        <w:tc>
          <w:tcPr>
            <w:tcW w:w="3902" w:type="dxa"/>
            <w:shd w:val="clear" w:color="auto" w:fill="auto"/>
            <w:tcMar>
              <w:top w:w="120" w:type="dxa"/>
              <w:left w:w="120" w:type="dxa"/>
              <w:bottom w:w="120" w:type="dxa"/>
              <w:right w:w="120" w:type="dxa"/>
            </w:tcMar>
            <w:vAlign w:val="center"/>
          </w:tcPr>
          <w:p w14:paraId="5DE5C71D">
            <w:pPr>
              <w:wordWrap w:val="0"/>
              <w:spacing w:line="460" w:lineRule="exact"/>
              <w:rPr>
                <w:rFonts w:hint="eastAsia" w:ascii="宋体" w:hAnsi="宋体" w:eastAsia="宋体" w:cs="宋体"/>
                <w:color w:val="auto"/>
                <w:kern w:val="0"/>
                <w:sz w:val="24"/>
              </w:rPr>
            </w:pPr>
          </w:p>
        </w:tc>
        <w:tc>
          <w:tcPr>
            <w:tcW w:w="887" w:type="dxa"/>
            <w:shd w:val="clear" w:color="auto" w:fill="auto"/>
            <w:tcMar>
              <w:top w:w="120" w:type="dxa"/>
              <w:left w:w="120" w:type="dxa"/>
              <w:bottom w:w="120" w:type="dxa"/>
              <w:right w:w="120" w:type="dxa"/>
            </w:tcMar>
            <w:vAlign w:val="center"/>
          </w:tcPr>
          <w:p w14:paraId="53148517">
            <w:pPr>
              <w:wordWrap w:val="0"/>
              <w:spacing w:line="460" w:lineRule="exact"/>
              <w:rPr>
                <w:rFonts w:hint="eastAsia" w:ascii="宋体" w:hAnsi="宋体" w:eastAsia="宋体" w:cs="宋体"/>
                <w:color w:val="auto"/>
                <w:kern w:val="0"/>
                <w:sz w:val="24"/>
              </w:rPr>
            </w:pPr>
          </w:p>
        </w:tc>
      </w:tr>
      <w:tr w14:paraId="43E9F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31" w:type="dxa"/>
            <w:shd w:val="clear" w:color="auto" w:fill="auto"/>
            <w:tcMar>
              <w:top w:w="120" w:type="dxa"/>
              <w:left w:w="120" w:type="dxa"/>
              <w:bottom w:w="120" w:type="dxa"/>
              <w:right w:w="120" w:type="dxa"/>
            </w:tcMar>
            <w:vAlign w:val="center"/>
          </w:tcPr>
          <w:p w14:paraId="7A6F77FC">
            <w:pPr>
              <w:wordWrap w:val="0"/>
              <w:spacing w:line="460" w:lineRule="exact"/>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2268" w:type="dxa"/>
            <w:shd w:val="clear" w:color="auto" w:fill="auto"/>
            <w:tcMar>
              <w:top w:w="120" w:type="dxa"/>
              <w:left w:w="120" w:type="dxa"/>
              <w:bottom w:w="120" w:type="dxa"/>
              <w:right w:w="120" w:type="dxa"/>
            </w:tcMar>
            <w:vAlign w:val="center"/>
          </w:tcPr>
          <w:p w14:paraId="215AF35D">
            <w:pPr>
              <w:wordWrap w:val="0"/>
              <w:spacing w:line="460" w:lineRule="exact"/>
              <w:rPr>
                <w:rFonts w:hint="eastAsia" w:ascii="宋体" w:hAnsi="宋体" w:eastAsia="宋体" w:cs="宋体"/>
                <w:color w:val="auto"/>
                <w:kern w:val="0"/>
                <w:sz w:val="24"/>
              </w:rPr>
            </w:pPr>
          </w:p>
        </w:tc>
        <w:tc>
          <w:tcPr>
            <w:tcW w:w="1626" w:type="dxa"/>
            <w:shd w:val="clear" w:color="auto" w:fill="auto"/>
            <w:tcMar>
              <w:top w:w="120" w:type="dxa"/>
              <w:left w:w="120" w:type="dxa"/>
              <w:bottom w:w="120" w:type="dxa"/>
              <w:right w:w="120" w:type="dxa"/>
            </w:tcMar>
            <w:vAlign w:val="center"/>
          </w:tcPr>
          <w:p w14:paraId="3936F128">
            <w:pPr>
              <w:wordWrap w:val="0"/>
              <w:spacing w:line="460" w:lineRule="exact"/>
              <w:rPr>
                <w:rFonts w:hint="eastAsia" w:ascii="宋体" w:hAnsi="宋体" w:eastAsia="宋体" w:cs="宋体"/>
                <w:color w:val="auto"/>
                <w:kern w:val="0"/>
                <w:sz w:val="24"/>
              </w:rPr>
            </w:pPr>
          </w:p>
        </w:tc>
        <w:tc>
          <w:tcPr>
            <w:tcW w:w="3902" w:type="dxa"/>
            <w:shd w:val="clear" w:color="auto" w:fill="auto"/>
            <w:tcMar>
              <w:top w:w="120" w:type="dxa"/>
              <w:left w:w="120" w:type="dxa"/>
              <w:bottom w:w="120" w:type="dxa"/>
              <w:right w:w="120" w:type="dxa"/>
            </w:tcMar>
            <w:vAlign w:val="center"/>
          </w:tcPr>
          <w:p w14:paraId="0BCE521E">
            <w:pPr>
              <w:wordWrap w:val="0"/>
              <w:spacing w:line="460" w:lineRule="exact"/>
              <w:rPr>
                <w:rFonts w:hint="eastAsia" w:ascii="宋体" w:hAnsi="宋体" w:eastAsia="宋体" w:cs="宋体"/>
                <w:color w:val="auto"/>
                <w:kern w:val="0"/>
                <w:sz w:val="24"/>
              </w:rPr>
            </w:pPr>
          </w:p>
        </w:tc>
        <w:tc>
          <w:tcPr>
            <w:tcW w:w="887" w:type="dxa"/>
            <w:shd w:val="clear" w:color="auto" w:fill="auto"/>
            <w:tcMar>
              <w:top w:w="120" w:type="dxa"/>
              <w:left w:w="120" w:type="dxa"/>
              <w:bottom w:w="120" w:type="dxa"/>
              <w:right w:w="120" w:type="dxa"/>
            </w:tcMar>
            <w:vAlign w:val="center"/>
          </w:tcPr>
          <w:p w14:paraId="0531006D">
            <w:pPr>
              <w:wordWrap w:val="0"/>
              <w:spacing w:line="460" w:lineRule="exact"/>
              <w:rPr>
                <w:rFonts w:hint="eastAsia" w:ascii="宋体" w:hAnsi="宋体" w:eastAsia="宋体" w:cs="宋体"/>
                <w:color w:val="auto"/>
                <w:kern w:val="0"/>
                <w:sz w:val="24"/>
              </w:rPr>
            </w:pPr>
          </w:p>
        </w:tc>
      </w:tr>
    </w:tbl>
    <w:p w14:paraId="0217EA59">
      <w:pPr>
        <w:wordWrap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注：</w:t>
      </w:r>
    </w:p>
    <w:p w14:paraId="6A86146C">
      <w:pPr>
        <w:wordWrap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4CA6700">
      <w:pPr>
        <w:wordWrap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2.本表所指的控股关系仅限于直接控股关系，不包括间接的控股关系。公司实际控制人与公司之间的关系不属于本表所指的直接控股关系。</w:t>
      </w:r>
    </w:p>
    <w:p w14:paraId="53DE4DD4">
      <w:pPr>
        <w:wordWrap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rPr>
        <w:t>投标人</w:t>
      </w:r>
      <w:r>
        <w:rPr>
          <w:rFonts w:hint="eastAsia" w:ascii="宋体" w:hAnsi="宋体" w:eastAsia="宋体" w:cs="宋体"/>
          <w:color w:val="auto"/>
          <w:sz w:val="24"/>
        </w:rPr>
        <w:t>不存在直接控股股东的，则在“</w:t>
      </w:r>
      <w:r>
        <w:rPr>
          <w:rFonts w:hint="eastAsia" w:ascii="宋体" w:hAnsi="宋体" w:eastAsia="宋体" w:cs="宋体"/>
          <w:b/>
          <w:bCs/>
          <w:color w:val="auto"/>
          <w:kern w:val="0"/>
          <w:sz w:val="24"/>
        </w:rPr>
        <w:t>直接控股股东名称</w:t>
      </w:r>
      <w:r>
        <w:rPr>
          <w:rFonts w:hint="eastAsia" w:ascii="宋体" w:hAnsi="宋体" w:eastAsia="宋体" w:cs="宋体"/>
          <w:color w:val="auto"/>
          <w:sz w:val="24"/>
        </w:rPr>
        <w:t>”中填“无”。</w:t>
      </w:r>
    </w:p>
    <w:p w14:paraId="125CAE43">
      <w:pPr>
        <w:wordWrap w:val="0"/>
        <w:snapToGrid w:val="0"/>
        <w:spacing w:line="360" w:lineRule="auto"/>
        <w:rPr>
          <w:rFonts w:hint="eastAsia" w:ascii="宋体" w:hAnsi="宋体" w:eastAsia="宋体" w:cs="宋体"/>
          <w:color w:val="auto"/>
          <w:sz w:val="24"/>
        </w:rPr>
      </w:pPr>
    </w:p>
    <w:p w14:paraId="0895F791">
      <w:pPr>
        <w:wordWrap w:val="0"/>
        <w:snapToGrid w:val="0"/>
        <w:spacing w:line="360" w:lineRule="auto"/>
        <w:rPr>
          <w:rFonts w:hint="eastAsia" w:ascii="宋体" w:hAnsi="宋体" w:eastAsia="宋体" w:cs="宋体"/>
          <w:color w:val="auto"/>
          <w:sz w:val="24"/>
        </w:rPr>
      </w:pPr>
    </w:p>
    <w:p w14:paraId="7C472421">
      <w:pPr>
        <w:wordWrap w:val="0"/>
        <w:snapToGrid w:val="0"/>
        <w:spacing w:line="360" w:lineRule="auto"/>
        <w:rPr>
          <w:rFonts w:hint="eastAsia" w:ascii="宋体" w:hAnsi="宋体" w:eastAsia="宋体" w:cs="宋体"/>
          <w:color w:val="auto"/>
          <w:sz w:val="24"/>
        </w:rPr>
      </w:pPr>
    </w:p>
    <w:p w14:paraId="5041F781">
      <w:pPr>
        <w:wordWrap w:val="0"/>
        <w:spacing w:line="360" w:lineRule="auto"/>
        <w:ind w:left="3990" w:leftChars="1900"/>
        <w:contextualSpacing/>
        <w:rPr>
          <w:rFonts w:hint="eastAsia" w:ascii="宋体" w:hAnsi="宋体" w:eastAsia="宋体" w:cs="宋体"/>
          <w:color w:val="auto"/>
          <w:sz w:val="24"/>
          <w:u w:val="single"/>
        </w:rPr>
      </w:pPr>
      <w:r>
        <w:rPr>
          <w:rFonts w:hint="eastAsia" w:ascii="宋体" w:hAnsi="宋体" w:eastAsia="宋体" w:cs="宋体"/>
          <w:color w:val="auto"/>
          <w:sz w:val="24"/>
        </w:rPr>
        <w:t>投标人</w:t>
      </w:r>
      <w:r>
        <w:rPr>
          <w:rFonts w:hint="eastAsia" w:ascii="宋体" w:hAnsi="宋体" w:eastAsia="宋体" w:cs="宋体"/>
          <w:color w:val="auto"/>
          <w:sz w:val="24"/>
        </w:rPr>
        <w:t>（电子签章）</w:t>
      </w:r>
      <w:r>
        <w:rPr>
          <w:rFonts w:hint="eastAsia" w:ascii="宋体" w:hAnsi="宋体" w:eastAsia="宋体" w:cs="宋体"/>
          <w:color w:val="auto"/>
          <w:sz w:val="24"/>
        </w:rPr>
        <w:t>：</w:t>
      </w:r>
    </w:p>
    <w:p w14:paraId="0DC0F0E6">
      <w:pPr>
        <w:wordWrap w:val="0"/>
        <w:spacing w:line="360" w:lineRule="auto"/>
        <w:ind w:left="3990" w:leftChars="1900"/>
        <w:contextualSpacing/>
        <w:rPr>
          <w:rFonts w:hint="eastAsia" w:ascii="宋体" w:hAnsi="宋体" w:eastAsia="宋体" w:cs="宋体"/>
          <w:b/>
          <w:color w:val="auto"/>
          <w:sz w:val="24"/>
        </w:rPr>
      </w:pPr>
      <w:r>
        <w:rPr>
          <w:rFonts w:hint="eastAsia" w:ascii="宋体" w:hAnsi="宋体" w:eastAsia="宋体" w:cs="宋体"/>
          <w:color w:val="auto"/>
          <w:sz w:val="24"/>
        </w:rPr>
        <w:t>日期：年月日</w:t>
      </w:r>
    </w:p>
    <w:p w14:paraId="3DE663A6">
      <w:pPr>
        <w:wordWrap w:val="0"/>
        <w:snapToGrid w:val="0"/>
        <w:rPr>
          <w:rFonts w:hint="eastAsia" w:ascii="宋体" w:hAnsi="宋体" w:eastAsia="宋体" w:cs="宋体"/>
          <w:b/>
          <w:color w:val="auto"/>
          <w:sz w:val="28"/>
          <w:szCs w:val="28"/>
        </w:rPr>
      </w:pPr>
    </w:p>
    <w:p w14:paraId="4A89A4B5">
      <w:pPr>
        <w:snapToGrid w:val="0"/>
        <w:spacing w:before="50" w:after="50"/>
        <w:jc w:val="center"/>
        <w:rPr>
          <w:rFonts w:hint="eastAsia" w:ascii="宋体" w:hAnsi="宋体" w:eastAsia="宋体" w:cs="宋体"/>
          <w:color w:val="auto"/>
          <w:sz w:val="32"/>
          <w:szCs w:val="32"/>
        </w:rPr>
      </w:pPr>
      <w:r>
        <w:rPr>
          <w:rFonts w:hint="eastAsia" w:ascii="宋体" w:hAnsi="宋体" w:eastAsia="宋体" w:cs="宋体"/>
          <w:b/>
          <w:color w:val="auto"/>
          <w:sz w:val="32"/>
          <w:szCs w:val="32"/>
        </w:rPr>
        <w:br w:type="page"/>
      </w:r>
      <w:r>
        <w:rPr>
          <w:rFonts w:hint="eastAsia" w:ascii="宋体" w:hAnsi="宋体" w:eastAsia="宋体" w:cs="宋体"/>
          <w:b/>
          <w:color w:val="auto"/>
          <w:sz w:val="32"/>
        </w:rPr>
        <w:t>投标人直接管理关系信息表</w:t>
      </w:r>
    </w:p>
    <w:tbl>
      <w:tblPr>
        <w:tblStyle w:val="48"/>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3"/>
        <w:gridCol w:w="2659"/>
        <w:gridCol w:w="3924"/>
        <w:gridCol w:w="1455"/>
      </w:tblGrid>
      <w:tr w14:paraId="56C2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1133" w:type="dxa"/>
            <w:shd w:val="clear" w:color="auto" w:fill="auto"/>
            <w:tcMar>
              <w:top w:w="120" w:type="dxa"/>
              <w:left w:w="120" w:type="dxa"/>
              <w:bottom w:w="120" w:type="dxa"/>
              <w:right w:w="120" w:type="dxa"/>
            </w:tcMar>
            <w:vAlign w:val="center"/>
          </w:tcPr>
          <w:p w14:paraId="1D807F95">
            <w:pPr>
              <w:wordWrap w:val="0"/>
              <w:spacing w:line="460" w:lineRule="exact"/>
              <w:rPr>
                <w:rFonts w:hint="eastAsia" w:ascii="宋体" w:hAnsi="宋体" w:eastAsia="宋体" w:cs="宋体"/>
                <w:b/>
                <w:bCs/>
                <w:color w:val="auto"/>
                <w:kern w:val="0"/>
                <w:sz w:val="24"/>
              </w:rPr>
            </w:pPr>
            <w:r>
              <w:rPr>
                <w:rFonts w:hint="eastAsia" w:ascii="宋体" w:hAnsi="宋体" w:eastAsia="宋体" w:cs="宋体"/>
                <w:b/>
                <w:bCs/>
                <w:color w:val="auto"/>
                <w:kern w:val="0"/>
                <w:sz w:val="24"/>
              </w:rPr>
              <w:t>序号</w:t>
            </w:r>
          </w:p>
        </w:tc>
        <w:tc>
          <w:tcPr>
            <w:tcW w:w="2659" w:type="dxa"/>
            <w:shd w:val="clear" w:color="auto" w:fill="auto"/>
            <w:tcMar>
              <w:top w:w="120" w:type="dxa"/>
              <w:left w:w="120" w:type="dxa"/>
              <w:bottom w:w="120" w:type="dxa"/>
              <w:right w:w="120" w:type="dxa"/>
            </w:tcMar>
            <w:vAlign w:val="center"/>
          </w:tcPr>
          <w:p w14:paraId="65AB4A13">
            <w:pPr>
              <w:wordWrap w:val="0"/>
              <w:spacing w:line="460" w:lineRule="exact"/>
              <w:rPr>
                <w:rFonts w:hint="eastAsia" w:ascii="宋体" w:hAnsi="宋体" w:eastAsia="宋体" w:cs="宋体"/>
                <w:b/>
                <w:bCs/>
                <w:color w:val="auto"/>
                <w:kern w:val="0"/>
                <w:sz w:val="24"/>
              </w:rPr>
            </w:pPr>
            <w:r>
              <w:rPr>
                <w:rFonts w:hint="eastAsia" w:ascii="宋体" w:hAnsi="宋体" w:eastAsia="宋体" w:cs="宋体"/>
                <w:b/>
                <w:bCs/>
                <w:color w:val="auto"/>
                <w:kern w:val="0"/>
                <w:sz w:val="24"/>
              </w:rPr>
              <w:t>直接管理关系单位名称</w:t>
            </w:r>
          </w:p>
        </w:tc>
        <w:tc>
          <w:tcPr>
            <w:tcW w:w="3924" w:type="dxa"/>
            <w:shd w:val="clear" w:color="auto" w:fill="auto"/>
            <w:tcMar>
              <w:top w:w="120" w:type="dxa"/>
              <w:left w:w="120" w:type="dxa"/>
              <w:bottom w:w="120" w:type="dxa"/>
              <w:right w:w="120" w:type="dxa"/>
            </w:tcMar>
            <w:vAlign w:val="center"/>
          </w:tcPr>
          <w:p w14:paraId="774597A9">
            <w:pPr>
              <w:wordWrap w:val="0"/>
              <w:spacing w:line="460" w:lineRule="exact"/>
              <w:rPr>
                <w:rFonts w:hint="eastAsia" w:ascii="宋体" w:hAnsi="宋体" w:eastAsia="宋体" w:cs="宋体"/>
                <w:b/>
                <w:bCs/>
                <w:color w:val="auto"/>
                <w:kern w:val="0"/>
                <w:sz w:val="24"/>
              </w:rPr>
            </w:pPr>
            <w:r>
              <w:rPr>
                <w:rFonts w:hint="eastAsia" w:ascii="宋体" w:hAnsi="宋体" w:eastAsia="宋体" w:cs="宋体"/>
                <w:b/>
                <w:bCs/>
                <w:color w:val="auto"/>
                <w:kern w:val="0"/>
                <w:sz w:val="24"/>
              </w:rPr>
              <w:t>统一社会信用代码</w:t>
            </w:r>
          </w:p>
        </w:tc>
        <w:tc>
          <w:tcPr>
            <w:tcW w:w="1455" w:type="dxa"/>
            <w:shd w:val="clear" w:color="auto" w:fill="auto"/>
            <w:tcMar>
              <w:top w:w="120" w:type="dxa"/>
              <w:left w:w="120" w:type="dxa"/>
              <w:bottom w:w="120" w:type="dxa"/>
              <w:right w:w="120" w:type="dxa"/>
            </w:tcMar>
            <w:vAlign w:val="center"/>
          </w:tcPr>
          <w:p w14:paraId="43D829A7">
            <w:pPr>
              <w:wordWrap w:val="0"/>
              <w:spacing w:line="460" w:lineRule="exact"/>
              <w:rPr>
                <w:rFonts w:hint="eastAsia" w:ascii="宋体" w:hAnsi="宋体" w:eastAsia="宋体" w:cs="宋体"/>
                <w:b/>
                <w:bCs/>
                <w:color w:val="auto"/>
                <w:kern w:val="0"/>
                <w:sz w:val="24"/>
              </w:rPr>
            </w:pPr>
            <w:r>
              <w:rPr>
                <w:rFonts w:hint="eastAsia" w:ascii="宋体" w:hAnsi="宋体" w:eastAsia="宋体" w:cs="宋体"/>
                <w:b/>
                <w:bCs/>
                <w:color w:val="auto"/>
                <w:kern w:val="0"/>
                <w:sz w:val="24"/>
              </w:rPr>
              <w:t>备注</w:t>
            </w:r>
          </w:p>
        </w:tc>
      </w:tr>
      <w:tr w14:paraId="2055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33" w:type="dxa"/>
            <w:shd w:val="clear" w:color="auto" w:fill="auto"/>
            <w:tcMar>
              <w:top w:w="120" w:type="dxa"/>
              <w:left w:w="120" w:type="dxa"/>
              <w:bottom w:w="120" w:type="dxa"/>
              <w:right w:w="120" w:type="dxa"/>
            </w:tcMar>
            <w:vAlign w:val="center"/>
          </w:tcPr>
          <w:p w14:paraId="07FAAB18">
            <w:pPr>
              <w:wordWrap w:val="0"/>
              <w:spacing w:line="460" w:lineRule="exact"/>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2659" w:type="dxa"/>
            <w:shd w:val="clear" w:color="auto" w:fill="auto"/>
            <w:tcMar>
              <w:top w:w="120" w:type="dxa"/>
              <w:left w:w="120" w:type="dxa"/>
              <w:bottom w:w="120" w:type="dxa"/>
              <w:right w:w="120" w:type="dxa"/>
            </w:tcMar>
            <w:vAlign w:val="center"/>
          </w:tcPr>
          <w:p w14:paraId="36826919">
            <w:pPr>
              <w:wordWrap w:val="0"/>
              <w:spacing w:line="460" w:lineRule="exact"/>
              <w:rPr>
                <w:rFonts w:hint="eastAsia" w:ascii="宋体" w:hAnsi="宋体" w:eastAsia="宋体" w:cs="宋体"/>
                <w:color w:val="auto"/>
                <w:kern w:val="0"/>
                <w:sz w:val="24"/>
              </w:rPr>
            </w:pPr>
          </w:p>
        </w:tc>
        <w:tc>
          <w:tcPr>
            <w:tcW w:w="3924" w:type="dxa"/>
            <w:shd w:val="clear" w:color="auto" w:fill="auto"/>
            <w:tcMar>
              <w:top w:w="120" w:type="dxa"/>
              <w:left w:w="120" w:type="dxa"/>
              <w:bottom w:w="120" w:type="dxa"/>
              <w:right w:w="120" w:type="dxa"/>
            </w:tcMar>
            <w:vAlign w:val="center"/>
          </w:tcPr>
          <w:p w14:paraId="4406B275">
            <w:pPr>
              <w:wordWrap w:val="0"/>
              <w:spacing w:line="460" w:lineRule="exact"/>
              <w:rPr>
                <w:rFonts w:hint="eastAsia" w:ascii="宋体" w:hAnsi="宋体" w:eastAsia="宋体" w:cs="宋体"/>
                <w:color w:val="auto"/>
                <w:kern w:val="0"/>
                <w:sz w:val="24"/>
              </w:rPr>
            </w:pPr>
          </w:p>
        </w:tc>
        <w:tc>
          <w:tcPr>
            <w:tcW w:w="1455" w:type="dxa"/>
            <w:shd w:val="clear" w:color="auto" w:fill="auto"/>
            <w:tcMar>
              <w:top w:w="120" w:type="dxa"/>
              <w:left w:w="120" w:type="dxa"/>
              <w:bottom w:w="120" w:type="dxa"/>
              <w:right w:w="120" w:type="dxa"/>
            </w:tcMar>
            <w:vAlign w:val="center"/>
          </w:tcPr>
          <w:p w14:paraId="4FF90C31">
            <w:pPr>
              <w:wordWrap w:val="0"/>
              <w:spacing w:line="460" w:lineRule="exact"/>
              <w:rPr>
                <w:rFonts w:hint="eastAsia" w:ascii="宋体" w:hAnsi="宋体" w:eastAsia="宋体" w:cs="宋体"/>
                <w:color w:val="auto"/>
                <w:kern w:val="0"/>
                <w:sz w:val="24"/>
              </w:rPr>
            </w:pPr>
          </w:p>
        </w:tc>
      </w:tr>
      <w:tr w14:paraId="68BB3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33" w:type="dxa"/>
            <w:shd w:val="clear" w:color="auto" w:fill="auto"/>
            <w:tcMar>
              <w:top w:w="120" w:type="dxa"/>
              <w:left w:w="120" w:type="dxa"/>
              <w:bottom w:w="120" w:type="dxa"/>
              <w:right w:w="120" w:type="dxa"/>
            </w:tcMar>
            <w:vAlign w:val="center"/>
          </w:tcPr>
          <w:p w14:paraId="0F976231">
            <w:pPr>
              <w:wordWrap w:val="0"/>
              <w:spacing w:line="460" w:lineRule="exact"/>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2659" w:type="dxa"/>
            <w:shd w:val="clear" w:color="auto" w:fill="auto"/>
            <w:tcMar>
              <w:top w:w="120" w:type="dxa"/>
              <w:left w:w="120" w:type="dxa"/>
              <w:bottom w:w="120" w:type="dxa"/>
              <w:right w:w="120" w:type="dxa"/>
            </w:tcMar>
            <w:vAlign w:val="center"/>
          </w:tcPr>
          <w:p w14:paraId="3D9E98EA">
            <w:pPr>
              <w:wordWrap w:val="0"/>
              <w:spacing w:line="460" w:lineRule="exact"/>
              <w:rPr>
                <w:rFonts w:hint="eastAsia" w:ascii="宋体" w:hAnsi="宋体" w:eastAsia="宋体" w:cs="宋体"/>
                <w:color w:val="auto"/>
                <w:kern w:val="0"/>
                <w:sz w:val="24"/>
              </w:rPr>
            </w:pPr>
          </w:p>
        </w:tc>
        <w:tc>
          <w:tcPr>
            <w:tcW w:w="3924" w:type="dxa"/>
            <w:shd w:val="clear" w:color="auto" w:fill="auto"/>
            <w:tcMar>
              <w:top w:w="120" w:type="dxa"/>
              <w:left w:w="120" w:type="dxa"/>
              <w:bottom w:w="120" w:type="dxa"/>
              <w:right w:w="120" w:type="dxa"/>
            </w:tcMar>
            <w:vAlign w:val="center"/>
          </w:tcPr>
          <w:p w14:paraId="085D1BCF">
            <w:pPr>
              <w:wordWrap w:val="0"/>
              <w:spacing w:line="460" w:lineRule="exact"/>
              <w:rPr>
                <w:rFonts w:hint="eastAsia" w:ascii="宋体" w:hAnsi="宋体" w:eastAsia="宋体" w:cs="宋体"/>
                <w:color w:val="auto"/>
                <w:kern w:val="0"/>
                <w:sz w:val="24"/>
              </w:rPr>
            </w:pPr>
          </w:p>
        </w:tc>
        <w:tc>
          <w:tcPr>
            <w:tcW w:w="1455" w:type="dxa"/>
            <w:shd w:val="clear" w:color="auto" w:fill="auto"/>
            <w:tcMar>
              <w:top w:w="120" w:type="dxa"/>
              <w:left w:w="120" w:type="dxa"/>
              <w:bottom w:w="120" w:type="dxa"/>
              <w:right w:w="120" w:type="dxa"/>
            </w:tcMar>
            <w:vAlign w:val="center"/>
          </w:tcPr>
          <w:p w14:paraId="77007CA8">
            <w:pPr>
              <w:wordWrap w:val="0"/>
              <w:spacing w:line="460" w:lineRule="exact"/>
              <w:rPr>
                <w:rFonts w:hint="eastAsia" w:ascii="宋体" w:hAnsi="宋体" w:eastAsia="宋体" w:cs="宋体"/>
                <w:color w:val="auto"/>
                <w:kern w:val="0"/>
                <w:sz w:val="24"/>
              </w:rPr>
            </w:pPr>
          </w:p>
        </w:tc>
      </w:tr>
      <w:tr w14:paraId="48412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33" w:type="dxa"/>
            <w:shd w:val="clear" w:color="auto" w:fill="auto"/>
            <w:tcMar>
              <w:top w:w="120" w:type="dxa"/>
              <w:left w:w="120" w:type="dxa"/>
              <w:bottom w:w="120" w:type="dxa"/>
              <w:right w:w="120" w:type="dxa"/>
            </w:tcMar>
            <w:vAlign w:val="center"/>
          </w:tcPr>
          <w:p w14:paraId="720DFEDA">
            <w:pPr>
              <w:wordWrap w:val="0"/>
              <w:spacing w:line="460" w:lineRule="exact"/>
              <w:rPr>
                <w:rFonts w:hint="eastAsia" w:ascii="宋体" w:hAnsi="宋体" w:eastAsia="宋体" w:cs="宋体"/>
                <w:color w:val="auto"/>
                <w:kern w:val="0"/>
                <w:sz w:val="24"/>
              </w:rPr>
            </w:pPr>
            <w:r>
              <w:rPr>
                <w:rFonts w:hint="eastAsia" w:ascii="宋体" w:hAnsi="宋体" w:eastAsia="宋体" w:cs="宋体"/>
                <w:color w:val="auto"/>
                <w:kern w:val="0"/>
                <w:sz w:val="24"/>
              </w:rPr>
              <w:t>3</w:t>
            </w:r>
          </w:p>
        </w:tc>
        <w:tc>
          <w:tcPr>
            <w:tcW w:w="2659" w:type="dxa"/>
            <w:shd w:val="clear" w:color="auto" w:fill="auto"/>
            <w:tcMar>
              <w:top w:w="120" w:type="dxa"/>
              <w:left w:w="120" w:type="dxa"/>
              <w:bottom w:w="120" w:type="dxa"/>
              <w:right w:w="120" w:type="dxa"/>
            </w:tcMar>
            <w:vAlign w:val="center"/>
          </w:tcPr>
          <w:p w14:paraId="1DF6DC0C">
            <w:pPr>
              <w:wordWrap w:val="0"/>
              <w:spacing w:line="460" w:lineRule="exact"/>
              <w:rPr>
                <w:rFonts w:hint="eastAsia" w:ascii="宋体" w:hAnsi="宋体" w:eastAsia="宋体" w:cs="宋体"/>
                <w:color w:val="auto"/>
                <w:kern w:val="0"/>
                <w:sz w:val="24"/>
              </w:rPr>
            </w:pPr>
          </w:p>
        </w:tc>
        <w:tc>
          <w:tcPr>
            <w:tcW w:w="3924" w:type="dxa"/>
            <w:shd w:val="clear" w:color="auto" w:fill="auto"/>
            <w:tcMar>
              <w:top w:w="120" w:type="dxa"/>
              <w:left w:w="120" w:type="dxa"/>
              <w:bottom w:w="120" w:type="dxa"/>
              <w:right w:w="120" w:type="dxa"/>
            </w:tcMar>
            <w:vAlign w:val="center"/>
          </w:tcPr>
          <w:p w14:paraId="22646CBD">
            <w:pPr>
              <w:wordWrap w:val="0"/>
              <w:spacing w:line="460" w:lineRule="exact"/>
              <w:rPr>
                <w:rFonts w:hint="eastAsia" w:ascii="宋体" w:hAnsi="宋体" w:eastAsia="宋体" w:cs="宋体"/>
                <w:color w:val="auto"/>
                <w:kern w:val="0"/>
                <w:sz w:val="24"/>
              </w:rPr>
            </w:pPr>
          </w:p>
        </w:tc>
        <w:tc>
          <w:tcPr>
            <w:tcW w:w="1455" w:type="dxa"/>
            <w:shd w:val="clear" w:color="auto" w:fill="auto"/>
            <w:tcMar>
              <w:top w:w="120" w:type="dxa"/>
              <w:left w:w="120" w:type="dxa"/>
              <w:bottom w:w="120" w:type="dxa"/>
              <w:right w:w="120" w:type="dxa"/>
            </w:tcMar>
            <w:vAlign w:val="center"/>
          </w:tcPr>
          <w:p w14:paraId="01AC40DE">
            <w:pPr>
              <w:wordWrap w:val="0"/>
              <w:spacing w:line="460" w:lineRule="exact"/>
              <w:rPr>
                <w:rFonts w:hint="eastAsia" w:ascii="宋体" w:hAnsi="宋体" w:eastAsia="宋体" w:cs="宋体"/>
                <w:color w:val="auto"/>
                <w:kern w:val="0"/>
                <w:sz w:val="24"/>
              </w:rPr>
            </w:pPr>
          </w:p>
        </w:tc>
      </w:tr>
      <w:tr w14:paraId="53B4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33" w:type="dxa"/>
            <w:shd w:val="clear" w:color="auto" w:fill="auto"/>
            <w:tcMar>
              <w:top w:w="120" w:type="dxa"/>
              <w:left w:w="120" w:type="dxa"/>
              <w:bottom w:w="120" w:type="dxa"/>
              <w:right w:w="120" w:type="dxa"/>
            </w:tcMar>
            <w:vAlign w:val="center"/>
          </w:tcPr>
          <w:p w14:paraId="07584938">
            <w:pPr>
              <w:wordWrap w:val="0"/>
              <w:spacing w:line="460" w:lineRule="exact"/>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2659" w:type="dxa"/>
            <w:shd w:val="clear" w:color="auto" w:fill="auto"/>
            <w:tcMar>
              <w:top w:w="120" w:type="dxa"/>
              <w:left w:w="120" w:type="dxa"/>
              <w:bottom w:w="120" w:type="dxa"/>
              <w:right w:w="120" w:type="dxa"/>
            </w:tcMar>
            <w:vAlign w:val="center"/>
          </w:tcPr>
          <w:p w14:paraId="60FDA1D7">
            <w:pPr>
              <w:wordWrap w:val="0"/>
              <w:spacing w:line="460" w:lineRule="exact"/>
              <w:rPr>
                <w:rFonts w:hint="eastAsia" w:ascii="宋体" w:hAnsi="宋体" w:eastAsia="宋体" w:cs="宋体"/>
                <w:color w:val="auto"/>
                <w:kern w:val="0"/>
                <w:sz w:val="24"/>
              </w:rPr>
            </w:pPr>
          </w:p>
        </w:tc>
        <w:tc>
          <w:tcPr>
            <w:tcW w:w="3924" w:type="dxa"/>
            <w:shd w:val="clear" w:color="auto" w:fill="auto"/>
            <w:tcMar>
              <w:top w:w="120" w:type="dxa"/>
              <w:left w:w="120" w:type="dxa"/>
              <w:bottom w:w="120" w:type="dxa"/>
              <w:right w:w="120" w:type="dxa"/>
            </w:tcMar>
            <w:vAlign w:val="center"/>
          </w:tcPr>
          <w:p w14:paraId="7D368D4B">
            <w:pPr>
              <w:wordWrap w:val="0"/>
              <w:spacing w:line="460" w:lineRule="exact"/>
              <w:rPr>
                <w:rFonts w:hint="eastAsia" w:ascii="宋体" w:hAnsi="宋体" w:eastAsia="宋体" w:cs="宋体"/>
                <w:color w:val="auto"/>
                <w:kern w:val="0"/>
                <w:sz w:val="24"/>
              </w:rPr>
            </w:pPr>
          </w:p>
        </w:tc>
        <w:tc>
          <w:tcPr>
            <w:tcW w:w="1455" w:type="dxa"/>
            <w:shd w:val="clear" w:color="auto" w:fill="auto"/>
            <w:tcMar>
              <w:top w:w="120" w:type="dxa"/>
              <w:left w:w="120" w:type="dxa"/>
              <w:bottom w:w="120" w:type="dxa"/>
              <w:right w:w="120" w:type="dxa"/>
            </w:tcMar>
            <w:vAlign w:val="center"/>
          </w:tcPr>
          <w:p w14:paraId="30D76E6F">
            <w:pPr>
              <w:wordWrap w:val="0"/>
              <w:spacing w:line="460" w:lineRule="exact"/>
              <w:rPr>
                <w:rFonts w:hint="eastAsia" w:ascii="宋体" w:hAnsi="宋体" w:eastAsia="宋体" w:cs="宋体"/>
                <w:color w:val="auto"/>
                <w:kern w:val="0"/>
                <w:sz w:val="24"/>
              </w:rPr>
            </w:pPr>
          </w:p>
        </w:tc>
      </w:tr>
    </w:tbl>
    <w:p w14:paraId="48D231DE">
      <w:pPr>
        <w:wordWrap w:val="0"/>
        <w:snapToGrid w:val="0"/>
        <w:spacing w:line="360" w:lineRule="auto"/>
        <w:rPr>
          <w:rFonts w:hint="eastAsia" w:ascii="宋体" w:hAnsi="宋体" w:eastAsia="宋体" w:cs="宋体"/>
          <w:color w:val="auto"/>
          <w:sz w:val="24"/>
        </w:rPr>
      </w:pPr>
    </w:p>
    <w:p w14:paraId="42CFDE26">
      <w:pPr>
        <w:wordWrap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注：</w:t>
      </w:r>
    </w:p>
    <w:p w14:paraId="3B8A431A">
      <w:pPr>
        <w:wordWrap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1.管理关系：是指不具有出资持股关系的其他单位之间存在的管理与被管理关系，如一些上下级关系的事业单位和团体组织。</w:t>
      </w:r>
    </w:p>
    <w:p w14:paraId="423D1A7B">
      <w:pPr>
        <w:wordWrap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pacing w:val="-6"/>
          <w:sz w:val="24"/>
        </w:rPr>
        <w:t>本表所指的管理关系仅限于直接管理关系，不包括间接的管理关系。</w:t>
      </w:r>
    </w:p>
    <w:p w14:paraId="3D2DB8F3">
      <w:pPr>
        <w:wordWrap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rPr>
        <w:t>投标人</w:t>
      </w:r>
      <w:r>
        <w:rPr>
          <w:rFonts w:hint="eastAsia" w:ascii="宋体" w:hAnsi="宋体" w:eastAsia="宋体" w:cs="宋体"/>
          <w:color w:val="auto"/>
          <w:sz w:val="24"/>
        </w:rPr>
        <w:t>不存在直接管理关系的，则在“</w:t>
      </w:r>
      <w:r>
        <w:rPr>
          <w:rFonts w:hint="eastAsia" w:ascii="宋体" w:hAnsi="宋体" w:eastAsia="宋体" w:cs="宋体"/>
          <w:b/>
          <w:bCs/>
          <w:color w:val="auto"/>
          <w:kern w:val="0"/>
          <w:sz w:val="24"/>
        </w:rPr>
        <w:t>直接管理关系单位名称</w:t>
      </w:r>
      <w:r>
        <w:rPr>
          <w:rFonts w:hint="eastAsia" w:ascii="宋体" w:hAnsi="宋体" w:eastAsia="宋体" w:cs="宋体"/>
          <w:color w:val="auto"/>
          <w:sz w:val="24"/>
        </w:rPr>
        <w:t>”中填“无”。</w:t>
      </w:r>
    </w:p>
    <w:p w14:paraId="1E1D1B12">
      <w:pPr>
        <w:wordWrap w:val="0"/>
        <w:snapToGrid w:val="0"/>
        <w:spacing w:line="360" w:lineRule="auto"/>
        <w:rPr>
          <w:rFonts w:hint="eastAsia" w:ascii="宋体" w:hAnsi="宋体" w:eastAsia="宋体" w:cs="宋体"/>
          <w:color w:val="auto"/>
          <w:sz w:val="24"/>
        </w:rPr>
      </w:pPr>
    </w:p>
    <w:p w14:paraId="5DA43E61">
      <w:pPr>
        <w:wordWrap w:val="0"/>
        <w:snapToGrid w:val="0"/>
        <w:spacing w:line="360" w:lineRule="auto"/>
        <w:rPr>
          <w:rFonts w:hint="eastAsia" w:ascii="宋体" w:hAnsi="宋体" w:eastAsia="宋体" w:cs="宋体"/>
          <w:color w:val="auto"/>
          <w:sz w:val="24"/>
        </w:rPr>
      </w:pPr>
    </w:p>
    <w:p w14:paraId="00F9FBF7">
      <w:pPr>
        <w:wordWrap w:val="0"/>
        <w:snapToGrid w:val="0"/>
        <w:spacing w:line="360" w:lineRule="auto"/>
        <w:rPr>
          <w:rFonts w:hint="eastAsia" w:ascii="宋体" w:hAnsi="宋体" w:eastAsia="宋体" w:cs="宋体"/>
          <w:color w:val="auto"/>
          <w:sz w:val="24"/>
        </w:rPr>
      </w:pPr>
    </w:p>
    <w:p w14:paraId="1143D55A">
      <w:pPr>
        <w:wordWrap w:val="0"/>
        <w:snapToGrid w:val="0"/>
        <w:spacing w:line="360" w:lineRule="auto"/>
        <w:rPr>
          <w:rFonts w:hint="eastAsia" w:ascii="宋体" w:hAnsi="宋体" w:eastAsia="宋体" w:cs="宋体"/>
          <w:color w:val="auto"/>
          <w:sz w:val="24"/>
        </w:rPr>
      </w:pPr>
    </w:p>
    <w:p w14:paraId="725C8E06">
      <w:pPr>
        <w:wordWrap w:val="0"/>
        <w:spacing w:line="360" w:lineRule="auto"/>
        <w:ind w:left="3990" w:leftChars="1900"/>
        <w:contextualSpacing/>
        <w:rPr>
          <w:rFonts w:hint="eastAsia" w:ascii="宋体" w:hAnsi="宋体" w:eastAsia="宋体" w:cs="宋体"/>
          <w:color w:val="auto"/>
          <w:sz w:val="24"/>
          <w:u w:val="single"/>
        </w:rPr>
      </w:pPr>
      <w:r>
        <w:rPr>
          <w:rFonts w:hint="eastAsia" w:ascii="宋体" w:hAnsi="宋体" w:eastAsia="宋体" w:cs="宋体"/>
          <w:color w:val="auto"/>
          <w:sz w:val="24"/>
        </w:rPr>
        <w:t>投标人</w:t>
      </w:r>
      <w:r>
        <w:rPr>
          <w:rFonts w:hint="eastAsia" w:ascii="宋体" w:hAnsi="宋体" w:eastAsia="宋体" w:cs="宋体"/>
          <w:color w:val="auto"/>
          <w:sz w:val="24"/>
        </w:rPr>
        <w:t>（电子签章）</w:t>
      </w:r>
      <w:r>
        <w:rPr>
          <w:rFonts w:hint="eastAsia" w:ascii="宋体" w:hAnsi="宋体" w:eastAsia="宋体" w:cs="宋体"/>
          <w:color w:val="auto"/>
          <w:sz w:val="24"/>
        </w:rPr>
        <w:t>：</w:t>
      </w:r>
    </w:p>
    <w:p w14:paraId="63C16796">
      <w:pPr>
        <w:wordWrap w:val="0"/>
        <w:spacing w:line="360" w:lineRule="auto"/>
        <w:ind w:left="3990" w:leftChars="1900"/>
        <w:contextualSpacing/>
        <w:rPr>
          <w:rFonts w:hint="eastAsia" w:ascii="宋体" w:hAnsi="宋体" w:eastAsia="宋体" w:cs="宋体"/>
          <w:b/>
          <w:color w:val="auto"/>
          <w:sz w:val="24"/>
        </w:rPr>
      </w:pPr>
      <w:r>
        <w:rPr>
          <w:rFonts w:hint="eastAsia" w:ascii="宋体" w:hAnsi="宋体" w:eastAsia="宋体" w:cs="宋体"/>
          <w:color w:val="auto"/>
          <w:sz w:val="24"/>
        </w:rPr>
        <w:t>日期：年月日</w:t>
      </w:r>
    </w:p>
    <w:p w14:paraId="0DAFE134">
      <w:pPr>
        <w:wordWrap w:val="0"/>
        <w:snapToGrid w:val="0"/>
        <w:spacing w:before="120" w:beforeLines="50" w:after="50"/>
        <w:rPr>
          <w:rFonts w:hint="eastAsia" w:ascii="宋体" w:hAnsi="宋体" w:eastAsia="宋体" w:cs="宋体"/>
          <w:b/>
          <w:color w:val="auto"/>
          <w:sz w:val="24"/>
          <w:szCs w:val="20"/>
        </w:rPr>
      </w:pPr>
    </w:p>
    <w:p w14:paraId="2F5F3719">
      <w:pPr>
        <w:tabs>
          <w:tab w:val="left" w:pos="1815"/>
        </w:tabs>
        <w:wordWrap w:val="0"/>
        <w:snapToGrid w:val="0"/>
        <w:spacing w:before="120" w:beforeLines="50" w:after="50" w:line="360" w:lineRule="auto"/>
        <w:outlineLvl w:val="2"/>
        <w:rPr>
          <w:rFonts w:hint="eastAsia" w:ascii="宋体" w:hAnsi="宋体" w:eastAsia="宋体" w:cs="宋体"/>
          <w:b/>
          <w:color w:val="auto"/>
          <w:sz w:val="24"/>
          <w:szCs w:val="20"/>
        </w:rPr>
      </w:pPr>
      <w:r>
        <w:rPr>
          <w:rFonts w:hint="eastAsia" w:ascii="宋体" w:hAnsi="宋体" w:eastAsia="宋体" w:cs="宋体"/>
          <w:b/>
          <w:color w:val="auto"/>
          <w:sz w:val="24"/>
        </w:rPr>
        <w:br w:type="page"/>
      </w:r>
      <w:r>
        <w:rPr>
          <w:rFonts w:hint="eastAsia" w:ascii="宋体" w:hAnsi="宋体" w:eastAsia="宋体" w:cs="宋体"/>
          <w:b/>
          <w:color w:val="auto"/>
          <w:sz w:val="24"/>
        </w:rPr>
        <w:t>4.投标资格声明函</w:t>
      </w:r>
    </w:p>
    <w:p w14:paraId="72D17E30">
      <w:pPr>
        <w:snapToGrid w:val="0"/>
        <w:spacing w:before="50" w:after="50"/>
        <w:jc w:val="center"/>
        <w:rPr>
          <w:rFonts w:hint="eastAsia" w:ascii="宋体" w:hAnsi="宋体" w:eastAsia="宋体" w:cs="宋体"/>
          <w:b/>
          <w:color w:val="auto"/>
          <w:sz w:val="32"/>
        </w:rPr>
      </w:pPr>
      <w:bookmarkStart w:id="220" w:name="OLE_LINK69"/>
      <w:bookmarkStart w:id="221" w:name="OLE_LINK68"/>
      <w:r>
        <w:rPr>
          <w:rFonts w:hint="eastAsia" w:ascii="宋体" w:hAnsi="宋体" w:eastAsia="宋体" w:cs="宋体"/>
          <w:b/>
          <w:color w:val="auto"/>
          <w:sz w:val="32"/>
          <w:szCs w:val="32"/>
        </w:rPr>
        <w:t>投标资格声明函</w:t>
      </w:r>
      <w:bookmarkEnd w:id="220"/>
      <w:bookmarkEnd w:id="221"/>
    </w:p>
    <w:p w14:paraId="69E2FBE9">
      <w:pPr>
        <w:tabs>
          <w:tab w:val="left" w:pos="7200"/>
        </w:tabs>
        <w:wordWrap w:val="0"/>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致：</w:t>
      </w:r>
      <w:r>
        <w:rPr>
          <w:rFonts w:hint="eastAsia" w:ascii="宋体" w:hAnsi="宋体" w:eastAsia="宋体" w:cs="宋体"/>
          <w:color w:val="auto"/>
          <w:sz w:val="24"/>
          <w:u w:val="single"/>
        </w:rPr>
        <w:t>（采购人</w:t>
      </w:r>
      <w:r>
        <w:rPr>
          <w:rFonts w:hint="eastAsia" w:ascii="宋体" w:hAnsi="宋体" w:eastAsia="宋体" w:cs="宋体"/>
          <w:color w:val="auto"/>
          <w:sz w:val="24"/>
          <w:u w:val="single"/>
        </w:rPr>
        <w:t>/采购代理机构）</w:t>
      </w:r>
    </w:p>
    <w:p w14:paraId="43E6F8E1">
      <w:pPr>
        <w:wordWrap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我方愿意参加贵方组织的</w:t>
      </w:r>
      <w:bookmarkStart w:id="222" w:name="OLE_LINK282"/>
      <w:bookmarkStart w:id="223" w:name="OLE_LINK283"/>
      <w:r>
        <w:rPr>
          <w:rFonts w:hint="eastAsia" w:ascii="宋体" w:hAnsi="宋体" w:eastAsia="宋体" w:cs="宋体"/>
          <w:color w:val="auto"/>
          <w:sz w:val="24"/>
          <w:u w:val="single"/>
        </w:rPr>
        <w:t>（项目名称</w:t>
      </w:r>
      <w:r>
        <w:rPr>
          <w:rFonts w:hint="eastAsia" w:ascii="宋体" w:hAnsi="宋体" w:eastAsia="宋体" w:cs="宋体"/>
          <w:color w:val="auto"/>
          <w:sz w:val="24"/>
          <w:u w:val="single"/>
        </w:rPr>
        <w:t>/项目编号</w:t>
      </w:r>
      <w:r>
        <w:rPr>
          <w:rFonts w:hint="eastAsia" w:ascii="宋体" w:hAnsi="宋体" w:eastAsia="宋体" w:cs="宋体"/>
          <w:color w:val="auto"/>
          <w:sz w:val="24"/>
        </w:rPr>
        <w:t>）</w:t>
      </w:r>
      <w:bookmarkEnd w:id="222"/>
      <w:bookmarkEnd w:id="223"/>
      <w:r>
        <w:rPr>
          <w:rFonts w:hint="eastAsia" w:ascii="宋体" w:hAnsi="宋体" w:eastAsia="宋体" w:cs="宋体"/>
          <w:color w:val="auto"/>
          <w:sz w:val="24"/>
        </w:rPr>
        <w:t>项目的投标，</w:t>
      </w:r>
      <w:bookmarkStart w:id="224" w:name="OLE_LINK71"/>
      <w:bookmarkStart w:id="225" w:name="OLE_LINK70"/>
      <w:r>
        <w:rPr>
          <w:rFonts w:hint="eastAsia" w:ascii="宋体" w:hAnsi="宋体" w:eastAsia="宋体" w:cs="宋体"/>
          <w:color w:val="auto"/>
          <w:sz w:val="24"/>
        </w:rPr>
        <w:t>为便于贵方公正、择优地确定中标人，我方就本次投标有关事项郑重声明如下：</w:t>
      </w:r>
      <w:bookmarkEnd w:id="224"/>
      <w:bookmarkEnd w:id="225"/>
    </w:p>
    <w:p w14:paraId="0EE6A469">
      <w:pPr>
        <w:wordWrap w:val="0"/>
        <w:snapToGrid w:val="0"/>
        <w:spacing w:line="360" w:lineRule="auto"/>
        <w:ind w:firstLine="480" w:firstLineChars="200"/>
        <w:rPr>
          <w:rFonts w:hint="eastAsia" w:ascii="宋体" w:hAnsi="宋体" w:eastAsia="宋体" w:cs="宋体"/>
          <w:color w:val="auto"/>
          <w:sz w:val="24"/>
        </w:rPr>
      </w:pPr>
      <w:bookmarkStart w:id="226" w:name="OLE_LINK73"/>
      <w:bookmarkStart w:id="227" w:name="OLE_LINK72"/>
      <w:r>
        <w:rPr>
          <w:rFonts w:hint="eastAsia" w:ascii="宋体" w:hAnsi="宋体" w:eastAsia="宋体" w:cs="宋体"/>
          <w:color w:val="auto"/>
          <w:sz w:val="24"/>
        </w:rPr>
        <w:t>1.我方承诺已经具备《中华人民共和国政府采购法》第二十二条中规定的参加政府采购活动的</w:t>
      </w:r>
      <w:r>
        <w:rPr>
          <w:rFonts w:hint="eastAsia" w:ascii="宋体" w:hAnsi="宋体" w:eastAsia="宋体" w:cs="宋体"/>
          <w:color w:val="auto"/>
          <w:sz w:val="24"/>
        </w:rPr>
        <w:t>投标人</w:t>
      </w:r>
      <w:r>
        <w:rPr>
          <w:rFonts w:hint="eastAsia" w:ascii="宋体" w:hAnsi="宋体" w:eastAsia="宋体" w:cs="宋体"/>
          <w:color w:val="auto"/>
          <w:sz w:val="24"/>
        </w:rPr>
        <w:t>应当具备的条件并按本项目投标文件“第三章”“第二节投标人须知前附表”中“资格证明文件组成”完整提供证明材料。</w:t>
      </w:r>
    </w:p>
    <w:p w14:paraId="413E0D5C">
      <w:pPr>
        <w:wordWrap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2.我方不是为本次采购项目提供整体设计、规范编制或者项目管理、监理、检测等服务的</w:t>
      </w:r>
      <w:r>
        <w:rPr>
          <w:rFonts w:hint="eastAsia" w:ascii="宋体" w:hAnsi="宋体" w:eastAsia="宋体" w:cs="宋体"/>
          <w:color w:val="auto"/>
          <w:sz w:val="24"/>
        </w:rPr>
        <w:t>投标人</w:t>
      </w:r>
      <w:r>
        <w:rPr>
          <w:rFonts w:hint="eastAsia" w:ascii="宋体" w:hAnsi="宋体" w:eastAsia="宋体" w:cs="宋体"/>
          <w:color w:val="auto"/>
          <w:sz w:val="24"/>
        </w:rPr>
        <w:t>；在获知本项目采购信息后，与采购人聘请的为此项目提供咨询服务的公司及其附属机构没有任何联系。</w:t>
      </w:r>
    </w:p>
    <w:p w14:paraId="04936BA0">
      <w:pPr>
        <w:wordWrap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3.经查询，在“信用中国”和“中国政府采购网”网站我方未被列入失信被执行人、重大税收违法失信主体、政府采购严重违法失信行为记录名单。</w:t>
      </w:r>
    </w:p>
    <w:p w14:paraId="26948D80">
      <w:pPr>
        <w:wordWrap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4.以上事项如有虚假或隐瞒，我方愿意承担一切后果，并不再寻求任何旨在减轻或免除法律责任的辩解。</w:t>
      </w:r>
    </w:p>
    <w:bookmarkEnd w:id="226"/>
    <w:bookmarkEnd w:id="227"/>
    <w:p w14:paraId="2C054011">
      <w:pPr>
        <w:tabs>
          <w:tab w:val="left" w:pos="7200"/>
        </w:tabs>
        <w:wordWrap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说明：</w:t>
      </w:r>
    </w:p>
    <w:p w14:paraId="60779A79">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投标人应当通过“信用中国”（www.creditchina.gov.cn）和“中国政府采购网”网站（www.ccgp.gov.cn）查询投标人相关主体的信用记录。查询时间为本项目招标公告发布之日起至投标截止时间中任意一天。对列入失信被执行人、重大税收违法失信主体、政府采购严重违法失信行为记录名单的投标人，将被拒绝参与本项目政府采购活动。</w:t>
      </w:r>
    </w:p>
    <w:p w14:paraId="676E0D0A">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2.两个以上的自然人、法人或者其他组织组成一个联合体，以一个</w:t>
      </w:r>
      <w:r>
        <w:rPr>
          <w:rFonts w:hint="eastAsia" w:ascii="宋体" w:hAnsi="宋体" w:eastAsia="宋体" w:cs="宋体"/>
          <w:color w:val="auto"/>
          <w:sz w:val="24"/>
        </w:rPr>
        <w:t>投标人</w:t>
      </w:r>
      <w:r>
        <w:rPr>
          <w:rFonts w:hint="eastAsia" w:ascii="宋体" w:hAnsi="宋体" w:eastAsia="宋体" w:cs="宋体"/>
          <w:color w:val="auto"/>
          <w:sz w:val="24"/>
        </w:rPr>
        <w:t>的身份共同参加政府采购活动的，应当对所有联合体成员进行信用记录查询，联合体成员存在不良信用记录的，视同联合体存在不良信用记录。</w:t>
      </w:r>
    </w:p>
    <w:p w14:paraId="03F726DB">
      <w:pPr>
        <w:wordWrap w:val="0"/>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3.如为联合体投标，盖章处须加盖联合体各方公章，否则投标无效。</w:t>
      </w:r>
    </w:p>
    <w:p w14:paraId="3B9A5A74">
      <w:pPr>
        <w:pStyle w:val="47"/>
        <w:wordWrap w:val="0"/>
        <w:rPr>
          <w:rFonts w:hint="eastAsia" w:ascii="宋体" w:hAnsi="宋体" w:eastAsia="宋体" w:cs="宋体"/>
          <w:color w:val="auto"/>
        </w:rPr>
      </w:pPr>
    </w:p>
    <w:p w14:paraId="2B8CE524">
      <w:pPr>
        <w:wordWrap w:val="0"/>
        <w:spacing w:line="360" w:lineRule="auto"/>
        <w:ind w:firstLine="480" w:firstLineChars="200"/>
        <w:contextualSpacing/>
        <w:rPr>
          <w:rFonts w:hint="eastAsia" w:ascii="宋体" w:hAnsi="宋体" w:eastAsia="宋体" w:cs="宋体"/>
          <w:color w:val="auto"/>
          <w:sz w:val="24"/>
        </w:rPr>
      </w:pPr>
    </w:p>
    <w:p w14:paraId="573F571D">
      <w:pPr>
        <w:wordWrap w:val="0"/>
        <w:spacing w:line="360" w:lineRule="auto"/>
        <w:ind w:left="3990" w:leftChars="1900"/>
        <w:contextualSpacing/>
        <w:rPr>
          <w:rFonts w:hint="eastAsia" w:ascii="宋体" w:hAnsi="宋体" w:eastAsia="宋体" w:cs="宋体"/>
          <w:color w:val="auto"/>
          <w:sz w:val="24"/>
          <w:u w:val="single"/>
        </w:rPr>
      </w:pPr>
      <w:r>
        <w:rPr>
          <w:rFonts w:hint="eastAsia" w:ascii="宋体" w:hAnsi="宋体" w:eastAsia="宋体" w:cs="宋体"/>
          <w:color w:val="auto"/>
          <w:sz w:val="24"/>
        </w:rPr>
        <w:t>投标人</w:t>
      </w:r>
      <w:r>
        <w:rPr>
          <w:rFonts w:hint="eastAsia" w:ascii="宋体" w:hAnsi="宋体" w:eastAsia="宋体" w:cs="宋体"/>
          <w:color w:val="auto"/>
          <w:sz w:val="24"/>
        </w:rPr>
        <w:t>（电子签章）</w:t>
      </w:r>
      <w:r>
        <w:rPr>
          <w:rFonts w:hint="eastAsia" w:ascii="宋体" w:hAnsi="宋体" w:eastAsia="宋体" w:cs="宋体"/>
          <w:color w:val="auto"/>
          <w:sz w:val="24"/>
        </w:rPr>
        <w:t>：</w:t>
      </w:r>
    </w:p>
    <w:p w14:paraId="33FDE6DA">
      <w:pPr>
        <w:wordWrap w:val="0"/>
        <w:spacing w:line="360" w:lineRule="auto"/>
        <w:ind w:left="3990" w:leftChars="1900"/>
        <w:contextualSpacing/>
        <w:rPr>
          <w:rFonts w:hint="eastAsia" w:ascii="宋体" w:hAnsi="宋体" w:eastAsia="宋体" w:cs="宋体"/>
          <w:b/>
          <w:color w:val="auto"/>
          <w:sz w:val="24"/>
        </w:rPr>
      </w:pPr>
      <w:r>
        <w:rPr>
          <w:rFonts w:hint="eastAsia" w:ascii="宋体" w:hAnsi="宋体" w:eastAsia="宋体" w:cs="宋体"/>
          <w:color w:val="auto"/>
          <w:sz w:val="24"/>
        </w:rPr>
        <w:t>日期：年月日</w:t>
      </w:r>
    </w:p>
    <w:p w14:paraId="2E8E0194">
      <w:pPr>
        <w:widowControl/>
        <w:wordWrap w:val="0"/>
        <w:rPr>
          <w:rFonts w:hint="eastAsia" w:ascii="宋体" w:hAnsi="宋体" w:eastAsia="宋体" w:cs="宋体"/>
          <w:color w:val="auto"/>
          <w:kern w:val="0"/>
          <w:sz w:val="24"/>
        </w:rPr>
      </w:pPr>
      <w:r>
        <w:rPr>
          <w:rFonts w:hint="eastAsia" w:ascii="宋体" w:hAnsi="宋体" w:eastAsia="宋体" w:cs="宋体"/>
          <w:color w:val="auto"/>
        </w:rPr>
        <w:br w:type="page"/>
      </w:r>
    </w:p>
    <w:p w14:paraId="18DF5014">
      <w:pPr>
        <w:wordWrap w:val="0"/>
        <w:outlineLvl w:val="1"/>
        <w:rPr>
          <w:rFonts w:hint="eastAsia" w:ascii="宋体" w:hAnsi="宋体" w:eastAsia="宋体" w:cs="宋体"/>
          <w:b/>
          <w:color w:val="auto"/>
          <w:sz w:val="28"/>
          <w:szCs w:val="28"/>
        </w:rPr>
      </w:pPr>
      <w:bookmarkStart w:id="228" w:name="_Toc19686838"/>
      <w:r>
        <w:rPr>
          <w:rFonts w:hint="eastAsia" w:ascii="宋体" w:hAnsi="宋体" w:eastAsia="宋体" w:cs="宋体"/>
          <w:b/>
          <w:color w:val="auto"/>
          <w:sz w:val="28"/>
          <w:szCs w:val="28"/>
        </w:rPr>
        <w:t>三、商务技术文件格式</w:t>
      </w:r>
      <w:bookmarkEnd w:id="228"/>
    </w:p>
    <w:p w14:paraId="4A0FC36A">
      <w:pPr>
        <w:wordWrap w:val="0"/>
        <w:snapToGrid w:val="0"/>
        <w:spacing w:before="120" w:beforeLines="50" w:after="50" w:line="360" w:lineRule="auto"/>
        <w:outlineLvl w:val="2"/>
        <w:rPr>
          <w:rFonts w:hint="eastAsia" w:ascii="宋体" w:hAnsi="宋体" w:eastAsia="宋体" w:cs="宋体"/>
          <w:b/>
          <w:color w:val="auto"/>
          <w:sz w:val="24"/>
        </w:rPr>
      </w:pPr>
      <w:r>
        <w:rPr>
          <w:rFonts w:hint="eastAsia" w:ascii="宋体" w:hAnsi="宋体" w:eastAsia="宋体" w:cs="宋体"/>
          <w:b/>
          <w:color w:val="auto"/>
          <w:sz w:val="24"/>
        </w:rPr>
        <w:t>1.商务技术文件封面格式：</w:t>
      </w:r>
    </w:p>
    <w:p w14:paraId="59C8A388">
      <w:pPr>
        <w:snapToGrid w:val="0"/>
        <w:spacing w:before="120" w:beforeLines="50" w:after="50" w:line="360" w:lineRule="auto"/>
        <w:jc w:val="center"/>
        <w:outlineLvl w:val="3"/>
        <w:rPr>
          <w:rFonts w:hint="eastAsia" w:ascii="宋体" w:hAnsi="宋体" w:eastAsia="宋体" w:cs="宋体"/>
          <w:bCs/>
          <w:color w:val="auto"/>
          <w:sz w:val="48"/>
          <w:szCs w:val="48"/>
        </w:rPr>
      </w:pPr>
      <w:r>
        <w:rPr>
          <w:rFonts w:hint="eastAsia" w:ascii="宋体" w:hAnsi="宋体" w:eastAsia="宋体" w:cs="宋体"/>
          <w:bCs/>
          <w:color w:val="auto"/>
          <w:sz w:val="48"/>
          <w:szCs w:val="48"/>
        </w:rPr>
        <w:t>电子投标文件</w:t>
      </w:r>
    </w:p>
    <w:p w14:paraId="01367313">
      <w:pPr>
        <w:snapToGrid w:val="0"/>
        <w:spacing w:before="120" w:beforeLines="50" w:after="50" w:line="400" w:lineRule="exact"/>
        <w:jc w:val="center"/>
        <w:outlineLvl w:val="3"/>
        <w:rPr>
          <w:rFonts w:hint="eastAsia" w:ascii="宋体" w:hAnsi="宋体" w:eastAsia="宋体" w:cs="宋体"/>
          <w:b/>
          <w:color w:val="auto"/>
          <w:sz w:val="44"/>
          <w:szCs w:val="44"/>
        </w:rPr>
      </w:pPr>
      <w:r>
        <w:rPr>
          <w:rFonts w:hint="eastAsia" w:ascii="宋体" w:hAnsi="宋体" w:eastAsia="宋体" w:cs="宋体"/>
          <w:b/>
          <w:color w:val="auto"/>
          <w:sz w:val="44"/>
          <w:szCs w:val="44"/>
        </w:rPr>
        <w:t>第三部分</w:t>
      </w:r>
      <w:bookmarkStart w:id="229" w:name="OLE_LINK4"/>
      <w:bookmarkStart w:id="230" w:name="OLE_LINK5"/>
      <w:r>
        <w:rPr>
          <w:rFonts w:hint="eastAsia" w:ascii="宋体" w:hAnsi="宋体" w:eastAsia="宋体" w:cs="宋体"/>
          <w:b/>
          <w:color w:val="auto"/>
          <w:sz w:val="44"/>
          <w:szCs w:val="44"/>
        </w:rPr>
        <w:t>商务技术文件</w:t>
      </w:r>
      <w:bookmarkEnd w:id="229"/>
      <w:bookmarkEnd w:id="230"/>
    </w:p>
    <w:p w14:paraId="20E94B23">
      <w:pPr>
        <w:wordWrap w:val="0"/>
        <w:snapToGrid w:val="0"/>
        <w:spacing w:before="120" w:beforeLines="50" w:after="50"/>
        <w:rPr>
          <w:rFonts w:hint="eastAsia" w:ascii="宋体" w:hAnsi="宋体" w:eastAsia="宋体" w:cs="宋体"/>
          <w:bCs/>
          <w:color w:val="auto"/>
          <w:sz w:val="24"/>
          <w:szCs w:val="20"/>
        </w:rPr>
      </w:pPr>
    </w:p>
    <w:p w14:paraId="30F45023">
      <w:pPr>
        <w:wordWrap w:val="0"/>
        <w:snapToGrid w:val="0"/>
        <w:spacing w:before="120" w:beforeLines="50" w:after="50" w:line="400" w:lineRule="exact"/>
        <w:ind w:left="840" w:leftChars="400" w:firstLine="360" w:firstLineChars="150"/>
        <w:rPr>
          <w:rFonts w:hint="eastAsia" w:ascii="宋体" w:hAnsi="宋体" w:eastAsia="宋体" w:cs="宋体"/>
          <w:bCs/>
          <w:color w:val="auto"/>
          <w:sz w:val="24"/>
          <w:u w:val="single"/>
        </w:rPr>
      </w:pPr>
      <w:r>
        <w:rPr>
          <w:rFonts w:hint="eastAsia" w:ascii="宋体" w:hAnsi="宋体" w:eastAsia="宋体" w:cs="宋体"/>
          <w:bCs/>
          <w:color w:val="auto"/>
          <w:sz w:val="24"/>
        </w:rPr>
        <w:t>项目名称：</w:t>
      </w:r>
    </w:p>
    <w:p w14:paraId="27B32C90">
      <w:pPr>
        <w:wordWrap w:val="0"/>
        <w:snapToGrid w:val="0"/>
        <w:spacing w:before="120" w:beforeLines="50" w:after="50" w:line="400" w:lineRule="exact"/>
        <w:ind w:left="840" w:leftChars="400" w:firstLine="360" w:firstLineChars="150"/>
        <w:rPr>
          <w:rFonts w:hint="eastAsia" w:ascii="宋体" w:hAnsi="宋体" w:eastAsia="宋体" w:cs="宋体"/>
          <w:bCs/>
          <w:color w:val="auto"/>
          <w:sz w:val="24"/>
        </w:rPr>
      </w:pPr>
    </w:p>
    <w:p w14:paraId="1FC16A57">
      <w:pPr>
        <w:wordWrap w:val="0"/>
        <w:snapToGrid w:val="0"/>
        <w:spacing w:before="120" w:beforeLines="50" w:after="50" w:line="400" w:lineRule="exact"/>
        <w:ind w:left="840" w:leftChars="400" w:firstLine="360" w:firstLineChars="150"/>
        <w:rPr>
          <w:rFonts w:hint="eastAsia" w:ascii="宋体" w:hAnsi="宋体" w:eastAsia="宋体" w:cs="宋体"/>
          <w:bCs/>
          <w:color w:val="auto"/>
          <w:sz w:val="24"/>
        </w:rPr>
      </w:pPr>
      <w:r>
        <w:rPr>
          <w:rFonts w:hint="eastAsia" w:ascii="宋体" w:hAnsi="宋体" w:eastAsia="宋体" w:cs="宋体"/>
          <w:bCs/>
          <w:color w:val="auto"/>
          <w:sz w:val="24"/>
        </w:rPr>
        <w:t>项目编号：</w:t>
      </w:r>
    </w:p>
    <w:p w14:paraId="5A195B84">
      <w:pPr>
        <w:wordWrap w:val="0"/>
        <w:snapToGrid w:val="0"/>
        <w:spacing w:before="120" w:beforeLines="50" w:after="50" w:line="400" w:lineRule="exact"/>
        <w:ind w:left="840" w:leftChars="400" w:firstLine="360" w:firstLineChars="150"/>
        <w:rPr>
          <w:rFonts w:hint="eastAsia" w:ascii="宋体" w:hAnsi="宋体" w:eastAsia="宋体" w:cs="宋体"/>
          <w:bCs/>
          <w:color w:val="auto"/>
          <w:sz w:val="24"/>
        </w:rPr>
      </w:pPr>
    </w:p>
    <w:p w14:paraId="19D8B939">
      <w:pPr>
        <w:wordWrap w:val="0"/>
        <w:snapToGrid w:val="0"/>
        <w:spacing w:before="120" w:beforeLines="50" w:after="50" w:line="400" w:lineRule="exact"/>
        <w:ind w:left="840" w:leftChars="400" w:firstLine="360" w:firstLineChars="150"/>
        <w:rPr>
          <w:rFonts w:hint="eastAsia" w:ascii="宋体" w:hAnsi="宋体" w:eastAsia="宋体" w:cs="宋体"/>
          <w:bCs/>
          <w:color w:val="auto"/>
          <w:sz w:val="24"/>
        </w:rPr>
      </w:pPr>
      <w:r>
        <w:rPr>
          <w:rFonts w:hint="eastAsia" w:ascii="宋体" w:hAnsi="宋体" w:eastAsia="宋体" w:cs="宋体"/>
          <w:bCs/>
          <w:color w:val="auto"/>
          <w:sz w:val="24"/>
        </w:rPr>
        <w:t>所投分标：</w:t>
      </w:r>
    </w:p>
    <w:p w14:paraId="2A468ED5">
      <w:pPr>
        <w:wordWrap w:val="0"/>
        <w:snapToGrid w:val="0"/>
        <w:spacing w:before="120" w:beforeLines="50" w:after="50" w:line="400" w:lineRule="exact"/>
        <w:ind w:left="840" w:leftChars="400" w:firstLine="360" w:firstLineChars="150"/>
        <w:rPr>
          <w:rFonts w:hint="eastAsia" w:ascii="宋体" w:hAnsi="宋体" w:eastAsia="宋体" w:cs="宋体"/>
          <w:bCs/>
          <w:color w:val="auto"/>
          <w:sz w:val="24"/>
        </w:rPr>
      </w:pPr>
    </w:p>
    <w:p w14:paraId="6FE25406">
      <w:pPr>
        <w:wordWrap w:val="0"/>
        <w:snapToGrid w:val="0"/>
        <w:spacing w:before="120" w:beforeLines="50" w:after="50" w:line="400" w:lineRule="exact"/>
        <w:ind w:left="840" w:leftChars="400" w:firstLine="360" w:firstLineChars="150"/>
        <w:rPr>
          <w:rFonts w:hint="eastAsia" w:ascii="宋体" w:hAnsi="宋体" w:eastAsia="宋体" w:cs="宋体"/>
          <w:bCs/>
          <w:color w:val="auto"/>
          <w:sz w:val="24"/>
        </w:rPr>
      </w:pPr>
      <w:r>
        <w:rPr>
          <w:rFonts w:hint="eastAsia" w:ascii="宋体" w:hAnsi="宋体" w:eastAsia="宋体" w:cs="宋体"/>
          <w:bCs/>
          <w:color w:val="auto"/>
          <w:sz w:val="24"/>
        </w:rPr>
        <w:t>投标人名称：</w:t>
      </w:r>
    </w:p>
    <w:p w14:paraId="58BE516E">
      <w:pPr>
        <w:wordWrap w:val="0"/>
        <w:snapToGrid w:val="0"/>
        <w:spacing w:before="120" w:beforeLines="50" w:after="50" w:line="400" w:lineRule="exact"/>
        <w:ind w:left="840" w:leftChars="400" w:firstLine="360" w:firstLineChars="150"/>
        <w:rPr>
          <w:rFonts w:hint="eastAsia" w:ascii="宋体" w:hAnsi="宋体" w:eastAsia="宋体" w:cs="宋体"/>
          <w:bCs/>
          <w:color w:val="auto"/>
          <w:sz w:val="24"/>
        </w:rPr>
      </w:pPr>
    </w:p>
    <w:p w14:paraId="1846CE7E">
      <w:pPr>
        <w:wordWrap w:val="0"/>
        <w:snapToGrid w:val="0"/>
        <w:spacing w:before="120" w:beforeLines="50" w:after="50" w:line="400" w:lineRule="exact"/>
        <w:ind w:left="840" w:leftChars="400" w:firstLine="360" w:firstLineChars="150"/>
        <w:rPr>
          <w:rFonts w:hint="eastAsia" w:ascii="宋体" w:hAnsi="宋体" w:eastAsia="宋体" w:cs="宋体"/>
          <w:bCs/>
          <w:color w:val="auto"/>
          <w:sz w:val="24"/>
        </w:rPr>
      </w:pPr>
      <w:r>
        <w:rPr>
          <w:rFonts w:hint="eastAsia" w:ascii="宋体" w:hAnsi="宋体" w:eastAsia="宋体" w:cs="宋体"/>
          <w:bCs/>
          <w:color w:val="auto"/>
          <w:sz w:val="24"/>
        </w:rPr>
        <w:t>投标人地址：</w:t>
      </w:r>
    </w:p>
    <w:p w14:paraId="6F6C6FF8">
      <w:pPr>
        <w:wordWrap w:val="0"/>
        <w:snapToGrid w:val="0"/>
        <w:spacing w:before="120" w:beforeLines="50" w:after="50" w:line="400" w:lineRule="exact"/>
        <w:rPr>
          <w:rFonts w:hint="eastAsia" w:ascii="宋体" w:hAnsi="宋体" w:eastAsia="宋体" w:cs="宋体"/>
          <w:color w:val="auto"/>
          <w:sz w:val="24"/>
        </w:rPr>
      </w:pPr>
    </w:p>
    <w:p w14:paraId="2E105FC7">
      <w:pPr>
        <w:wordWrap w:val="0"/>
        <w:snapToGrid w:val="0"/>
        <w:spacing w:before="120" w:beforeLines="50" w:after="50" w:line="400" w:lineRule="exact"/>
        <w:rPr>
          <w:rFonts w:hint="eastAsia" w:ascii="宋体" w:hAnsi="宋体" w:eastAsia="宋体" w:cs="宋体"/>
          <w:color w:val="auto"/>
          <w:sz w:val="24"/>
        </w:rPr>
      </w:pPr>
    </w:p>
    <w:p w14:paraId="4537114F">
      <w:pPr>
        <w:snapToGrid w:val="0"/>
        <w:spacing w:before="120" w:beforeLines="50" w:after="50" w:line="400" w:lineRule="exact"/>
        <w:jc w:val="center"/>
        <w:rPr>
          <w:rFonts w:hint="eastAsia" w:ascii="宋体" w:hAnsi="宋体" w:eastAsia="宋体" w:cs="宋体"/>
          <w:color w:val="auto"/>
          <w:sz w:val="30"/>
          <w:szCs w:val="20"/>
        </w:rPr>
      </w:pPr>
      <w:r>
        <w:rPr>
          <w:rFonts w:hint="eastAsia" w:ascii="宋体" w:hAnsi="宋体" w:eastAsia="宋体" w:cs="宋体"/>
          <w:color w:val="auto"/>
          <w:sz w:val="24"/>
        </w:rPr>
        <w:t>年月日</w:t>
      </w:r>
    </w:p>
    <w:p w14:paraId="6C9FF07E">
      <w:pPr>
        <w:wordWrap w:val="0"/>
        <w:snapToGrid w:val="0"/>
        <w:spacing w:line="360" w:lineRule="auto"/>
        <w:outlineLvl w:val="2"/>
        <w:rPr>
          <w:rFonts w:hint="eastAsia" w:ascii="宋体" w:hAnsi="宋体" w:eastAsia="宋体" w:cs="宋体"/>
          <w:b/>
          <w:color w:val="auto"/>
          <w:sz w:val="24"/>
        </w:rPr>
      </w:pPr>
      <w:r>
        <w:rPr>
          <w:rFonts w:hint="eastAsia" w:ascii="宋体" w:hAnsi="宋体" w:eastAsia="宋体" w:cs="宋体"/>
          <w:color w:val="auto"/>
          <w:sz w:val="24"/>
          <w:szCs w:val="20"/>
        </w:rPr>
        <w:br w:type="page"/>
      </w:r>
      <w:r>
        <w:rPr>
          <w:rFonts w:hint="eastAsia" w:ascii="宋体" w:hAnsi="宋体" w:eastAsia="宋体" w:cs="宋体"/>
          <w:b/>
          <w:color w:val="auto"/>
          <w:sz w:val="24"/>
        </w:rPr>
        <w:t>2.商务文件目录</w:t>
      </w:r>
    </w:p>
    <w:p w14:paraId="4EDA0816">
      <w:pPr>
        <w:wordWrap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根据招标文件规定及投标人提供的材料自行编写目录。</w:t>
      </w:r>
    </w:p>
    <w:p w14:paraId="1D7506A4">
      <w:pPr>
        <w:wordWrap w:val="0"/>
        <w:snapToGrid w:val="0"/>
        <w:spacing w:before="120" w:beforeLines="50" w:after="50"/>
        <w:outlineLvl w:val="2"/>
        <w:rPr>
          <w:rFonts w:hint="eastAsia" w:ascii="宋体" w:hAnsi="宋体" w:eastAsia="宋体" w:cs="宋体"/>
          <w:b/>
          <w:color w:val="auto"/>
          <w:sz w:val="24"/>
        </w:rPr>
      </w:pPr>
      <w:r>
        <w:rPr>
          <w:rFonts w:hint="eastAsia" w:ascii="宋体" w:hAnsi="宋体" w:eastAsia="宋体" w:cs="宋体"/>
          <w:b/>
          <w:color w:val="auto"/>
          <w:sz w:val="24"/>
        </w:rPr>
        <w:t>3.技术文件目录</w:t>
      </w:r>
    </w:p>
    <w:p w14:paraId="2D8C8278">
      <w:pPr>
        <w:wordWrap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根据招标文件规定及投标人提供的材料自行编写目录。</w:t>
      </w:r>
    </w:p>
    <w:p w14:paraId="0275F49D">
      <w:pPr>
        <w:pStyle w:val="19"/>
        <w:wordWrap w:val="0"/>
        <w:rPr>
          <w:rFonts w:hint="eastAsia" w:ascii="宋体" w:hAnsi="宋体" w:eastAsia="宋体" w:cs="宋体"/>
          <w:color w:val="auto"/>
        </w:rPr>
      </w:pPr>
    </w:p>
    <w:p w14:paraId="0235D54C">
      <w:pPr>
        <w:wordWrap w:val="0"/>
        <w:snapToGrid w:val="0"/>
        <w:spacing w:before="50" w:after="120" w:afterLines="50"/>
        <w:rPr>
          <w:rFonts w:hint="eastAsia" w:ascii="宋体" w:hAnsi="宋体" w:eastAsia="宋体" w:cs="宋体"/>
          <w:color w:val="auto"/>
        </w:rPr>
      </w:pPr>
    </w:p>
    <w:p w14:paraId="6644892B">
      <w:pPr>
        <w:wordWrap w:val="0"/>
        <w:snapToGrid w:val="0"/>
        <w:spacing w:before="120" w:beforeLines="50" w:after="50"/>
        <w:outlineLvl w:val="2"/>
        <w:rPr>
          <w:rFonts w:hint="eastAsia" w:ascii="宋体" w:hAnsi="宋体" w:eastAsia="宋体" w:cs="宋体"/>
          <w:b/>
          <w:color w:val="auto"/>
          <w:sz w:val="24"/>
        </w:rPr>
      </w:pPr>
      <w:r>
        <w:rPr>
          <w:rFonts w:hint="eastAsia" w:ascii="宋体" w:hAnsi="宋体" w:eastAsia="宋体" w:cs="宋体"/>
          <w:b/>
          <w:color w:val="auto"/>
          <w:sz w:val="24"/>
        </w:rPr>
        <w:br w:type="page"/>
      </w:r>
      <w:r>
        <w:rPr>
          <w:rFonts w:hint="eastAsia" w:ascii="宋体" w:hAnsi="宋体" w:eastAsia="宋体" w:cs="宋体"/>
          <w:b/>
          <w:color w:val="auto"/>
          <w:sz w:val="24"/>
        </w:rPr>
        <w:t>4.投标人参加本项目无围标串标行为的承诺</w:t>
      </w:r>
    </w:p>
    <w:p w14:paraId="6E4F2F2C">
      <w:pPr>
        <w:wordWrap w:val="0"/>
        <w:snapToGrid w:val="0"/>
        <w:spacing w:before="120" w:beforeLines="50" w:after="50"/>
        <w:rPr>
          <w:rFonts w:hint="eastAsia" w:ascii="宋体" w:hAnsi="宋体" w:eastAsia="宋体" w:cs="宋体"/>
          <w:b/>
          <w:color w:val="auto"/>
          <w:sz w:val="24"/>
        </w:rPr>
      </w:pPr>
    </w:p>
    <w:p w14:paraId="6ED1AD82">
      <w:pPr>
        <w:snapToGrid w:val="0"/>
        <w:spacing w:before="50" w:after="50"/>
        <w:jc w:val="center"/>
        <w:outlineLvl w:val="1"/>
        <w:rPr>
          <w:rFonts w:hint="eastAsia" w:ascii="宋体" w:hAnsi="宋体" w:eastAsia="宋体" w:cs="宋体"/>
          <w:b/>
          <w:color w:val="auto"/>
          <w:sz w:val="32"/>
        </w:rPr>
      </w:pPr>
      <w:r>
        <w:rPr>
          <w:rFonts w:hint="eastAsia" w:ascii="宋体" w:hAnsi="宋体" w:eastAsia="宋体" w:cs="宋体"/>
          <w:b/>
          <w:color w:val="auto"/>
          <w:sz w:val="32"/>
        </w:rPr>
        <w:t>投标人参加本项目无围标串标行为的承诺函</w:t>
      </w:r>
    </w:p>
    <w:p w14:paraId="7CFA3E3F">
      <w:pPr>
        <w:wordWrap w:val="0"/>
        <w:spacing w:line="440" w:lineRule="exact"/>
        <w:outlineLvl w:val="1"/>
        <w:rPr>
          <w:rFonts w:hint="eastAsia" w:ascii="宋体" w:hAnsi="宋体" w:eastAsia="宋体" w:cs="宋体"/>
          <w:b/>
          <w:color w:val="auto"/>
          <w:sz w:val="24"/>
        </w:rPr>
      </w:pPr>
      <w:r>
        <w:rPr>
          <w:rFonts w:hint="eastAsia" w:ascii="宋体" w:hAnsi="宋体" w:eastAsia="宋体" w:cs="宋体"/>
          <w:b/>
          <w:color w:val="auto"/>
          <w:sz w:val="24"/>
        </w:rPr>
        <w:t>一、我方承诺无下列相互串通投标的情形：</w:t>
      </w:r>
    </w:p>
    <w:p w14:paraId="2732F7FD">
      <w:pPr>
        <w:wordWrap w:val="0"/>
        <w:spacing w:line="4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1.不同投标人的投标文件由同一单位或者个人编制；或者不同投标人报名的IP地址一致的；或者编制标书硬件设备CPU编号、硬盘编号、网卡地址一致的情况；</w:t>
      </w:r>
    </w:p>
    <w:p w14:paraId="69607D8C">
      <w:pPr>
        <w:wordWrap w:val="0"/>
        <w:spacing w:line="4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2.不同投标人委托同一单位或者个人办理投标事宜；</w:t>
      </w:r>
    </w:p>
    <w:p w14:paraId="35BD5F7E">
      <w:pPr>
        <w:wordWrap w:val="0"/>
        <w:spacing w:line="4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3.不同的投标人的投标文件载明的项目管理员为同一个人；</w:t>
      </w:r>
    </w:p>
    <w:p w14:paraId="3D053360">
      <w:pPr>
        <w:wordWrap w:val="0"/>
        <w:spacing w:line="4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4.不同投标人的投标文件异常一致或者投标报价呈规律性差异；</w:t>
      </w:r>
    </w:p>
    <w:p w14:paraId="0B90B21C">
      <w:pPr>
        <w:wordWrap w:val="0"/>
        <w:spacing w:line="4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5.不同投标人的投标文件相互混装；</w:t>
      </w:r>
    </w:p>
    <w:p w14:paraId="490D938B">
      <w:pPr>
        <w:wordWrap w:val="0"/>
        <w:spacing w:line="4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6.不同投标人的投标保证金从同一单位或者个人账户转出。</w:t>
      </w:r>
    </w:p>
    <w:p w14:paraId="28E21E41">
      <w:pPr>
        <w:wordWrap w:val="0"/>
        <w:spacing w:line="440" w:lineRule="exact"/>
        <w:outlineLvl w:val="1"/>
        <w:rPr>
          <w:rFonts w:hint="eastAsia" w:ascii="宋体" w:hAnsi="宋体" w:eastAsia="宋体" w:cs="宋体"/>
          <w:color w:val="auto"/>
          <w:sz w:val="24"/>
        </w:rPr>
      </w:pPr>
      <w:r>
        <w:rPr>
          <w:rFonts w:hint="eastAsia" w:ascii="宋体" w:hAnsi="宋体" w:eastAsia="宋体" w:cs="宋体"/>
          <w:b/>
          <w:color w:val="auto"/>
          <w:sz w:val="24"/>
        </w:rPr>
        <w:t>二、我方承诺无下列恶意串通的情形：</w:t>
      </w:r>
    </w:p>
    <w:p w14:paraId="05AF6687">
      <w:pPr>
        <w:wordWrap w:val="0"/>
        <w:spacing w:line="4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1.投标人直接或者间接从采购人或者采购代理机构处获得其他投标人的相关信息并修改其投标文件或者</w:t>
      </w:r>
      <w:r>
        <w:rPr>
          <w:rFonts w:hint="eastAsia" w:ascii="宋体" w:hAnsi="宋体" w:eastAsia="宋体" w:cs="宋体"/>
          <w:color w:val="auto"/>
          <w:sz w:val="24"/>
        </w:rPr>
        <w:t>投标文件</w:t>
      </w:r>
      <w:r>
        <w:rPr>
          <w:rFonts w:hint="eastAsia" w:ascii="宋体" w:hAnsi="宋体" w:eastAsia="宋体" w:cs="宋体"/>
          <w:color w:val="auto"/>
          <w:sz w:val="24"/>
        </w:rPr>
        <w:t>；</w:t>
      </w:r>
    </w:p>
    <w:p w14:paraId="34FD0463">
      <w:pPr>
        <w:wordWrap w:val="0"/>
        <w:spacing w:line="4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2.投标人按照采购人或者采购代理机构的授意撤换、修改投标文件或者</w:t>
      </w:r>
      <w:r>
        <w:rPr>
          <w:rFonts w:hint="eastAsia" w:ascii="宋体" w:hAnsi="宋体" w:eastAsia="宋体" w:cs="宋体"/>
          <w:color w:val="auto"/>
          <w:sz w:val="24"/>
        </w:rPr>
        <w:t>投标文件</w:t>
      </w:r>
      <w:r>
        <w:rPr>
          <w:rFonts w:hint="eastAsia" w:ascii="宋体" w:hAnsi="宋体" w:eastAsia="宋体" w:cs="宋体"/>
          <w:color w:val="auto"/>
          <w:sz w:val="24"/>
        </w:rPr>
        <w:t>；</w:t>
      </w:r>
    </w:p>
    <w:p w14:paraId="699E1E68">
      <w:pPr>
        <w:wordWrap w:val="0"/>
        <w:spacing w:line="4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3.投标人之间协商报价、技术方案等投标文件或者</w:t>
      </w:r>
      <w:r>
        <w:rPr>
          <w:rFonts w:hint="eastAsia" w:ascii="宋体" w:hAnsi="宋体" w:eastAsia="宋体" w:cs="宋体"/>
          <w:color w:val="auto"/>
          <w:sz w:val="24"/>
        </w:rPr>
        <w:t>投标文件</w:t>
      </w:r>
      <w:r>
        <w:rPr>
          <w:rFonts w:hint="eastAsia" w:ascii="宋体" w:hAnsi="宋体" w:eastAsia="宋体" w:cs="宋体"/>
          <w:color w:val="auto"/>
          <w:sz w:val="24"/>
        </w:rPr>
        <w:t>的实质性内容；</w:t>
      </w:r>
    </w:p>
    <w:p w14:paraId="720170D1">
      <w:pPr>
        <w:wordWrap w:val="0"/>
        <w:spacing w:line="4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4.属于同一集团、协会、商会等组织成员的投标人按照该组织要求协同参加政府采购活动；</w:t>
      </w:r>
    </w:p>
    <w:p w14:paraId="3C51F77D">
      <w:pPr>
        <w:wordWrap w:val="0"/>
        <w:spacing w:line="4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5.投标人之间事先约定一致抬高或者压低投标报价，或者在招标项目中事先约定轮流以高价位或者低价位中标，或者事先约定由某一特定投标人中标，然后再参加投标；</w:t>
      </w:r>
    </w:p>
    <w:p w14:paraId="2F90501A">
      <w:pPr>
        <w:wordWrap w:val="0"/>
        <w:spacing w:line="4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6.投标人之间商定部分投标人放弃参加政府采购活动或者放弃中标；</w:t>
      </w:r>
    </w:p>
    <w:p w14:paraId="4E5DB92E">
      <w:pPr>
        <w:wordWrap w:val="0"/>
        <w:spacing w:line="4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7.投标人与采购人或者采购代理机构之间、投标人相互之间，为谋求特定投标人中标或者排斥其他投标人的其他串通行为。</w:t>
      </w:r>
    </w:p>
    <w:p w14:paraId="7C95FB57">
      <w:pPr>
        <w:wordWrap w:val="0"/>
        <w:spacing w:line="440" w:lineRule="exact"/>
        <w:ind w:firstLine="472" w:firstLineChars="196"/>
        <w:contextualSpacing/>
        <w:rPr>
          <w:rFonts w:hint="eastAsia" w:ascii="宋体" w:hAnsi="宋体" w:eastAsia="宋体" w:cs="宋体"/>
          <w:b/>
          <w:color w:val="auto"/>
          <w:sz w:val="24"/>
        </w:rPr>
      </w:pPr>
      <w:r>
        <w:rPr>
          <w:rFonts w:hint="eastAsia" w:ascii="宋体" w:hAnsi="宋体" w:eastAsia="宋体" w:cs="宋体"/>
          <w:b/>
          <w:color w:val="auto"/>
          <w:sz w:val="24"/>
        </w:rPr>
        <w:t>以上情形一经核查属实，接受政府采购监管部门对我方认定存在围标串标行为，我方愿意承担一切后果，并不再寻求任何旨在减轻或者免除法律责任的辩解。</w:t>
      </w:r>
    </w:p>
    <w:p w14:paraId="20D82C72">
      <w:pPr>
        <w:pStyle w:val="25"/>
        <w:wordWrap w:val="0"/>
        <w:spacing w:line="440" w:lineRule="exact"/>
        <w:ind w:firstLine="6840" w:firstLineChars="2850"/>
        <w:contextualSpacing/>
        <w:rPr>
          <w:rFonts w:hint="eastAsia" w:ascii="宋体" w:hAnsi="宋体" w:eastAsia="宋体" w:cs="宋体"/>
          <w:color w:val="auto"/>
          <w:sz w:val="24"/>
          <w:szCs w:val="24"/>
        </w:rPr>
      </w:pPr>
    </w:p>
    <w:p w14:paraId="202DE45D">
      <w:pPr>
        <w:wordWrap w:val="0"/>
        <w:spacing w:line="360" w:lineRule="auto"/>
        <w:ind w:left="3990" w:leftChars="1900"/>
        <w:contextualSpacing/>
        <w:rPr>
          <w:rFonts w:hint="eastAsia" w:ascii="宋体" w:hAnsi="宋体" w:eastAsia="宋体" w:cs="宋体"/>
          <w:color w:val="auto"/>
          <w:sz w:val="24"/>
          <w:u w:val="single"/>
        </w:rPr>
      </w:pPr>
      <w:r>
        <w:rPr>
          <w:rFonts w:hint="eastAsia" w:ascii="宋体" w:hAnsi="宋体" w:eastAsia="宋体" w:cs="宋体"/>
          <w:color w:val="auto"/>
          <w:sz w:val="24"/>
        </w:rPr>
        <w:t>投标人</w:t>
      </w:r>
      <w:r>
        <w:rPr>
          <w:rFonts w:hint="eastAsia" w:ascii="宋体" w:hAnsi="宋体" w:eastAsia="宋体" w:cs="宋体"/>
          <w:color w:val="auto"/>
          <w:sz w:val="24"/>
        </w:rPr>
        <w:t>（电子签章）</w:t>
      </w:r>
      <w:r>
        <w:rPr>
          <w:rFonts w:hint="eastAsia" w:ascii="宋体" w:hAnsi="宋体" w:eastAsia="宋体" w:cs="宋体"/>
          <w:color w:val="auto"/>
          <w:sz w:val="24"/>
        </w:rPr>
        <w:t>：</w:t>
      </w:r>
    </w:p>
    <w:p w14:paraId="1B9E7A30">
      <w:pPr>
        <w:wordWrap w:val="0"/>
        <w:spacing w:line="360" w:lineRule="auto"/>
        <w:ind w:left="3990" w:leftChars="1900"/>
        <w:contextualSpacing/>
        <w:rPr>
          <w:rFonts w:hint="eastAsia" w:ascii="宋体" w:hAnsi="宋体" w:eastAsia="宋体" w:cs="宋体"/>
          <w:b/>
          <w:color w:val="auto"/>
          <w:sz w:val="24"/>
        </w:rPr>
      </w:pPr>
      <w:r>
        <w:rPr>
          <w:rFonts w:hint="eastAsia" w:ascii="宋体" w:hAnsi="宋体" w:eastAsia="宋体" w:cs="宋体"/>
          <w:color w:val="auto"/>
          <w:sz w:val="24"/>
        </w:rPr>
        <w:t>日期：年月日</w:t>
      </w:r>
    </w:p>
    <w:p w14:paraId="29C231F8">
      <w:pPr>
        <w:wordWrap w:val="0"/>
        <w:snapToGrid w:val="0"/>
        <w:spacing w:before="120" w:beforeLines="50" w:after="50"/>
        <w:outlineLvl w:val="2"/>
        <w:rPr>
          <w:rFonts w:hint="eastAsia" w:ascii="宋体" w:hAnsi="宋体" w:eastAsia="宋体" w:cs="宋体"/>
          <w:b/>
          <w:color w:val="auto"/>
          <w:sz w:val="24"/>
          <w:szCs w:val="20"/>
        </w:rPr>
      </w:pPr>
      <w:r>
        <w:rPr>
          <w:rFonts w:hint="eastAsia" w:ascii="宋体" w:hAnsi="宋体" w:eastAsia="宋体" w:cs="宋体"/>
          <w:b/>
          <w:color w:val="auto"/>
          <w:sz w:val="24"/>
        </w:rPr>
        <w:br w:type="page"/>
      </w:r>
      <w:r>
        <w:rPr>
          <w:rFonts w:hint="eastAsia" w:ascii="宋体" w:hAnsi="宋体" w:eastAsia="宋体" w:cs="宋体"/>
          <w:b/>
          <w:color w:val="auto"/>
          <w:sz w:val="24"/>
        </w:rPr>
        <w:t>5.法定代表人身份证明</w:t>
      </w:r>
    </w:p>
    <w:p w14:paraId="1A03C938">
      <w:pPr>
        <w:wordWrap w:val="0"/>
        <w:spacing w:before="240" w:beforeLines="100" w:after="120" w:afterLines="50"/>
        <w:ind w:left="540"/>
        <w:rPr>
          <w:rFonts w:hint="eastAsia" w:ascii="宋体" w:hAnsi="宋体" w:eastAsia="宋体" w:cs="宋体"/>
          <w:b/>
          <w:color w:val="auto"/>
          <w:sz w:val="32"/>
          <w:szCs w:val="32"/>
        </w:rPr>
      </w:pPr>
    </w:p>
    <w:p w14:paraId="1E4B1FD2">
      <w:pPr>
        <w:snapToGrid w:val="0"/>
        <w:spacing w:before="50" w:after="50"/>
        <w:jc w:val="center"/>
        <w:rPr>
          <w:rFonts w:hint="eastAsia" w:ascii="宋体" w:hAnsi="宋体" w:eastAsia="宋体" w:cs="宋体"/>
          <w:b/>
          <w:color w:val="auto"/>
          <w:sz w:val="32"/>
        </w:rPr>
      </w:pPr>
      <w:r>
        <w:rPr>
          <w:rFonts w:hint="eastAsia" w:ascii="宋体" w:hAnsi="宋体" w:eastAsia="宋体" w:cs="宋体"/>
          <w:b/>
          <w:color w:val="auto"/>
          <w:sz w:val="32"/>
        </w:rPr>
        <w:t>法定代表人身份证明</w:t>
      </w:r>
    </w:p>
    <w:p w14:paraId="431070CA">
      <w:pPr>
        <w:wordWrap w:val="0"/>
        <w:spacing w:line="500" w:lineRule="exact"/>
        <w:ind w:left="540"/>
        <w:rPr>
          <w:rFonts w:hint="eastAsia" w:ascii="宋体" w:hAnsi="宋体" w:eastAsia="宋体" w:cs="宋体"/>
          <w:color w:val="auto"/>
          <w:sz w:val="24"/>
        </w:rPr>
      </w:pPr>
      <w:r>
        <w:rPr>
          <w:rFonts w:hint="eastAsia" w:ascii="宋体" w:hAnsi="宋体" w:eastAsia="宋体" w:cs="宋体"/>
          <w:color w:val="auto"/>
          <w:sz w:val="24"/>
        </w:rPr>
        <w:t>投标人：</w:t>
      </w:r>
    </w:p>
    <w:p w14:paraId="68C3C362">
      <w:pPr>
        <w:wordWrap w:val="0"/>
        <w:spacing w:line="500" w:lineRule="exact"/>
        <w:ind w:left="540"/>
        <w:rPr>
          <w:rFonts w:hint="eastAsia" w:ascii="宋体" w:hAnsi="宋体" w:eastAsia="宋体" w:cs="宋体"/>
          <w:color w:val="auto"/>
          <w:sz w:val="24"/>
        </w:rPr>
      </w:pPr>
      <w:r>
        <w:rPr>
          <w:rFonts w:hint="eastAsia" w:ascii="宋体" w:hAnsi="宋体" w:eastAsia="宋体" w:cs="宋体"/>
          <w:color w:val="auto"/>
          <w:sz w:val="24"/>
        </w:rPr>
        <w:t>地址：</w:t>
      </w:r>
    </w:p>
    <w:p w14:paraId="392B63D0">
      <w:pPr>
        <w:wordWrap w:val="0"/>
        <w:spacing w:line="500" w:lineRule="exact"/>
        <w:ind w:left="540"/>
        <w:rPr>
          <w:rFonts w:hint="eastAsia" w:ascii="宋体" w:hAnsi="宋体" w:eastAsia="宋体" w:cs="宋体"/>
          <w:color w:val="auto"/>
          <w:sz w:val="24"/>
        </w:rPr>
      </w:pPr>
      <w:r>
        <w:rPr>
          <w:rFonts w:hint="eastAsia" w:ascii="宋体" w:hAnsi="宋体" w:eastAsia="宋体" w:cs="宋体"/>
          <w:color w:val="auto"/>
          <w:sz w:val="24"/>
        </w:rPr>
        <w:t>姓名：性别：</w:t>
      </w:r>
    </w:p>
    <w:p w14:paraId="50A0FAE7">
      <w:pPr>
        <w:wordWrap w:val="0"/>
        <w:spacing w:line="500" w:lineRule="exact"/>
        <w:ind w:left="540"/>
        <w:rPr>
          <w:rFonts w:hint="eastAsia" w:ascii="宋体" w:hAnsi="宋体" w:eastAsia="宋体" w:cs="宋体"/>
          <w:color w:val="auto"/>
          <w:sz w:val="24"/>
          <w:u w:val="single"/>
        </w:rPr>
      </w:pPr>
      <w:r>
        <w:rPr>
          <w:rFonts w:hint="eastAsia" w:ascii="宋体" w:hAnsi="宋体" w:eastAsia="宋体" w:cs="宋体"/>
          <w:color w:val="auto"/>
          <w:sz w:val="24"/>
        </w:rPr>
        <w:t>年龄：职务：</w:t>
      </w:r>
    </w:p>
    <w:p w14:paraId="4AC64FAD">
      <w:pPr>
        <w:wordWrap w:val="0"/>
        <w:spacing w:line="500" w:lineRule="exact"/>
        <w:ind w:left="540"/>
        <w:rPr>
          <w:rFonts w:hint="eastAsia" w:ascii="宋体" w:hAnsi="宋体" w:eastAsia="宋体" w:cs="宋体"/>
          <w:color w:val="auto"/>
          <w:sz w:val="24"/>
        </w:rPr>
      </w:pPr>
      <w:r>
        <w:rPr>
          <w:rFonts w:hint="eastAsia" w:ascii="宋体" w:hAnsi="宋体" w:eastAsia="宋体" w:cs="宋体"/>
          <w:color w:val="auto"/>
          <w:sz w:val="24"/>
        </w:rPr>
        <w:t>身份证号码：</w:t>
      </w:r>
    </w:p>
    <w:p w14:paraId="34EB7EEF">
      <w:pPr>
        <w:wordWrap w:val="0"/>
        <w:spacing w:line="500" w:lineRule="exact"/>
        <w:ind w:left="540"/>
        <w:rPr>
          <w:rFonts w:hint="eastAsia" w:ascii="宋体" w:hAnsi="宋体" w:eastAsia="宋体" w:cs="宋体"/>
          <w:color w:val="auto"/>
          <w:sz w:val="24"/>
        </w:rPr>
      </w:pPr>
      <w:r>
        <w:rPr>
          <w:rFonts w:hint="eastAsia" w:ascii="宋体" w:hAnsi="宋体" w:eastAsia="宋体" w:cs="宋体"/>
          <w:color w:val="auto"/>
          <w:sz w:val="24"/>
        </w:rPr>
        <w:t>系</w:t>
      </w:r>
      <w:r>
        <w:rPr>
          <w:rFonts w:hint="eastAsia" w:ascii="宋体" w:hAnsi="宋体" w:eastAsia="宋体" w:cs="宋体"/>
          <w:color w:val="auto"/>
          <w:sz w:val="24"/>
          <w:u w:val="single"/>
        </w:rPr>
        <w:t>（投标人名称）</w:t>
      </w:r>
      <w:r>
        <w:rPr>
          <w:rFonts w:hint="eastAsia" w:ascii="宋体" w:hAnsi="宋体" w:eastAsia="宋体" w:cs="宋体"/>
          <w:color w:val="auto"/>
          <w:sz w:val="24"/>
        </w:rPr>
        <w:t>的法定代表人。</w:t>
      </w:r>
    </w:p>
    <w:p w14:paraId="49715D8E">
      <w:pPr>
        <w:wordWrap w:val="0"/>
        <w:spacing w:line="500" w:lineRule="exact"/>
        <w:ind w:left="540"/>
        <w:rPr>
          <w:rFonts w:hint="eastAsia" w:ascii="宋体" w:hAnsi="宋体" w:eastAsia="宋体" w:cs="宋体"/>
          <w:color w:val="auto"/>
          <w:sz w:val="24"/>
        </w:rPr>
      </w:pPr>
      <w:r>
        <w:rPr>
          <w:rFonts w:hint="eastAsia" w:ascii="宋体" w:hAnsi="宋体" w:eastAsia="宋体" w:cs="宋体"/>
          <w:color w:val="auto"/>
          <w:sz w:val="24"/>
        </w:rPr>
        <w:t>特此证明。</w:t>
      </w:r>
    </w:p>
    <w:p w14:paraId="1D1EFC69">
      <w:pPr>
        <w:wordWrap w:val="0"/>
        <w:spacing w:line="500" w:lineRule="exact"/>
        <w:ind w:firstLine="480" w:firstLineChars="200"/>
        <w:rPr>
          <w:rFonts w:hint="eastAsia" w:ascii="宋体" w:hAnsi="宋体" w:eastAsia="宋体" w:cs="宋体"/>
          <w:color w:val="auto"/>
          <w:sz w:val="24"/>
        </w:rPr>
      </w:pPr>
    </w:p>
    <w:p w14:paraId="48C60A3B">
      <w:pPr>
        <w:wordWrap w:val="0"/>
        <w:spacing w:line="500" w:lineRule="exact"/>
        <w:ind w:firstLine="480" w:firstLineChars="200"/>
        <w:rPr>
          <w:rFonts w:hint="eastAsia" w:ascii="宋体" w:hAnsi="宋体" w:eastAsia="宋体" w:cs="宋体"/>
          <w:color w:val="auto"/>
          <w:sz w:val="24"/>
        </w:rPr>
      </w:pPr>
    </w:p>
    <w:p w14:paraId="70835B36">
      <w:pPr>
        <w:wordWrap w:val="0"/>
        <w:spacing w:line="500" w:lineRule="exact"/>
        <w:ind w:firstLine="480" w:firstLineChars="200"/>
        <w:outlineLvl w:val="3"/>
        <w:rPr>
          <w:rFonts w:hint="eastAsia" w:ascii="宋体" w:hAnsi="宋体" w:eastAsia="宋体" w:cs="宋体"/>
          <w:color w:val="auto"/>
          <w:sz w:val="24"/>
        </w:rPr>
      </w:pPr>
      <w:r>
        <w:rPr>
          <w:rFonts w:hint="eastAsia" w:ascii="宋体" w:hAnsi="宋体" w:eastAsia="宋体" w:cs="宋体"/>
          <w:color w:val="auto"/>
          <w:sz w:val="24"/>
        </w:rPr>
        <w:t>附件：法定代表人有效身份证正反面复印件</w:t>
      </w:r>
    </w:p>
    <w:p w14:paraId="7A4F2864">
      <w:pPr>
        <w:wordWrap w:val="0"/>
        <w:spacing w:line="500" w:lineRule="exact"/>
        <w:ind w:firstLine="480" w:firstLineChars="200"/>
        <w:rPr>
          <w:rFonts w:hint="eastAsia" w:ascii="宋体" w:hAnsi="宋体" w:eastAsia="宋体" w:cs="宋体"/>
          <w:color w:val="auto"/>
          <w:sz w:val="24"/>
        </w:rPr>
      </w:pPr>
    </w:p>
    <w:p w14:paraId="49CD753F">
      <w:pPr>
        <w:wordWrap w:val="0"/>
        <w:spacing w:line="360" w:lineRule="auto"/>
        <w:ind w:left="3990" w:leftChars="1900"/>
        <w:contextualSpacing/>
        <w:rPr>
          <w:rFonts w:hint="eastAsia" w:ascii="宋体" w:hAnsi="宋体" w:eastAsia="宋体" w:cs="宋体"/>
          <w:color w:val="auto"/>
          <w:sz w:val="24"/>
          <w:u w:val="single"/>
        </w:rPr>
      </w:pPr>
      <w:r>
        <w:rPr>
          <w:rFonts w:hint="eastAsia" w:ascii="宋体" w:hAnsi="宋体" w:eastAsia="宋体" w:cs="宋体"/>
          <w:color w:val="auto"/>
          <w:sz w:val="24"/>
        </w:rPr>
        <w:t>投标人</w:t>
      </w:r>
      <w:r>
        <w:rPr>
          <w:rFonts w:hint="eastAsia" w:ascii="宋体" w:hAnsi="宋体" w:eastAsia="宋体" w:cs="宋体"/>
          <w:color w:val="auto"/>
          <w:sz w:val="24"/>
        </w:rPr>
        <w:t>（电子签章）</w:t>
      </w:r>
      <w:r>
        <w:rPr>
          <w:rFonts w:hint="eastAsia" w:ascii="宋体" w:hAnsi="宋体" w:eastAsia="宋体" w:cs="宋体"/>
          <w:color w:val="auto"/>
          <w:sz w:val="24"/>
        </w:rPr>
        <w:t>：</w:t>
      </w:r>
    </w:p>
    <w:p w14:paraId="6A17C189">
      <w:pPr>
        <w:wordWrap w:val="0"/>
        <w:spacing w:line="360" w:lineRule="auto"/>
        <w:ind w:left="3990" w:leftChars="1900"/>
        <w:contextualSpacing/>
        <w:rPr>
          <w:rFonts w:hint="eastAsia" w:ascii="宋体" w:hAnsi="宋体" w:eastAsia="宋体" w:cs="宋体"/>
          <w:b/>
          <w:color w:val="auto"/>
          <w:sz w:val="24"/>
        </w:rPr>
      </w:pPr>
      <w:r>
        <w:rPr>
          <w:rFonts w:hint="eastAsia" w:ascii="宋体" w:hAnsi="宋体" w:eastAsia="宋体" w:cs="宋体"/>
          <w:color w:val="auto"/>
          <w:sz w:val="24"/>
        </w:rPr>
        <w:t>日期：年月日</w:t>
      </w:r>
    </w:p>
    <w:p w14:paraId="2C6881D5">
      <w:pPr>
        <w:wordWrap w:val="0"/>
        <w:snapToGrid w:val="0"/>
        <w:spacing w:line="440" w:lineRule="exact"/>
        <w:ind w:firstLine="480" w:firstLineChars="200"/>
        <w:rPr>
          <w:rFonts w:hint="eastAsia" w:ascii="宋体" w:hAnsi="宋体" w:eastAsia="宋体" w:cs="宋体"/>
          <w:color w:val="auto"/>
          <w:sz w:val="24"/>
        </w:rPr>
      </w:pPr>
    </w:p>
    <w:p w14:paraId="404992C8">
      <w:pPr>
        <w:wordWrap w:val="0"/>
        <w:snapToGrid w:val="0"/>
        <w:spacing w:line="440" w:lineRule="exact"/>
        <w:ind w:firstLine="480" w:firstLineChars="200"/>
        <w:rPr>
          <w:rFonts w:hint="eastAsia" w:ascii="宋体" w:hAnsi="宋体" w:eastAsia="宋体" w:cs="宋体"/>
          <w:b/>
          <w:color w:val="auto"/>
          <w:sz w:val="24"/>
          <w:szCs w:val="20"/>
        </w:rPr>
      </w:pPr>
      <w:r>
        <w:rPr>
          <w:rFonts w:hint="eastAsia" w:ascii="宋体" w:hAnsi="宋体" w:eastAsia="宋体" w:cs="宋体"/>
          <w:color w:val="auto"/>
          <w:sz w:val="24"/>
        </w:rPr>
        <w:t>注：自然人投标的无需提供</w:t>
      </w:r>
    </w:p>
    <w:p w14:paraId="6190EAA8">
      <w:pPr>
        <w:wordWrap w:val="0"/>
        <w:snapToGrid w:val="0"/>
        <w:spacing w:before="120" w:beforeLines="50" w:after="50"/>
        <w:outlineLvl w:val="2"/>
        <w:rPr>
          <w:rFonts w:hint="eastAsia" w:ascii="宋体" w:hAnsi="宋体" w:eastAsia="宋体" w:cs="宋体"/>
          <w:b/>
          <w:color w:val="auto"/>
          <w:sz w:val="24"/>
          <w:szCs w:val="20"/>
        </w:rPr>
      </w:pPr>
      <w:r>
        <w:rPr>
          <w:rFonts w:hint="eastAsia" w:ascii="宋体" w:hAnsi="宋体" w:eastAsia="宋体" w:cs="宋体"/>
          <w:b/>
          <w:color w:val="auto"/>
          <w:sz w:val="24"/>
        </w:rPr>
        <w:br w:type="page"/>
      </w:r>
      <w:r>
        <w:rPr>
          <w:rFonts w:hint="eastAsia" w:ascii="宋体" w:hAnsi="宋体" w:eastAsia="宋体" w:cs="宋体"/>
          <w:b/>
          <w:color w:val="auto"/>
          <w:sz w:val="24"/>
        </w:rPr>
        <w:t>6.授权委托书格式</w:t>
      </w:r>
    </w:p>
    <w:p w14:paraId="0F870D5F">
      <w:pPr>
        <w:snapToGrid w:val="0"/>
        <w:spacing w:before="50" w:after="50"/>
        <w:jc w:val="center"/>
        <w:outlineLvl w:val="3"/>
        <w:rPr>
          <w:rFonts w:hint="eastAsia" w:ascii="宋体" w:hAnsi="宋体" w:eastAsia="宋体" w:cs="宋体"/>
          <w:b/>
          <w:color w:val="auto"/>
          <w:sz w:val="32"/>
        </w:rPr>
      </w:pPr>
      <w:r>
        <w:rPr>
          <w:rFonts w:hint="eastAsia" w:ascii="宋体" w:hAnsi="宋体" w:eastAsia="宋体" w:cs="宋体"/>
          <w:b/>
          <w:color w:val="auto"/>
          <w:sz w:val="32"/>
        </w:rPr>
        <w:t>授权委托书</w:t>
      </w:r>
    </w:p>
    <w:p w14:paraId="4B189CEC">
      <w:pPr>
        <w:spacing w:line="360" w:lineRule="auto"/>
        <w:contextualSpacing/>
        <w:jc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（非联合体投标格式）</w:t>
      </w:r>
    </w:p>
    <w:p w14:paraId="0A48F868">
      <w:pPr>
        <w:spacing w:line="360" w:lineRule="auto"/>
        <w:contextualSpacing/>
        <w:jc w:val="center"/>
        <w:rPr>
          <w:rFonts w:hint="eastAsia" w:ascii="宋体" w:hAnsi="宋体" w:eastAsia="宋体" w:cs="宋体"/>
          <w:bCs/>
          <w:color w:val="auto"/>
          <w:sz w:val="24"/>
        </w:rPr>
      </w:pPr>
      <w:r>
        <w:rPr>
          <w:rFonts w:hint="eastAsia" w:ascii="宋体" w:hAnsi="宋体" w:eastAsia="宋体" w:cs="宋体"/>
          <w:bCs/>
          <w:color w:val="auto"/>
          <w:sz w:val="32"/>
          <w:szCs w:val="32"/>
        </w:rPr>
        <w:t>（如有委托时）</w:t>
      </w:r>
    </w:p>
    <w:p w14:paraId="2C6E6C20">
      <w:pPr>
        <w:wordWrap w:val="0"/>
        <w:spacing w:line="440" w:lineRule="exact"/>
        <w:contextualSpacing/>
        <w:rPr>
          <w:rFonts w:hint="eastAsia" w:ascii="宋体" w:hAnsi="宋体" w:eastAsia="宋体" w:cs="宋体"/>
          <w:b/>
          <w:bCs/>
          <w:color w:val="auto"/>
          <w:sz w:val="24"/>
        </w:rPr>
      </w:pPr>
      <w:bookmarkStart w:id="231" w:name="OLE_LINK284"/>
      <w:bookmarkStart w:id="232" w:name="OLE_LINK285"/>
      <w:r>
        <w:rPr>
          <w:rFonts w:hint="eastAsia" w:ascii="宋体" w:hAnsi="宋体" w:eastAsia="宋体" w:cs="宋体"/>
          <w:bCs/>
          <w:color w:val="auto"/>
          <w:sz w:val="24"/>
        </w:rPr>
        <w:t>致</w:t>
      </w:r>
      <w:r>
        <w:rPr>
          <w:rFonts w:hint="eastAsia" w:ascii="宋体" w:hAnsi="宋体" w:eastAsia="宋体" w:cs="宋体"/>
          <w:color w:val="auto"/>
          <w:sz w:val="24"/>
          <w:u w:val="single"/>
        </w:rPr>
        <w:t>（采购人/采购代理机构名称）：</w:t>
      </w:r>
    </w:p>
    <w:bookmarkEnd w:id="231"/>
    <w:bookmarkEnd w:id="232"/>
    <w:p w14:paraId="2336BFE6">
      <w:pPr>
        <w:wordWrap w:val="0"/>
        <w:spacing w:line="440" w:lineRule="exact"/>
        <w:ind w:firstLine="566" w:firstLineChars="236"/>
        <w:contextualSpacing/>
        <w:rPr>
          <w:rFonts w:hint="eastAsia" w:ascii="宋体" w:hAnsi="宋体" w:eastAsia="宋体" w:cs="宋体"/>
          <w:color w:val="auto"/>
          <w:sz w:val="24"/>
        </w:rPr>
      </w:pPr>
      <w:r>
        <w:rPr>
          <w:rFonts w:hint="eastAsia" w:ascii="宋体" w:hAnsi="宋体" w:eastAsia="宋体" w:cs="宋体"/>
          <w:color w:val="auto"/>
          <w:sz w:val="24"/>
        </w:rPr>
        <w:t>我</w:t>
      </w:r>
      <w:r>
        <w:rPr>
          <w:rFonts w:hint="eastAsia" w:ascii="宋体" w:hAnsi="宋体" w:eastAsia="宋体" w:cs="宋体"/>
          <w:color w:val="auto"/>
          <w:sz w:val="24"/>
          <w:u w:val="single"/>
        </w:rPr>
        <w:t>（姓名）</w:t>
      </w:r>
      <w:r>
        <w:rPr>
          <w:rFonts w:hint="eastAsia" w:ascii="宋体" w:hAnsi="宋体" w:eastAsia="宋体" w:cs="宋体"/>
          <w:color w:val="auto"/>
          <w:sz w:val="24"/>
        </w:rPr>
        <w:t>系</w:t>
      </w:r>
      <w:r>
        <w:rPr>
          <w:rFonts w:hint="eastAsia" w:ascii="宋体" w:hAnsi="宋体" w:eastAsia="宋体" w:cs="宋体"/>
          <w:color w:val="auto"/>
          <w:sz w:val="24"/>
          <w:u w:val="single"/>
        </w:rPr>
        <w:t>（投标人名称）</w:t>
      </w:r>
      <w:r>
        <w:rPr>
          <w:rFonts w:hint="eastAsia" w:ascii="宋体" w:hAnsi="宋体" w:eastAsia="宋体" w:cs="宋体"/>
          <w:color w:val="auto"/>
          <w:sz w:val="24"/>
        </w:rPr>
        <w:t>的法定代表人，现授权委托</w:t>
      </w:r>
      <w:r>
        <w:rPr>
          <w:rFonts w:hint="eastAsia" w:ascii="宋体" w:hAnsi="宋体" w:eastAsia="宋体" w:cs="宋体"/>
          <w:color w:val="auto"/>
          <w:sz w:val="24"/>
          <w:u w:val="single"/>
        </w:rPr>
        <w:t>（姓名）</w:t>
      </w:r>
      <w:r>
        <w:rPr>
          <w:rFonts w:hint="eastAsia" w:ascii="宋体" w:hAnsi="宋体" w:eastAsia="宋体" w:cs="宋体"/>
          <w:color w:val="auto"/>
          <w:sz w:val="24"/>
        </w:rPr>
        <w:t>以我方的名义参加</w:t>
      </w:r>
      <w:r>
        <w:rPr>
          <w:rFonts w:hint="eastAsia" w:ascii="宋体" w:hAnsi="宋体" w:eastAsia="宋体" w:cs="宋体"/>
          <w:color w:val="auto"/>
          <w:sz w:val="24"/>
          <w:u w:val="single"/>
        </w:rPr>
        <w:t>（项目名称</w:t>
      </w:r>
      <w:r>
        <w:rPr>
          <w:rFonts w:hint="eastAsia" w:ascii="宋体" w:hAnsi="宋体" w:eastAsia="宋体" w:cs="宋体"/>
          <w:color w:val="auto"/>
          <w:sz w:val="24"/>
          <w:u w:val="single"/>
        </w:rPr>
        <w:t>/项目编号</w:t>
      </w:r>
      <w:r>
        <w:rPr>
          <w:rFonts w:hint="eastAsia" w:ascii="宋体" w:hAnsi="宋体" w:eastAsia="宋体" w:cs="宋体"/>
          <w:color w:val="auto"/>
          <w:sz w:val="24"/>
        </w:rPr>
        <w:t>）项目的投标活动，并代表我方全权办理针对上述项目的所有采购程序和环节的具体事务和签署相关文件。</w:t>
      </w:r>
    </w:p>
    <w:p w14:paraId="066C9DD8">
      <w:pPr>
        <w:wordWrap w:val="0"/>
        <w:spacing w:line="440" w:lineRule="exact"/>
        <w:contextualSpacing/>
        <w:rPr>
          <w:rFonts w:hint="eastAsia" w:ascii="宋体" w:hAnsi="宋体" w:eastAsia="宋体" w:cs="宋体"/>
          <w:color w:val="auto"/>
          <w:sz w:val="24"/>
        </w:rPr>
      </w:pPr>
      <w:r>
        <w:rPr>
          <w:rFonts w:hint="eastAsia" w:ascii="宋体" w:hAnsi="宋体" w:eastAsia="宋体" w:cs="宋体"/>
          <w:color w:val="auto"/>
          <w:sz w:val="24"/>
        </w:rPr>
        <w:t>我方对委托代理人的签字或者电子签名事项负全部责任。</w:t>
      </w:r>
    </w:p>
    <w:p w14:paraId="0FF01F4B">
      <w:pPr>
        <w:wordWrap w:val="0"/>
        <w:spacing w:line="440" w:lineRule="exact"/>
        <w:ind w:firstLine="480"/>
        <w:contextualSpacing/>
        <w:rPr>
          <w:rFonts w:hint="eastAsia" w:ascii="宋体" w:hAnsi="宋体" w:eastAsia="宋体" w:cs="宋体"/>
          <w:color w:val="auto"/>
          <w:sz w:val="24"/>
        </w:rPr>
      </w:pPr>
      <w:r>
        <w:rPr>
          <w:rFonts w:hint="eastAsia" w:ascii="宋体" w:hAnsi="宋体" w:eastAsia="宋体" w:cs="宋体"/>
          <w:color w:val="auto"/>
          <w:sz w:val="24"/>
          <w:u w:val="single"/>
        </w:rPr>
        <w:t>本授权书自签署之日起生效，在撤销授权的书面通知以前，本授权书一直有效。委托代理人在授权书有效期内签署的所有文件不因授权的撤销而失效。</w:t>
      </w:r>
    </w:p>
    <w:p w14:paraId="09ED4017">
      <w:pPr>
        <w:wordWrap w:val="0"/>
        <w:spacing w:line="440" w:lineRule="exact"/>
        <w:ind w:firstLine="480"/>
        <w:contextualSpacing/>
        <w:rPr>
          <w:rFonts w:hint="eastAsia" w:ascii="宋体" w:hAnsi="宋体" w:eastAsia="宋体" w:cs="宋体"/>
          <w:color w:val="auto"/>
          <w:sz w:val="24"/>
        </w:rPr>
      </w:pPr>
      <w:r>
        <w:rPr>
          <w:rFonts w:hint="eastAsia" w:ascii="宋体" w:hAnsi="宋体" w:eastAsia="宋体" w:cs="宋体"/>
          <w:color w:val="auto"/>
          <w:sz w:val="24"/>
        </w:rPr>
        <w:t>委托代理人无转委托权，特此委托。</w:t>
      </w:r>
    </w:p>
    <w:p w14:paraId="6DC05C8A">
      <w:pPr>
        <w:wordWrap w:val="0"/>
        <w:spacing w:line="440" w:lineRule="exact"/>
        <w:ind w:firstLine="480"/>
        <w:contextualSpacing/>
        <w:rPr>
          <w:rFonts w:hint="eastAsia" w:ascii="宋体" w:hAnsi="宋体" w:eastAsia="宋体" w:cs="宋体"/>
          <w:color w:val="auto"/>
          <w:sz w:val="24"/>
        </w:rPr>
      </w:pPr>
    </w:p>
    <w:p w14:paraId="07AAFE17">
      <w:pPr>
        <w:wordWrap w:val="0"/>
        <w:spacing w:line="440" w:lineRule="exact"/>
        <w:ind w:firstLine="480"/>
        <w:contextualSpacing/>
        <w:rPr>
          <w:rFonts w:hint="eastAsia" w:ascii="宋体" w:hAnsi="宋体" w:eastAsia="宋体" w:cs="宋体"/>
          <w:color w:val="auto"/>
          <w:sz w:val="24"/>
        </w:rPr>
      </w:pPr>
      <w:r>
        <w:rPr>
          <w:rFonts w:hint="eastAsia" w:ascii="宋体" w:hAnsi="宋体" w:eastAsia="宋体" w:cs="宋体"/>
          <w:color w:val="auto"/>
          <w:sz w:val="24"/>
        </w:rPr>
        <w:t>附：</w:t>
      </w:r>
      <w:r>
        <w:rPr>
          <w:rFonts w:hint="eastAsia" w:ascii="宋体" w:hAnsi="宋体" w:eastAsia="宋体" w:cs="宋体"/>
          <w:color w:val="auto"/>
          <w:sz w:val="24"/>
        </w:rPr>
        <w:t>1）法定代表人身份证明及委托代理人有效身份证正反面复印件</w:t>
      </w:r>
    </w:p>
    <w:p w14:paraId="45E277D2">
      <w:pPr>
        <w:wordWrap w:val="0"/>
        <w:spacing w:line="440" w:lineRule="exact"/>
        <w:ind w:firstLine="480"/>
        <w:contextualSpacing/>
        <w:rPr>
          <w:rFonts w:hint="eastAsia" w:ascii="宋体" w:hAnsi="宋体" w:eastAsia="宋体" w:cs="宋体"/>
          <w:color w:val="auto"/>
          <w:sz w:val="24"/>
        </w:rPr>
      </w:pPr>
      <w:r>
        <w:rPr>
          <w:rFonts w:hint="eastAsia" w:ascii="宋体" w:hAnsi="宋体" w:eastAsia="宋体" w:cs="宋体"/>
          <w:color w:val="auto"/>
          <w:sz w:val="24"/>
        </w:rPr>
        <w:t>2）投标截止日期前半年内</w:t>
      </w:r>
      <w:bookmarkStart w:id="233" w:name="OLE_LINK75"/>
      <w:r>
        <w:rPr>
          <w:rFonts w:hint="eastAsia" w:ascii="宋体" w:hAnsi="宋体" w:eastAsia="宋体" w:cs="宋体"/>
          <w:color w:val="auto"/>
          <w:sz w:val="24"/>
        </w:rPr>
        <w:t>任意</w:t>
      </w:r>
      <w:r>
        <w:rPr>
          <w:rFonts w:hint="eastAsia" w:ascii="宋体" w:hAnsi="宋体" w:eastAsia="宋体" w:cs="宋体"/>
          <w:color w:val="auto"/>
          <w:sz w:val="24"/>
        </w:rPr>
        <w:t>1个月</w:t>
      </w:r>
      <w:bookmarkEnd w:id="233"/>
      <w:r>
        <w:rPr>
          <w:rFonts w:hint="eastAsia" w:ascii="宋体" w:hAnsi="宋体" w:eastAsia="宋体" w:cs="宋体"/>
          <w:color w:val="auto"/>
          <w:sz w:val="24"/>
        </w:rPr>
        <w:t>投标人为委托代理人缴纳社保的证明（必须提供，否则投标无效）</w:t>
      </w:r>
    </w:p>
    <w:p w14:paraId="1C1B875C">
      <w:pPr>
        <w:wordWrap w:val="0"/>
        <w:spacing w:line="440" w:lineRule="exact"/>
        <w:contextualSpacing/>
        <w:rPr>
          <w:rFonts w:hint="eastAsia" w:ascii="宋体" w:hAnsi="宋体" w:eastAsia="宋体" w:cs="宋体"/>
          <w:color w:val="auto"/>
          <w:sz w:val="24"/>
        </w:rPr>
      </w:pPr>
    </w:p>
    <w:p w14:paraId="6724A69E">
      <w:pPr>
        <w:wordWrap w:val="0"/>
        <w:spacing w:line="440" w:lineRule="exact"/>
        <w:ind w:left="420" w:leftChars="200"/>
        <w:contextualSpacing/>
        <w:rPr>
          <w:rFonts w:hint="eastAsia" w:ascii="宋体" w:hAnsi="宋体" w:eastAsia="宋体" w:cs="宋体"/>
          <w:color w:val="auto"/>
          <w:sz w:val="24"/>
        </w:rPr>
      </w:pPr>
      <w:r>
        <w:rPr>
          <w:rFonts w:hint="eastAsia" w:ascii="宋体" w:hAnsi="宋体" w:eastAsia="宋体" w:cs="宋体"/>
          <w:color w:val="auto"/>
          <w:sz w:val="24"/>
        </w:rPr>
        <w:t>委托代理人（签字或者电子签名）：</w:t>
      </w:r>
    </w:p>
    <w:p w14:paraId="0418DF35">
      <w:pPr>
        <w:wordWrap w:val="0"/>
        <w:spacing w:line="440" w:lineRule="exact"/>
        <w:ind w:left="420" w:leftChars="200"/>
        <w:contextualSpacing/>
        <w:rPr>
          <w:rFonts w:hint="eastAsia" w:ascii="宋体" w:hAnsi="宋体" w:eastAsia="宋体" w:cs="宋体"/>
          <w:color w:val="auto"/>
          <w:sz w:val="24"/>
          <w:u w:val="single"/>
        </w:rPr>
      </w:pPr>
      <w:r>
        <w:rPr>
          <w:rFonts w:hint="eastAsia" w:ascii="宋体" w:hAnsi="宋体" w:eastAsia="宋体" w:cs="宋体"/>
          <w:color w:val="auto"/>
          <w:sz w:val="24"/>
        </w:rPr>
        <w:t>委托代理人身份证号码：</w:t>
      </w:r>
    </w:p>
    <w:p w14:paraId="4937A5A2">
      <w:pPr>
        <w:wordWrap w:val="0"/>
        <w:spacing w:line="440" w:lineRule="exact"/>
        <w:ind w:left="420" w:leftChars="200"/>
        <w:contextualSpacing/>
        <w:rPr>
          <w:rFonts w:hint="eastAsia" w:ascii="宋体" w:hAnsi="宋体" w:eastAsia="宋体" w:cs="宋体"/>
          <w:color w:val="auto"/>
          <w:sz w:val="24"/>
          <w:u w:val="single"/>
        </w:rPr>
      </w:pPr>
      <w:r>
        <w:rPr>
          <w:rFonts w:hint="eastAsia" w:ascii="宋体" w:hAnsi="宋体" w:eastAsia="宋体" w:cs="宋体"/>
          <w:color w:val="auto"/>
          <w:sz w:val="24"/>
        </w:rPr>
        <w:t>法定代表人（签字或者盖章或者电子签名）：</w:t>
      </w:r>
    </w:p>
    <w:p w14:paraId="76DA0639">
      <w:pPr>
        <w:wordWrap w:val="0"/>
        <w:spacing w:line="440" w:lineRule="exact"/>
        <w:contextualSpacing/>
        <w:rPr>
          <w:rFonts w:hint="eastAsia" w:ascii="宋体" w:hAnsi="宋体" w:eastAsia="宋体" w:cs="宋体"/>
          <w:color w:val="auto"/>
          <w:sz w:val="24"/>
        </w:rPr>
      </w:pPr>
    </w:p>
    <w:p w14:paraId="252DB8C3">
      <w:pPr>
        <w:wordWrap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投标人名称（电子签章）：</w:t>
      </w:r>
    </w:p>
    <w:p w14:paraId="6615D4A6">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日期：年月日</w:t>
      </w:r>
    </w:p>
    <w:p w14:paraId="6E8BCCE7">
      <w:pPr>
        <w:wordWrap w:val="0"/>
        <w:spacing w:line="440" w:lineRule="exact"/>
        <w:contextualSpacing/>
        <w:rPr>
          <w:rFonts w:hint="eastAsia" w:ascii="宋体" w:hAnsi="宋体" w:eastAsia="宋体" w:cs="宋体"/>
          <w:color w:val="auto"/>
          <w:sz w:val="24"/>
        </w:rPr>
      </w:pPr>
      <w:r>
        <w:rPr>
          <w:rFonts w:hint="eastAsia" w:ascii="宋体" w:hAnsi="宋体" w:eastAsia="宋体" w:cs="宋体"/>
          <w:color w:val="auto"/>
          <w:sz w:val="24"/>
        </w:rPr>
        <w:t>注：</w:t>
      </w:r>
      <w:r>
        <w:rPr>
          <w:rFonts w:hint="eastAsia" w:ascii="宋体" w:hAnsi="宋体" w:eastAsia="宋体" w:cs="宋体"/>
          <w:color w:val="auto"/>
          <w:sz w:val="24"/>
        </w:rPr>
        <w:t>1.</w:t>
      </w:r>
      <w:bookmarkStart w:id="234" w:name="_Hlk65851555"/>
      <w:bookmarkStart w:id="235" w:name="_Hlk65851620"/>
      <w:r>
        <w:rPr>
          <w:rFonts w:hint="eastAsia" w:ascii="宋体" w:hAnsi="宋体" w:eastAsia="宋体" w:cs="宋体"/>
          <w:color w:val="auto"/>
          <w:sz w:val="24"/>
        </w:rPr>
        <w:t>法定代表人必须在授权委托书上签字或者盖章或者电子签名，</w:t>
      </w:r>
      <w:bookmarkEnd w:id="234"/>
      <w:r>
        <w:rPr>
          <w:rFonts w:hint="eastAsia" w:ascii="宋体" w:hAnsi="宋体" w:eastAsia="宋体" w:cs="宋体"/>
          <w:color w:val="auto"/>
          <w:sz w:val="24"/>
        </w:rPr>
        <w:t>委托代理人必须在授权委托书上签字或者电子签名，</w:t>
      </w:r>
      <w:r>
        <w:rPr>
          <w:rFonts w:hint="eastAsia" w:ascii="宋体" w:hAnsi="宋体" w:eastAsia="宋体" w:cs="宋体"/>
          <w:b/>
          <w:bCs/>
          <w:color w:val="auto"/>
          <w:sz w:val="24"/>
        </w:rPr>
        <w:t>否则按无效投标处理</w:t>
      </w:r>
      <w:r>
        <w:rPr>
          <w:rFonts w:hint="eastAsia" w:ascii="宋体" w:hAnsi="宋体" w:eastAsia="宋体" w:cs="宋体"/>
          <w:color w:val="auto"/>
          <w:sz w:val="24"/>
        </w:rPr>
        <w:t>；</w:t>
      </w:r>
      <w:bookmarkEnd w:id="235"/>
    </w:p>
    <w:p w14:paraId="0440A9A4">
      <w:pPr>
        <w:wordWrap w:val="0"/>
        <w:spacing w:line="440" w:lineRule="exact"/>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2.法人、其他组织投标时“我方”是指“我单位”，自然人投标时“我方”是指“本人”。</w:t>
      </w:r>
    </w:p>
    <w:p w14:paraId="3FB8A576">
      <w:pPr>
        <w:snapToGrid w:val="0"/>
        <w:spacing w:before="50" w:after="50"/>
        <w:jc w:val="center"/>
        <w:rPr>
          <w:rFonts w:hint="eastAsia" w:ascii="宋体" w:hAnsi="宋体" w:eastAsia="宋体" w:cs="宋体"/>
          <w:color w:val="auto"/>
          <w:sz w:val="44"/>
          <w:szCs w:val="44"/>
        </w:rPr>
      </w:pPr>
      <w:r>
        <w:rPr>
          <w:rFonts w:hint="eastAsia" w:ascii="宋体" w:hAnsi="宋体" w:eastAsia="宋体" w:cs="宋体"/>
          <w:color w:val="auto"/>
          <w:sz w:val="24"/>
        </w:rPr>
        <w:br w:type="page"/>
      </w:r>
      <w:r>
        <w:rPr>
          <w:rFonts w:hint="eastAsia" w:ascii="宋体" w:hAnsi="宋体" w:eastAsia="宋体" w:cs="宋体"/>
          <w:b/>
          <w:color w:val="auto"/>
          <w:sz w:val="32"/>
        </w:rPr>
        <w:t>授权委托书</w:t>
      </w:r>
    </w:p>
    <w:p w14:paraId="29B07224">
      <w:pPr>
        <w:wordWrap w:val="0"/>
        <w:snapToGrid w:val="0"/>
        <w:spacing w:before="120" w:beforeLines="50" w:after="50"/>
        <w:jc w:val="center"/>
        <w:rPr>
          <w:rFonts w:hint="eastAsia" w:ascii="宋体" w:hAnsi="宋体" w:eastAsia="宋体" w:cs="宋体"/>
          <w:color w:val="auto"/>
          <w:sz w:val="32"/>
          <w:szCs w:val="32"/>
        </w:rPr>
      </w:pPr>
      <w:r>
        <w:rPr>
          <w:rFonts w:hint="eastAsia" w:ascii="宋体" w:hAnsi="宋体" w:eastAsia="宋体" w:cs="宋体"/>
          <w:color w:val="auto"/>
          <w:sz w:val="32"/>
          <w:szCs w:val="32"/>
        </w:rPr>
        <w:t>（联合体投标格式）</w:t>
      </w:r>
    </w:p>
    <w:p w14:paraId="7117937C">
      <w:pPr>
        <w:wordWrap w:val="0"/>
        <w:snapToGrid w:val="0"/>
        <w:spacing w:before="120" w:beforeLines="50" w:after="50"/>
        <w:jc w:val="center"/>
        <w:rPr>
          <w:rFonts w:hint="eastAsia" w:ascii="宋体" w:hAnsi="宋体" w:eastAsia="宋体" w:cs="宋体"/>
          <w:color w:val="auto"/>
          <w:sz w:val="24"/>
        </w:rPr>
      </w:pPr>
      <w:r>
        <w:rPr>
          <w:rFonts w:hint="eastAsia" w:ascii="宋体" w:hAnsi="宋体" w:eastAsia="宋体" w:cs="宋体"/>
          <w:color w:val="auto"/>
          <w:sz w:val="32"/>
          <w:szCs w:val="32"/>
        </w:rPr>
        <w:t>（如有委托时）</w:t>
      </w:r>
    </w:p>
    <w:p w14:paraId="3081F608">
      <w:pPr>
        <w:wordWrap w:val="0"/>
        <w:spacing w:line="440" w:lineRule="exact"/>
        <w:contextualSpacing/>
        <w:rPr>
          <w:rFonts w:hint="eastAsia" w:ascii="宋体" w:hAnsi="宋体" w:eastAsia="宋体" w:cs="宋体"/>
          <w:b/>
          <w:bCs/>
          <w:color w:val="auto"/>
          <w:sz w:val="24"/>
        </w:rPr>
      </w:pPr>
      <w:r>
        <w:rPr>
          <w:rFonts w:hint="eastAsia" w:ascii="宋体" w:hAnsi="宋体" w:eastAsia="宋体" w:cs="宋体"/>
          <w:bCs/>
          <w:color w:val="auto"/>
          <w:sz w:val="24"/>
        </w:rPr>
        <w:t>致</w:t>
      </w:r>
      <w:r>
        <w:rPr>
          <w:rFonts w:hint="eastAsia" w:ascii="宋体" w:hAnsi="宋体" w:eastAsia="宋体" w:cs="宋体"/>
          <w:color w:val="auto"/>
          <w:sz w:val="24"/>
          <w:u w:val="single"/>
        </w:rPr>
        <w:t>（采购人/采购代理机构名称）：</w:t>
      </w:r>
    </w:p>
    <w:p w14:paraId="04C85FA9">
      <w:pPr>
        <w:wordWrap w:val="0"/>
        <w:spacing w:line="440" w:lineRule="exact"/>
        <w:ind w:firstLine="566" w:firstLineChars="236"/>
        <w:contextualSpacing/>
        <w:rPr>
          <w:rFonts w:hint="eastAsia" w:ascii="宋体" w:hAnsi="宋体" w:eastAsia="宋体" w:cs="宋体"/>
          <w:color w:val="auto"/>
          <w:sz w:val="24"/>
        </w:rPr>
      </w:pPr>
      <w:r>
        <w:rPr>
          <w:rFonts w:hint="eastAsia" w:ascii="宋体" w:hAnsi="宋体" w:eastAsia="宋体" w:cs="宋体"/>
          <w:color w:val="auto"/>
          <w:sz w:val="24"/>
        </w:rPr>
        <w:t>根据</w:t>
      </w:r>
      <w:r>
        <w:rPr>
          <w:rFonts w:hint="eastAsia" w:ascii="宋体" w:hAnsi="宋体" w:eastAsia="宋体" w:cs="宋体"/>
          <w:color w:val="auto"/>
          <w:sz w:val="24"/>
          <w:u w:val="single"/>
        </w:rPr>
        <w:t>（牵头人名称）</w:t>
      </w:r>
      <w:r>
        <w:rPr>
          <w:rFonts w:hint="eastAsia" w:ascii="宋体" w:hAnsi="宋体" w:eastAsia="宋体" w:cs="宋体"/>
          <w:color w:val="auto"/>
          <w:sz w:val="24"/>
        </w:rPr>
        <w:t>与</w:t>
      </w:r>
      <w:r>
        <w:rPr>
          <w:rFonts w:hint="eastAsia" w:ascii="宋体" w:hAnsi="宋体" w:eastAsia="宋体" w:cs="宋体"/>
          <w:color w:val="auto"/>
          <w:sz w:val="24"/>
          <w:u w:val="single"/>
        </w:rPr>
        <w:t>（联合体其他成员名称）</w:t>
      </w:r>
      <w:r>
        <w:rPr>
          <w:rFonts w:hint="eastAsia" w:ascii="宋体" w:hAnsi="宋体" w:eastAsia="宋体" w:cs="宋体"/>
          <w:color w:val="auto"/>
          <w:sz w:val="24"/>
        </w:rPr>
        <w:t>签订的《联合体投标协议书》的内容，</w:t>
      </w:r>
      <w:r>
        <w:rPr>
          <w:rFonts w:hint="eastAsia" w:ascii="宋体" w:hAnsi="宋体" w:eastAsia="宋体" w:cs="宋体"/>
          <w:color w:val="auto"/>
          <w:sz w:val="24"/>
          <w:u w:val="single"/>
        </w:rPr>
        <w:t>（牵头人名称）</w:t>
      </w:r>
      <w:r>
        <w:rPr>
          <w:rFonts w:hint="eastAsia" w:ascii="宋体" w:hAnsi="宋体" w:eastAsia="宋体" w:cs="宋体"/>
          <w:color w:val="auto"/>
          <w:sz w:val="24"/>
        </w:rPr>
        <w:t>的法定代表人</w:t>
      </w:r>
      <w:r>
        <w:rPr>
          <w:rFonts w:hint="eastAsia" w:ascii="宋体" w:hAnsi="宋体" w:eastAsia="宋体" w:cs="宋体"/>
          <w:color w:val="auto"/>
          <w:sz w:val="24"/>
          <w:u w:val="single"/>
        </w:rPr>
        <w:t>（姓名）</w:t>
      </w:r>
      <w:r>
        <w:rPr>
          <w:rFonts w:hint="eastAsia" w:ascii="宋体" w:hAnsi="宋体" w:eastAsia="宋体" w:cs="宋体"/>
          <w:color w:val="auto"/>
          <w:sz w:val="24"/>
        </w:rPr>
        <w:t>现授权委托</w:t>
      </w:r>
      <w:r>
        <w:rPr>
          <w:rFonts w:hint="eastAsia" w:ascii="宋体" w:hAnsi="宋体" w:eastAsia="宋体" w:cs="宋体"/>
          <w:color w:val="auto"/>
          <w:sz w:val="24"/>
          <w:u w:val="single"/>
        </w:rPr>
        <w:t>（姓名）</w:t>
      </w:r>
      <w:r>
        <w:rPr>
          <w:rFonts w:hint="eastAsia" w:ascii="宋体" w:hAnsi="宋体" w:eastAsia="宋体" w:cs="宋体"/>
          <w:color w:val="auto"/>
          <w:sz w:val="24"/>
        </w:rPr>
        <w:t>以我方的名义参加</w:t>
      </w:r>
      <w:r>
        <w:rPr>
          <w:rFonts w:hint="eastAsia" w:ascii="宋体" w:hAnsi="宋体" w:eastAsia="宋体" w:cs="宋体"/>
          <w:color w:val="auto"/>
          <w:sz w:val="24"/>
          <w:u w:val="single"/>
        </w:rPr>
        <w:t>（项目名称</w:t>
      </w:r>
      <w:r>
        <w:rPr>
          <w:rFonts w:hint="eastAsia" w:ascii="宋体" w:hAnsi="宋体" w:eastAsia="宋体" w:cs="宋体"/>
          <w:color w:val="auto"/>
          <w:sz w:val="24"/>
          <w:u w:val="single"/>
        </w:rPr>
        <w:t>/项目编号</w:t>
      </w:r>
      <w:r>
        <w:rPr>
          <w:rFonts w:hint="eastAsia" w:ascii="宋体" w:hAnsi="宋体" w:eastAsia="宋体" w:cs="宋体"/>
          <w:color w:val="auto"/>
          <w:sz w:val="24"/>
        </w:rPr>
        <w:t>）项目的投标活动，并代表我方全权办理针对上述项目的所有采购程序和环节的具体事务和签署相关文件。</w:t>
      </w:r>
    </w:p>
    <w:p w14:paraId="160A8634">
      <w:pPr>
        <w:wordWrap w:val="0"/>
        <w:spacing w:line="440" w:lineRule="exact"/>
        <w:ind w:firstLine="566" w:firstLineChars="236"/>
        <w:contextualSpacing/>
        <w:rPr>
          <w:rFonts w:hint="eastAsia" w:ascii="宋体" w:hAnsi="宋体" w:eastAsia="宋体" w:cs="宋体"/>
          <w:color w:val="auto"/>
          <w:sz w:val="24"/>
        </w:rPr>
      </w:pPr>
      <w:r>
        <w:rPr>
          <w:rFonts w:hint="eastAsia" w:ascii="宋体" w:hAnsi="宋体" w:eastAsia="宋体" w:cs="宋体"/>
          <w:color w:val="auto"/>
          <w:sz w:val="24"/>
        </w:rPr>
        <w:t>我方对委托代理人的签字或者电子签名事项负全部责任。</w:t>
      </w:r>
    </w:p>
    <w:p w14:paraId="2CCB2806">
      <w:pPr>
        <w:wordWrap w:val="0"/>
        <w:spacing w:line="440" w:lineRule="exact"/>
        <w:ind w:firstLine="566" w:firstLineChars="236"/>
        <w:contextualSpacing/>
        <w:rPr>
          <w:rFonts w:hint="eastAsia" w:ascii="宋体" w:hAnsi="宋体" w:eastAsia="宋体" w:cs="宋体"/>
          <w:color w:val="auto"/>
          <w:sz w:val="24"/>
        </w:rPr>
      </w:pPr>
      <w:r>
        <w:rPr>
          <w:rFonts w:hint="eastAsia" w:ascii="宋体" w:hAnsi="宋体" w:eastAsia="宋体" w:cs="宋体"/>
          <w:color w:val="auto"/>
          <w:sz w:val="24"/>
        </w:rPr>
        <w:t>本授权书自签署之日起生效，在撤销授权的书面通知以前，本授权书一直有效。委托代理人在授权书有效期内签署的所有文件不因授权的撤销而失效。</w:t>
      </w:r>
    </w:p>
    <w:p w14:paraId="08CB2B53">
      <w:pPr>
        <w:wordWrap w:val="0"/>
        <w:spacing w:line="440" w:lineRule="exact"/>
        <w:ind w:firstLine="566" w:firstLineChars="236"/>
        <w:contextualSpacing/>
        <w:rPr>
          <w:rFonts w:hint="eastAsia" w:ascii="宋体" w:hAnsi="宋体" w:eastAsia="宋体" w:cs="宋体"/>
          <w:color w:val="auto"/>
          <w:sz w:val="24"/>
        </w:rPr>
      </w:pPr>
      <w:r>
        <w:rPr>
          <w:rFonts w:hint="eastAsia" w:ascii="宋体" w:hAnsi="宋体" w:eastAsia="宋体" w:cs="宋体"/>
          <w:color w:val="auto"/>
          <w:sz w:val="24"/>
        </w:rPr>
        <w:t>委托代理人无转委托权，特此委托。</w:t>
      </w:r>
    </w:p>
    <w:p w14:paraId="7549CB04">
      <w:pPr>
        <w:wordWrap w:val="0"/>
        <w:spacing w:line="440" w:lineRule="exact"/>
        <w:ind w:firstLine="566" w:firstLineChars="236"/>
        <w:contextualSpacing/>
        <w:rPr>
          <w:rFonts w:hint="eastAsia" w:ascii="宋体" w:hAnsi="宋体" w:eastAsia="宋体" w:cs="宋体"/>
          <w:color w:val="auto"/>
          <w:sz w:val="24"/>
        </w:rPr>
      </w:pPr>
      <w:r>
        <w:rPr>
          <w:rFonts w:hint="eastAsia" w:ascii="宋体" w:hAnsi="宋体" w:eastAsia="宋体" w:cs="宋体"/>
          <w:color w:val="auto"/>
          <w:sz w:val="24"/>
        </w:rPr>
        <w:t>附：</w:t>
      </w:r>
      <w:r>
        <w:rPr>
          <w:rFonts w:hint="eastAsia" w:ascii="宋体" w:hAnsi="宋体" w:eastAsia="宋体" w:cs="宋体"/>
          <w:color w:val="auto"/>
          <w:sz w:val="24"/>
        </w:rPr>
        <w:t>1）牵头人法定代表人身份证明及委托代理人有效身份证正反面复印件</w:t>
      </w:r>
    </w:p>
    <w:p w14:paraId="2AFE5DAD">
      <w:pPr>
        <w:wordWrap w:val="0"/>
        <w:spacing w:line="440" w:lineRule="exact"/>
        <w:ind w:firstLine="480"/>
        <w:contextualSpacing/>
        <w:rPr>
          <w:rFonts w:hint="eastAsia" w:ascii="宋体" w:hAnsi="宋体" w:eastAsia="宋体" w:cs="宋体"/>
          <w:color w:val="auto"/>
          <w:sz w:val="24"/>
        </w:rPr>
      </w:pPr>
      <w:r>
        <w:rPr>
          <w:rFonts w:hint="eastAsia" w:ascii="宋体" w:hAnsi="宋体" w:eastAsia="宋体" w:cs="宋体"/>
          <w:color w:val="auto"/>
          <w:sz w:val="24"/>
        </w:rPr>
        <w:t>2）投标截止日期前半年内任意1个月联合体其中一单位为委托代理人缴纳社保的证明（必须提供，否则投标无效）</w:t>
      </w:r>
    </w:p>
    <w:p w14:paraId="7B5C8E2F">
      <w:pPr>
        <w:wordWrap w:val="0"/>
        <w:spacing w:line="440" w:lineRule="exact"/>
        <w:ind w:firstLine="566" w:firstLineChars="236"/>
        <w:contextualSpacing/>
        <w:rPr>
          <w:rFonts w:hint="eastAsia" w:ascii="宋体" w:hAnsi="宋体" w:eastAsia="宋体" w:cs="宋体"/>
          <w:color w:val="auto"/>
          <w:sz w:val="24"/>
        </w:rPr>
      </w:pPr>
    </w:p>
    <w:p w14:paraId="28C7A733">
      <w:pPr>
        <w:wordWrap w:val="0"/>
        <w:spacing w:line="440" w:lineRule="exact"/>
        <w:ind w:firstLine="566" w:firstLineChars="236"/>
        <w:contextualSpacing/>
        <w:rPr>
          <w:rFonts w:hint="eastAsia" w:ascii="宋体" w:hAnsi="宋体" w:eastAsia="宋体" w:cs="宋体"/>
          <w:color w:val="auto"/>
          <w:sz w:val="24"/>
        </w:rPr>
      </w:pPr>
      <w:r>
        <w:rPr>
          <w:rFonts w:hint="eastAsia" w:ascii="宋体" w:hAnsi="宋体" w:eastAsia="宋体" w:cs="宋体"/>
          <w:color w:val="auto"/>
          <w:sz w:val="24"/>
        </w:rPr>
        <w:t>牵头人法定代表人（签字或者盖章或者电子签名）：</w:t>
      </w:r>
    </w:p>
    <w:p w14:paraId="0E660867">
      <w:pPr>
        <w:wordWrap w:val="0"/>
        <w:spacing w:line="440" w:lineRule="exact"/>
        <w:ind w:firstLine="566" w:firstLineChars="236"/>
        <w:contextualSpacing/>
        <w:rPr>
          <w:rFonts w:hint="eastAsia" w:ascii="宋体" w:hAnsi="宋体" w:eastAsia="宋体" w:cs="宋体"/>
          <w:color w:val="auto"/>
          <w:sz w:val="24"/>
        </w:rPr>
      </w:pPr>
      <w:r>
        <w:rPr>
          <w:rFonts w:hint="eastAsia" w:ascii="宋体" w:hAnsi="宋体" w:eastAsia="宋体" w:cs="宋体"/>
          <w:color w:val="auto"/>
          <w:sz w:val="24"/>
        </w:rPr>
        <w:t>牵头人（电子签章）：</w:t>
      </w:r>
    </w:p>
    <w:p w14:paraId="7B5D05B8">
      <w:pPr>
        <w:wordWrap w:val="0"/>
        <w:spacing w:line="440" w:lineRule="exact"/>
        <w:ind w:firstLine="566" w:firstLineChars="236"/>
        <w:contextualSpacing/>
        <w:rPr>
          <w:rFonts w:hint="eastAsia" w:ascii="宋体" w:hAnsi="宋体" w:eastAsia="宋体" w:cs="宋体"/>
          <w:color w:val="auto"/>
          <w:sz w:val="32"/>
          <w:szCs w:val="32"/>
        </w:rPr>
      </w:pPr>
      <w:r>
        <w:rPr>
          <w:rFonts w:hint="eastAsia" w:ascii="宋体" w:hAnsi="宋体" w:eastAsia="宋体" w:cs="宋体"/>
          <w:color w:val="auto"/>
          <w:sz w:val="24"/>
        </w:rPr>
        <w:t>日期：年月日</w:t>
      </w:r>
    </w:p>
    <w:p w14:paraId="3AB16DCA">
      <w:pPr>
        <w:wordWrap w:val="0"/>
        <w:spacing w:line="440" w:lineRule="exact"/>
        <w:ind w:firstLine="566" w:firstLineChars="236"/>
        <w:contextualSpacing/>
        <w:rPr>
          <w:rFonts w:hint="eastAsia" w:ascii="宋体" w:hAnsi="宋体" w:eastAsia="宋体" w:cs="宋体"/>
          <w:color w:val="auto"/>
          <w:sz w:val="24"/>
        </w:rPr>
      </w:pPr>
    </w:p>
    <w:p w14:paraId="43CDA14B">
      <w:pPr>
        <w:wordWrap w:val="0"/>
        <w:spacing w:line="440" w:lineRule="exact"/>
        <w:ind w:firstLine="566" w:firstLineChars="236"/>
        <w:contextualSpacing/>
        <w:rPr>
          <w:rFonts w:hint="eastAsia" w:ascii="宋体" w:hAnsi="宋体" w:eastAsia="宋体" w:cs="宋体"/>
          <w:color w:val="auto"/>
          <w:sz w:val="24"/>
          <w:u w:val="single"/>
        </w:rPr>
      </w:pPr>
      <w:r>
        <w:rPr>
          <w:rFonts w:hint="eastAsia" w:ascii="宋体" w:hAnsi="宋体" w:eastAsia="宋体" w:cs="宋体"/>
          <w:color w:val="auto"/>
          <w:sz w:val="24"/>
        </w:rPr>
        <w:t>被授权人（签字或者电子签名）：</w:t>
      </w:r>
    </w:p>
    <w:p w14:paraId="42B19BF4">
      <w:pPr>
        <w:wordWrap w:val="0"/>
        <w:spacing w:line="440" w:lineRule="exact"/>
        <w:ind w:firstLine="566" w:firstLineChars="236"/>
        <w:contextualSpacing/>
        <w:rPr>
          <w:rFonts w:hint="eastAsia" w:ascii="宋体" w:hAnsi="宋体" w:eastAsia="宋体" w:cs="宋体"/>
          <w:color w:val="auto"/>
          <w:sz w:val="32"/>
          <w:szCs w:val="32"/>
        </w:rPr>
      </w:pPr>
      <w:r>
        <w:rPr>
          <w:rFonts w:hint="eastAsia" w:ascii="宋体" w:hAnsi="宋体" w:eastAsia="宋体" w:cs="宋体"/>
          <w:color w:val="auto"/>
          <w:sz w:val="24"/>
        </w:rPr>
        <w:t>日期：年月日</w:t>
      </w:r>
    </w:p>
    <w:p w14:paraId="32B8B416">
      <w:pPr>
        <w:wordWrap w:val="0"/>
        <w:spacing w:line="440" w:lineRule="exact"/>
        <w:contextualSpacing/>
        <w:rPr>
          <w:rFonts w:hint="eastAsia" w:ascii="宋体" w:hAnsi="宋体" w:eastAsia="宋体" w:cs="宋体"/>
          <w:color w:val="auto"/>
          <w:sz w:val="24"/>
        </w:rPr>
      </w:pPr>
      <w:r>
        <w:rPr>
          <w:rFonts w:hint="eastAsia" w:ascii="宋体" w:hAnsi="宋体" w:eastAsia="宋体" w:cs="宋体"/>
          <w:color w:val="auto"/>
          <w:sz w:val="24"/>
        </w:rPr>
        <w:t>注：</w:t>
      </w:r>
      <w:r>
        <w:rPr>
          <w:rFonts w:hint="eastAsia" w:ascii="宋体" w:hAnsi="宋体" w:eastAsia="宋体" w:cs="宋体"/>
          <w:color w:val="auto"/>
          <w:sz w:val="24"/>
        </w:rPr>
        <w:t>1.法定代表人必须在授权委托书上签字或者盖章或者电子签名，委托代理人必须在授权委托书上签字或者电子签名，</w:t>
      </w:r>
      <w:r>
        <w:rPr>
          <w:rFonts w:hint="eastAsia" w:ascii="宋体" w:hAnsi="宋体" w:eastAsia="宋体" w:cs="宋体"/>
          <w:b/>
          <w:bCs/>
          <w:color w:val="auto"/>
          <w:sz w:val="24"/>
        </w:rPr>
        <w:t>否则按无效投标处理</w:t>
      </w:r>
      <w:r>
        <w:rPr>
          <w:rFonts w:hint="eastAsia" w:ascii="宋体" w:hAnsi="宋体" w:eastAsia="宋体" w:cs="宋体"/>
          <w:color w:val="auto"/>
          <w:sz w:val="24"/>
        </w:rPr>
        <w:t>；</w:t>
      </w:r>
    </w:p>
    <w:p w14:paraId="72E17EAA">
      <w:pPr>
        <w:wordWrap w:val="0"/>
        <w:spacing w:line="440" w:lineRule="exact"/>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2.法人、其他组织投标时“我方”是指“我单位”，自然人投标时“我方”是指“本人”。</w:t>
      </w:r>
    </w:p>
    <w:p w14:paraId="4FC53552">
      <w:pPr>
        <w:wordWrap w:val="0"/>
        <w:spacing w:line="440" w:lineRule="exact"/>
        <w:contextualSpacing/>
        <w:rPr>
          <w:rFonts w:hint="eastAsia" w:ascii="宋体" w:hAnsi="宋体" w:eastAsia="宋体" w:cs="宋体"/>
          <w:color w:val="auto"/>
          <w:sz w:val="24"/>
        </w:rPr>
      </w:pPr>
    </w:p>
    <w:p w14:paraId="73FF4E70">
      <w:pPr>
        <w:wordWrap w:val="0"/>
        <w:snapToGrid w:val="0"/>
        <w:spacing w:before="50" w:after="120" w:afterLines="50"/>
        <w:ind w:firstLine="480" w:firstLineChars="200"/>
        <w:rPr>
          <w:rFonts w:hint="eastAsia" w:ascii="宋体" w:hAnsi="宋体" w:eastAsia="宋体" w:cs="宋体"/>
          <w:color w:val="auto"/>
          <w:sz w:val="24"/>
        </w:rPr>
        <w:sectPr>
          <w:pgSz w:w="11906" w:h="16838"/>
          <w:pgMar w:top="1134" w:right="1247" w:bottom="1134" w:left="1247" w:header="737" w:footer="680" w:gutter="113"/>
          <w:cols w:space="720" w:num="1"/>
          <w:titlePg/>
          <w:docGrid w:linePitch="312" w:charSpace="0"/>
        </w:sectPr>
      </w:pPr>
    </w:p>
    <w:p w14:paraId="736A866A">
      <w:pPr>
        <w:wordWrap w:val="0"/>
        <w:snapToGrid w:val="0"/>
        <w:spacing w:before="120" w:beforeLines="50" w:after="50"/>
        <w:outlineLvl w:val="2"/>
        <w:rPr>
          <w:rFonts w:hint="eastAsia" w:ascii="宋体" w:hAnsi="宋体" w:eastAsia="宋体" w:cs="宋体"/>
          <w:b/>
          <w:color w:val="auto"/>
          <w:sz w:val="24"/>
        </w:rPr>
      </w:pPr>
      <w:r>
        <w:rPr>
          <w:rFonts w:hint="eastAsia" w:ascii="宋体" w:hAnsi="宋体" w:eastAsia="宋体" w:cs="宋体"/>
          <w:b/>
          <w:color w:val="auto"/>
          <w:sz w:val="24"/>
        </w:rPr>
        <w:t>7.商务条款偏离表格式（注：按项目需求表具体项目修改）</w:t>
      </w:r>
    </w:p>
    <w:p w14:paraId="58B39880">
      <w:pPr>
        <w:wordWrap w:val="0"/>
        <w:snapToGrid w:val="0"/>
        <w:spacing w:before="50"/>
        <w:rPr>
          <w:rFonts w:hint="eastAsia" w:ascii="宋体" w:hAnsi="宋体" w:eastAsia="宋体" w:cs="宋体"/>
          <w:color w:val="auto"/>
          <w:sz w:val="24"/>
        </w:rPr>
      </w:pPr>
    </w:p>
    <w:p w14:paraId="7CEE5A69">
      <w:pPr>
        <w:pStyle w:val="25"/>
        <w:wordWrap w:val="0"/>
        <w:rPr>
          <w:rFonts w:hint="eastAsia" w:ascii="宋体" w:hAnsi="宋体" w:eastAsia="宋体" w:cs="宋体"/>
          <w:color w:val="auto"/>
          <w:sz w:val="24"/>
          <w:szCs w:val="24"/>
        </w:rPr>
      </w:pPr>
    </w:p>
    <w:p w14:paraId="5F0F6E45">
      <w:pPr>
        <w:snapToGrid w:val="0"/>
        <w:spacing w:before="50" w:after="50"/>
        <w:jc w:val="center"/>
        <w:outlineLvl w:val="3"/>
        <w:rPr>
          <w:rFonts w:hint="eastAsia" w:ascii="宋体" w:hAnsi="宋体" w:eastAsia="宋体" w:cs="宋体"/>
          <w:b/>
          <w:color w:val="auto"/>
          <w:sz w:val="32"/>
        </w:rPr>
      </w:pPr>
      <w:r>
        <w:rPr>
          <w:rFonts w:hint="eastAsia" w:ascii="宋体" w:hAnsi="宋体" w:eastAsia="宋体" w:cs="宋体"/>
          <w:b/>
          <w:color w:val="auto"/>
          <w:sz w:val="32"/>
        </w:rPr>
        <w:t>商务条款偏离表</w:t>
      </w:r>
    </w:p>
    <w:tbl>
      <w:tblPr>
        <w:tblStyle w:val="48"/>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52"/>
        <w:gridCol w:w="3118"/>
        <w:gridCol w:w="2993"/>
      </w:tblGrid>
      <w:tr w14:paraId="6E94C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17" w:type="dxa"/>
            <w:tcBorders>
              <w:top w:val="single" w:color="auto" w:sz="4" w:space="0"/>
              <w:left w:val="single" w:color="auto" w:sz="4" w:space="0"/>
              <w:bottom w:val="single" w:color="auto" w:sz="4" w:space="0"/>
              <w:right w:val="single" w:color="auto" w:sz="4" w:space="0"/>
            </w:tcBorders>
            <w:vAlign w:val="center"/>
          </w:tcPr>
          <w:p w14:paraId="6E063E48">
            <w:pPr>
              <w:wordWrap w:val="0"/>
              <w:spacing w:line="400" w:lineRule="exact"/>
              <w:rPr>
                <w:rFonts w:hint="eastAsia" w:ascii="宋体" w:hAnsi="宋体" w:eastAsia="宋体" w:cs="宋体"/>
                <w:b/>
                <w:color w:val="auto"/>
                <w:sz w:val="24"/>
              </w:rPr>
            </w:pPr>
            <w:r>
              <w:rPr>
                <w:rFonts w:hint="eastAsia" w:ascii="宋体" w:hAnsi="宋体" w:eastAsia="宋体" w:cs="宋体"/>
                <w:b/>
                <w:color w:val="auto"/>
                <w:sz w:val="24"/>
              </w:rPr>
              <w:t>项号</w:t>
            </w:r>
          </w:p>
        </w:tc>
        <w:tc>
          <w:tcPr>
            <w:tcW w:w="2552" w:type="dxa"/>
            <w:tcBorders>
              <w:top w:val="single" w:color="auto" w:sz="4" w:space="0"/>
              <w:left w:val="single" w:color="auto" w:sz="4" w:space="0"/>
              <w:bottom w:val="single" w:color="auto" w:sz="4" w:space="0"/>
              <w:right w:val="single" w:color="auto" w:sz="4" w:space="0"/>
            </w:tcBorders>
            <w:vAlign w:val="center"/>
          </w:tcPr>
          <w:p w14:paraId="00903B9C">
            <w:pPr>
              <w:wordWrap w:val="0"/>
              <w:spacing w:line="400" w:lineRule="exact"/>
              <w:rPr>
                <w:rFonts w:hint="eastAsia" w:ascii="宋体" w:hAnsi="宋体" w:eastAsia="宋体" w:cs="宋体"/>
                <w:b/>
                <w:color w:val="auto"/>
                <w:sz w:val="24"/>
              </w:rPr>
            </w:pPr>
            <w:r>
              <w:rPr>
                <w:rFonts w:hint="eastAsia" w:ascii="宋体" w:hAnsi="宋体" w:eastAsia="宋体" w:cs="宋体"/>
                <w:b/>
                <w:color w:val="auto"/>
                <w:sz w:val="24"/>
              </w:rPr>
              <w:t>招标文件的商务需求</w:t>
            </w:r>
          </w:p>
        </w:tc>
        <w:tc>
          <w:tcPr>
            <w:tcW w:w="3118" w:type="dxa"/>
            <w:tcBorders>
              <w:top w:val="single" w:color="auto" w:sz="4" w:space="0"/>
              <w:left w:val="single" w:color="auto" w:sz="4" w:space="0"/>
              <w:bottom w:val="single" w:color="auto" w:sz="4" w:space="0"/>
              <w:right w:val="single" w:color="auto" w:sz="4" w:space="0"/>
            </w:tcBorders>
            <w:vAlign w:val="center"/>
          </w:tcPr>
          <w:p w14:paraId="384B6F11">
            <w:pPr>
              <w:wordWrap w:val="0"/>
              <w:spacing w:line="400" w:lineRule="exact"/>
              <w:rPr>
                <w:rFonts w:hint="eastAsia" w:ascii="宋体" w:hAnsi="宋体" w:eastAsia="宋体" w:cs="宋体"/>
                <w:b/>
                <w:color w:val="auto"/>
                <w:sz w:val="24"/>
              </w:rPr>
            </w:pPr>
            <w:r>
              <w:rPr>
                <w:rFonts w:hint="eastAsia" w:ascii="宋体" w:hAnsi="宋体" w:eastAsia="宋体" w:cs="宋体"/>
                <w:b/>
                <w:color w:val="auto"/>
                <w:sz w:val="24"/>
              </w:rPr>
              <w:t>投标文件承诺的商务条款</w:t>
            </w:r>
          </w:p>
        </w:tc>
        <w:tc>
          <w:tcPr>
            <w:tcW w:w="2993" w:type="dxa"/>
            <w:tcBorders>
              <w:top w:val="single" w:color="auto" w:sz="4" w:space="0"/>
              <w:left w:val="single" w:color="auto" w:sz="4" w:space="0"/>
              <w:bottom w:val="single" w:color="auto" w:sz="4" w:space="0"/>
              <w:right w:val="single" w:color="auto" w:sz="4" w:space="0"/>
            </w:tcBorders>
            <w:vAlign w:val="center"/>
          </w:tcPr>
          <w:p w14:paraId="40F0BD23">
            <w:pPr>
              <w:wordWrap w:val="0"/>
              <w:spacing w:line="400" w:lineRule="exact"/>
              <w:rPr>
                <w:rFonts w:hint="eastAsia" w:ascii="宋体" w:hAnsi="宋体" w:eastAsia="宋体" w:cs="宋体"/>
                <w:b/>
                <w:color w:val="auto"/>
                <w:sz w:val="24"/>
              </w:rPr>
            </w:pPr>
            <w:r>
              <w:rPr>
                <w:rFonts w:hint="eastAsia" w:ascii="宋体" w:hAnsi="宋体" w:eastAsia="宋体" w:cs="宋体"/>
                <w:b/>
                <w:color w:val="auto"/>
                <w:sz w:val="24"/>
              </w:rPr>
              <w:t>偏离说明</w:t>
            </w:r>
          </w:p>
        </w:tc>
      </w:tr>
      <w:tr w14:paraId="229BE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17" w:type="dxa"/>
            <w:vMerge w:val="restart"/>
            <w:tcBorders>
              <w:top w:val="single" w:color="auto" w:sz="4" w:space="0"/>
              <w:left w:val="single" w:color="auto" w:sz="4" w:space="0"/>
              <w:right w:val="single" w:color="auto" w:sz="4" w:space="0"/>
            </w:tcBorders>
          </w:tcPr>
          <w:p w14:paraId="5C425136">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一</w:t>
            </w:r>
          </w:p>
        </w:tc>
        <w:tc>
          <w:tcPr>
            <w:tcW w:w="2552" w:type="dxa"/>
            <w:tcBorders>
              <w:top w:val="single" w:color="auto" w:sz="4" w:space="0"/>
              <w:left w:val="single" w:color="auto" w:sz="4" w:space="0"/>
              <w:bottom w:val="single" w:color="auto" w:sz="4" w:space="0"/>
              <w:right w:val="single" w:color="auto" w:sz="4" w:space="0"/>
            </w:tcBorders>
          </w:tcPr>
          <w:p w14:paraId="77327D2C">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 xml:space="preserve">1  </w:t>
            </w:r>
            <w:r>
              <w:rPr>
                <w:rFonts w:hint="eastAsia" w:ascii="宋体" w:hAnsi="宋体" w:eastAsia="宋体" w:cs="宋体"/>
                <w:color w:val="auto"/>
                <w:sz w:val="24"/>
              </w:rPr>
              <w:t>……</w:t>
            </w:r>
          </w:p>
        </w:tc>
        <w:tc>
          <w:tcPr>
            <w:tcW w:w="3118" w:type="dxa"/>
            <w:tcBorders>
              <w:top w:val="single" w:color="auto" w:sz="4" w:space="0"/>
              <w:left w:val="single" w:color="auto" w:sz="4" w:space="0"/>
              <w:right w:val="single" w:color="auto" w:sz="4" w:space="0"/>
            </w:tcBorders>
          </w:tcPr>
          <w:p w14:paraId="66F90B26">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 xml:space="preserve">1  </w:t>
            </w:r>
            <w:r>
              <w:rPr>
                <w:rFonts w:hint="eastAsia" w:ascii="宋体" w:hAnsi="宋体" w:eastAsia="宋体" w:cs="宋体"/>
                <w:color w:val="auto"/>
                <w:sz w:val="24"/>
              </w:rPr>
              <w:t>……</w:t>
            </w:r>
          </w:p>
        </w:tc>
        <w:tc>
          <w:tcPr>
            <w:tcW w:w="2993" w:type="dxa"/>
            <w:tcBorders>
              <w:top w:val="single" w:color="auto" w:sz="4" w:space="0"/>
              <w:left w:val="single" w:color="auto" w:sz="4" w:space="0"/>
              <w:right w:val="single" w:color="auto" w:sz="4" w:space="0"/>
            </w:tcBorders>
            <w:vAlign w:val="center"/>
          </w:tcPr>
          <w:p w14:paraId="7B2DAEE8">
            <w:pPr>
              <w:wordWrap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正偏离或负偏离或无偏离）</w:t>
            </w:r>
          </w:p>
        </w:tc>
      </w:tr>
      <w:tr w14:paraId="7821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17" w:type="dxa"/>
            <w:vMerge w:val="continue"/>
            <w:tcBorders>
              <w:left w:val="single" w:color="auto" w:sz="4" w:space="0"/>
              <w:right w:val="single" w:color="auto" w:sz="4" w:space="0"/>
            </w:tcBorders>
          </w:tcPr>
          <w:p w14:paraId="532D6CA8">
            <w:pPr>
              <w:wordWrap w:val="0"/>
              <w:spacing w:line="400" w:lineRule="exact"/>
              <w:rPr>
                <w:rFonts w:hint="eastAsia" w:ascii="宋体" w:hAnsi="宋体" w:eastAsia="宋体" w:cs="宋体"/>
                <w:color w:val="auto"/>
                <w:sz w:val="24"/>
              </w:rPr>
            </w:pPr>
          </w:p>
        </w:tc>
        <w:tc>
          <w:tcPr>
            <w:tcW w:w="2552" w:type="dxa"/>
            <w:tcBorders>
              <w:top w:val="single" w:color="auto" w:sz="4" w:space="0"/>
              <w:left w:val="single" w:color="auto" w:sz="4" w:space="0"/>
              <w:bottom w:val="single" w:color="auto" w:sz="4" w:space="0"/>
              <w:right w:val="single" w:color="auto" w:sz="4" w:space="0"/>
            </w:tcBorders>
          </w:tcPr>
          <w:p w14:paraId="10AE3AB5">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 xml:space="preserve">2  </w:t>
            </w:r>
            <w:r>
              <w:rPr>
                <w:rFonts w:hint="eastAsia" w:ascii="宋体" w:hAnsi="宋体" w:eastAsia="宋体" w:cs="宋体"/>
                <w:color w:val="auto"/>
                <w:sz w:val="24"/>
              </w:rPr>
              <w:t>……</w:t>
            </w:r>
          </w:p>
        </w:tc>
        <w:tc>
          <w:tcPr>
            <w:tcW w:w="3118" w:type="dxa"/>
            <w:tcBorders>
              <w:left w:val="single" w:color="auto" w:sz="4" w:space="0"/>
              <w:right w:val="single" w:color="auto" w:sz="4" w:space="0"/>
            </w:tcBorders>
          </w:tcPr>
          <w:p w14:paraId="070EE4C9">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 xml:space="preserve">2  </w:t>
            </w:r>
            <w:r>
              <w:rPr>
                <w:rFonts w:hint="eastAsia" w:ascii="宋体" w:hAnsi="宋体" w:eastAsia="宋体" w:cs="宋体"/>
                <w:color w:val="auto"/>
                <w:sz w:val="24"/>
              </w:rPr>
              <w:t>……</w:t>
            </w:r>
          </w:p>
        </w:tc>
        <w:tc>
          <w:tcPr>
            <w:tcW w:w="2993" w:type="dxa"/>
            <w:tcBorders>
              <w:left w:val="single" w:color="auto" w:sz="4" w:space="0"/>
              <w:right w:val="single" w:color="auto" w:sz="4" w:space="0"/>
            </w:tcBorders>
          </w:tcPr>
          <w:p w14:paraId="616B9AE1">
            <w:pPr>
              <w:wordWrap w:val="0"/>
              <w:spacing w:line="400" w:lineRule="exact"/>
              <w:rPr>
                <w:rFonts w:hint="eastAsia" w:ascii="宋体" w:hAnsi="宋体" w:eastAsia="宋体" w:cs="宋体"/>
                <w:color w:val="auto"/>
              </w:rPr>
            </w:pPr>
            <w:r>
              <w:rPr>
                <w:rFonts w:hint="eastAsia" w:ascii="宋体" w:hAnsi="宋体" w:eastAsia="宋体" w:cs="宋体"/>
                <w:color w:val="auto"/>
                <w:sz w:val="22"/>
                <w:szCs w:val="22"/>
              </w:rPr>
              <w:t>正偏离或负偏离或无偏离）</w:t>
            </w:r>
          </w:p>
        </w:tc>
      </w:tr>
      <w:tr w14:paraId="5BA0C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17" w:type="dxa"/>
            <w:vMerge w:val="continue"/>
            <w:tcBorders>
              <w:left w:val="single" w:color="auto" w:sz="4" w:space="0"/>
              <w:right w:val="single" w:color="auto" w:sz="4" w:space="0"/>
            </w:tcBorders>
          </w:tcPr>
          <w:p w14:paraId="3C64EC89">
            <w:pPr>
              <w:wordWrap w:val="0"/>
              <w:spacing w:line="400" w:lineRule="exact"/>
              <w:rPr>
                <w:rFonts w:hint="eastAsia" w:ascii="宋体" w:hAnsi="宋体" w:eastAsia="宋体" w:cs="宋体"/>
                <w:color w:val="auto"/>
                <w:sz w:val="24"/>
              </w:rPr>
            </w:pPr>
          </w:p>
        </w:tc>
        <w:tc>
          <w:tcPr>
            <w:tcW w:w="2552" w:type="dxa"/>
            <w:tcBorders>
              <w:top w:val="single" w:color="auto" w:sz="4" w:space="0"/>
              <w:left w:val="single" w:color="auto" w:sz="4" w:space="0"/>
              <w:bottom w:val="single" w:color="auto" w:sz="4" w:space="0"/>
              <w:right w:val="single" w:color="auto" w:sz="4" w:space="0"/>
            </w:tcBorders>
          </w:tcPr>
          <w:p w14:paraId="06D324CE">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 xml:space="preserve">3  </w:t>
            </w:r>
            <w:r>
              <w:rPr>
                <w:rFonts w:hint="eastAsia" w:ascii="宋体" w:hAnsi="宋体" w:eastAsia="宋体" w:cs="宋体"/>
                <w:color w:val="auto"/>
                <w:sz w:val="24"/>
              </w:rPr>
              <w:t>……</w:t>
            </w:r>
          </w:p>
        </w:tc>
        <w:tc>
          <w:tcPr>
            <w:tcW w:w="3118" w:type="dxa"/>
            <w:tcBorders>
              <w:left w:val="single" w:color="auto" w:sz="4" w:space="0"/>
              <w:right w:val="single" w:color="auto" w:sz="4" w:space="0"/>
            </w:tcBorders>
          </w:tcPr>
          <w:p w14:paraId="6D37AEED">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 xml:space="preserve">3  </w:t>
            </w:r>
            <w:r>
              <w:rPr>
                <w:rFonts w:hint="eastAsia" w:ascii="宋体" w:hAnsi="宋体" w:eastAsia="宋体" w:cs="宋体"/>
                <w:color w:val="auto"/>
                <w:sz w:val="24"/>
              </w:rPr>
              <w:t>……</w:t>
            </w:r>
          </w:p>
        </w:tc>
        <w:tc>
          <w:tcPr>
            <w:tcW w:w="2993" w:type="dxa"/>
            <w:tcBorders>
              <w:left w:val="single" w:color="auto" w:sz="4" w:space="0"/>
              <w:right w:val="single" w:color="auto" w:sz="4" w:space="0"/>
            </w:tcBorders>
            <w:vAlign w:val="center"/>
          </w:tcPr>
          <w:p w14:paraId="0C3EADDE">
            <w:pPr>
              <w:wordWrap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正偏离或负偏离或无偏离）</w:t>
            </w:r>
          </w:p>
        </w:tc>
      </w:tr>
      <w:tr w14:paraId="74447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17" w:type="dxa"/>
            <w:vMerge w:val="continue"/>
            <w:tcBorders>
              <w:left w:val="single" w:color="auto" w:sz="4" w:space="0"/>
              <w:bottom w:val="single" w:color="auto" w:sz="4" w:space="0"/>
              <w:right w:val="single" w:color="auto" w:sz="4" w:space="0"/>
            </w:tcBorders>
          </w:tcPr>
          <w:p w14:paraId="416CE25A">
            <w:pPr>
              <w:wordWrap w:val="0"/>
              <w:spacing w:line="400" w:lineRule="exact"/>
              <w:rPr>
                <w:rFonts w:hint="eastAsia" w:ascii="宋体" w:hAnsi="宋体" w:eastAsia="宋体" w:cs="宋体"/>
                <w:color w:val="auto"/>
                <w:sz w:val="24"/>
              </w:rPr>
            </w:pPr>
          </w:p>
        </w:tc>
        <w:tc>
          <w:tcPr>
            <w:tcW w:w="2552" w:type="dxa"/>
            <w:tcBorders>
              <w:top w:val="single" w:color="auto" w:sz="4" w:space="0"/>
              <w:left w:val="single" w:color="auto" w:sz="4" w:space="0"/>
              <w:bottom w:val="single" w:color="auto" w:sz="4" w:space="0"/>
              <w:right w:val="single" w:color="auto" w:sz="4" w:space="0"/>
            </w:tcBorders>
          </w:tcPr>
          <w:p w14:paraId="09346F57">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w:t>
            </w:r>
          </w:p>
        </w:tc>
        <w:tc>
          <w:tcPr>
            <w:tcW w:w="3118" w:type="dxa"/>
            <w:tcBorders>
              <w:left w:val="single" w:color="auto" w:sz="4" w:space="0"/>
              <w:bottom w:val="single" w:color="auto" w:sz="4" w:space="0"/>
              <w:right w:val="single" w:color="auto" w:sz="4" w:space="0"/>
            </w:tcBorders>
          </w:tcPr>
          <w:p w14:paraId="3BA00B83">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w:t>
            </w:r>
          </w:p>
        </w:tc>
        <w:tc>
          <w:tcPr>
            <w:tcW w:w="2993" w:type="dxa"/>
            <w:tcBorders>
              <w:left w:val="single" w:color="auto" w:sz="4" w:space="0"/>
              <w:bottom w:val="single" w:color="auto" w:sz="4" w:space="0"/>
              <w:right w:val="single" w:color="auto" w:sz="4" w:space="0"/>
            </w:tcBorders>
          </w:tcPr>
          <w:p w14:paraId="05E66F32">
            <w:pPr>
              <w:wordWrap w:val="0"/>
              <w:spacing w:line="400" w:lineRule="exact"/>
              <w:rPr>
                <w:rFonts w:hint="eastAsia" w:ascii="宋体" w:hAnsi="宋体" w:eastAsia="宋体" w:cs="宋体"/>
                <w:color w:val="auto"/>
              </w:rPr>
            </w:pPr>
            <w:r>
              <w:rPr>
                <w:rFonts w:hint="eastAsia" w:ascii="宋体" w:hAnsi="宋体" w:eastAsia="宋体" w:cs="宋体"/>
                <w:color w:val="auto"/>
                <w:sz w:val="22"/>
                <w:szCs w:val="22"/>
              </w:rPr>
              <w:t>正偏离或负偏离或无偏离）</w:t>
            </w:r>
          </w:p>
        </w:tc>
      </w:tr>
      <w:tr w14:paraId="2CD1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17" w:type="dxa"/>
            <w:vMerge w:val="restart"/>
            <w:tcBorders>
              <w:left w:val="single" w:color="auto" w:sz="4" w:space="0"/>
              <w:right w:val="single" w:color="auto" w:sz="4" w:space="0"/>
            </w:tcBorders>
          </w:tcPr>
          <w:p w14:paraId="00FDD7A5">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二</w:t>
            </w:r>
          </w:p>
        </w:tc>
        <w:tc>
          <w:tcPr>
            <w:tcW w:w="2552" w:type="dxa"/>
            <w:tcBorders>
              <w:top w:val="single" w:color="auto" w:sz="4" w:space="0"/>
              <w:left w:val="single" w:color="auto" w:sz="4" w:space="0"/>
              <w:bottom w:val="single" w:color="auto" w:sz="4" w:space="0"/>
              <w:right w:val="single" w:color="auto" w:sz="4" w:space="0"/>
            </w:tcBorders>
          </w:tcPr>
          <w:p w14:paraId="25469169">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 xml:space="preserve">1  </w:t>
            </w:r>
            <w:r>
              <w:rPr>
                <w:rFonts w:hint="eastAsia" w:ascii="宋体" w:hAnsi="宋体" w:eastAsia="宋体" w:cs="宋体"/>
                <w:color w:val="auto"/>
                <w:sz w:val="24"/>
              </w:rPr>
              <w:t>……</w:t>
            </w:r>
          </w:p>
        </w:tc>
        <w:tc>
          <w:tcPr>
            <w:tcW w:w="3118" w:type="dxa"/>
            <w:tcBorders>
              <w:left w:val="single" w:color="auto" w:sz="4" w:space="0"/>
              <w:bottom w:val="single" w:color="auto" w:sz="4" w:space="0"/>
              <w:right w:val="single" w:color="auto" w:sz="4" w:space="0"/>
            </w:tcBorders>
          </w:tcPr>
          <w:p w14:paraId="1F453307">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 xml:space="preserve">1  </w:t>
            </w:r>
            <w:r>
              <w:rPr>
                <w:rFonts w:hint="eastAsia" w:ascii="宋体" w:hAnsi="宋体" w:eastAsia="宋体" w:cs="宋体"/>
                <w:color w:val="auto"/>
                <w:sz w:val="24"/>
              </w:rPr>
              <w:t>……</w:t>
            </w:r>
          </w:p>
        </w:tc>
        <w:tc>
          <w:tcPr>
            <w:tcW w:w="2993" w:type="dxa"/>
            <w:tcBorders>
              <w:left w:val="single" w:color="auto" w:sz="4" w:space="0"/>
              <w:bottom w:val="single" w:color="auto" w:sz="4" w:space="0"/>
              <w:right w:val="single" w:color="auto" w:sz="4" w:space="0"/>
            </w:tcBorders>
            <w:vAlign w:val="center"/>
          </w:tcPr>
          <w:p w14:paraId="3CC35644">
            <w:pPr>
              <w:wordWrap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正偏离或负偏离或无偏离）</w:t>
            </w:r>
          </w:p>
        </w:tc>
      </w:tr>
      <w:tr w14:paraId="6826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17" w:type="dxa"/>
            <w:vMerge w:val="continue"/>
            <w:tcBorders>
              <w:left w:val="single" w:color="auto" w:sz="4" w:space="0"/>
              <w:right w:val="single" w:color="auto" w:sz="4" w:space="0"/>
            </w:tcBorders>
          </w:tcPr>
          <w:p w14:paraId="754A2D82">
            <w:pPr>
              <w:wordWrap w:val="0"/>
              <w:spacing w:line="400" w:lineRule="exact"/>
              <w:rPr>
                <w:rFonts w:hint="eastAsia" w:ascii="宋体" w:hAnsi="宋体" w:eastAsia="宋体" w:cs="宋体"/>
                <w:color w:val="auto"/>
                <w:sz w:val="24"/>
              </w:rPr>
            </w:pPr>
          </w:p>
        </w:tc>
        <w:tc>
          <w:tcPr>
            <w:tcW w:w="2552" w:type="dxa"/>
            <w:tcBorders>
              <w:top w:val="single" w:color="auto" w:sz="4" w:space="0"/>
              <w:left w:val="single" w:color="auto" w:sz="4" w:space="0"/>
              <w:bottom w:val="single" w:color="auto" w:sz="4" w:space="0"/>
              <w:right w:val="single" w:color="auto" w:sz="4" w:space="0"/>
            </w:tcBorders>
          </w:tcPr>
          <w:p w14:paraId="39C0D807">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 xml:space="preserve">2  </w:t>
            </w:r>
            <w:r>
              <w:rPr>
                <w:rFonts w:hint="eastAsia" w:ascii="宋体" w:hAnsi="宋体" w:eastAsia="宋体" w:cs="宋体"/>
                <w:color w:val="auto"/>
                <w:sz w:val="24"/>
              </w:rPr>
              <w:t>……</w:t>
            </w:r>
          </w:p>
        </w:tc>
        <w:tc>
          <w:tcPr>
            <w:tcW w:w="3118" w:type="dxa"/>
            <w:tcBorders>
              <w:left w:val="single" w:color="auto" w:sz="4" w:space="0"/>
              <w:bottom w:val="single" w:color="auto" w:sz="4" w:space="0"/>
              <w:right w:val="single" w:color="auto" w:sz="4" w:space="0"/>
            </w:tcBorders>
          </w:tcPr>
          <w:p w14:paraId="362C4B80">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 xml:space="preserve">2  </w:t>
            </w:r>
            <w:r>
              <w:rPr>
                <w:rFonts w:hint="eastAsia" w:ascii="宋体" w:hAnsi="宋体" w:eastAsia="宋体" w:cs="宋体"/>
                <w:color w:val="auto"/>
                <w:sz w:val="24"/>
              </w:rPr>
              <w:t>……</w:t>
            </w:r>
          </w:p>
        </w:tc>
        <w:tc>
          <w:tcPr>
            <w:tcW w:w="2993" w:type="dxa"/>
            <w:tcBorders>
              <w:left w:val="single" w:color="auto" w:sz="4" w:space="0"/>
              <w:bottom w:val="single" w:color="auto" w:sz="4" w:space="0"/>
              <w:right w:val="single" w:color="auto" w:sz="4" w:space="0"/>
            </w:tcBorders>
          </w:tcPr>
          <w:p w14:paraId="5C5947DD">
            <w:pPr>
              <w:wordWrap w:val="0"/>
              <w:spacing w:line="400" w:lineRule="exact"/>
              <w:rPr>
                <w:rFonts w:hint="eastAsia" w:ascii="宋体" w:hAnsi="宋体" w:eastAsia="宋体" w:cs="宋体"/>
                <w:color w:val="auto"/>
              </w:rPr>
            </w:pPr>
            <w:r>
              <w:rPr>
                <w:rFonts w:hint="eastAsia" w:ascii="宋体" w:hAnsi="宋体" w:eastAsia="宋体" w:cs="宋体"/>
                <w:color w:val="auto"/>
                <w:sz w:val="22"/>
                <w:szCs w:val="22"/>
              </w:rPr>
              <w:t>正偏离或负偏离或无偏离）</w:t>
            </w:r>
          </w:p>
        </w:tc>
      </w:tr>
      <w:tr w14:paraId="7C45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17" w:type="dxa"/>
            <w:vMerge w:val="continue"/>
            <w:tcBorders>
              <w:left w:val="single" w:color="auto" w:sz="4" w:space="0"/>
              <w:right w:val="single" w:color="auto" w:sz="4" w:space="0"/>
            </w:tcBorders>
          </w:tcPr>
          <w:p w14:paraId="326EB06B">
            <w:pPr>
              <w:wordWrap w:val="0"/>
              <w:spacing w:line="400" w:lineRule="exact"/>
              <w:rPr>
                <w:rFonts w:hint="eastAsia" w:ascii="宋体" w:hAnsi="宋体" w:eastAsia="宋体" w:cs="宋体"/>
                <w:color w:val="auto"/>
                <w:sz w:val="24"/>
              </w:rPr>
            </w:pPr>
          </w:p>
        </w:tc>
        <w:tc>
          <w:tcPr>
            <w:tcW w:w="2552" w:type="dxa"/>
            <w:tcBorders>
              <w:top w:val="single" w:color="auto" w:sz="4" w:space="0"/>
              <w:left w:val="single" w:color="auto" w:sz="4" w:space="0"/>
              <w:bottom w:val="single" w:color="auto" w:sz="4" w:space="0"/>
              <w:right w:val="single" w:color="auto" w:sz="4" w:space="0"/>
            </w:tcBorders>
          </w:tcPr>
          <w:p w14:paraId="5B72C9B8">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 xml:space="preserve">3  </w:t>
            </w:r>
            <w:r>
              <w:rPr>
                <w:rFonts w:hint="eastAsia" w:ascii="宋体" w:hAnsi="宋体" w:eastAsia="宋体" w:cs="宋体"/>
                <w:color w:val="auto"/>
                <w:sz w:val="24"/>
              </w:rPr>
              <w:t>……</w:t>
            </w:r>
          </w:p>
        </w:tc>
        <w:tc>
          <w:tcPr>
            <w:tcW w:w="3118" w:type="dxa"/>
            <w:tcBorders>
              <w:left w:val="single" w:color="auto" w:sz="4" w:space="0"/>
              <w:bottom w:val="single" w:color="auto" w:sz="4" w:space="0"/>
              <w:right w:val="single" w:color="auto" w:sz="4" w:space="0"/>
            </w:tcBorders>
          </w:tcPr>
          <w:p w14:paraId="5DB1714F">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 xml:space="preserve">3  </w:t>
            </w:r>
            <w:r>
              <w:rPr>
                <w:rFonts w:hint="eastAsia" w:ascii="宋体" w:hAnsi="宋体" w:eastAsia="宋体" w:cs="宋体"/>
                <w:color w:val="auto"/>
                <w:sz w:val="24"/>
              </w:rPr>
              <w:t>……</w:t>
            </w:r>
          </w:p>
        </w:tc>
        <w:tc>
          <w:tcPr>
            <w:tcW w:w="2993" w:type="dxa"/>
            <w:tcBorders>
              <w:left w:val="single" w:color="auto" w:sz="4" w:space="0"/>
              <w:bottom w:val="single" w:color="auto" w:sz="4" w:space="0"/>
              <w:right w:val="single" w:color="auto" w:sz="4" w:space="0"/>
            </w:tcBorders>
            <w:vAlign w:val="center"/>
          </w:tcPr>
          <w:p w14:paraId="7B54B8E4">
            <w:pPr>
              <w:wordWrap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正偏离或负偏离或无偏离）</w:t>
            </w:r>
          </w:p>
        </w:tc>
      </w:tr>
      <w:tr w14:paraId="3611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17" w:type="dxa"/>
            <w:vMerge w:val="continue"/>
            <w:tcBorders>
              <w:left w:val="single" w:color="auto" w:sz="4" w:space="0"/>
              <w:bottom w:val="single" w:color="auto" w:sz="4" w:space="0"/>
              <w:right w:val="single" w:color="auto" w:sz="4" w:space="0"/>
            </w:tcBorders>
          </w:tcPr>
          <w:p w14:paraId="22349B02">
            <w:pPr>
              <w:wordWrap w:val="0"/>
              <w:spacing w:line="400" w:lineRule="exact"/>
              <w:rPr>
                <w:rFonts w:hint="eastAsia" w:ascii="宋体" w:hAnsi="宋体" w:eastAsia="宋体" w:cs="宋体"/>
                <w:color w:val="auto"/>
                <w:sz w:val="24"/>
              </w:rPr>
            </w:pPr>
          </w:p>
        </w:tc>
        <w:tc>
          <w:tcPr>
            <w:tcW w:w="2552" w:type="dxa"/>
            <w:tcBorders>
              <w:top w:val="single" w:color="auto" w:sz="4" w:space="0"/>
              <w:left w:val="single" w:color="auto" w:sz="4" w:space="0"/>
              <w:bottom w:val="single" w:color="auto" w:sz="4" w:space="0"/>
              <w:right w:val="single" w:color="auto" w:sz="4" w:space="0"/>
            </w:tcBorders>
          </w:tcPr>
          <w:p w14:paraId="572B52CC">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w:t>
            </w:r>
          </w:p>
        </w:tc>
        <w:tc>
          <w:tcPr>
            <w:tcW w:w="3118" w:type="dxa"/>
            <w:tcBorders>
              <w:left w:val="single" w:color="auto" w:sz="4" w:space="0"/>
              <w:bottom w:val="single" w:color="auto" w:sz="4" w:space="0"/>
              <w:right w:val="single" w:color="auto" w:sz="4" w:space="0"/>
            </w:tcBorders>
          </w:tcPr>
          <w:p w14:paraId="3414495B">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w:t>
            </w:r>
          </w:p>
        </w:tc>
        <w:tc>
          <w:tcPr>
            <w:tcW w:w="2993" w:type="dxa"/>
            <w:tcBorders>
              <w:left w:val="single" w:color="auto" w:sz="4" w:space="0"/>
              <w:bottom w:val="single" w:color="auto" w:sz="4" w:space="0"/>
              <w:right w:val="single" w:color="auto" w:sz="4" w:space="0"/>
            </w:tcBorders>
          </w:tcPr>
          <w:p w14:paraId="094EFB75">
            <w:pPr>
              <w:wordWrap w:val="0"/>
              <w:spacing w:line="400" w:lineRule="exact"/>
              <w:rPr>
                <w:rFonts w:hint="eastAsia" w:ascii="宋体" w:hAnsi="宋体" w:eastAsia="宋体" w:cs="宋体"/>
                <w:color w:val="auto"/>
              </w:rPr>
            </w:pPr>
            <w:r>
              <w:rPr>
                <w:rFonts w:hint="eastAsia" w:ascii="宋体" w:hAnsi="宋体" w:eastAsia="宋体" w:cs="宋体"/>
                <w:color w:val="auto"/>
                <w:sz w:val="22"/>
                <w:szCs w:val="22"/>
              </w:rPr>
              <w:t>正偏离或负偏离或无偏离）</w:t>
            </w:r>
          </w:p>
        </w:tc>
      </w:tr>
      <w:tr w14:paraId="319D6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17" w:type="dxa"/>
            <w:vMerge w:val="restart"/>
            <w:tcBorders>
              <w:left w:val="single" w:color="auto" w:sz="4" w:space="0"/>
              <w:right w:val="single" w:color="auto" w:sz="4" w:space="0"/>
            </w:tcBorders>
          </w:tcPr>
          <w:p w14:paraId="563645DD">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w:t>
            </w:r>
          </w:p>
        </w:tc>
        <w:tc>
          <w:tcPr>
            <w:tcW w:w="2552" w:type="dxa"/>
            <w:tcBorders>
              <w:top w:val="single" w:color="auto" w:sz="4" w:space="0"/>
              <w:left w:val="single" w:color="auto" w:sz="4" w:space="0"/>
              <w:bottom w:val="single" w:color="auto" w:sz="4" w:space="0"/>
              <w:right w:val="single" w:color="auto" w:sz="4" w:space="0"/>
            </w:tcBorders>
          </w:tcPr>
          <w:p w14:paraId="7B2303A7">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 xml:space="preserve">1  </w:t>
            </w:r>
            <w:r>
              <w:rPr>
                <w:rFonts w:hint="eastAsia" w:ascii="宋体" w:hAnsi="宋体" w:eastAsia="宋体" w:cs="宋体"/>
                <w:color w:val="auto"/>
                <w:sz w:val="24"/>
              </w:rPr>
              <w:t>……</w:t>
            </w:r>
          </w:p>
        </w:tc>
        <w:tc>
          <w:tcPr>
            <w:tcW w:w="3118" w:type="dxa"/>
            <w:tcBorders>
              <w:left w:val="single" w:color="auto" w:sz="4" w:space="0"/>
              <w:bottom w:val="single" w:color="auto" w:sz="4" w:space="0"/>
              <w:right w:val="single" w:color="auto" w:sz="4" w:space="0"/>
            </w:tcBorders>
          </w:tcPr>
          <w:p w14:paraId="09500BBE">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 xml:space="preserve">1  </w:t>
            </w:r>
            <w:r>
              <w:rPr>
                <w:rFonts w:hint="eastAsia" w:ascii="宋体" w:hAnsi="宋体" w:eastAsia="宋体" w:cs="宋体"/>
                <w:color w:val="auto"/>
                <w:sz w:val="24"/>
              </w:rPr>
              <w:t>……</w:t>
            </w:r>
          </w:p>
        </w:tc>
        <w:tc>
          <w:tcPr>
            <w:tcW w:w="2993" w:type="dxa"/>
            <w:tcBorders>
              <w:left w:val="single" w:color="auto" w:sz="4" w:space="0"/>
              <w:bottom w:val="single" w:color="auto" w:sz="4" w:space="0"/>
              <w:right w:val="single" w:color="auto" w:sz="4" w:space="0"/>
            </w:tcBorders>
            <w:vAlign w:val="center"/>
          </w:tcPr>
          <w:p w14:paraId="5EDF250E">
            <w:pPr>
              <w:wordWrap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正偏离或负偏离或无偏离）</w:t>
            </w:r>
          </w:p>
        </w:tc>
      </w:tr>
      <w:tr w14:paraId="600A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17" w:type="dxa"/>
            <w:vMerge w:val="continue"/>
            <w:tcBorders>
              <w:left w:val="single" w:color="auto" w:sz="4" w:space="0"/>
              <w:right w:val="single" w:color="auto" w:sz="4" w:space="0"/>
            </w:tcBorders>
          </w:tcPr>
          <w:p w14:paraId="7F03A1C6">
            <w:pPr>
              <w:wordWrap w:val="0"/>
              <w:spacing w:line="400" w:lineRule="exact"/>
              <w:rPr>
                <w:rFonts w:hint="eastAsia" w:ascii="宋体" w:hAnsi="宋体" w:eastAsia="宋体" w:cs="宋体"/>
                <w:color w:val="auto"/>
                <w:sz w:val="24"/>
              </w:rPr>
            </w:pPr>
          </w:p>
        </w:tc>
        <w:tc>
          <w:tcPr>
            <w:tcW w:w="2552" w:type="dxa"/>
            <w:tcBorders>
              <w:top w:val="single" w:color="auto" w:sz="4" w:space="0"/>
              <w:left w:val="single" w:color="auto" w:sz="4" w:space="0"/>
              <w:bottom w:val="single" w:color="auto" w:sz="4" w:space="0"/>
              <w:right w:val="single" w:color="auto" w:sz="4" w:space="0"/>
            </w:tcBorders>
          </w:tcPr>
          <w:p w14:paraId="496223A9">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 xml:space="preserve">2  </w:t>
            </w:r>
            <w:r>
              <w:rPr>
                <w:rFonts w:hint="eastAsia" w:ascii="宋体" w:hAnsi="宋体" w:eastAsia="宋体" w:cs="宋体"/>
                <w:color w:val="auto"/>
                <w:sz w:val="24"/>
              </w:rPr>
              <w:t>……</w:t>
            </w:r>
          </w:p>
        </w:tc>
        <w:tc>
          <w:tcPr>
            <w:tcW w:w="3118" w:type="dxa"/>
            <w:tcBorders>
              <w:left w:val="single" w:color="auto" w:sz="4" w:space="0"/>
              <w:bottom w:val="single" w:color="auto" w:sz="4" w:space="0"/>
              <w:right w:val="single" w:color="auto" w:sz="4" w:space="0"/>
            </w:tcBorders>
          </w:tcPr>
          <w:p w14:paraId="54FEF89D">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 xml:space="preserve">2  </w:t>
            </w:r>
            <w:r>
              <w:rPr>
                <w:rFonts w:hint="eastAsia" w:ascii="宋体" w:hAnsi="宋体" w:eastAsia="宋体" w:cs="宋体"/>
                <w:color w:val="auto"/>
                <w:sz w:val="24"/>
              </w:rPr>
              <w:t>……</w:t>
            </w:r>
          </w:p>
        </w:tc>
        <w:tc>
          <w:tcPr>
            <w:tcW w:w="2993" w:type="dxa"/>
            <w:tcBorders>
              <w:left w:val="single" w:color="auto" w:sz="4" w:space="0"/>
              <w:bottom w:val="single" w:color="auto" w:sz="4" w:space="0"/>
              <w:right w:val="single" w:color="auto" w:sz="4" w:space="0"/>
            </w:tcBorders>
          </w:tcPr>
          <w:p w14:paraId="5494804B">
            <w:pPr>
              <w:wordWrap w:val="0"/>
              <w:spacing w:line="400" w:lineRule="exact"/>
              <w:rPr>
                <w:rFonts w:hint="eastAsia" w:ascii="宋体" w:hAnsi="宋体" w:eastAsia="宋体" w:cs="宋体"/>
                <w:color w:val="auto"/>
              </w:rPr>
            </w:pPr>
            <w:r>
              <w:rPr>
                <w:rFonts w:hint="eastAsia" w:ascii="宋体" w:hAnsi="宋体" w:eastAsia="宋体" w:cs="宋体"/>
                <w:color w:val="auto"/>
                <w:sz w:val="22"/>
                <w:szCs w:val="22"/>
              </w:rPr>
              <w:t>正偏离或负偏离或无偏离）</w:t>
            </w:r>
          </w:p>
        </w:tc>
      </w:tr>
      <w:tr w14:paraId="75EF2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17" w:type="dxa"/>
            <w:vMerge w:val="continue"/>
            <w:tcBorders>
              <w:left w:val="single" w:color="auto" w:sz="4" w:space="0"/>
              <w:right w:val="single" w:color="auto" w:sz="4" w:space="0"/>
            </w:tcBorders>
          </w:tcPr>
          <w:p w14:paraId="0FFFC7EE">
            <w:pPr>
              <w:wordWrap w:val="0"/>
              <w:spacing w:line="400" w:lineRule="exact"/>
              <w:rPr>
                <w:rFonts w:hint="eastAsia" w:ascii="宋体" w:hAnsi="宋体" w:eastAsia="宋体" w:cs="宋体"/>
                <w:color w:val="auto"/>
                <w:sz w:val="24"/>
              </w:rPr>
            </w:pPr>
          </w:p>
        </w:tc>
        <w:tc>
          <w:tcPr>
            <w:tcW w:w="2552" w:type="dxa"/>
            <w:tcBorders>
              <w:top w:val="single" w:color="auto" w:sz="4" w:space="0"/>
              <w:left w:val="single" w:color="auto" w:sz="4" w:space="0"/>
              <w:bottom w:val="single" w:color="auto" w:sz="4" w:space="0"/>
              <w:right w:val="single" w:color="auto" w:sz="4" w:space="0"/>
            </w:tcBorders>
          </w:tcPr>
          <w:p w14:paraId="62A59C0C">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 xml:space="preserve">3  </w:t>
            </w:r>
            <w:r>
              <w:rPr>
                <w:rFonts w:hint="eastAsia" w:ascii="宋体" w:hAnsi="宋体" w:eastAsia="宋体" w:cs="宋体"/>
                <w:color w:val="auto"/>
                <w:sz w:val="24"/>
              </w:rPr>
              <w:t>……</w:t>
            </w:r>
          </w:p>
        </w:tc>
        <w:tc>
          <w:tcPr>
            <w:tcW w:w="3118" w:type="dxa"/>
            <w:tcBorders>
              <w:left w:val="single" w:color="auto" w:sz="4" w:space="0"/>
              <w:bottom w:val="single" w:color="auto" w:sz="4" w:space="0"/>
              <w:right w:val="single" w:color="auto" w:sz="4" w:space="0"/>
            </w:tcBorders>
          </w:tcPr>
          <w:p w14:paraId="0660671B">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 xml:space="preserve">3  </w:t>
            </w:r>
            <w:r>
              <w:rPr>
                <w:rFonts w:hint="eastAsia" w:ascii="宋体" w:hAnsi="宋体" w:eastAsia="宋体" w:cs="宋体"/>
                <w:color w:val="auto"/>
                <w:sz w:val="24"/>
              </w:rPr>
              <w:t>……</w:t>
            </w:r>
          </w:p>
        </w:tc>
        <w:tc>
          <w:tcPr>
            <w:tcW w:w="2993" w:type="dxa"/>
            <w:tcBorders>
              <w:left w:val="single" w:color="auto" w:sz="4" w:space="0"/>
              <w:bottom w:val="single" w:color="auto" w:sz="4" w:space="0"/>
              <w:right w:val="single" w:color="auto" w:sz="4" w:space="0"/>
            </w:tcBorders>
            <w:vAlign w:val="center"/>
          </w:tcPr>
          <w:p w14:paraId="3B603C1E">
            <w:pPr>
              <w:wordWrap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正偏离或负偏离或无偏离）</w:t>
            </w:r>
          </w:p>
        </w:tc>
      </w:tr>
      <w:tr w14:paraId="1D5F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17" w:type="dxa"/>
            <w:vMerge w:val="continue"/>
            <w:tcBorders>
              <w:left w:val="single" w:color="auto" w:sz="4" w:space="0"/>
              <w:bottom w:val="single" w:color="auto" w:sz="4" w:space="0"/>
              <w:right w:val="single" w:color="auto" w:sz="4" w:space="0"/>
            </w:tcBorders>
          </w:tcPr>
          <w:p w14:paraId="727B172A">
            <w:pPr>
              <w:wordWrap w:val="0"/>
              <w:spacing w:line="400" w:lineRule="exact"/>
              <w:rPr>
                <w:rFonts w:hint="eastAsia" w:ascii="宋体" w:hAnsi="宋体" w:eastAsia="宋体" w:cs="宋体"/>
                <w:color w:val="auto"/>
                <w:sz w:val="24"/>
              </w:rPr>
            </w:pPr>
          </w:p>
        </w:tc>
        <w:tc>
          <w:tcPr>
            <w:tcW w:w="2552" w:type="dxa"/>
            <w:tcBorders>
              <w:top w:val="single" w:color="auto" w:sz="4" w:space="0"/>
              <w:left w:val="single" w:color="auto" w:sz="4" w:space="0"/>
              <w:bottom w:val="single" w:color="auto" w:sz="4" w:space="0"/>
              <w:right w:val="single" w:color="auto" w:sz="4" w:space="0"/>
            </w:tcBorders>
          </w:tcPr>
          <w:p w14:paraId="7734A75B">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w:t>
            </w:r>
          </w:p>
        </w:tc>
        <w:tc>
          <w:tcPr>
            <w:tcW w:w="3118" w:type="dxa"/>
            <w:tcBorders>
              <w:left w:val="single" w:color="auto" w:sz="4" w:space="0"/>
              <w:bottom w:val="single" w:color="auto" w:sz="4" w:space="0"/>
              <w:right w:val="single" w:color="auto" w:sz="4" w:space="0"/>
            </w:tcBorders>
          </w:tcPr>
          <w:p w14:paraId="3A054D10">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w:t>
            </w:r>
          </w:p>
        </w:tc>
        <w:tc>
          <w:tcPr>
            <w:tcW w:w="2993" w:type="dxa"/>
            <w:tcBorders>
              <w:left w:val="single" w:color="auto" w:sz="4" w:space="0"/>
              <w:bottom w:val="single" w:color="auto" w:sz="4" w:space="0"/>
              <w:right w:val="single" w:color="auto" w:sz="4" w:space="0"/>
            </w:tcBorders>
          </w:tcPr>
          <w:p w14:paraId="786A3427">
            <w:pPr>
              <w:wordWrap w:val="0"/>
              <w:spacing w:line="400" w:lineRule="exact"/>
              <w:rPr>
                <w:rFonts w:hint="eastAsia" w:ascii="宋体" w:hAnsi="宋体" w:eastAsia="宋体" w:cs="宋体"/>
                <w:color w:val="auto"/>
              </w:rPr>
            </w:pPr>
            <w:r>
              <w:rPr>
                <w:rFonts w:hint="eastAsia" w:ascii="宋体" w:hAnsi="宋体" w:eastAsia="宋体" w:cs="宋体"/>
                <w:color w:val="auto"/>
                <w:sz w:val="22"/>
                <w:szCs w:val="22"/>
              </w:rPr>
              <w:t>正偏离或负偏离或无偏离）</w:t>
            </w:r>
          </w:p>
        </w:tc>
      </w:tr>
      <w:tr w14:paraId="6C4A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tcPr>
          <w:p w14:paraId="7C2681B4">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u w:val="single"/>
              </w:rPr>
              <w:t>　　</w:t>
            </w:r>
            <w:r>
              <w:rPr>
                <w:rFonts w:hint="eastAsia" w:ascii="宋体" w:hAnsi="宋体" w:eastAsia="宋体" w:cs="宋体"/>
                <w:color w:val="auto"/>
                <w:sz w:val="24"/>
              </w:rPr>
              <w:t>分标（此处有分标时填写具体分标号，无分标时填写“无”）</w:t>
            </w:r>
          </w:p>
        </w:tc>
      </w:tr>
    </w:tbl>
    <w:p w14:paraId="0B1219D5">
      <w:pPr>
        <w:pStyle w:val="18"/>
        <w:wordWrap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注：</w:t>
      </w:r>
    </w:p>
    <w:p w14:paraId="5075BD72">
      <w:pPr>
        <w:pStyle w:val="20"/>
        <w:wordWrap w:val="0"/>
        <w:spacing w:line="400" w:lineRule="exact"/>
        <w:ind w:firstLine="440" w:firstLineChars="200"/>
        <w:rPr>
          <w:rFonts w:hint="eastAsia" w:ascii="宋体" w:hAnsi="宋体" w:eastAsia="宋体" w:cs="宋体"/>
          <w:color w:val="auto"/>
        </w:rPr>
      </w:pPr>
      <w:r>
        <w:rPr>
          <w:rFonts w:hint="eastAsia" w:ascii="宋体" w:hAnsi="宋体" w:eastAsia="宋体" w:cs="宋体"/>
          <w:color w:val="auto"/>
          <w:sz w:val="22"/>
          <w:szCs w:val="22"/>
        </w:rPr>
        <w:t>1.请</w:t>
      </w:r>
      <w:r>
        <w:rPr>
          <w:rFonts w:hint="eastAsia" w:ascii="宋体" w:hAnsi="宋体" w:eastAsia="宋体" w:cs="宋体"/>
          <w:b/>
          <w:color w:val="auto"/>
          <w:sz w:val="28"/>
          <w:szCs w:val="22"/>
          <w:u w:val="single"/>
        </w:rPr>
        <w:t>逐条</w:t>
      </w:r>
      <w:r>
        <w:rPr>
          <w:rFonts w:hint="eastAsia" w:ascii="宋体" w:hAnsi="宋体" w:eastAsia="宋体" w:cs="宋体"/>
          <w:color w:val="auto"/>
          <w:sz w:val="22"/>
          <w:szCs w:val="22"/>
        </w:rPr>
        <w:t>对应本项目招标文件第二章“货物需求一览表”中</w:t>
      </w:r>
      <w:r>
        <w:rPr>
          <w:rFonts w:hint="eastAsia" w:ascii="宋体" w:hAnsi="宋体" w:eastAsia="宋体" w:cs="宋体"/>
          <w:b/>
          <w:color w:val="auto"/>
          <w:sz w:val="22"/>
          <w:szCs w:val="22"/>
        </w:rPr>
        <w:t>“商务条款”</w:t>
      </w:r>
      <w:r>
        <w:rPr>
          <w:rFonts w:hint="eastAsia" w:ascii="宋体" w:hAnsi="宋体" w:eastAsia="宋体" w:cs="宋体"/>
          <w:color w:val="auto"/>
          <w:sz w:val="22"/>
          <w:szCs w:val="22"/>
        </w:rPr>
        <w:t>的要求，详细填写相应的具体内容。“偏离说明”一栏应当选择“正偏离”、“负偏离”或“无偏离”进行填写，否则按投标无效处理。</w:t>
      </w:r>
    </w:p>
    <w:p w14:paraId="4FF199AD">
      <w:pPr>
        <w:pStyle w:val="20"/>
        <w:wordWrap w:val="0"/>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2.表格内容均需按要求填写并盖章，不得留空，否则按投标无效处理。</w:t>
      </w:r>
    </w:p>
    <w:p w14:paraId="02A164D5">
      <w:pPr>
        <w:pStyle w:val="20"/>
        <w:wordWrap w:val="0"/>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3.如果招标文件需求为小于或大于某个数值标准时</w:t>
      </w:r>
      <w:r>
        <w:rPr>
          <w:rFonts w:hint="eastAsia" w:ascii="宋体" w:hAnsi="宋体" w:eastAsia="宋体" w:cs="宋体"/>
          <w:color w:val="auto"/>
          <w:sz w:val="22"/>
          <w:szCs w:val="22"/>
          <w:u w:val="single"/>
        </w:rPr>
        <w:t>（除特殊技术或服务要求）</w:t>
      </w:r>
      <w:r>
        <w:rPr>
          <w:rFonts w:hint="eastAsia" w:ascii="宋体" w:hAnsi="宋体" w:eastAsia="宋体" w:cs="宋体"/>
          <w:color w:val="auto"/>
          <w:sz w:val="22"/>
          <w:szCs w:val="22"/>
        </w:rPr>
        <w:t>，投标文件承诺不得直接复制招标文件需求，投标文件承诺内容应当写明投标货物具体参数或商务响应承诺的具体数值</w:t>
      </w:r>
      <w:bookmarkStart w:id="236" w:name="OLE_LINK286"/>
      <w:r>
        <w:rPr>
          <w:rFonts w:hint="eastAsia" w:ascii="宋体" w:hAnsi="宋体" w:eastAsia="宋体" w:cs="宋体"/>
          <w:color w:val="auto"/>
          <w:sz w:val="22"/>
          <w:szCs w:val="22"/>
        </w:rPr>
        <w:t>，否则按投标无效处理。</w:t>
      </w:r>
      <w:bookmarkEnd w:id="236"/>
    </w:p>
    <w:p w14:paraId="04A5F0D6">
      <w:pPr>
        <w:pStyle w:val="20"/>
        <w:wordWrap w:val="0"/>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4.当投标文件的商务内容低于招标文件要求时，投标人应当如实写明“负偏离”，否则视为虚假应标。</w:t>
      </w:r>
    </w:p>
    <w:p w14:paraId="6D14F0B9">
      <w:pPr>
        <w:pStyle w:val="20"/>
        <w:wordWrap w:val="0"/>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5.采购需求中带“</w:t>
      </w:r>
      <w:r>
        <w:rPr>
          <w:rFonts w:hint="eastAsia" w:ascii="宋体" w:hAnsi="宋体" w:eastAsia="宋体" w:cs="宋体"/>
          <w:color w:val="auto"/>
          <w:sz w:val="22"/>
          <w:szCs w:val="22"/>
        </w:rPr>
        <w:t>▲</w:t>
      </w:r>
      <w:r>
        <w:rPr>
          <w:rFonts w:hint="eastAsia" w:ascii="宋体" w:hAnsi="宋体" w:eastAsia="宋体" w:cs="宋体"/>
          <w:color w:val="auto"/>
          <w:sz w:val="22"/>
          <w:szCs w:val="22"/>
        </w:rPr>
        <w:t>”及其他标识的条款，也要分别在本表“投标文件的商务需求”、“投标文件承诺的商务条款”中标记。</w:t>
      </w:r>
    </w:p>
    <w:p w14:paraId="5763D5C5">
      <w:pPr>
        <w:wordWrap w:val="0"/>
        <w:snapToGrid w:val="0"/>
        <w:spacing w:before="50" w:after="50"/>
        <w:rPr>
          <w:rFonts w:hint="eastAsia" w:ascii="宋体" w:hAnsi="宋体" w:eastAsia="宋体" w:cs="宋体"/>
          <w:color w:val="auto"/>
          <w:sz w:val="22"/>
          <w:szCs w:val="22"/>
        </w:rPr>
      </w:pPr>
    </w:p>
    <w:p w14:paraId="2C0CB8C4">
      <w:pPr>
        <w:wordWrap w:val="0"/>
        <w:spacing w:line="360" w:lineRule="auto"/>
        <w:ind w:left="3990" w:leftChars="1900"/>
        <w:contextualSpacing/>
        <w:rPr>
          <w:rFonts w:hint="eastAsia" w:ascii="宋体" w:hAnsi="宋体" w:eastAsia="宋体" w:cs="宋体"/>
          <w:color w:val="auto"/>
          <w:sz w:val="22"/>
          <w:szCs w:val="22"/>
          <w:u w:val="single"/>
        </w:rPr>
      </w:pPr>
      <w:r>
        <w:rPr>
          <w:rFonts w:hint="eastAsia" w:ascii="宋体" w:hAnsi="宋体" w:eastAsia="宋体" w:cs="宋体"/>
          <w:color w:val="auto"/>
          <w:sz w:val="22"/>
          <w:szCs w:val="22"/>
        </w:rPr>
        <w:t>投标人</w:t>
      </w:r>
      <w:r>
        <w:rPr>
          <w:rFonts w:hint="eastAsia" w:ascii="宋体" w:hAnsi="宋体" w:eastAsia="宋体" w:cs="宋体"/>
          <w:color w:val="auto"/>
          <w:sz w:val="22"/>
          <w:szCs w:val="22"/>
        </w:rPr>
        <w:t>（电子签章）</w:t>
      </w:r>
      <w:r>
        <w:rPr>
          <w:rFonts w:hint="eastAsia" w:ascii="宋体" w:hAnsi="宋体" w:eastAsia="宋体" w:cs="宋体"/>
          <w:color w:val="auto"/>
          <w:sz w:val="22"/>
          <w:szCs w:val="22"/>
        </w:rPr>
        <w:t>：</w:t>
      </w:r>
    </w:p>
    <w:p w14:paraId="7F18F4A4">
      <w:pPr>
        <w:wordWrap w:val="0"/>
        <w:spacing w:line="360" w:lineRule="auto"/>
        <w:ind w:left="3990" w:leftChars="1900"/>
        <w:contextualSpacing/>
        <w:rPr>
          <w:rFonts w:hint="eastAsia" w:ascii="宋体" w:hAnsi="宋体" w:eastAsia="宋体" w:cs="宋体"/>
          <w:b/>
          <w:color w:val="auto"/>
          <w:sz w:val="22"/>
          <w:szCs w:val="22"/>
        </w:rPr>
      </w:pPr>
      <w:r>
        <w:rPr>
          <w:rFonts w:hint="eastAsia" w:ascii="宋体" w:hAnsi="宋体" w:eastAsia="宋体" w:cs="宋体"/>
          <w:color w:val="auto"/>
          <w:sz w:val="22"/>
          <w:szCs w:val="22"/>
        </w:rPr>
        <w:t>日期：年月日</w:t>
      </w:r>
    </w:p>
    <w:p w14:paraId="7B6E35AE">
      <w:pPr>
        <w:wordWrap w:val="0"/>
        <w:snapToGrid w:val="0"/>
        <w:spacing w:before="120" w:beforeLines="50" w:after="50"/>
        <w:ind w:left="142"/>
        <w:outlineLvl w:val="2"/>
        <w:rPr>
          <w:rFonts w:hint="eastAsia" w:ascii="宋体" w:hAnsi="宋体" w:eastAsia="宋体" w:cs="宋体"/>
          <w:color w:val="auto"/>
        </w:rPr>
      </w:pPr>
      <w:r>
        <w:rPr>
          <w:rFonts w:hint="eastAsia" w:ascii="宋体" w:hAnsi="宋体" w:eastAsia="宋体" w:cs="宋体"/>
          <w:color w:val="auto"/>
          <w:sz w:val="24"/>
          <w:szCs w:val="20"/>
        </w:rPr>
        <w:br w:type="page"/>
      </w:r>
    </w:p>
    <w:p w14:paraId="4A453D3B">
      <w:pPr>
        <w:wordWrap w:val="0"/>
        <w:rPr>
          <w:rFonts w:hint="eastAsia" w:ascii="宋体" w:hAnsi="宋体" w:eastAsia="宋体" w:cs="宋体"/>
          <w:color w:val="auto"/>
        </w:rPr>
        <w:sectPr>
          <w:pgSz w:w="11906" w:h="16838"/>
          <w:pgMar w:top="1134" w:right="1247" w:bottom="1134" w:left="1247" w:header="737" w:footer="680" w:gutter="113"/>
          <w:cols w:space="720" w:num="1"/>
          <w:docGrid w:linePitch="312" w:charSpace="0"/>
        </w:sectPr>
      </w:pPr>
    </w:p>
    <w:p w14:paraId="15144BEA">
      <w:pPr>
        <w:wordWrap w:val="0"/>
        <w:snapToGrid w:val="0"/>
        <w:spacing w:before="165" w:beforeLines="50" w:after="50"/>
        <w:ind w:left="142"/>
        <w:outlineLvl w:val="2"/>
        <w:rPr>
          <w:rFonts w:hint="eastAsia" w:ascii="宋体" w:hAnsi="宋体" w:eastAsia="宋体" w:cs="宋体"/>
          <w:b/>
          <w:color w:val="auto"/>
          <w:sz w:val="24"/>
        </w:rPr>
      </w:pPr>
      <w:r>
        <w:rPr>
          <w:rFonts w:hint="eastAsia" w:ascii="宋体" w:hAnsi="宋体" w:eastAsia="宋体" w:cs="宋体"/>
          <w:b/>
          <w:color w:val="auto"/>
          <w:sz w:val="24"/>
        </w:rPr>
        <w:t>8</w:t>
      </w:r>
      <w:r>
        <w:rPr>
          <w:rFonts w:hint="eastAsia" w:ascii="宋体" w:hAnsi="宋体" w:eastAsia="宋体" w:cs="宋体"/>
          <w:b/>
          <w:color w:val="auto"/>
          <w:sz w:val="24"/>
        </w:rPr>
        <w:t>.</w:t>
      </w:r>
      <w:r>
        <w:rPr>
          <w:rFonts w:hint="eastAsia" w:ascii="宋体" w:hAnsi="宋体" w:eastAsia="宋体" w:cs="宋体"/>
          <w:b/>
          <w:color w:val="auto"/>
          <w:sz w:val="24"/>
        </w:rPr>
        <w:t>技术要求偏离表</w:t>
      </w:r>
      <w:r>
        <w:rPr>
          <w:rFonts w:hint="eastAsia" w:ascii="宋体" w:hAnsi="宋体" w:eastAsia="宋体" w:cs="宋体"/>
          <w:b/>
          <w:color w:val="auto"/>
          <w:sz w:val="24"/>
        </w:rPr>
        <w:t>格式</w:t>
      </w:r>
    </w:p>
    <w:p w14:paraId="46B11697">
      <w:pPr>
        <w:snapToGrid w:val="0"/>
        <w:spacing w:before="50" w:after="50"/>
        <w:jc w:val="center"/>
        <w:outlineLvl w:val="3"/>
        <w:rPr>
          <w:rFonts w:hint="eastAsia" w:ascii="宋体" w:hAnsi="宋体" w:eastAsia="宋体" w:cs="宋体"/>
          <w:b/>
          <w:color w:val="auto"/>
          <w:sz w:val="32"/>
        </w:rPr>
      </w:pPr>
      <w:r>
        <w:rPr>
          <w:rFonts w:hint="eastAsia" w:ascii="宋体" w:hAnsi="宋体" w:eastAsia="宋体" w:cs="宋体"/>
          <w:b/>
          <w:color w:val="auto"/>
          <w:sz w:val="32"/>
        </w:rPr>
        <w:t>技术要求偏离表</w:t>
      </w:r>
    </w:p>
    <w:tbl>
      <w:tblPr>
        <w:tblStyle w:val="48"/>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1276"/>
        <w:gridCol w:w="1559"/>
        <w:gridCol w:w="1560"/>
        <w:gridCol w:w="2551"/>
        <w:gridCol w:w="2796"/>
      </w:tblGrid>
      <w:tr w14:paraId="45EF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jc w:val="center"/>
        </w:trPr>
        <w:tc>
          <w:tcPr>
            <w:tcW w:w="443" w:type="dxa"/>
            <w:vMerge w:val="restart"/>
            <w:tcBorders>
              <w:top w:val="single" w:color="auto" w:sz="4" w:space="0"/>
              <w:left w:val="single" w:color="auto" w:sz="4" w:space="0"/>
              <w:bottom w:val="single" w:color="auto" w:sz="4" w:space="0"/>
              <w:right w:val="single" w:color="auto" w:sz="4" w:space="0"/>
            </w:tcBorders>
            <w:vAlign w:val="center"/>
          </w:tcPr>
          <w:p w14:paraId="12BC7CBE">
            <w:pPr>
              <w:wordWrap w:val="0"/>
              <w:spacing w:line="400" w:lineRule="exact"/>
              <w:rPr>
                <w:rFonts w:hint="eastAsia" w:ascii="宋体" w:hAnsi="宋体" w:eastAsia="宋体" w:cs="宋体"/>
                <w:b/>
                <w:color w:val="auto"/>
                <w:sz w:val="22"/>
                <w:szCs w:val="22"/>
              </w:rPr>
            </w:pPr>
            <w:r>
              <w:rPr>
                <w:rFonts w:hint="eastAsia" w:ascii="宋体" w:hAnsi="宋体" w:eastAsia="宋体" w:cs="宋体"/>
                <w:b/>
                <w:color w:val="auto"/>
                <w:sz w:val="22"/>
                <w:szCs w:val="22"/>
              </w:rPr>
              <w:t>项号</w:t>
            </w: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640A4F5A">
            <w:pPr>
              <w:wordWrap w:val="0"/>
              <w:spacing w:line="400" w:lineRule="exact"/>
              <w:rPr>
                <w:rFonts w:hint="eastAsia" w:ascii="宋体" w:hAnsi="宋体" w:eastAsia="宋体" w:cs="宋体"/>
                <w:b/>
                <w:color w:val="auto"/>
                <w:sz w:val="22"/>
                <w:szCs w:val="22"/>
              </w:rPr>
            </w:pPr>
            <w:r>
              <w:rPr>
                <w:rFonts w:hint="eastAsia" w:ascii="宋体" w:hAnsi="宋体" w:eastAsia="宋体" w:cs="宋体"/>
                <w:b/>
                <w:color w:val="auto"/>
                <w:sz w:val="22"/>
                <w:szCs w:val="22"/>
              </w:rPr>
              <w:t>招标文件需求</w:t>
            </w:r>
          </w:p>
        </w:tc>
        <w:tc>
          <w:tcPr>
            <w:tcW w:w="4111" w:type="dxa"/>
            <w:gridSpan w:val="2"/>
            <w:tcBorders>
              <w:top w:val="single" w:color="auto" w:sz="4" w:space="0"/>
              <w:left w:val="single" w:color="auto" w:sz="4" w:space="0"/>
              <w:bottom w:val="single" w:color="auto" w:sz="4" w:space="0"/>
              <w:right w:val="single" w:color="auto" w:sz="4" w:space="0"/>
            </w:tcBorders>
            <w:vAlign w:val="center"/>
          </w:tcPr>
          <w:p w14:paraId="7A9310B9">
            <w:pPr>
              <w:wordWrap w:val="0"/>
              <w:spacing w:line="400" w:lineRule="exact"/>
              <w:rPr>
                <w:rFonts w:hint="eastAsia" w:ascii="宋体" w:hAnsi="宋体" w:eastAsia="宋体" w:cs="宋体"/>
                <w:b/>
                <w:color w:val="auto"/>
                <w:sz w:val="22"/>
                <w:szCs w:val="22"/>
              </w:rPr>
            </w:pPr>
            <w:r>
              <w:rPr>
                <w:rFonts w:hint="eastAsia" w:ascii="宋体" w:hAnsi="宋体" w:eastAsia="宋体" w:cs="宋体"/>
                <w:b/>
                <w:color w:val="auto"/>
                <w:sz w:val="22"/>
                <w:szCs w:val="22"/>
              </w:rPr>
              <w:t>投标文件承诺</w:t>
            </w:r>
          </w:p>
        </w:tc>
        <w:tc>
          <w:tcPr>
            <w:tcW w:w="2796" w:type="dxa"/>
            <w:vMerge w:val="restart"/>
            <w:tcBorders>
              <w:top w:val="single" w:color="auto" w:sz="4" w:space="0"/>
              <w:left w:val="single" w:color="auto" w:sz="4" w:space="0"/>
              <w:bottom w:val="single" w:color="auto" w:sz="4" w:space="0"/>
              <w:right w:val="single" w:color="auto" w:sz="4" w:space="0"/>
            </w:tcBorders>
            <w:vAlign w:val="center"/>
          </w:tcPr>
          <w:p w14:paraId="76F59206">
            <w:pPr>
              <w:wordWrap w:val="0"/>
              <w:spacing w:line="400" w:lineRule="exact"/>
              <w:rPr>
                <w:rFonts w:hint="eastAsia" w:ascii="宋体" w:hAnsi="宋体" w:eastAsia="宋体" w:cs="宋体"/>
                <w:b/>
                <w:color w:val="auto"/>
                <w:sz w:val="22"/>
                <w:szCs w:val="22"/>
              </w:rPr>
            </w:pPr>
            <w:r>
              <w:rPr>
                <w:rFonts w:hint="eastAsia" w:ascii="宋体" w:hAnsi="宋体" w:eastAsia="宋体" w:cs="宋体"/>
                <w:b/>
                <w:color w:val="auto"/>
                <w:sz w:val="22"/>
                <w:szCs w:val="22"/>
              </w:rPr>
              <w:t>偏离说明</w:t>
            </w:r>
          </w:p>
        </w:tc>
      </w:tr>
      <w:tr w14:paraId="284DD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443" w:type="dxa"/>
            <w:vMerge w:val="continue"/>
            <w:tcBorders>
              <w:top w:val="single" w:color="auto" w:sz="4" w:space="0"/>
              <w:left w:val="single" w:color="auto" w:sz="4" w:space="0"/>
              <w:bottom w:val="single" w:color="auto" w:sz="4" w:space="0"/>
              <w:right w:val="single" w:color="auto" w:sz="4" w:space="0"/>
            </w:tcBorders>
            <w:vAlign w:val="center"/>
          </w:tcPr>
          <w:p w14:paraId="1F0E468F">
            <w:pPr>
              <w:widowControl/>
              <w:wordWrap w:val="0"/>
              <w:spacing w:line="400" w:lineRule="exact"/>
              <w:rPr>
                <w:rFonts w:hint="eastAsia" w:ascii="宋体" w:hAnsi="宋体" w:eastAsia="宋体" w:cs="宋体"/>
                <w:color w:val="auto"/>
                <w:sz w:val="22"/>
                <w:szCs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01B5ADA0">
            <w:pPr>
              <w:wordWrap w:val="0"/>
              <w:spacing w:line="400" w:lineRule="exact"/>
              <w:rPr>
                <w:rFonts w:hint="eastAsia" w:ascii="宋体" w:hAnsi="宋体" w:eastAsia="宋体" w:cs="宋体"/>
                <w:b/>
                <w:color w:val="auto"/>
                <w:sz w:val="22"/>
                <w:szCs w:val="22"/>
              </w:rPr>
            </w:pPr>
            <w:r>
              <w:rPr>
                <w:rFonts w:hint="eastAsia" w:ascii="宋体" w:hAnsi="宋体" w:eastAsia="宋体" w:cs="宋体"/>
                <w:b/>
                <w:color w:val="auto"/>
                <w:sz w:val="22"/>
                <w:szCs w:val="22"/>
              </w:rPr>
              <w:t>标的名称</w:t>
            </w:r>
          </w:p>
        </w:tc>
        <w:tc>
          <w:tcPr>
            <w:tcW w:w="1559" w:type="dxa"/>
            <w:tcBorders>
              <w:top w:val="single" w:color="auto" w:sz="4" w:space="0"/>
              <w:left w:val="single" w:color="auto" w:sz="4" w:space="0"/>
              <w:bottom w:val="single" w:color="auto" w:sz="4" w:space="0"/>
              <w:right w:val="single" w:color="auto" w:sz="4" w:space="0"/>
            </w:tcBorders>
            <w:vAlign w:val="center"/>
          </w:tcPr>
          <w:p w14:paraId="31D28627">
            <w:pPr>
              <w:wordWrap w:val="0"/>
              <w:spacing w:line="400" w:lineRule="exact"/>
              <w:rPr>
                <w:rFonts w:hint="eastAsia" w:ascii="宋体" w:hAnsi="宋体" w:eastAsia="宋体" w:cs="宋体"/>
                <w:b/>
                <w:color w:val="auto"/>
                <w:sz w:val="22"/>
                <w:szCs w:val="22"/>
              </w:rPr>
            </w:pPr>
            <w:r>
              <w:rPr>
                <w:rFonts w:hint="eastAsia" w:ascii="宋体" w:hAnsi="宋体" w:eastAsia="宋体" w:cs="宋体"/>
                <w:b/>
                <w:color w:val="auto"/>
                <w:sz w:val="22"/>
                <w:szCs w:val="22"/>
              </w:rPr>
              <w:t>服务参数</w:t>
            </w:r>
          </w:p>
        </w:tc>
        <w:tc>
          <w:tcPr>
            <w:tcW w:w="1560" w:type="dxa"/>
            <w:tcBorders>
              <w:top w:val="single" w:color="auto" w:sz="4" w:space="0"/>
              <w:left w:val="single" w:color="auto" w:sz="4" w:space="0"/>
              <w:bottom w:val="single" w:color="auto" w:sz="4" w:space="0"/>
              <w:right w:val="single" w:color="auto" w:sz="4" w:space="0"/>
            </w:tcBorders>
            <w:vAlign w:val="center"/>
          </w:tcPr>
          <w:p w14:paraId="74715464">
            <w:pPr>
              <w:wordWrap w:val="0"/>
              <w:spacing w:line="400" w:lineRule="exact"/>
              <w:rPr>
                <w:rFonts w:hint="eastAsia" w:ascii="宋体" w:hAnsi="宋体" w:eastAsia="宋体" w:cs="宋体"/>
                <w:b/>
                <w:color w:val="auto"/>
                <w:sz w:val="22"/>
                <w:szCs w:val="22"/>
              </w:rPr>
            </w:pPr>
            <w:r>
              <w:rPr>
                <w:rFonts w:hint="eastAsia" w:ascii="宋体" w:hAnsi="宋体" w:eastAsia="宋体" w:cs="宋体"/>
                <w:b/>
                <w:color w:val="auto"/>
                <w:sz w:val="22"/>
                <w:szCs w:val="22"/>
              </w:rPr>
              <w:t>标的名称</w:t>
            </w:r>
          </w:p>
        </w:tc>
        <w:tc>
          <w:tcPr>
            <w:tcW w:w="2551" w:type="dxa"/>
            <w:tcBorders>
              <w:top w:val="single" w:color="auto" w:sz="4" w:space="0"/>
              <w:left w:val="single" w:color="auto" w:sz="4" w:space="0"/>
              <w:bottom w:val="single" w:color="auto" w:sz="4" w:space="0"/>
              <w:right w:val="single" w:color="auto" w:sz="4" w:space="0"/>
            </w:tcBorders>
            <w:vAlign w:val="center"/>
          </w:tcPr>
          <w:p w14:paraId="3ABF8973">
            <w:pPr>
              <w:wordWrap w:val="0"/>
              <w:spacing w:line="400" w:lineRule="exact"/>
              <w:rPr>
                <w:rFonts w:hint="eastAsia" w:ascii="宋体" w:hAnsi="宋体" w:eastAsia="宋体" w:cs="宋体"/>
                <w:b/>
                <w:color w:val="auto"/>
                <w:sz w:val="22"/>
                <w:szCs w:val="22"/>
              </w:rPr>
            </w:pPr>
            <w:r>
              <w:rPr>
                <w:rFonts w:hint="eastAsia" w:ascii="宋体" w:hAnsi="宋体" w:eastAsia="宋体" w:cs="宋体"/>
                <w:b/>
                <w:color w:val="auto"/>
                <w:sz w:val="22"/>
                <w:szCs w:val="22"/>
              </w:rPr>
              <w:t>所提供服务的内容</w:t>
            </w:r>
          </w:p>
        </w:tc>
        <w:tc>
          <w:tcPr>
            <w:tcW w:w="2796" w:type="dxa"/>
            <w:vMerge w:val="continue"/>
            <w:tcBorders>
              <w:top w:val="single" w:color="auto" w:sz="4" w:space="0"/>
              <w:left w:val="single" w:color="auto" w:sz="4" w:space="0"/>
              <w:bottom w:val="single" w:color="auto" w:sz="4" w:space="0"/>
              <w:right w:val="single" w:color="auto" w:sz="4" w:space="0"/>
            </w:tcBorders>
            <w:vAlign w:val="center"/>
          </w:tcPr>
          <w:p w14:paraId="6108C3D6">
            <w:pPr>
              <w:widowControl/>
              <w:wordWrap w:val="0"/>
              <w:spacing w:line="400" w:lineRule="exact"/>
              <w:rPr>
                <w:rFonts w:hint="eastAsia" w:ascii="宋体" w:hAnsi="宋体" w:eastAsia="宋体" w:cs="宋体"/>
                <w:color w:val="auto"/>
                <w:sz w:val="22"/>
                <w:szCs w:val="22"/>
              </w:rPr>
            </w:pPr>
          </w:p>
        </w:tc>
      </w:tr>
      <w:tr w14:paraId="7E3E6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43" w:type="dxa"/>
            <w:vMerge w:val="restart"/>
            <w:tcBorders>
              <w:top w:val="single" w:color="auto" w:sz="4" w:space="0"/>
              <w:left w:val="single" w:color="auto" w:sz="4" w:space="0"/>
              <w:right w:val="single" w:color="auto" w:sz="4" w:space="0"/>
            </w:tcBorders>
            <w:vAlign w:val="center"/>
          </w:tcPr>
          <w:p w14:paraId="4D731A2B">
            <w:pPr>
              <w:wordWrap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1</w:t>
            </w:r>
          </w:p>
        </w:tc>
        <w:tc>
          <w:tcPr>
            <w:tcW w:w="1276" w:type="dxa"/>
            <w:vMerge w:val="restart"/>
            <w:tcBorders>
              <w:top w:val="single" w:color="auto" w:sz="4" w:space="0"/>
              <w:left w:val="single" w:color="auto" w:sz="4" w:space="0"/>
              <w:right w:val="single" w:color="auto" w:sz="4" w:space="0"/>
            </w:tcBorders>
            <w:vAlign w:val="center"/>
          </w:tcPr>
          <w:p w14:paraId="53BFB30B">
            <w:pPr>
              <w:wordWrap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w:t>
            </w:r>
          </w:p>
        </w:tc>
        <w:tc>
          <w:tcPr>
            <w:tcW w:w="1559" w:type="dxa"/>
            <w:tcBorders>
              <w:top w:val="single" w:color="auto" w:sz="4" w:space="0"/>
              <w:left w:val="single" w:color="auto" w:sz="4" w:space="0"/>
              <w:bottom w:val="single" w:color="auto" w:sz="4" w:space="0"/>
              <w:right w:val="single" w:color="auto" w:sz="4" w:space="0"/>
            </w:tcBorders>
          </w:tcPr>
          <w:p w14:paraId="7C449B83">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 xml:space="preserve">1  </w:t>
            </w:r>
            <w:r>
              <w:rPr>
                <w:rFonts w:hint="eastAsia" w:ascii="宋体" w:hAnsi="宋体" w:eastAsia="宋体" w:cs="宋体"/>
                <w:color w:val="auto"/>
                <w:sz w:val="24"/>
              </w:rPr>
              <w:t>……</w:t>
            </w:r>
          </w:p>
        </w:tc>
        <w:tc>
          <w:tcPr>
            <w:tcW w:w="1560" w:type="dxa"/>
            <w:vMerge w:val="restart"/>
            <w:tcBorders>
              <w:top w:val="single" w:color="auto" w:sz="4" w:space="0"/>
              <w:left w:val="single" w:color="auto" w:sz="4" w:space="0"/>
              <w:right w:val="single" w:color="auto" w:sz="4" w:space="0"/>
            </w:tcBorders>
            <w:vAlign w:val="center"/>
          </w:tcPr>
          <w:p w14:paraId="6F0EEDB8">
            <w:pPr>
              <w:wordWrap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w:t>
            </w:r>
          </w:p>
        </w:tc>
        <w:tc>
          <w:tcPr>
            <w:tcW w:w="2551" w:type="dxa"/>
            <w:tcBorders>
              <w:top w:val="single" w:color="auto" w:sz="4" w:space="0"/>
              <w:left w:val="single" w:color="auto" w:sz="4" w:space="0"/>
              <w:right w:val="single" w:color="auto" w:sz="4" w:space="0"/>
            </w:tcBorders>
          </w:tcPr>
          <w:p w14:paraId="2AC292DF">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 xml:space="preserve">1  </w:t>
            </w:r>
            <w:r>
              <w:rPr>
                <w:rFonts w:hint="eastAsia" w:ascii="宋体" w:hAnsi="宋体" w:eastAsia="宋体" w:cs="宋体"/>
                <w:color w:val="auto"/>
                <w:sz w:val="24"/>
              </w:rPr>
              <w:t>……</w:t>
            </w:r>
          </w:p>
        </w:tc>
        <w:tc>
          <w:tcPr>
            <w:tcW w:w="2796" w:type="dxa"/>
            <w:tcBorders>
              <w:top w:val="single" w:color="auto" w:sz="4" w:space="0"/>
              <w:left w:val="single" w:color="auto" w:sz="4" w:space="0"/>
              <w:right w:val="single" w:color="auto" w:sz="4" w:space="0"/>
            </w:tcBorders>
            <w:vAlign w:val="center"/>
          </w:tcPr>
          <w:p w14:paraId="05894590">
            <w:pPr>
              <w:wordWrap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正偏离或负偏离或无偏离）</w:t>
            </w:r>
          </w:p>
        </w:tc>
      </w:tr>
      <w:tr w14:paraId="0F1E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43" w:type="dxa"/>
            <w:vMerge w:val="continue"/>
            <w:tcBorders>
              <w:left w:val="single" w:color="auto" w:sz="4" w:space="0"/>
              <w:right w:val="single" w:color="auto" w:sz="4" w:space="0"/>
            </w:tcBorders>
            <w:vAlign w:val="center"/>
          </w:tcPr>
          <w:p w14:paraId="3A651D99">
            <w:pPr>
              <w:wordWrap w:val="0"/>
              <w:spacing w:line="400" w:lineRule="exact"/>
              <w:rPr>
                <w:rFonts w:hint="eastAsia" w:ascii="宋体" w:hAnsi="宋体" w:eastAsia="宋体" w:cs="宋体"/>
                <w:color w:val="auto"/>
                <w:sz w:val="22"/>
                <w:szCs w:val="22"/>
              </w:rPr>
            </w:pPr>
          </w:p>
        </w:tc>
        <w:tc>
          <w:tcPr>
            <w:tcW w:w="1276" w:type="dxa"/>
            <w:vMerge w:val="continue"/>
            <w:tcBorders>
              <w:left w:val="single" w:color="auto" w:sz="4" w:space="0"/>
              <w:right w:val="single" w:color="auto" w:sz="4" w:space="0"/>
            </w:tcBorders>
            <w:vAlign w:val="center"/>
          </w:tcPr>
          <w:p w14:paraId="542D3CCA">
            <w:pPr>
              <w:wordWrap w:val="0"/>
              <w:spacing w:line="400" w:lineRule="exact"/>
              <w:rPr>
                <w:rFonts w:hint="eastAsia" w:ascii="宋体" w:hAnsi="宋体" w:eastAsia="宋体" w:cs="宋体"/>
                <w:color w:val="auto"/>
                <w:sz w:val="22"/>
                <w:szCs w:val="22"/>
              </w:rPr>
            </w:pPr>
          </w:p>
        </w:tc>
        <w:tc>
          <w:tcPr>
            <w:tcW w:w="1559" w:type="dxa"/>
            <w:tcBorders>
              <w:top w:val="single" w:color="auto" w:sz="4" w:space="0"/>
              <w:left w:val="single" w:color="auto" w:sz="4" w:space="0"/>
              <w:bottom w:val="single" w:color="auto" w:sz="4" w:space="0"/>
              <w:right w:val="single" w:color="auto" w:sz="4" w:space="0"/>
            </w:tcBorders>
          </w:tcPr>
          <w:p w14:paraId="6681F2CA">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 xml:space="preserve">2  </w:t>
            </w:r>
            <w:r>
              <w:rPr>
                <w:rFonts w:hint="eastAsia" w:ascii="宋体" w:hAnsi="宋体" w:eastAsia="宋体" w:cs="宋体"/>
                <w:color w:val="auto"/>
                <w:sz w:val="24"/>
              </w:rPr>
              <w:t>……</w:t>
            </w:r>
          </w:p>
        </w:tc>
        <w:tc>
          <w:tcPr>
            <w:tcW w:w="1560" w:type="dxa"/>
            <w:vMerge w:val="continue"/>
            <w:tcBorders>
              <w:left w:val="single" w:color="auto" w:sz="4" w:space="0"/>
              <w:right w:val="single" w:color="auto" w:sz="4" w:space="0"/>
            </w:tcBorders>
            <w:vAlign w:val="center"/>
          </w:tcPr>
          <w:p w14:paraId="224C0E52">
            <w:pPr>
              <w:wordWrap w:val="0"/>
              <w:spacing w:line="400" w:lineRule="exact"/>
              <w:rPr>
                <w:rFonts w:hint="eastAsia" w:ascii="宋体" w:hAnsi="宋体" w:eastAsia="宋体" w:cs="宋体"/>
                <w:color w:val="auto"/>
                <w:sz w:val="22"/>
                <w:szCs w:val="22"/>
              </w:rPr>
            </w:pPr>
          </w:p>
        </w:tc>
        <w:tc>
          <w:tcPr>
            <w:tcW w:w="2551" w:type="dxa"/>
            <w:tcBorders>
              <w:left w:val="single" w:color="auto" w:sz="4" w:space="0"/>
              <w:right w:val="single" w:color="auto" w:sz="4" w:space="0"/>
            </w:tcBorders>
          </w:tcPr>
          <w:p w14:paraId="5ACE1895">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 xml:space="preserve">2  </w:t>
            </w:r>
            <w:r>
              <w:rPr>
                <w:rFonts w:hint="eastAsia" w:ascii="宋体" w:hAnsi="宋体" w:eastAsia="宋体" w:cs="宋体"/>
                <w:color w:val="auto"/>
                <w:sz w:val="24"/>
              </w:rPr>
              <w:t>……</w:t>
            </w:r>
          </w:p>
        </w:tc>
        <w:tc>
          <w:tcPr>
            <w:tcW w:w="2796" w:type="dxa"/>
            <w:tcBorders>
              <w:left w:val="single" w:color="auto" w:sz="4" w:space="0"/>
              <w:right w:val="single" w:color="auto" w:sz="4" w:space="0"/>
            </w:tcBorders>
          </w:tcPr>
          <w:p w14:paraId="2F920032">
            <w:pPr>
              <w:wordWrap w:val="0"/>
              <w:spacing w:line="400" w:lineRule="exact"/>
              <w:rPr>
                <w:rFonts w:hint="eastAsia" w:ascii="宋体" w:hAnsi="宋体" w:eastAsia="宋体" w:cs="宋体"/>
                <w:color w:val="auto"/>
              </w:rPr>
            </w:pPr>
            <w:r>
              <w:rPr>
                <w:rFonts w:hint="eastAsia" w:ascii="宋体" w:hAnsi="宋体" w:eastAsia="宋体" w:cs="宋体"/>
                <w:color w:val="auto"/>
                <w:sz w:val="22"/>
                <w:szCs w:val="22"/>
              </w:rPr>
              <w:t>正偏离或负偏离或无偏离）</w:t>
            </w:r>
          </w:p>
        </w:tc>
      </w:tr>
      <w:tr w14:paraId="405C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43" w:type="dxa"/>
            <w:vMerge w:val="continue"/>
            <w:tcBorders>
              <w:left w:val="single" w:color="auto" w:sz="4" w:space="0"/>
              <w:right w:val="single" w:color="auto" w:sz="4" w:space="0"/>
            </w:tcBorders>
            <w:vAlign w:val="center"/>
          </w:tcPr>
          <w:p w14:paraId="1676FA54">
            <w:pPr>
              <w:wordWrap w:val="0"/>
              <w:spacing w:line="400" w:lineRule="exact"/>
              <w:rPr>
                <w:rFonts w:hint="eastAsia" w:ascii="宋体" w:hAnsi="宋体" w:eastAsia="宋体" w:cs="宋体"/>
                <w:color w:val="auto"/>
                <w:sz w:val="22"/>
                <w:szCs w:val="22"/>
              </w:rPr>
            </w:pPr>
          </w:p>
        </w:tc>
        <w:tc>
          <w:tcPr>
            <w:tcW w:w="1276" w:type="dxa"/>
            <w:vMerge w:val="continue"/>
            <w:tcBorders>
              <w:left w:val="single" w:color="auto" w:sz="4" w:space="0"/>
              <w:right w:val="single" w:color="auto" w:sz="4" w:space="0"/>
            </w:tcBorders>
            <w:vAlign w:val="center"/>
          </w:tcPr>
          <w:p w14:paraId="6D6E2069">
            <w:pPr>
              <w:wordWrap w:val="0"/>
              <w:spacing w:line="400" w:lineRule="exact"/>
              <w:rPr>
                <w:rFonts w:hint="eastAsia" w:ascii="宋体" w:hAnsi="宋体" w:eastAsia="宋体" w:cs="宋体"/>
                <w:color w:val="auto"/>
                <w:sz w:val="22"/>
                <w:szCs w:val="22"/>
              </w:rPr>
            </w:pPr>
          </w:p>
        </w:tc>
        <w:tc>
          <w:tcPr>
            <w:tcW w:w="1559" w:type="dxa"/>
            <w:tcBorders>
              <w:top w:val="single" w:color="auto" w:sz="4" w:space="0"/>
              <w:left w:val="single" w:color="auto" w:sz="4" w:space="0"/>
              <w:bottom w:val="single" w:color="auto" w:sz="4" w:space="0"/>
              <w:right w:val="single" w:color="auto" w:sz="4" w:space="0"/>
            </w:tcBorders>
          </w:tcPr>
          <w:p w14:paraId="34DE4951">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 xml:space="preserve">3  </w:t>
            </w:r>
            <w:r>
              <w:rPr>
                <w:rFonts w:hint="eastAsia" w:ascii="宋体" w:hAnsi="宋体" w:eastAsia="宋体" w:cs="宋体"/>
                <w:color w:val="auto"/>
                <w:sz w:val="24"/>
              </w:rPr>
              <w:t>……</w:t>
            </w:r>
          </w:p>
        </w:tc>
        <w:tc>
          <w:tcPr>
            <w:tcW w:w="1560" w:type="dxa"/>
            <w:vMerge w:val="continue"/>
            <w:tcBorders>
              <w:left w:val="single" w:color="auto" w:sz="4" w:space="0"/>
              <w:right w:val="single" w:color="auto" w:sz="4" w:space="0"/>
            </w:tcBorders>
            <w:vAlign w:val="center"/>
          </w:tcPr>
          <w:p w14:paraId="4EAF74ED">
            <w:pPr>
              <w:wordWrap w:val="0"/>
              <w:spacing w:line="400" w:lineRule="exact"/>
              <w:rPr>
                <w:rFonts w:hint="eastAsia" w:ascii="宋体" w:hAnsi="宋体" w:eastAsia="宋体" w:cs="宋体"/>
                <w:color w:val="auto"/>
                <w:sz w:val="22"/>
                <w:szCs w:val="22"/>
              </w:rPr>
            </w:pPr>
          </w:p>
        </w:tc>
        <w:tc>
          <w:tcPr>
            <w:tcW w:w="2551" w:type="dxa"/>
            <w:tcBorders>
              <w:left w:val="single" w:color="auto" w:sz="4" w:space="0"/>
              <w:right w:val="single" w:color="auto" w:sz="4" w:space="0"/>
            </w:tcBorders>
          </w:tcPr>
          <w:p w14:paraId="3C259365">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 xml:space="preserve">3  </w:t>
            </w:r>
            <w:r>
              <w:rPr>
                <w:rFonts w:hint="eastAsia" w:ascii="宋体" w:hAnsi="宋体" w:eastAsia="宋体" w:cs="宋体"/>
                <w:color w:val="auto"/>
                <w:sz w:val="24"/>
              </w:rPr>
              <w:t>……</w:t>
            </w:r>
          </w:p>
        </w:tc>
        <w:tc>
          <w:tcPr>
            <w:tcW w:w="2796" w:type="dxa"/>
            <w:tcBorders>
              <w:left w:val="single" w:color="auto" w:sz="4" w:space="0"/>
              <w:right w:val="single" w:color="auto" w:sz="4" w:space="0"/>
            </w:tcBorders>
            <w:vAlign w:val="center"/>
          </w:tcPr>
          <w:p w14:paraId="089467BB">
            <w:pPr>
              <w:wordWrap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正偏离或负偏离或无偏离）</w:t>
            </w:r>
          </w:p>
        </w:tc>
      </w:tr>
      <w:tr w14:paraId="6DF26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43" w:type="dxa"/>
            <w:vMerge w:val="continue"/>
            <w:tcBorders>
              <w:left w:val="single" w:color="auto" w:sz="4" w:space="0"/>
              <w:bottom w:val="single" w:color="auto" w:sz="4" w:space="0"/>
              <w:right w:val="single" w:color="auto" w:sz="4" w:space="0"/>
            </w:tcBorders>
            <w:vAlign w:val="center"/>
          </w:tcPr>
          <w:p w14:paraId="29B14489">
            <w:pPr>
              <w:wordWrap w:val="0"/>
              <w:spacing w:line="400" w:lineRule="exact"/>
              <w:rPr>
                <w:rFonts w:hint="eastAsia" w:ascii="宋体" w:hAnsi="宋体" w:eastAsia="宋体" w:cs="宋体"/>
                <w:color w:val="auto"/>
                <w:sz w:val="22"/>
                <w:szCs w:val="22"/>
              </w:rPr>
            </w:pPr>
          </w:p>
        </w:tc>
        <w:tc>
          <w:tcPr>
            <w:tcW w:w="1276" w:type="dxa"/>
            <w:vMerge w:val="continue"/>
            <w:tcBorders>
              <w:left w:val="single" w:color="auto" w:sz="4" w:space="0"/>
              <w:bottom w:val="single" w:color="auto" w:sz="4" w:space="0"/>
              <w:right w:val="single" w:color="auto" w:sz="4" w:space="0"/>
            </w:tcBorders>
            <w:vAlign w:val="center"/>
          </w:tcPr>
          <w:p w14:paraId="109EF89D">
            <w:pPr>
              <w:wordWrap w:val="0"/>
              <w:spacing w:line="400" w:lineRule="exact"/>
              <w:rPr>
                <w:rFonts w:hint="eastAsia" w:ascii="宋体" w:hAnsi="宋体" w:eastAsia="宋体" w:cs="宋体"/>
                <w:color w:val="auto"/>
                <w:sz w:val="22"/>
                <w:szCs w:val="22"/>
              </w:rPr>
            </w:pPr>
          </w:p>
        </w:tc>
        <w:tc>
          <w:tcPr>
            <w:tcW w:w="1559" w:type="dxa"/>
            <w:tcBorders>
              <w:top w:val="single" w:color="auto" w:sz="4" w:space="0"/>
              <w:left w:val="single" w:color="auto" w:sz="4" w:space="0"/>
              <w:bottom w:val="single" w:color="auto" w:sz="4" w:space="0"/>
              <w:right w:val="single" w:color="auto" w:sz="4" w:space="0"/>
            </w:tcBorders>
          </w:tcPr>
          <w:p w14:paraId="3DB46565">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w:t>
            </w:r>
          </w:p>
        </w:tc>
        <w:tc>
          <w:tcPr>
            <w:tcW w:w="1560" w:type="dxa"/>
            <w:vMerge w:val="continue"/>
            <w:tcBorders>
              <w:left w:val="single" w:color="auto" w:sz="4" w:space="0"/>
              <w:bottom w:val="single" w:color="auto" w:sz="4" w:space="0"/>
              <w:right w:val="single" w:color="auto" w:sz="4" w:space="0"/>
            </w:tcBorders>
            <w:vAlign w:val="center"/>
          </w:tcPr>
          <w:p w14:paraId="4CA29CAC">
            <w:pPr>
              <w:wordWrap w:val="0"/>
              <w:spacing w:line="400" w:lineRule="exact"/>
              <w:rPr>
                <w:rFonts w:hint="eastAsia" w:ascii="宋体" w:hAnsi="宋体" w:eastAsia="宋体" w:cs="宋体"/>
                <w:color w:val="auto"/>
                <w:sz w:val="22"/>
                <w:szCs w:val="22"/>
              </w:rPr>
            </w:pPr>
          </w:p>
        </w:tc>
        <w:tc>
          <w:tcPr>
            <w:tcW w:w="2551" w:type="dxa"/>
            <w:tcBorders>
              <w:left w:val="single" w:color="auto" w:sz="4" w:space="0"/>
              <w:bottom w:val="single" w:color="auto" w:sz="4" w:space="0"/>
              <w:right w:val="single" w:color="auto" w:sz="4" w:space="0"/>
            </w:tcBorders>
          </w:tcPr>
          <w:p w14:paraId="1561492E">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w:t>
            </w:r>
          </w:p>
        </w:tc>
        <w:tc>
          <w:tcPr>
            <w:tcW w:w="2796" w:type="dxa"/>
            <w:tcBorders>
              <w:left w:val="single" w:color="auto" w:sz="4" w:space="0"/>
              <w:bottom w:val="single" w:color="auto" w:sz="4" w:space="0"/>
              <w:right w:val="single" w:color="auto" w:sz="4" w:space="0"/>
            </w:tcBorders>
          </w:tcPr>
          <w:p w14:paraId="50412341">
            <w:pPr>
              <w:wordWrap w:val="0"/>
              <w:spacing w:line="400" w:lineRule="exact"/>
              <w:rPr>
                <w:rFonts w:hint="eastAsia" w:ascii="宋体" w:hAnsi="宋体" w:eastAsia="宋体" w:cs="宋体"/>
                <w:color w:val="auto"/>
              </w:rPr>
            </w:pPr>
            <w:r>
              <w:rPr>
                <w:rFonts w:hint="eastAsia" w:ascii="宋体" w:hAnsi="宋体" w:eastAsia="宋体" w:cs="宋体"/>
                <w:color w:val="auto"/>
                <w:sz w:val="22"/>
                <w:szCs w:val="22"/>
              </w:rPr>
              <w:t>正偏离或负偏离或无偏离）</w:t>
            </w:r>
          </w:p>
        </w:tc>
      </w:tr>
      <w:tr w14:paraId="137F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43" w:type="dxa"/>
            <w:vMerge w:val="restart"/>
            <w:tcBorders>
              <w:left w:val="single" w:color="auto" w:sz="4" w:space="0"/>
              <w:right w:val="single" w:color="auto" w:sz="4" w:space="0"/>
            </w:tcBorders>
            <w:vAlign w:val="center"/>
          </w:tcPr>
          <w:p w14:paraId="069868B5">
            <w:pPr>
              <w:wordWrap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2</w:t>
            </w:r>
          </w:p>
        </w:tc>
        <w:tc>
          <w:tcPr>
            <w:tcW w:w="1276" w:type="dxa"/>
            <w:vMerge w:val="restart"/>
            <w:tcBorders>
              <w:left w:val="single" w:color="auto" w:sz="4" w:space="0"/>
              <w:right w:val="single" w:color="auto" w:sz="4" w:space="0"/>
            </w:tcBorders>
            <w:vAlign w:val="center"/>
          </w:tcPr>
          <w:p w14:paraId="1FF5AE1D">
            <w:pPr>
              <w:wordWrap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w:t>
            </w:r>
          </w:p>
        </w:tc>
        <w:tc>
          <w:tcPr>
            <w:tcW w:w="1559" w:type="dxa"/>
            <w:tcBorders>
              <w:top w:val="single" w:color="auto" w:sz="4" w:space="0"/>
              <w:left w:val="single" w:color="auto" w:sz="4" w:space="0"/>
              <w:bottom w:val="single" w:color="auto" w:sz="4" w:space="0"/>
              <w:right w:val="single" w:color="auto" w:sz="4" w:space="0"/>
            </w:tcBorders>
          </w:tcPr>
          <w:p w14:paraId="2F255784">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 xml:space="preserve">1  </w:t>
            </w:r>
            <w:r>
              <w:rPr>
                <w:rFonts w:hint="eastAsia" w:ascii="宋体" w:hAnsi="宋体" w:eastAsia="宋体" w:cs="宋体"/>
                <w:color w:val="auto"/>
                <w:sz w:val="24"/>
              </w:rPr>
              <w:t>……</w:t>
            </w:r>
          </w:p>
        </w:tc>
        <w:tc>
          <w:tcPr>
            <w:tcW w:w="1560" w:type="dxa"/>
            <w:vMerge w:val="restart"/>
            <w:tcBorders>
              <w:left w:val="single" w:color="auto" w:sz="4" w:space="0"/>
              <w:right w:val="single" w:color="auto" w:sz="4" w:space="0"/>
            </w:tcBorders>
            <w:vAlign w:val="center"/>
          </w:tcPr>
          <w:p w14:paraId="469B39A5">
            <w:pPr>
              <w:wordWrap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w:t>
            </w:r>
          </w:p>
        </w:tc>
        <w:tc>
          <w:tcPr>
            <w:tcW w:w="2551" w:type="dxa"/>
            <w:tcBorders>
              <w:left w:val="single" w:color="auto" w:sz="4" w:space="0"/>
              <w:bottom w:val="single" w:color="auto" w:sz="4" w:space="0"/>
              <w:right w:val="single" w:color="auto" w:sz="4" w:space="0"/>
            </w:tcBorders>
          </w:tcPr>
          <w:p w14:paraId="4BFF4ED9">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 xml:space="preserve">1  </w:t>
            </w:r>
            <w:r>
              <w:rPr>
                <w:rFonts w:hint="eastAsia" w:ascii="宋体" w:hAnsi="宋体" w:eastAsia="宋体" w:cs="宋体"/>
                <w:color w:val="auto"/>
                <w:sz w:val="24"/>
              </w:rPr>
              <w:t>……</w:t>
            </w:r>
          </w:p>
        </w:tc>
        <w:tc>
          <w:tcPr>
            <w:tcW w:w="2796" w:type="dxa"/>
            <w:tcBorders>
              <w:left w:val="single" w:color="auto" w:sz="4" w:space="0"/>
              <w:bottom w:val="single" w:color="auto" w:sz="4" w:space="0"/>
              <w:right w:val="single" w:color="auto" w:sz="4" w:space="0"/>
            </w:tcBorders>
            <w:vAlign w:val="center"/>
          </w:tcPr>
          <w:p w14:paraId="1C80C7DB">
            <w:pPr>
              <w:wordWrap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正偏离或负偏离或无偏离）</w:t>
            </w:r>
          </w:p>
        </w:tc>
      </w:tr>
      <w:tr w14:paraId="741F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43" w:type="dxa"/>
            <w:vMerge w:val="continue"/>
            <w:tcBorders>
              <w:left w:val="single" w:color="auto" w:sz="4" w:space="0"/>
              <w:right w:val="single" w:color="auto" w:sz="4" w:space="0"/>
            </w:tcBorders>
            <w:vAlign w:val="center"/>
          </w:tcPr>
          <w:p w14:paraId="2B0347EF">
            <w:pPr>
              <w:wordWrap w:val="0"/>
              <w:spacing w:line="400" w:lineRule="exact"/>
              <w:rPr>
                <w:rFonts w:hint="eastAsia" w:ascii="宋体" w:hAnsi="宋体" w:eastAsia="宋体" w:cs="宋体"/>
                <w:color w:val="auto"/>
                <w:sz w:val="22"/>
                <w:szCs w:val="22"/>
              </w:rPr>
            </w:pPr>
          </w:p>
        </w:tc>
        <w:tc>
          <w:tcPr>
            <w:tcW w:w="1276" w:type="dxa"/>
            <w:vMerge w:val="continue"/>
            <w:tcBorders>
              <w:left w:val="single" w:color="auto" w:sz="4" w:space="0"/>
              <w:right w:val="single" w:color="auto" w:sz="4" w:space="0"/>
            </w:tcBorders>
            <w:vAlign w:val="center"/>
          </w:tcPr>
          <w:p w14:paraId="37EB56DE">
            <w:pPr>
              <w:wordWrap w:val="0"/>
              <w:spacing w:line="400" w:lineRule="exact"/>
              <w:rPr>
                <w:rFonts w:hint="eastAsia" w:ascii="宋体" w:hAnsi="宋体" w:eastAsia="宋体" w:cs="宋体"/>
                <w:color w:val="auto"/>
                <w:sz w:val="22"/>
                <w:szCs w:val="22"/>
              </w:rPr>
            </w:pPr>
          </w:p>
        </w:tc>
        <w:tc>
          <w:tcPr>
            <w:tcW w:w="1559" w:type="dxa"/>
            <w:tcBorders>
              <w:top w:val="single" w:color="auto" w:sz="4" w:space="0"/>
              <w:left w:val="single" w:color="auto" w:sz="4" w:space="0"/>
              <w:bottom w:val="single" w:color="auto" w:sz="4" w:space="0"/>
              <w:right w:val="single" w:color="auto" w:sz="4" w:space="0"/>
            </w:tcBorders>
          </w:tcPr>
          <w:p w14:paraId="5A706195">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 xml:space="preserve">2  </w:t>
            </w:r>
            <w:r>
              <w:rPr>
                <w:rFonts w:hint="eastAsia" w:ascii="宋体" w:hAnsi="宋体" w:eastAsia="宋体" w:cs="宋体"/>
                <w:color w:val="auto"/>
                <w:sz w:val="24"/>
              </w:rPr>
              <w:t>……</w:t>
            </w:r>
          </w:p>
        </w:tc>
        <w:tc>
          <w:tcPr>
            <w:tcW w:w="1560" w:type="dxa"/>
            <w:vMerge w:val="continue"/>
            <w:tcBorders>
              <w:left w:val="single" w:color="auto" w:sz="4" w:space="0"/>
              <w:right w:val="single" w:color="auto" w:sz="4" w:space="0"/>
            </w:tcBorders>
            <w:vAlign w:val="center"/>
          </w:tcPr>
          <w:p w14:paraId="245C704A">
            <w:pPr>
              <w:wordWrap w:val="0"/>
              <w:spacing w:line="400" w:lineRule="exact"/>
              <w:rPr>
                <w:rFonts w:hint="eastAsia" w:ascii="宋体" w:hAnsi="宋体" w:eastAsia="宋体" w:cs="宋体"/>
                <w:color w:val="auto"/>
                <w:sz w:val="22"/>
                <w:szCs w:val="22"/>
              </w:rPr>
            </w:pPr>
          </w:p>
        </w:tc>
        <w:tc>
          <w:tcPr>
            <w:tcW w:w="2551" w:type="dxa"/>
            <w:tcBorders>
              <w:left w:val="single" w:color="auto" w:sz="4" w:space="0"/>
              <w:bottom w:val="single" w:color="auto" w:sz="4" w:space="0"/>
              <w:right w:val="single" w:color="auto" w:sz="4" w:space="0"/>
            </w:tcBorders>
          </w:tcPr>
          <w:p w14:paraId="094C9496">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 xml:space="preserve">2  </w:t>
            </w:r>
            <w:r>
              <w:rPr>
                <w:rFonts w:hint="eastAsia" w:ascii="宋体" w:hAnsi="宋体" w:eastAsia="宋体" w:cs="宋体"/>
                <w:color w:val="auto"/>
                <w:sz w:val="24"/>
              </w:rPr>
              <w:t>……</w:t>
            </w:r>
          </w:p>
        </w:tc>
        <w:tc>
          <w:tcPr>
            <w:tcW w:w="2796" w:type="dxa"/>
            <w:tcBorders>
              <w:left w:val="single" w:color="auto" w:sz="4" w:space="0"/>
              <w:bottom w:val="single" w:color="auto" w:sz="4" w:space="0"/>
              <w:right w:val="single" w:color="auto" w:sz="4" w:space="0"/>
            </w:tcBorders>
          </w:tcPr>
          <w:p w14:paraId="59ECFFD4">
            <w:pPr>
              <w:wordWrap w:val="0"/>
              <w:spacing w:line="400" w:lineRule="exact"/>
              <w:rPr>
                <w:rFonts w:hint="eastAsia" w:ascii="宋体" w:hAnsi="宋体" w:eastAsia="宋体" w:cs="宋体"/>
                <w:color w:val="auto"/>
              </w:rPr>
            </w:pPr>
            <w:r>
              <w:rPr>
                <w:rFonts w:hint="eastAsia" w:ascii="宋体" w:hAnsi="宋体" w:eastAsia="宋体" w:cs="宋体"/>
                <w:color w:val="auto"/>
                <w:sz w:val="22"/>
                <w:szCs w:val="22"/>
              </w:rPr>
              <w:t>正偏离或负偏离或无偏离）</w:t>
            </w:r>
          </w:p>
        </w:tc>
      </w:tr>
      <w:tr w14:paraId="41FF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43" w:type="dxa"/>
            <w:vMerge w:val="continue"/>
            <w:tcBorders>
              <w:left w:val="single" w:color="auto" w:sz="4" w:space="0"/>
              <w:right w:val="single" w:color="auto" w:sz="4" w:space="0"/>
            </w:tcBorders>
            <w:vAlign w:val="center"/>
          </w:tcPr>
          <w:p w14:paraId="706D265D">
            <w:pPr>
              <w:wordWrap w:val="0"/>
              <w:spacing w:line="400" w:lineRule="exact"/>
              <w:rPr>
                <w:rFonts w:hint="eastAsia" w:ascii="宋体" w:hAnsi="宋体" w:eastAsia="宋体" w:cs="宋体"/>
                <w:color w:val="auto"/>
                <w:sz w:val="22"/>
                <w:szCs w:val="22"/>
              </w:rPr>
            </w:pPr>
          </w:p>
        </w:tc>
        <w:tc>
          <w:tcPr>
            <w:tcW w:w="1276" w:type="dxa"/>
            <w:vMerge w:val="continue"/>
            <w:tcBorders>
              <w:left w:val="single" w:color="auto" w:sz="4" w:space="0"/>
              <w:right w:val="single" w:color="auto" w:sz="4" w:space="0"/>
            </w:tcBorders>
            <w:vAlign w:val="center"/>
          </w:tcPr>
          <w:p w14:paraId="2665AB1C">
            <w:pPr>
              <w:wordWrap w:val="0"/>
              <w:spacing w:line="400" w:lineRule="exact"/>
              <w:rPr>
                <w:rFonts w:hint="eastAsia" w:ascii="宋体" w:hAnsi="宋体" w:eastAsia="宋体" w:cs="宋体"/>
                <w:color w:val="auto"/>
                <w:sz w:val="22"/>
                <w:szCs w:val="22"/>
              </w:rPr>
            </w:pPr>
          </w:p>
        </w:tc>
        <w:tc>
          <w:tcPr>
            <w:tcW w:w="1559" w:type="dxa"/>
            <w:tcBorders>
              <w:top w:val="single" w:color="auto" w:sz="4" w:space="0"/>
              <w:left w:val="single" w:color="auto" w:sz="4" w:space="0"/>
              <w:bottom w:val="single" w:color="auto" w:sz="4" w:space="0"/>
              <w:right w:val="single" w:color="auto" w:sz="4" w:space="0"/>
            </w:tcBorders>
          </w:tcPr>
          <w:p w14:paraId="25620540">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 xml:space="preserve">3  </w:t>
            </w:r>
            <w:r>
              <w:rPr>
                <w:rFonts w:hint="eastAsia" w:ascii="宋体" w:hAnsi="宋体" w:eastAsia="宋体" w:cs="宋体"/>
                <w:color w:val="auto"/>
                <w:sz w:val="24"/>
              </w:rPr>
              <w:t>……</w:t>
            </w:r>
          </w:p>
        </w:tc>
        <w:tc>
          <w:tcPr>
            <w:tcW w:w="1560" w:type="dxa"/>
            <w:vMerge w:val="continue"/>
            <w:tcBorders>
              <w:left w:val="single" w:color="auto" w:sz="4" w:space="0"/>
              <w:right w:val="single" w:color="auto" w:sz="4" w:space="0"/>
            </w:tcBorders>
            <w:vAlign w:val="center"/>
          </w:tcPr>
          <w:p w14:paraId="3C7024F1">
            <w:pPr>
              <w:wordWrap w:val="0"/>
              <w:spacing w:line="400" w:lineRule="exact"/>
              <w:rPr>
                <w:rFonts w:hint="eastAsia" w:ascii="宋体" w:hAnsi="宋体" w:eastAsia="宋体" w:cs="宋体"/>
                <w:color w:val="auto"/>
                <w:sz w:val="22"/>
                <w:szCs w:val="22"/>
              </w:rPr>
            </w:pPr>
          </w:p>
        </w:tc>
        <w:tc>
          <w:tcPr>
            <w:tcW w:w="2551" w:type="dxa"/>
            <w:tcBorders>
              <w:left w:val="single" w:color="auto" w:sz="4" w:space="0"/>
              <w:bottom w:val="single" w:color="auto" w:sz="4" w:space="0"/>
              <w:right w:val="single" w:color="auto" w:sz="4" w:space="0"/>
            </w:tcBorders>
          </w:tcPr>
          <w:p w14:paraId="35461056">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 xml:space="preserve">3  </w:t>
            </w:r>
            <w:r>
              <w:rPr>
                <w:rFonts w:hint="eastAsia" w:ascii="宋体" w:hAnsi="宋体" w:eastAsia="宋体" w:cs="宋体"/>
                <w:color w:val="auto"/>
                <w:sz w:val="24"/>
              </w:rPr>
              <w:t>……</w:t>
            </w:r>
          </w:p>
        </w:tc>
        <w:tc>
          <w:tcPr>
            <w:tcW w:w="2796" w:type="dxa"/>
            <w:tcBorders>
              <w:left w:val="single" w:color="auto" w:sz="4" w:space="0"/>
              <w:bottom w:val="single" w:color="auto" w:sz="4" w:space="0"/>
              <w:right w:val="single" w:color="auto" w:sz="4" w:space="0"/>
            </w:tcBorders>
            <w:vAlign w:val="center"/>
          </w:tcPr>
          <w:p w14:paraId="5BED8477">
            <w:pPr>
              <w:wordWrap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正偏离或负偏离或无偏离）</w:t>
            </w:r>
          </w:p>
        </w:tc>
      </w:tr>
      <w:tr w14:paraId="17AE1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43" w:type="dxa"/>
            <w:vMerge w:val="continue"/>
            <w:tcBorders>
              <w:left w:val="single" w:color="auto" w:sz="4" w:space="0"/>
              <w:bottom w:val="single" w:color="auto" w:sz="4" w:space="0"/>
              <w:right w:val="single" w:color="auto" w:sz="4" w:space="0"/>
            </w:tcBorders>
            <w:vAlign w:val="center"/>
          </w:tcPr>
          <w:p w14:paraId="068A41F1">
            <w:pPr>
              <w:wordWrap w:val="0"/>
              <w:spacing w:line="400" w:lineRule="exact"/>
              <w:rPr>
                <w:rFonts w:hint="eastAsia" w:ascii="宋体" w:hAnsi="宋体" w:eastAsia="宋体" w:cs="宋体"/>
                <w:color w:val="auto"/>
                <w:sz w:val="22"/>
                <w:szCs w:val="22"/>
              </w:rPr>
            </w:pPr>
          </w:p>
        </w:tc>
        <w:tc>
          <w:tcPr>
            <w:tcW w:w="1276" w:type="dxa"/>
            <w:vMerge w:val="continue"/>
            <w:tcBorders>
              <w:left w:val="single" w:color="auto" w:sz="4" w:space="0"/>
              <w:bottom w:val="single" w:color="auto" w:sz="4" w:space="0"/>
              <w:right w:val="single" w:color="auto" w:sz="4" w:space="0"/>
            </w:tcBorders>
            <w:vAlign w:val="center"/>
          </w:tcPr>
          <w:p w14:paraId="01105DB2">
            <w:pPr>
              <w:wordWrap w:val="0"/>
              <w:spacing w:line="400" w:lineRule="exact"/>
              <w:rPr>
                <w:rFonts w:hint="eastAsia" w:ascii="宋体" w:hAnsi="宋体" w:eastAsia="宋体" w:cs="宋体"/>
                <w:color w:val="auto"/>
                <w:sz w:val="22"/>
                <w:szCs w:val="22"/>
              </w:rPr>
            </w:pPr>
          </w:p>
        </w:tc>
        <w:tc>
          <w:tcPr>
            <w:tcW w:w="1559" w:type="dxa"/>
            <w:tcBorders>
              <w:top w:val="single" w:color="auto" w:sz="4" w:space="0"/>
              <w:left w:val="single" w:color="auto" w:sz="4" w:space="0"/>
              <w:bottom w:val="single" w:color="auto" w:sz="4" w:space="0"/>
              <w:right w:val="single" w:color="auto" w:sz="4" w:space="0"/>
            </w:tcBorders>
          </w:tcPr>
          <w:p w14:paraId="6BE73068">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w:t>
            </w:r>
          </w:p>
        </w:tc>
        <w:tc>
          <w:tcPr>
            <w:tcW w:w="1560" w:type="dxa"/>
            <w:vMerge w:val="continue"/>
            <w:tcBorders>
              <w:left w:val="single" w:color="auto" w:sz="4" w:space="0"/>
              <w:bottom w:val="single" w:color="auto" w:sz="4" w:space="0"/>
              <w:right w:val="single" w:color="auto" w:sz="4" w:space="0"/>
            </w:tcBorders>
            <w:vAlign w:val="center"/>
          </w:tcPr>
          <w:p w14:paraId="1F38EF35">
            <w:pPr>
              <w:wordWrap w:val="0"/>
              <w:spacing w:line="400" w:lineRule="exact"/>
              <w:rPr>
                <w:rFonts w:hint="eastAsia" w:ascii="宋体" w:hAnsi="宋体" w:eastAsia="宋体" w:cs="宋体"/>
                <w:color w:val="auto"/>
                <w:sz w:val="22"/>
                <w:szCs w:val="22"/>
              </w:rPr>
            </w:pPr>
          </w:p>
        </w:tc>
        <w:tc>
          <w:tcPr>
            <w:tcW w:w="2551" w:type="dxa"/>
            <w:tcBorders>
              <w:left w:val="single" w:color="auto" w:sz="4" w:space="0"/>
              <w:bottom w:val="single" w:color="auto" w:sz="4" w:space="0"/>
              <w:right w:val="single" w:color="auto" w:sz="4" w:space="0"/>
            </w:tcBorders>
          </w:tcPr>
          <w:p w14:paraId="663D9925">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w:t>
            </w:r>
          </w:p>
        </w:tc>
        <w:tc>
          <w:tcPr>
            <w:tcW w:w="2796" w:type="dxa"/>
            <w:tcBorders>
              <w:left w:val="single" w:color="auto" w:sz="4" w:space="0"/>
              <w:bottom w:val="single" w:color="auto" w:sz="4" w:space="0"/>
              <w:right w:val="single" w:color="auto" w:sz="4" w:space="0"/>
            </w:tcBorders>
          </w:tcPr>
          <w:p w14:paraId="642918ED">
            <w:pPr>
              <w:wordWrap w:val="0"/>
              <w:spacing w:line="400" w:lineRule="exact"/>
              <w:rPr>
                <w:rFonts w:hint="eastAsia" w:ascii="宋体" w:hAnsi="宋体" w:eastAsia="宋体" w:cs="宋体"/>
                <w:color w:val="auto"/>
              </w:rPr>
            </w:pPr>
            <w:r>
              <w:rPr>
                <w:rFonts w:hint="eastAsia" w:ascii="宋体" w:hAnsi="宋体" w:eastAsia="宋体" w:cs="宋体"/>
                <w:color w:val="auto"/>
                <w:sz w:val="22"/>
                <w:szCs w:val="22"/>
              </w:rPr>
              <w:t>正偏离或负偏离或无偏离）</w:t>
            </w:r>
          </w:p>
        </w:tc>
      </w:tr>
      <w:tr w14:paraId="26700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43" w:type="dxa"/>
            <w:vMerge w:val="restart"/>
            <w:tcBorders>
              <w:left w:val="single" w:color="auto" w:sz="4" w:space="0"/>
              <w:right w:val="single" w:color="auto" w:sz="4" w:space="0"/>
            </w:tcBorders>
            <w:vAlign w:val="center"/>
          </w:tcPr>
          <w:p w14:paraId="0CFF64B1">
            <w:pPr>
              <w:wordWrap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w:t>
            </w:r>
          </w:p>
        </w:tc>
        <w:tc>
          <w:tcPr>
            <w:tcW w:w="1276" w:type="dxa"/>
            <w:vMerge w:val="restart"/>
            <w:tcBorders>
              <w:left w:val="single" w:color="auto" w:sz="4" w:space="0"/>
              <w:right w:val="single" w:color="auto" w:sz="4" w:space="0"/>
            </w:tcBorders>
            <w:vAlign w:val="center"/>
          </w:tcPr>
          <w:p w14:paraId="3CC681F0">
            <w:pPr>
              <w:wordWrap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w:t>
            </w:r>
          </w:p>
        </w:tc>
        <w:tc>
          <w:tcPr>
            <w:tcW w:w="1559" w:type="dxa"/>
            <w:tcBorders>
              <w:top w:val="single" w:color="auto" w:sz="4" w:space="0"/>
              <w:left w:val="single" w:color="auto" w:sz="4" w:space="0"/>
              <w:bottom w:val="single" w:color="auto" w:sz="4" w:space="0"/>
              <w:right w:val="single" w:color="auto" w:sz="4" w:space="0"/>
            </w:tcBorders>
          </w:tcPr>
          <w:p w14:paraId="2673B166">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 xml:space="preserve">1  </w:t>
            </w:r>
            <w:r>
              <w:rPr>
                <w:rFonts w:hint="eastAsia" w:ascii="宋体" w:hAnsi="宋体" w:eastAsia="宋体" w:cs="宋体"/>
                <w:color w:val="auto"/>
                <w:sz w:val="24"/>
              </w:rPr>
              <w:t>……</w:t>
            </w:r>
          </w:p>
        </w:tc>
        <w:tc>
          <w:tcPr>
            <w:tcW w:w="1560" w:type="dxa"/>
            <w:vMerge w:val="restart"/>
            <w:tcBorders>
              <w:left w:val="single" w:color="auto" w:sz="4" w:space="0"/>
              <w:right w:val="single" w:color="auto" w:sz="4" w:space="0"/>
            </w:tcBorders>
            <w:vAlign w:val="center"/>
          </w:tcPr>
          <w:p w14:paraId="3F696E65">
            <w:pPr>
              <w:wordWrap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w:t>
            </w:r>
          </w:p>
        </w:tc>
        <w:tc>
          <w:tcPr>
            <w:tcW w:w="2551" w:type="dxa"/>
            <w:tcBorders>
              <w:left w:val="single" w:color="auto" w:sz="4" w:space="0"/>
              <w:bottom w:val="single" w:color="auto" w:sz="4" w:space="0"/>
              <w:right w:val="single" w:color="auto" w:sz="4" w:space="0"/>
            </w:tcBorders>
          </w:tcPr>
          <w:p w14:paraId="4ABCF873">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 xml:space="preserve">1  </w:t>
            </w:r>
            <w:r>
              <w:rPr>
                <w:rFonts w:hint="eastAsia" w:ascii="宋体" w:hAnsi="宋体" w:eastAsia="宋体" w:cs="宋体"/>
                <w:color w:val="auto"/>
                <w:sz w:val="24"/>
              </w:rPr>
              <w:t>……</w:t>
            </w:r>
          </w:p>
        </w:tc>
        <w:tc>
          <w:tcPr>
            <w:tcW w:w="2796" w:type="dxa"/>
            <w:tcBorders>
              <w:left w:val="single" w:color="auto" w:sz="4" w:space="0"/>
              <w:bottom w:val="single" w:color="auto" w:sz="4" w:space="0"/>
              <w:right w:val="single" w:color="auto" w:sz="4" w:space="0"/>
            </w:tcBorders>
            <w:vAlign w:val="center"/>
          </w:tcPr>
          <w:p w14:paraId="4E9432DC">
            <w:pPr>
              <w:wordWrap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正偏离或负偏离或无偏离）</w:t>
            </w:r>
          </w:p>
        </w:tc>
      </w:tr>
      <w:tr w14:paraId="070D9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43" w:type="dxa"/>
            <w:vMerge w:val="continue"/>
            <w:tcBorders>
              <w:left w:val="single" w:color="auto" w:sz="4" w:space="0"/>
              <w:right w:val="single" w:color="auto" w:sz="4" w:space="0"/>
            </w:tcBorders>
            <w:vAlign w:val="center"/>
          </w:tcPr>
          <w:p w14:paraId="33FCF847">
            <w:pPr>
              <w:wordWrap w:val="0"/>
              <w:spacing w:line="400" w:lineRule="exact"/>
              <w:rPr>
                <w:rFonts w:hint="eastAsia" w:ascii="宋体" w:hAnsi="宋体" w:eastAsia="宋体" w:cs="宋体"/>
                <w:color w:val="auto"/>
                <w:sz w:val="22"/>
                <w:szCs w:val="22"/>
              </w:rPr>
            </w:pPr>
          </w:p>
        </w:tc>
        <w:tc>
          <w:tcPr>
            <w:tcW w:w="1276" w:type="dxa"/>
            <w:vMerge w:val="continue"/>
            <w:tcBorders>
              <w:left w:val="single" w:color="auto" w:sz="4" w:space="0"/>
              <w:right w:val="single" w:color="auto" w:sz="4" w:space="0"/>
            </w:tcBorders>
            <w:vAlign w:val="center"/>
          </w:tcPr>
          <w:p w14:paraId="0ACD7DE2">
            <w:pPr>
              <w:wordWrap w:val="0"/>
              <w:spacing w:line="400" w:lineRule="exact"/>
              <w:rPr>
                <w:rFonts w:hint="eastAsia" w:ascii="宋体" w:hAnsi="宋体" w:eastAsia="宋体" w:cs="宋体"/>
                <w:color w:val="auto"/>
                <w:sz w:val="22"/>
                <w:szCs w:val="22"/>
              </w:rPr>
            </w:pPr>
          </w:p>
        </w:tc>
        <w:tc>
          <w:tcPr>
            <w:tcW w:w="1559" w:type="dxa"/>
            <w:tcBorders>
              <w:top w:val="single" w:color="auto" w:sz="4" w:space="0"/>
              <w:left w:val="single" w:color="auto" w:sz="4" w:space="0"/>
              <w:bottom w:val="single" w:color="auto" w:sz="4" w:space="0"/>
              <w:right w:val="single" w:color="auto" w:sz="4" w:space="0"/>
            </w:tcBorders>
          </w:tcPr>
          <w:p w14:paraId="08630286">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 xml:space="preserve">2  </w:t>
            </w:r>
            <w:r>
              <w:rPr>
                <w:rFonts w:hint="eastAsia" w:ascii="宋体" w:hAnsi="宋体" w:eastAsia="宋体" w:cs="宋体"/>
                <w:color w:val="auto"/>
                <w:sz w:val="24"/>
              </w:rPr>
              <w:t>……</w:t>
            </w:r>
          </w:p>
        </w:tc>
        <w:tc>
          <w:tcPr>
            <w:tcW w:w="1560" w:type="dxa"/>
            <w:vMerge w:val="continue"/>
            <w:tcBorders>
              <w:left w:val="single" w:color="auto" w:sz="4" w:space="0"/>
              <w:right w:val="single" w:color="auto" w:sz="4" w:space="0"/>
            </w:tcBorders>
            <w:vAlign w:val="center"/>
          </w:tcPr>
          <w:p w14:paraId="596483BA">
            <w:pPr>
              <w:wordWrap w:val="0"/>
              <w:spacing w:line="400" w:lineRule="exact"/>
              <w:rPr>
                <w:rFonts w:hint="eastAsia" w:ascii="宋体" w:hAnsi="宋体" w:eastAsia="宋体" w:cs="宋体"/>
                <w:color w:val="auto"/>
                <w:sz w:val="22"/>
                <w:szCs w:val="22"/>
              </w:rPr>
            </w:pPr>
          </w:p>
        </w:tc>
        <w:tc>
          <w:tcPr>
            <w:tcW w:w="2551" w:type="dxa"/>
            <w:tcBorders>
              <w:left w:val="single" w:color="auto" w:sz="4" w:space="0"/>
              <w:bottom w:val="single" w:color="auto" w:sz="4" w:space="0"/>
              <w:right w:val="single" w:color="auto" w:sz="4" w:space="0"/>
            </w:tcBorders>
          </w:tcPr>
          <w:p w14:paraId="001E677E">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 xml:space="preserve">2  </w:t>
            </w:r>
            <w:r>
              <w:rPr>
                <w:rFonts w:hint="eastAsia" w:ascii="宋体" w:hAnsi="宋体" w:eastAsia="宋体" w:cs="宋体"/>
                <w:color w:val="auto"/>
                <w:sz w:val="24"/>
              </w:rPr>
              <w:t>……</w:t>
            </w:r>
          </w:p>
        </w:tc>
        <w:tc>
          <w:tcPr>
            <w:tcW w:w="2796" w:type="dxa"/>
            <w:tcBorders>
              <w:left w:val="single" w:color="auto" w:sz="4" w:space="0"/>
              <w:bottom w:val="single" w:color="auto" w:sz="4" w:space="0"/>
              <w:right w:val="single" w:color="auto" w:sz="4" w:space="0"/>
            </w:tcBorders>
          </w:tcPr>
          <w:p w14:paraId="2974F5FC">
            <w:pPr>
              <w:wordWrap w:val="0"/>
              <w:spacing w:line="400" w:lineRule="exact"/>
              <w:rPr>
                <w:rFonts w:hint="eastAsia" w:ascii="宋体" w:hAnsi="宋体" w:eastAsia="宋体" w:cs="宋体"/>
                <w:color w:val="auto"/>
              </w:rPr>
            </w:pPr>
            <w:r>
              <w:rPr>
                <w:rFonts w:hint="eastAsia" w:ascii="宋体" w:hAnsi="宋体" w:eastAsia="宋体" w:cs="宋体"/>
                <w:color w:val="auto"/>
                <w:sz w:val="22"/>
                <w:szCs w:val="22"/>
              </w:rPr>
              <w:t>正偏离或负偏离或无偏离）</w:t>
            </w:r>
          </w:p>
        </w:tc>
      </w:tr>
      <w:tr w14:paraId="3D045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43" w:type="dxa"/>
            <w:vMerge w:val="continue"/>
            <w:tcBorders>
              <w:left w:val="single" w:color="auto" w:sz="4" w:space="0"/>
              <w:right w:val="single" w:color="auto" w:sz="4" w:space="0"/>
            </w:tcBorders>
            <w:vAlign w:val="center"/>
          </w:tcPr>
          <w:p w14:paraId="2FF2627E">
            <w:pPr>
              <w:wordWrap w:val="0"/>
              <w:spacing w:line="400" w:lineRule="exact"/>
              <w:rPr>
                <w:rFonts w:hint="eastAsia" w:ascii="宋体" w:hAnsi="宋体" w:eastAsia="宋体" w:cs="宋体"/>
                <w:color w:val="auto"/>
                <w:sz w:val="22"/>
                <w:szCs w:val="22"/>
              </w:rPr>
            </w:pPr>
          </w:p>
        </w:tc>
        <w:tc>
          <w:tcPr>
            <w:tcW w:w="1276" w:type="dxa"/>
            <w:vMerge w:val="continue"/>
            <w:tcBorders>
              <w:left w:val="single" w:color="auto" w:sz="4" w:space="0"/>
              <w:right w:val="single" w:color="auto" w:sz="4" w:space="0"/>
            </w:tcBorders>
            <w:vAlign w:val="center"/>
          </w:tcPr>
          <w:p w14:paraId="00B9383F">
            <w:pPr>
              <w:wordWrap w:val="0"/>
              <w:spacing w:line="400" w:lineRule="exact"/>
              <w:rPr>
                <w:rFonts w:hint="eastAsia" w:ascii="宋体" w:hAnsi="宋体" w:eastAsia="宋体" w:cs="宋体"/>
                <w:color w:val="auto"/>
                <w:sz w:val="22"/>
                <w:szCs w:val="22"/>
              </w:rPr>
            </w:pPr>
          </w:p>
        </w:tc>
        <w:tc>
          <w:tcPr>
            <w:tcW w:w="1559" w:type="dxa"/>
            <w:tcBorders>
              <w:top w:val="single" w:color="auto" w:sz="4" w:space="0"/>
              <w:left w:val="single" w:color="auto" w:sz="4" w:space="0"/>
              <w:bottom w:val="single" w:color="auto" w:sz="4" w:space="0"/>
              <w:right w:val="single" w:color="auto" w:sz="4" w:space="0"/>
            </w:tcBorders>
          </w:tcPr>
          <w:p w14:paraId="5CAF6C67">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 xml:space="preserve">3  </w:t>
            </w:r>
            <w:r>
              <w:rPr>
                <w:rFonts w:hint="eastAsia" w:ascii="宋体" w:hAnsi="宋体" w:eastAsia="宋体" w:cs="宋体"/>
                <w:color w:val="auto"/>
                <w:sz w:val="24"/>
              </w:rPr>
              <w:t>……</w:t>
            </w:r>
          </w:p>
        </w:tc>
        <w:tc>
          <w:tcPr>
            <w:tcW w:w="1560" w:type="dxa"/>
            <w:vMerge w:val="continue"/>
            <w:tcBorders>
              <w:left w:val="single" w:color="auto" w:sz="4" w:space="0"/>
              <w:right w:val="single" w:color="auto" w:sz="4" w:space="0"/>
            </w:tcBorders>
            <w:vAlign w:val="center"/>
          </w:tcPr>
          <w:p w14:paraId="50DE8901">
            <w:pPr>
              <w:wordWrap w:val="0"/>
              <w:spacing w:line="400" w:lineRule="exact"/>
              <w:rPr>
                <w:rFonts w:hint="eastAsia" w:ascii="宋体" w:hAnsi="宋体" w:eastAsia="宋体" w:cs="宋体"/>
                <w:color w:val="auto"/>
                <w:sz w:val="22"/>
                <w:szCs w:val="22"/>
              </w:rPr>
            </w:pPr>
          </w:p>
        </w:tc>
        <w:tc>
          <w:tcPr>
            <w:tcW w:w="2551" w:type="dxa"/>
            <w:tcBorders>
              <w:left w:val="single" w:color="auto" w:sz="4" w:space="0"/>
              <w:bottom w:val="single" w:color="auto" w:sz="4" w:space="0"/>
              <w:right w:val="single" w:color="auto" w:sz="4" w:space="0"/>
            </w:tcBorders>
          </w:tcPr>
          <w:p w14:paraId="043ACBA6">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 xml:space="preserve">3  </w:t>
            </w:r>
            <w:r>
              <w:rPr>
                <w:rFonts w:hint="eastAsia" w:ascii="宋体" w:hAnsi="宋体" w:eastAsia="宋体" w:cs="宋体"/>
                <w:color w:val="auto"/>
                <w:sz w:val="24"/>
              </w:rPr>
              <w:t>……</w:t>
            </w:r>
          </w:p>
        </w:tc>
        <w:tc>
          <w:tcPr>
            <w:tcW w:w="2796" w:type="dxa"/>
            <w:tcBorders>
              <w:left w:val="single" w:color="auto" w:sz="4" w:space="0"/>
              <w:bottom w:val="single" w:color="auto" w:sz="4" w:space="0"/>
              <w:right w:val="single" w:color="auto" w:sz="4" w:space="0"/>
            </w:tcBorders>
            <w:vAlign w:val="center"/>
          </w:tcPr>
          <w:p w14:paraId="5EA36270">
            <w:pPr>
              <w:wordWrap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正偏离或负偏离或无偏离）</w:t>
            </w:r>
          </w:p>
        </w:tc>
      </w:tr>
      <w:tr w14:paraId="2CC23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43" w:type="dxa"/>
            <w:vMerge w:val="continue"/>
            <w:tcBorders>
              <w:left w:val="single" w:color="auto" w:sz="4" w:space="0"/>
              <w:bottom w:val="single" w:color="auto" w:sz="4" w:space="0"/>
              <w:right w:val="single" w:color="auto" w:sz="4" w:space="0"/>
            </w:tcBorders>
            <w:vAlign w:val="center"/>
          </w:tcPr>
          <w:p w14:paraId="6AE2A70D">
            <w:pPr>
              <w:wordWrap w:val="0"/>
              <w:spacing w:line="400" w:lineRule="exact"/>
              <w:rPr>
                <w:rFonts w:hint="eastAsia" w:ascii="宋体" w:hAnsi="宋体" w:eastAsia="宋体" w:cs="宋体"/>
                <w:color w:val="auto"/>
                <w:sz w:val="22"/>
                <w:szCs w:val="22"/>
              </w:rPr>
            </w:pPr>
          </w:p>
        </w:tc>
        <w:tc>
          <w:tcPr>
            <w:tcW w:w="1276" w:type="dxa"/>
            <w:vMerge w:val="continue"/>
            <w:tcBorders>
              <w:left w:val="single" w:color="auto" w:sz="4" w:space="0"/>
              <w:bottom w:val="single" w:color="auto" w:sz="4" w:space="0"/>
              <w:right w:val="single" w:color="auto" w:sz="4" w:space="0"/>
            </w:tcBorders>
            <w:vAlign w:val="center"/>
          </w:tcPr>
          <w:p w14:paraId="142F93E3">
            <w:pPr>
              <w:wordWrap w:val="0"/>
              <w:spacing w:line="400" w:lineRule="exact"/>
              <w:rPr>
                <w:rFonts w:hint="eastAsia" w:ascii="宋体" w:hAnsi="宋体" w:eastAsia="宋体" w:cs="宋体"/>
                <w:color w:val="auto"/>
                <w:sz w:val="22"/>
                <w:szCs w:val="22"/>
              </w:rPr>
            </w:pPr>
          </w:p>
        </w:tc>
        <w:tc>
          <w:tcPr>
            <w:tcW w:w="1559" w:type="dxa"/>
            <w:tcBorders>
              <w:top w:val="single" w:color="auto" w:sz="4" w:space="0"/>
              <w:left w:val="single" w:color="auto" w:sz="4" w:space="0"/>
              <w:bottom w:val="single" w:color="auto" w:sz="4" w:space="0"/>
              <w:right w:val="single" w:color="auto" w:sz="4" w:space="0"/>
            </w:tcBorders>
          </w:tcPr>
          <w:p w14:paraId="0049302E">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w:t>
            </w:r>
          </w:p>
        </w:tc>
        <w:tc>
          <w:tcPr>
            <w:tcW w:w="1560" w:type="dxa"/>
            <w:vMerge w:val="continue"/>
            <w:tcBorders>
              <w:left w:val="single" w:color="auto" w:sz="4" w:space="0"/>
              <w:bottom w:val="single" w:color="auto" w:sz="4" w:space="0"/>
              <w:right w:val="single" w:color="auto" w:sz="4" w:space="0"/>
            </w:tcBorders>
            <w:vAlign w:val="center"/>
          </w:tcPr>
          <w:p w14:paraId="12C9F77B">
            <w:pPr>
              <w:wordWrap w:val="0"/>
              <w:spacing w:line="400" w:lineRule="exact"/>
              <w:rPr>
                <w:rFonts w:hint="eastAsia" w:ascii="宋体" w:hAnsi="宋体" w:eastAsia="宋体" w:cs="宋体"/>
                <w:color w:val="auto"/>
                <w:sz w:val="22"/>
                <w:szCs w:val="22"/>
              </w:rPr>
            </w:pPr>
          </w:p>
        </w:tc>
        <w:tc>
          <w:tcPr>
            <w:tcW w:w="2551" w:type="dxa"/>
            <w:tcBorders>
              <w:left w:val="single" w:color="auto" w:sz="4" w:space="0"/>
              <w:bottom w:val="single" w:color="auto" w:sz="4" w:space="0"/>
              <w:right w:val="single" w:color="auto" w:sz="4" w:space="0"/>
            </w:tcBorders>
          </w:tcPr>
          <w:p w14:paraId="6927E7F3">
            <w:pPr>
              <w:wordWrap w:val="0"/>
              <w:spacing w:line="400" w:lineRule="exact"/>
              <w:rPr>
                <w:rFonts w:hint="eastAsia" w:ascii="宋体" w:hAnsi="宋体" w:eastAsia="宋体" w:cs="宋体"/>
                <w:color w:val="auto"/>
                <w:sz w:val="24"/>
              </w:rPr>
            </w:pPr>
            <w:r>
              <w:rPr>
                <w:rFonts w:hint="eastAsia" w:ascii="宋体" w:hAnsi="宋体" w:eastAsia="宋体" w:cs="宋体"/>
                <w:color w:val="auto"/>
                <w:sz w:val="24"/>
              </w:rPr>
              <w:t>……</w:t>
            </w:r>
          </w:p>
        </w:tc>
        <w:tc>
          <w:tcPr>
            <w:tcW w:w="2796" w:type="dxa"/>
            <w:tcBorders>
              <w:left w:val="single" w:color="auto" w:sz="4" w:space="0"/>
              <w:bottom w:val="single" w:color="auto" w:sz="4" w:space="0"/>
              <w:right w:val="single" w:color="auto" w:sz="4" w:space="0"/>
            </w:tcBorders>
          </w:tcPr>
          <w:p w14:paraId="3AFA3B50">
            <w:pPr>
              <w:wordWrap w:val="0"/>
              <w:spacing w:line="400" w:lineRule="exact"/>
              <w:rPr>
                <w:rFonts w:hint="eastAsia" w:ascii="宋体" w:hAnsi="宋体" w:eastAsia="宋体" w:cs="宋体"/>
                <w:color w:val="auto"/>
              </w:rPr>
            </w:pPr>
            <w:r>
              <w:rPr>
                <w:rFonts w:hint="eastAsia" w:ascii="宋体" w:hAnsi="宋体" w:eastAsia="宋体" w:cs="宋体"/>
                <w:color w:val="auto"/>
                <w:sz w:val="22"/>
                <w:szCs w:val="22"/>
              </w:rPr>
              <w:t>正偏离或负偏离或无偏离）</w:t>
            </w:r>
          </w:p>
        </w:tc>
      </w:tr>
      <w:tr w14:paraId="43EF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31B33B1A">
            <w:pPr>
              <w:wordWrap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u w:val="single"/>
              </w:rPr>
              <w:t>　　</w:t>
            </w:r>
            <w:r>
              <w:rPr>
                <w:rFonts w:hint="eastAsia" w:ascii="宋体" w:hAnsi="宋体" w:eastAsia="宋体" w:cs="宋体"/>
                <w:color w:val="auto"/>
                <w:sz w:val="22"/>
                <w:szCs w:val="22"/>
              </w:rPr>
              <w:t>分标（此处有分标时填写具体分标号，无分标时填写</w:t>
            </w:r>
            <w:r>
              <w:rPr>
                <w:rFonts w:hint="eastAsia" w:ascii="宋体" w:hAnsi="宋体" w:eastAsia="宋体" w:cs="宋体"/>
                <w:color w:val="auto"/>
                <w:sz w:val="22"/>
                <w:szCs w:val="22"/>
              </w:rPr>
              <w:t>“</w:t>
            </w:r>
            <w:r>
              <w:rPr>
                <w:rFonts w:hint="eastAsia" w:ascii="宋体" w:hAnsi="宋体" w:eastAsia="宋体" w:cs="宋体"/>
                <w:color w:val="auto"/>
                <w:sz w:val="22"/>
                <w:szCs w:val="22"/>
              </w:rPr>
              <w:t>无</w:t>
            </w:r>
            <w:r>
              <w:rPr>
                <w:rFonts w:hint="eastAsia" w:ascii="宋体" w:hAnsi="宋体" w:eastAsia="宋体" w:cs="宋体"/>
                <w:color w:val="auto"/>
                <w:sz w:val="22"/>
                <w:szCs w:val="22"/>
              </w:rPr>
              <w:t>”</w:t>
            </w:r>
            <w:r>
              <w:rPr>
                <w:rFonts w:hint="eastAsia" w:ascii="宋体" w:hAnsi="宋体" w:eastAsia="宋体" w:cs="宋体"/>
                <w:color w:val="auto"/>
                <w:sz w:val="22"/>
                <w:szCs w:val="22"/>
              </w:rPr>
              <w:t>）</w:t>
            </w:r>
          </w:p>
        </w:tc>
      </w:tr>
    </w:tbl>
    <w:p w14:paraId="49DDD78B">
      <w:pPr>
        <w:pStyle w:val="18"/>
        <w:wordWrap w:val="0"/>
        <w:spacing w:line="400" w:lineRule="exact"/>
        <w:rPr>
          <w:rFonts w:hint="eastAsia" w:ascii="宋体" w:hAnsi="宋体" w:eastAsia="宋体" w:cs="宋体"/>
          <w:color w:val="auto"/>
          <w:sz w:val="22"/>
        </w:rPr>
      </w:pPr>
      <w:r>
        <w:rPr>
          <w:rFonts w:hint="eastAsia" w:ascii="宋体" w:hAnsi="宋体" w:eastAsia="宋体" w:cs="宋体"/>
          <w:color w:val="auto"/>
          <w:sz w:val="22"/>
        </w:rPr>
        <w:t>注：</w:t>
      </w:r>
    </w:p>
    <w:p w14:paraId="5EA2DAA4">
      <w:pPr>
        <w:pStyle w:val="20"/>
        <w:wordWrap w:val="0"/>
        <w:spacing w:line="400" w:lineRule="exact"/>
        <w:ind w:firstLine="440" w:firstLineChars="200"/>
        <w:rPr>
          <w:rFonts w:hint="eastAsia" w:ascii="宋体" w:hAnsi="宋体" w:eastAsia="宋体" w:cs="宋体"/>
          <w:color w:val="auto"/>
          <w:sz w:val="22"/>
          <w:szCs w:val="24"/>
        </w:rPr>
      </w:pPr>
      <w:r>
        <w:rPr>
          <w:rFonts w:hint="eastAsia" w:ascii="宋体" w:hAnsi="宋体" w:eastAsia="宋体" w:cs="宋体"/>
          <w:color w:val="auto"/>
          <w:sz w:val="22"/>
          <w:szCs w:val="24"/>
        </w:rPr>
        <w:t>1.</w:t>
      </w:r>
      <w:r>
        <w:rPr>
          <w:rFonts w:hint="eastAsia" w:ascii="宋体" w:hAnsi="宋体" w:eastAsia="宋体" w:cs="宋体"/>
          <w:color w:val="auto"/>
          <w:sz w:val="22"/>
          <w:szCs w:val="22"/>
        </w:rPr>
        <w:t>请根据所投服务的实际技术服务参数，</w:t>
      </w:r>
      <w:r>
        <w:rPr>
          <w:rFonts w:hint="eastAsia" w:ascii="宋体" w:hAnsi="宋体" w:eastAsia="宋体" w:cs="宋体"/>
          <w:b/>
          <w:color w:val="auto"/>
          <w:sz w:val="28"/>
          <w:szCs w:val="22"/>
          <w:u w:val="single"/>
        </w:rPr>
        <w:t>逐条</w:t>
      </w:r>
      <w:r>
        <w:rPr>
          <w:rFonts w:hint="eastAsia" w:ascii="宋体" w:hAnsi="宋体" w:eastAsia="宋体" w:cs="宋体"/>
          <w:color w:val="auto"/>
          <w:sz w:val="22"/>
          <w:szCs w:val="22"/>
        </w:rPr>
        <w:t>对应本项目招标文件第二章“货物需求一览表”中的</w:t>
      </w:r>
      <w:r>
        <w:rPr>
          <w:rFonts w:hint="eastAsia" w:ascii="宋体" w:hAnsi="宋体" w:eastAsia="宋体" w:cs="宋体"/>
          <w:b/>
          <w:color w:val="auto"/>
          <w:sz w:val="22"/>
          <w:szCs w:val="22"/>
        </w:rPr>
        <w:t>“技术需求”</w:t>
      </w:r>
      <w:r>
        <w:rPr>
          <w:rFonts w:hint="eastAsia" w:ascii="宋体" w:hAnsi="宋体" w:eastAsia="宋体" w:cs="宋体"/>
          <w:color w:val="auto"/>
          <w:sz w:val="22"/>
          <w:szCs w:val="22"/>
        </w:rPr>
        <w:t>要求详细填写相应的具体内容。“偏离说明”一栏应当选择“正偏离”、“负偏离”或“无偏离</w:t>
      </w:r>
      <w:r>
        <w:rPr>
          <w:rFonts w:hint="eastAsia" w:ascii="宋体" w:hAnsi="宋体" w:eastAsia="宋体" w:cs="宋体"/>
          <w:color w:val="auto"/>
          <w:sz w:val="22"/>
          <w:szCs w:val="24"/>
        </w:rPr>
        <w:t>”进行填写，否则按投标无效处理。</w:t>
      </w:r>
    </w:p>
    <w:p w14:paraId="28AABC0B">
      <w:pPr>
        <w:pStyle w:val="20"/>
        <w:wordWrap w:val="0"/>
        <w:spacing w:line="400" w:lineRule="exact"/>
        <w:ind w:firstLine="440" w:firstLineChars="200"/>
        <w:rPr>
          <w:rFonts w:hint="eastAsia" w:ascii="宋体" w:hAnsi="宋体" w:eastAsia="宋体" w:cs="宋体"/>
          <w:color w:val="auto"/>
          <w:sz w:val="22"/>
          <w:szCs w:val="24"/>
        </w:rPr>
      </w:pPr>
      <w:r>
        <w:rPr>
          <w:rFonts w:hint="eastAsia" w:ascii="宋体" w:hAnsi="宋体" w:eastAsia="宋体" w:cs="宋体"/>
          <w:color w:val="auto"/>
          <w:sz w:val="22"/>
          <w:szCs w:val="24"/>
        </w:rPr>
        <w:t>2.表格内容均需按要求填写并盖章，不得留空，否则按投标无效处理。</w:t>
      </w:r>
    </w:p>
    <w:p w14:paraId="38FCAC24">
      <w:pPr>
        <w:pStyle w:val="20"/>
        <w:wordWrap w:val="0"/>
        <w:spacing w:line="400" w:lineRule="exact"/>
        <w:ind w:firstLine="440" w:firstLineChars="200"/>
        <w:rPr>
          <w:rFonts w:hint="eastAsia" w:ascii="宋体" w:hAnsi="宋体" w:eastAsia="宋体" w:cs="宋体"/>
          <w:color w:val="auto"/>
          <w:sz w:val="22"/>
          <w:szCs w:val="24"/>
        </w:rPr>
      </w:pPr>
      <w:r>
        <w:rPr>
          <w:rFonts w:hint="eastAsia" w:ascii="宋体" w:hAnsi="宋体" w:eastAsia="宋体" w:cs="宋体"/>
          <w:color w:val="auto"/>
          <w:sz w:val="22"/>
          <w:szCs w:val="24"/>
        </w:rPr>
        <w:t>3.当投标文件的服务内容低于招标文件要求时，投标人应当如实写明“负偏离”，否则视为虚假应标。</w:t>
      </w:r>
    </w:p>
    <w:p w14:paraId="5064B91E">
      <w:pPr>
        <w:pStyle w:val="20"/>
        <w:wordWrap w:val="0"/>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4"/>
        </w:rPr>
        <w:t>4.采购需求中带</w:t>
      </w:r>
      <w:bookmarkStart w:id="237" w:name="OLE_LINK288"/>
      <w:bookmarkStart w:id="238" w:name="OLE_LINK287"/>
      <w:r>
        <w:rPr>
          <w:rFonts w:hint="eastAsia" w:ascii="宋体" w:hAnsi="宋体" w:eastAsia="宋体" w:cs="宋体"/>
          <w:color w:val="auto"/>
          <w:sz w:val="22"/>
          <w:szCs w:val="22"/>
        </w:rPr>
        <w:t>“</w:t>
      </w:r>
      <w:r>
        <w:rPr>
          <w:rFonts w:hint="eastAsia" w:ascii="宋体" w:hAnsi="宋体" w:eastAsia="宋体" w:cs="宋体"/>
          <w:color w:val="auto"/>
          <w:sz w:val="22"/>
          <w:szCs w:val="22"/>
        </w:rPr>
        <w:t>▲</w:t>
      </w:r>
      <w:r>
        <w:rPr>
          <w:rFonts w:hint="eastAsia" w:ascii="宋体" w:hAnsi="宋体" w:eastAsia="宋体" w:cs="宋体"/>
          <w:color w:val="auto"/>
          <w:sz w:val="22"/>
          <w:szCs w:val="22"/>
        </w:rPr>
        <w:t>”</w:t>
      </w:r>
      <w:r>
        <w:rPr>
          <w:rFonts w:hint="eastAsia" w:ascii="宋体" w:hAnsi="宋体" w:eastAsia="宋体" w:cs="宋体"/>
          <w:color w:val="auto"/>
          <w:sz w:val="22"/>
          <w:szCs w:val="24"/>
        </w:rPr>
        <w:t>及其他</w:t>
      </w:r>
      <w:r>
        <w:rPr>
          <w:rFonts w:hint="eastAsia" w:ascii="宋体" w:hAnsi="宋体" w:eastAsia="宋体" w:cs="宋体"/>
          <w:color w:val="auto"/>
          <w:sz w:val="22"/>
          <w:szCs w:val="22"/>
        </w:rPr>
        <w:t>标识</w:t>
      </w:r>
      <w:bookmarkEnd w:id="237"/>
      <w:bookmarkEnd w:id="238"/>
      <w:r>
        <w:rPr>
          <w:rFonts w:hint="eastAsia" w:ascii="宋体" w:hAnsi="宋体" w:eastAsia="宋体" w:cs="宋体"/>
          <w:color w:val="auto"/>
          <w:sz w:val="22"/>
          <w:szCs w:val="22"/>
        </w:rPr>
        <w:t>的条款，也要分别在本表“技术需求”、“所提供服务的内容”中标记。</w:t>
      </w:r>
    </w:p>
    <w:p w14:paraId="431E9E26">
      <w:pPr>
        <w:pStyle w:val="20"/>
        <w:wordWrap w:val="0"/>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5.如技术要求偏离表中的投标响应与佐证材料不一致的，以佐证材料为准。</w:t>
      </w:r>
    </w:p>
    <w:p w14:paraId="08A5E103">
      <w:pPr>
        <w:wordWrap w:val="0"/>
        <w:snapToGrid w:val="0"/>
        <w:spacing w:line="400" w:lineRule="exact"/>
        <w:ind w:firstLine="440" w:firstLineChars="200"/>
        <w:rPr>
          <w:rFonts w:hint="eastAsia" w:ascii="宋体" w:hAnsi="宋体" w:eastAsia="宋体" w:cs="宋体"/>
          <w:color w:val="auto"/>
          <w:sz w:val="22"/>
          <w:szCs w:val="22"/>
        </w:rPr>
      </w:pPr>
    </w:p>
    <w:p w14:paraId="5EB5F552">
      <w:pPr>
        <w:wordWrap w:val="0"/>
        <w:spacing w:line="360" w:lineRule="auto"/>
        <w:ind w:left="3990" w:leftChars="1900"/>
        <w:contextualSpacing/>
        <w:rPr>
          <w:rFonts w:hint="eastAsia" w:ascii="宋体" w:hAnsi="宋体" w:eastAsia="宋体" w:cs="宋体"/>
          <w:color w:val="auto"/>
          <w:sz w:val="22"/>
          <w:szCs w:val="22"/>
          <w:u w:val="single"/>
        </w:rPr>
      </w:pPr>
      <w:r>
        <w:rPr>
          <w:rFonts w:hint="eastAsia" w:ascii="宋体" w:hAnsi="宋体" w:eastAsia="宋体" w:cs="宋体"/>
          <w:color w:val="auto"/>
          <w:sz w:val="22"/>
          <w:szCs w:val="22"/>
        </w:rPr>
        <w:t>投标人</w:t>
      </w:r>
      <w:r>
        <w:rPr>
          <w:rFonts w:hint="eastAsia" w:ascii="宋体" w:hAnsi="宋体" w:eastAsia="宋体" w:cs="宋体"/>
          <w:color w:val="auto"/>
          <w:sz w:val="22"/>
          <w:szCs w:val="22"/>
        </w:rPr>
        <w:t>（电子签章）</w:t>
      </w:r>
      <w:r>
        <w:rPr>
          <w:rFonts w:hint="eastAsia" w:ascii="宋体" w:hAnsi="宋体" w:eastAsia="宋体" w:cs="宋体"/>
          <w:color w:val="auto"/>
          <w:sz w:val="22"/>
          <w:szCs w:val="22"/>
        </w:rPr>
        <w:t>：</w:t>
      </w:r>
    </w:p>
    <w:p w14:paraId="059144B4">
      <w:pPr>
        <w:wordWrap w:val="0"/>
        <w:spacing w:line="360" w:lineRule="auto"/>
        <w:ind w:left="3990" w:leftChars="1900"/>
        <w:contextualSpacing/>
        <w:rPr>
          <w:rFonts w:hint="eastAsia" w:ascii="宋体" w:hAnsi="宋体" w:eastAsia="宋体" w:cs="宋体"/>
          <w:b/>
          <w:color w:val="auto"/>
          <w:sz w:val="22"/>
          <w:szCs w:val="22"/>
        </w:rPr>
      </w:pPr>
      <w:r>
        <w:rPr>
          <w:rFonts w:hint="eastAsia" w:ascii="宋体" w:hAnsi="宋体" w:eastAsia="宋体" w:cs="宋体"/>
          <w:color w:val="auto"/>
          <w:sz w:val="22"/>
          <w:szCs w:val="22"/>
        </w:rPr>
        <w:t>日期：年月日</w:t>
      </w:r>
    </w:p>
    <w:p w14:paraId="31054ECF">
      <w:pPr>
        <w:wordWrap w:val="0"/>
        <w:snapToGrid w:val="0"/>
        <w:spacing w:before="50" w:after="50" w:line="360" w:lineRule="auto"/>
        <w:rPr>
          <w:rFonts w:hint="eastAsia" w:ascii="宋体" w:hAnsi="宋体" w:eastAsia="宋体" w:cs="宋体"/>
          <w:color w:val="auto"/>
          <w:sz w:val="24"/>
          <w:szCs w:val="20"/>
        </w:rPr>
      </w:pPr>
    </w:p>
    <w:p w14:paraId="33AD357D">
      <w:pPr>
        <w:wordWrap w:val="0"/>
        <w:snapToGrid w:val="0"/>
        <w:spacing w:before="165" w:beforeLines="50" w:after="50"/>
        <w:ind w:left="142"/>
        <w:outlineLvl w:val="2"/>
        <w:rPr>
          <w:rFonts w:hint="eastAsia" w:ascii="宋体" w:hAnsi="宋体" w:eastAsia="宋体" w:cs="宋体"/>
          <w:b/>
          <w:color w:val="auto"/>
          <w:sz w:val="24"/>
        </w:rPr>
      </w:pPr>
      <w:r>
        <w:rPr>
          <w:rFonts w:hint="eastAsia" w:ascii="宋体" w:hAnsi="宋体" w:eastAsia="宋体" w:cs="宋体"/>
          <w:b/>
          <w:color w:val="auto"/>
          <w:sz w:val="24"/>
        </w:rPr>
        <w:br w:type="page"/>
      </w:r>
      <w:r>
        <w:rPr>
          <w:rFonts w:hint="eastAsia" w:ascii="宋体" w:hAnsi="宋体" w:eastAsia="宋体" w:cs="宋体"/>
          <w:b/>
          <w:color w:val="auto"/>
          <w:sz w:val="24"/>
        </w:rPr>
        <w:t>9.设备性能配置清单格式</w:t>
      </w:r>
    </w:p>
    <w:p w14:paraId="16E9D188">
      <w:pPr>
        <w:snapToGrid w:val="0"/>
        <w:spacing w:before="165" w:beforeLines="50" w:after="50"/>
        <w:ind w:left="142"/>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设备性能配置清单</w:t>
      </w:r>
    </w:p>
    <w:p w14:paraId="23180F12">
      <w:pPr>
        <w:pStyle w:val="25"/>
        <w:wordWrap w:val="0"/>
        <w:rPr>
          <w:rFonts w:hint="eastAsia" w:ascii="宋体" w:hAnsi="宋体" w:eastAsia="宋体" w:cs="宋体"/>
          <w:color w:val="auto"/>
          <w:sz w:val="24"/>
          <w:szCs w:val="24"/>
        </w:rPr>
      </w:pPr>
    </w:p>
    <w:tbl>
      <w:tblPr>
        <w:tblStyle w:val="4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1"/>
        <w:gridCol w:w="1108"/>
        <w:gridCol w:w="1151"/>
        <w:gridCol w:w="985"/>
        <w:gridCol w:w="1967"/>
        <w:gridCol w:w="1372"/>
        <w:gridCol w:w="812"/>
        <w:gridCol w:w="1648"/>
      </w:tblGrid>
      <w:tr w14:paraId="75D274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6D06F602">
            <w:pPr>
              <w:wordWrap w:val="0"/>
              <w:snapToGrid w:val="0"/>
              <w:spacing w:before="50" w:after="50"/>
              <w:rPr>
                <w:rFonts w:hint="eastAsia" w:ascii="宋体" w:hAnsi="宋体" w:eastAsia="宋体" w:cs="宋体"/>
                <w:color w:val="auto"/>
                <w:sz w:val="24"/>
              </w:rPr>
            </w:pPr>
            <w:r>
              <w:rPr>
                <w:rFonts w:hint="eastAsia" w:ascii="宋体" w:hAnsi="宋体" w:eastAsia="宋体" w:cs="宋体"/>
                <w:color w:val="auto"/>
                <w:sz w:val="24"/>
              </w:rPr>
              <w:t>序号</w:t>
            </w:r>
          </w:p>
        </w:tc>
        <w:tc>
          <w:tcPr>
            <w:tcW w:w="562" w:type="pct"/>
            <w:tcBorders>
              <w:top w:val="single" w:color="auto" w:sz="4" w:space="0"/>
              <w:left w:val="single" w:color="auto" w:sz="4" w:space="0"/>
              <w:bottom w:val="single" w:color="auto" w:sz="4" w:space="0"/>
              <w:right w:val="single" w:color="auto" w:sz="4" w:space="0"/>
            </w:tcBorders>
            <w:vAlign w:val="center"/>
          </w:tcPr>
          <w:p w14:paraId="3F18AE14">
            <w:pPr>
              <w:wordWrap w:val="0"/>
              <w:snapToGrid w:val="0"/>
              <w:spacing w:before="50" w:after="50"/>
              <w:rPr>
                <w:rFonts w:hint="eastAsia" w:ascii="宋体" w:hAnsi="宋体" w:eastAsia="宋体" w:cs="宋体"/>
                <w:color w:val="auto"/>
                <w:sz w:val="24"/>
              </w:rPr>
            </w:pPr>
            <w:r>
              <w:rPr>
                <w:rFonts w:hint="eastAsia" w:ascii="宋体" w:hAnsi="宋体" w:eastAsia="宋体" w:cs="宋体"/>
                <w:color w:val="auto"/>
                <w:sz w:val="24"/>
              </w:rPr>
              <w:t>标的名称</w:t>
            </w:r>
          </w:p>
        </w:tc>
        <w:tc>
          <w:tcPr>
            <w:tcW w:w="584" w:type="pct"/>
            <w:tcBorders>
              <w:top w:val="single" w:color="auto" w:sz="4" w:space="0"/>
              <w:left w:val="single" w:color="auto" w:sz="4" w:space="0"/>
              <w:bottom w:val="single" w:color="auto" w:sz="4" w:space="0"/>
              <w:right w:val="single" w:color="auto" w:sz="4" w:space="0"/>
            </w:tcBorders>
            <w:vAlign w:val="center"/>
          </w:tcPr>
          <w:p w14:paraId="30DAF8C7">
            <w:pPr>
              <w:wordWrap w:val="0"/>
              <w:snapToGrid w:val="0"/>
              <w:spacing w:before="50" w:after="50"/>
              <w:rPr>
                <w:rFonts w:hint="eastAsia" w:ascii="宋体" w:hAnsi="宋体" w:eastAsia="宋体" w:cs="宋体"/>
                <w:color w:val="auto"/>
                <w:sz w:val="24"/>
              </w:rPr>
            </w:pPr>
            <w:r>
              <w:rPr>
                <w:rFonts w:hint="eastAsia" w:ascii="宋体" w:hAnsi="宋体" w:eastAsia="宋体" w:cs="宋体"/>
                <w:color w:val="auto"/>
                <w:sz w:val="24"/>
              </w:rPr>
              <w:t>数量及单位</w:t>
            </w:r>
          </w:p>
        </w:tc>
        <w:tc>
          <w:tcPr>
            <w:tcW w:w="500" w:type="pct"/>
            <w:tcBorders>
              <w:top w:val="single" w:color="auto" w:sz="4" w:space="0"/>
              <w:left w:val="single" w:color="auto" w:sz="4" w:space="0"/>
              <w:bottom w:val="single" w:color="auto" w:sz="4" w:space="0"/>
              <w:right w:val="single" w:color="auto" w:sz="4" w:space="0"/>
            </w:tcBorders>
            <w:vAlign w:val="center"/>
          </w:tcPr>
          <w:p w14:paraId="5B86B705">
            <w:pPr>
              <w:wordWrap w:val="0"/>
              <w:snapToGrid w:val="0"/>
              <w:spacing w:before="50" w:after="50"/>
              <w:rPr>
                <w:rFonts w:hint="eastAsia" w:ascii="宋体" w:hAnsi="宋体" w:eastAsia="宋体" w:cs="宋体"/>
                <w:color w:val="auto"/>
                <w:sz w:val="24"/>
              </w:rPr>
            </w:pPr>
            <w:r>
              <w:rPr>
                <w:rFonts w:hint="eastAsia" w:ascii="宋体" w:hAnsi="宋体" w:eastAsia="宋体" w:cs="宋体"/>
                <w:color w:val="auto"/>
                <w:sz w:val="24"/>
              </w:rPr>
              <w:t>品牌</w:t>
            </w:r>
          </w:p>
        </w:tc>
        <w:tc>
          <w:tcPr>
            <w:tcW w:w="998" w:type="pct"/>
            <w:tcBorders>
              <w:top w:val="single" w:color="auto" w:sz="4" w:space="0"/>
              <w:left w:val="single" w:color="auto" w:sz="4" w:space="0"/>
              <w:bottom w:val="single" w:color="auto" w:sz="4" w:space="0"/>
              <w:right w:val="single" w:color="auto" w:sz="4" w:space="0"/>
            </w:tcBorders>
          </w:tcPr>
          <w:p w14:paraId="5A2814A7">
            <w:pPr>
              <w:wordWrap w:val="0"/>
              <w:snapToGrid w:val="0"/>
              <w:spacing w:before="50" w:after="50"/>
              <w:rPr>
                <w:rFonts w:hint="eastAsia" w:ascii="宋体" w:hAnsi="宋体" w:eastAsia="宋体" w:cs="宋体"/>
                <w:color w:val="auto"/>
                <w:sz w:val="24"/>
              </w:rPr>
            </w:pPr>
          </w:p>
          <w:p w14:paraId="4EAD42B4">
            <w:pPr>
              <w:wordWrap w:val="0"/>
              <w:snapToGrid w:val="0"/>
              <w:spacing w:before="50" w:after="50"/>
              <w:rPr>
                <w:rFonts w:hint="eastAsia" w:ascii="宋体" w:hAnsi="宋体" w:eastAsia="宋体" w:cs="宋体"/>
                <w:color w:val="auto"/>
                <w:sz w:val="24"/>
              </w:rPr>
            </w:pPr>
            <w:r>
              <w:rPr>
                <w:rFonts w:hint="eastAsia" w:ascii="宋体" w:hAnsi="宋体" w:eastAsia="宋体" w:cs="宋体"/>
                <w:color w:val="auto"/>
                <w:sz w:val="24"/>
              </w:rPr>
              <w:t>规格型号</w:t>
            </w:r>
          </w:p>
        </w:tc>
        <w:tc>
          <w:tcPr>
            <w:tcW w:w="696" w:type="pct"/>
            <w:tcBorders>
              <w:top w:val="single" w:color="auto" w:sz="4" w:space="0"/>
              <w:left w:val="single" w:color="auto" w:sz="4" w:space="0"/>
              <w:bottom w:val="single" w:color="auto" w:sz="4" w:space="0"/>
              <w:right w:val="single" w:color="auto" w:sz="4" w:space="0"/>
            </w:tcBorders>
            <w:vAlign w:val="center"/>
          </w:tcPr>
          <w:p w14:paraId="67E4CCC7">
            <w:pPr>
              <w:wordWrap w:val="0"/>
              <w:snapToGrid w:val="0"/>
              <w:spacing w:before="50" w:after="50"/>
              <w:rPr>
                <w:rFonts w:hint="eastAsia" w:ascii="宋体" w:hAnsi="宋体" w:eastAsia="宋体" w:cs="宋体"/>
                <w:color w:val="auto"/>
                <w:sz w:val="24"/>
              </w:rPr>
            </w:pPr>
            <w:r>
              <w:rPr>
                <w:rFonts w:hint="eastAsia" w:ascii="宋体" w:hAnsi="宋体" w:eastAsia="宋体" w:cs="宋体"/>
                <w:color w:val="auto"/>
                <w:sz w:val="24"/>
              </w:rPr>
              <w:t>制造商</w:t>
            </w:r>
          </w:p>
        </w:tc>
        <w:tc>
          <w:tcPr>
            <w:tcW w:w="412" w:type="pct"/>
            <w:tcBorders>
              <w:top w:val="single" w:color="auto" w:sz="4" w:space="0"/>
              <w:left w:val="single" w:color="auto" w:sz="4" w:space="0"/>
              <w:bottom w:val="single" w:color="auto" w:sz="4" w:space="0"/>
              <w:right w:val="single" w:color="auto" w:sz="4" w:space="0"/>
            </w:tcBorders>
            <w:vAlign w:val="center"/>
          </w:tcPr>
          <w:p w14:paraId="4F90E2E1">
            <w:pPr>
              <w:wordWrap w:val="0"/>
              <w:snapToGrid w:val="0"/>
              <w:spacing w:before="50" w:after="50"/>
              <w:rPr>
                <w:rFonts w:hint="eastAsia" w:ascii="宋体" w:hAnsi="宋体" w:eastAsia="宋体" w:cs="宋体"/>
                <w:color w:val="auto"/>
                <w:sz w:val="24"/>
              </w:rPr>
            </w:pPr>
            <w:r>
              <w:rPr>
                <w:rFonts w:hint="eastAsia" w:ascii="宋体" w:hAnsi="宋体" w:eastAsia="宋体" w:cs="宋体"/>
                <w:color w:val="auto"/>
                <w:sz w:val="24"/>
              </w:rPr>
              <w:t>原产地</w:t>
            </w:r>
          </w:p>
        </w:tc>
        <w:tc>
          <w:tcPr>
            <w:tcW w:w="836" w:type="pct"/>
            <w:tcBorders>
              <w:top w:val="single" w:color="auto" w:sz="4" w:space="0"/>
              <w:left w:val="single" w:color="auto" w:sz="4" w:space="0"/>
              <w:bottom w:val="single" w:color="auto" w:sz="4" w:space="0"/>
              <w:right w:val="single" w:color="auto" w:sz="4" w:space="0"/>
            </w:tcBorders>
            <w:vAlign w:val="center"/>
          </w:tcPr>
          <w:p w14:paraId="045CC3DC">
            <w:pPr>
              <w:wordWrap w:val="0"/>
              <w:snapToGrid w:val="0"/>
              <w:spacing w:before="50" w:after="50"/>
              <w:rPr>
                <w:rFonts w:hint="eastAsia" w:ascii="宋体" w:hAnsi="宋体" w:eastAsia="宋体" w:cs="宋体"/>
                <w:color w:val="auto"/>
                <w:sz w:val="24"/>
              </w:rPr>
            </w:pPr>
            <w:r>
              <w:rPr>
                <w:rFonts w:hint="eastAsia" w:ascii="宋体" w:hAnsi="宋体" w:eastAsia="宋体" w:cs="宋体"/>
                <w:color w:val="auto"/>
                <w:sz w:val="24"/>
              </w:rPr>
              <w:t>参数性能、指标及配置</w:t>
            </w:r>
          </w:p>
        </w:tc>
      </w:tr>
      <w:tr w14:paraId="38105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25CD8CA7">
            <w:pPr>
              <w:wordWrap w:val="0"/>
              <w:snapToGrid w:val="0"/>
              <w:spacing w:before="50" w:after="50"/>
              <w:rPr>
                <w:rFonts w:hint="eastAsia" w:ascii="宋体" w:hAnsi="宋体" w:eastAsia="宋体" w:cs="宋体"/>
                <w:color w:val="auto"/>
                <w:sz w:val="24"/>
              </w:rPr>
            </w:pPr>
          </w:p>
        </w:tc>
        <w:tc>
          <w:tcPr>
            <w:tcW w:w="562" w:type="pct"/>
            <w:tcBorders>
              <w:top w:val="single" w:color="auto" w:sz="4" w:space="0"/>
              <w:left w:val="single" w:color="auto" w:sz="4" w:space="0"/>
              <w:bottom w:val="single" w:color="auto" w:sz="4" w:space="0"/>
              <w:right w:val="single" w:color="auto" w:sz="4" w:space="0"/>
            </w:tcBorders>
            <w:vAlign w:val="center"/>
          </w:tcPr>
          <w:p w14:paraId="5999B743">
            <w:pPr>
              <w:wordWrap w:val="0"/>
              <w:snapToGrid w:val="0"/>
              <w:spacing w:before="50" w:after="50"/>
              <w:rPr>
                <w:rFonts w:hint="eastAsia" w:ascii="宋体" w:hAnsi="宋体" w:eastAsia="宋体" w:cs="宋体"/>
                <w:color w:val="auto"/>
                <w:sz w:val="24"/>
              </w:rPr>
            </w:pPr>
          </w:p>
        </w:tc>
        <w:tc>
          <w:tcPr>
            <w:tcW w:w="584" w:type="pct"/>
            <w:tcBorders>
              <w:top w:val="single" w:color="auto" w:sz="4" w:space="0"/>
              <w:left w:val="single" w:color="auto" w:sz="4" w:space="0"/>
              <w:bottom w:val="single" w:color="auto" w:sz="4" w:space="0"/>
              <w:right w:val="single" w:color="auto" w:sz="4" w:space="0"/>
            </w:tcBorders>
            <w:vAlign w:val="center"/>
          </w:tcPr>
          <w:p w14:paraId="791861F3">
            <w:pPr>
              <w:wordWrap w:val="0"/>
              <w:snapToGrid w:val="0"/>
              <w:spacing w:before="50" w:after="50"/>
              <w:rPr>
                <w:rFonts w:hint="eastAsia" w:ascii="宋体" w:hAnsi="宋体" w:eastAsia="宋体" w:cs="宋体"/>
                <w:color w:val="auto"/>
                <w:sz w:val="24"/>
              </w:rPr>
            </w:pPr>
          </w:p>
        </w:tc>
        <w:tc>
          <w:tcPr>
            <w:tcW w:w="500" w:type="pct"/>
            <w:tcBorders>
              <w:top w:val="single" w:color="auto" w:sz="4" w:space="0"/>
              <w:left w:val="single" w:color="auto" w:sz="4" w:space="0"/>
              <w:bottom w:val="single" w:color="auto" w:sz="4" w:space="0"/>
              <w:right w:val="single" w:color="auto" w:sz="4" w:space="0"/>
            </w:tcBorders>
            <w:vAlign w:val="center"/>
          </w:tcPr>
          <w:p w14:paraId="37729499">
            <w:pPr>
              <w:wordWrap w:val="0"/>
              <w:snapToGrid w:val="0"/>
              <w:spacing w:before="50" w:after="50"/>
              <w:rPr>
                <w:rFonts w:hint="eastAsia" w:ascii="宋体" w:hAnsi="宋体" w:eastAsia="宋体" w:cs="宋体"/>
                <w:color w:val="auto"/>
                <w:sz w:val="24"/>
              </w:rPr>
            </w:pPr>
          </w:p>
        </w:tc>
        <w:tc>
          <w:tcPr>
            <w:tcW w:w="998" w:type="pct"/>
            <w:tcBorders>
              <w:top w:val="single" w:color="auto" w:sz="4" w:space="0"/>
              <w:left w:val="single" w:color="auto" w:sz="4" w:space="0"/>
              <w:bottom w:val="single" w:color="auto" w:sz="4" w:space="0"/>
              <w:right w:val="single" w:color="auto" w:sz="4" w:space="0"/>
            </w:tcBorders>
          </w:tcPr>
          <w:p w14:paraId="41BB8C05">
            <w:pPr>
              <w:wordWrap w:val="0"/>
              <w:snapToGrid w:val="0"/>
              <w:spacing w:before="50" w:after="50"/>
              <w:rPr>
                <w:rFonts w:hint="eastAsia" w:ascii="宋体" w:hAnsi="宋体" w:eastAsia="宋体" w:cs="宋体"/>
                <w:color w:val="auto"/>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52F77EDF">
            <w:pPr>
              <w:wordWrap w:val="0"/>
              <w:snapToGrid w:val="0"/>
              <w:spacing w:before="50" w:after="50"/>
              <w:rPr>
                <w:rFonts w:hint="eastAsia" w:ascii="宋体" w:hAnsi="宋体" w:eastAsia="宋体" w:cs="宋体"/>
                <w:color w:val="auto"/>
                <w:sz w:val="24"/>
              </w:rPr>
            </w:pPr>
          </w:p>
        </w:tc>
        <w:tc>
          <w:tcPr>
            <w:tcW w:w="412" w:type="pct"/>
            <w:tcBorders>
              <w:top w:val="single" w:color="auto" w:sz="4" w:space="0"/>
              <w:left w:val="single" w:color="auto" w:sz="4" w:space="0"/>
              <w:bottom w:val="single" w:color="auto" w:sz="4" w:space="0"/>
              <w:right w:val="single" w:color="auto" w:sz="4" w:space="0"/>
            </w:tcBorders>
            <w:vAlign w:val="center"/>
          </w:tcPr>
          <w:p w14:paraId="7BCB0FCB">
            <w:pPr>
              <w:wordWrap w:val="0"/>
              <w:snapToGrid w:val="0"/>
              <w:spacing w:before="50" w:after="50"/>
              <w:rPr>
                <w:rFonts w:hint="eastAsia" w:ascii="宋体" w:hAnsi="宋体" w:eastAsia="宋体" w:cs="宋体"/>
                <w:color w:val="auto"/>
                <w:sz w:val="24"/>
              </w:rPr>
            </w:pPr>
          </w:p>
        </w:tc>
        <w:tc>
          <w:tcPr>
            <w:tcW w:w="836" w:type="pct"/>
            <w:tcBorders>
              <w:top w:val="single" w:color="auto" w:sz="4" w:space="0"/>
              <w:left w:val="single" w:color="auto" w:sz="4" w:space="0"/>
              <w:bottom w:val="single" w:color="auto" w:sz="4" w:space="0"/>
              <w:right w:val="single" w:color="auto" w:sz="4" w:space="0"/>
            </w:tcBorders>
            <w:vAlign w:val="center"/>
          </w:tcPr>
          <w:p w14:paraId="3829D655">
            <w:pPr>
              <w:wordWrap w:val="0"/>
              <w:snapToGrid w:val="0"/>
              <w:spacing w:before="50" w:after="50"/>
              <w:rPr>
                <w:rFonts w:hint="eastAsia" w:ascii="宋体" w:hAnsi="宋体" w:eastAsia="宋体" w:cs="宋体"/>
                <w:color w:val="auto"/>
                <w:sz w:val="24"/>
              </w:rPr>
            </w:pPr>
          </w:p>
        </w:tc>
      </w:tr>
      <w:tr w14:paraId="244841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64F96F3D">
            <w:pPr>
              <w:wordWrap w:val="0"/>
              <w:snapToGrid w:val="0"/>
              <w:spacing w:before="50" w:after="50"/>
              <w:rPr>
                <w:rFonts w:hint="eastAsia" w:ascii="宋体" w:hAnsi="宋体" w:eastAsia="宋体" w:cs="宋体"/>
                <w:color w:val="auto"/>
                <w:sz w:val="24"/>
              </w:rPr>
            </w:pPr>
          </w:p>
        </w:tc>
        <w:tc>
          <w:tcPr>
            <w:tcW w:w="562" w:type="pct"/>
            <w:tcBorders>
              <w:top w:val="single" w:color="auto" w:sz="4" w:space="0"/>
              <w:left w:val="single" w:color="auto" w:sz="4" w:space="0"/>
              <w:bottom w:val="single" w:color="auto" w:sz="4" w:space="0"/>
              <w:right w:val="single" w:color="auto" w:sz="4" w:space="0"/>
            </w:tcBorders>
            <w:vAlign w:val="center"/>
          </w:tcPr>
          <w:p w14:paraId="502D6707">
            <w:pPr>
              <w:wordWrap w:val="0"/>
              <w:snapToGrid w:val="0"/>
              <w:spacing w:before="50" w:after="50"/>
              <w:rPr>
                <w:rFonts w:hint="eastAsia" w:ascii="宋体" w:hAnsi="宋体" w:eastAsia="宋体" w:cs="宋体"/>
                <w:color w:val="auto"/>
                <w:sz w:val="24"/>
              </w:rPr>
            </w:pPr>
          </w:p>
        </w:tc>
        <w:tc>
          <w:tcPr>
            <w:tcW w:w="584" w:type="pct"/>
            <w:tcBorders>
              <w:top w:val="single" w:color="auto" w:sz="4" w:space="0"/>
              <w:left w:val="single" w:color="auto" w:sz="4" w:space="0"/>
              <w:bottom w:val="single" w:color="auto" w:sz="4" w:space="0"/>
              <w:right w:val="single" w:color="auto" w:sz="4" w:space="0"/>
            </w:tcBorders>
            <w:vAlign w:val="center"/>
          </w:tcPr>
          <w:p w14:paraId="78D658A6">
            <w:pPr>
              <w:wordWrap w:val="0"/>
              <w:snapToGrid w:val="0"/>
              <w:spacing w:before="50" w:after="50"/>
              <w:rPr>
                <w:rFonts w:hint="eastAsia" w:ascii="宋体" w:hAnsi="宋体" w:eastAsia="宋体" w:cs="宋体"/>
                <w:color w:val="auto"/>
                <w:sz w:val="24"/>
              </w:rPr>
            </w:pPr>
          </w:p>
        </w:tc>
        <w:tc>
          <w:tcPr>
            <w:tcW w:w="500" w:type="pct"/>
            <w:tcBorders>
              <w:top w:val="single" w:color="auto" w:sz="4" w:space="0"/>
              <w:left w:val="single" w:color="auto" w:sz="4" w:space="0"/>
              <w:bottom w:val="single" w:color="auto" w:sz="4" w:space="0"/>
              <w:right w:val="single" w:color="auto" w:sz="4" w:space="0"/>
            </w:tcBorders>
            <w:vAlign w:val="center"/>
          </w:tcPr>
          <w:p w14:paraId="5213C1BA">
            <w:pPr>
              <w:wordWrap w:val="0"/>
              <w:snapToGrid w:val="0"/>
              <w:spacing w:before="50" w:after="50"/>
              <w:rPr>
                <w:rFonts w:hint="eastAsia" w:ascii="宋体" w:hAnsi="宋体" w:eastAsia="宋体" w:cs="宋体"/>
                <w:color w:val="auto"/>
                <w:sz w:val="24"/>
              </w:rPr>
            </w:pPr>
          </w:p>
        </w:tc>
        <w:tc>
          <w:tcPr>
            <w:tcW w:w="998" w:type="pct"/>
            <w:tcBorders>
              <w:top w:val="single" w:color="auto" w:sz="4" w:space="0"/>
              <w:left w:val="single" w:color="auto" w:sz="4" w:space="0"/>
              <w:bottom w:val="single" w:color="auto" w:sz="4" w:space="0"/>
              <w:right w:val="single" w:color="auto" w:sz="4" w:space="0"/>
            </w:tcBorders>
          </w:tcPr>
          <w:p w14:paraId="5AFBEC49">
            <w:pPr>
              <w:wordWrap w:val="0"/>
              <w:snapToGrid w:val="0"/>
              <w:spacing w:before="50" w:after="50"/>
              <w:rPr>
                <w:rFonts w:hint="eastAsia" w:ascii="宋体" w:hAnsi="宋体" w:eastAsia="宋体" w:cs="宋体"/>
                <w:color w:val="auto"/>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0DA4A60E">
            <w:pPr>
              <w:wordWrap w:val="0"/>
              <w:snapToGrid w:val="0"/>
              <w:spacing w:before="50" w:after="50"/>
              <w:rPr>
                <w:rFonts w:hint="eastAsia" w:ascii="宋体" w:hAnsi="宋体" w:eastAsia="宋体" w:cs="宋体"/>
                <w:color w:val="auto"/>
                <w:sz w:val="24"/>
              </w:rPr>
            </w:pPr>
          </w:p>
        </w:tc>
        <w:tc>
          <w:tcPr>
            <w:tcW w:w="412" w:type="pct"/>
            <w:tcBorders>
              <w:top w:val="single" w:color="auto" w:sz="4" w:space="0"/>
              <w:left w:val="single" w:color="auto" w:sz="4" w:space="0"/>
              <w:bottom w:val="single" w:color="auto" w:sz="4" w:space="0"/>
              <w:right w:val="single" w:color="auto" w:sz="4" w:space="0"/>
            </w:tcBorders>
            <w:vAlign w:val="center"/>
          </w:tcPr>
          <w:p w14:paraId="00833265">
            <w:pPr>
              <w:wordWrap w:val="0"/>
              <w:snapToGrid w:val="0"/>
              <w:spacing w:before="50" w:after="50"/>
              <w:rPr>
                <w:rFonts w:hint="eastAsia" w:ascii="宋体" w:hAnsi="宋体" w:eastAsia="宋体" w:cs="宋体"/>
                <w:color w:val="auto"/>
                <w:sz w:val="24"/>
              </w:rPr>
            </w:pPr>
          </w:p>
        </w:tc>
        <w:tc>
          <w:tcPr>
            <w:tcW w:w="836" w:type="pct"/>
            <w:tcBorders>
              <w:top w:val="single" w:color="auto" w:sz="4" w:space="0"/>
              <w:left w:val="single" w:color="auto" w:sz="4" w:space="0"/>
              <w:bottom w:val="single" w:color="auto" w:sz="4" w:space="0"/>
              <w:right w:val="single" w:color="auto" w:sz="4" w:space="0"/>
            </w:tcBorders>
            <w:vAlign w:val="center"/>
          </w:tcPr>
          <w:p w14:paraId="4430EEDC">
            <w:pPr>
              <w:wordWrap w:val="0"/>
              <w:snapToGrid w:val="0"/>
              <w:spacing w:before="50" w:after="50"/>
              <w:rPr>
                <w:rFonts w:hint="eastAsia" w:ascii="宋体" w:hAnsi="宋体" w:eastAsia="宋体" w:cs="宋体"/>
                <w:color w:val="auto"/>
                <w:sz w:val="24"/>
              </w:rPr>
            </w:pPr>
          </w:p>
        </w:tc>
      </w:tr>
      <w:tr w14:paraId="313F7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02F8EC5C">
            <w:pPr>
              <w:wordWrap w:val="0"/>
              <w:snapToGrid w:val="0"/>
              <w:spacing w:before="50" w:after="50"/>
              <w:rPr>
                <w:rFonts w:hint="eastAsia" w:ascii="宋体" w:hAnsi="宋体" w:eastAsia="宋体" w:cs="宋体"/>
                <w:color w:val="auto"/>
                <w:sz w:val="24"/>
              </w:rPr>
            </w:pPr>
          </w:p>
        </w:tc>
        <w:tc>
          <w:tcPr>
            <w:tcW w:w="562" w:type="pct"/>
            <w:tcBorders>
              <w:top w:val="single" w:color="auto" w:sz="4" w:space="0"/>
              <w:left w:val="single" w:color="auto" w:sz="4" w:space="0"/>
              <w:bottom w:val="single" w:color="auto" w:sz="4" w:space="0"/>
              <w:right w:val="single" w:color="auto" w:sz="4" w:space="0"/>
            </w:tcBorders>
            <w:vAlign w:val="center"/>
          </w:tcPr>
          <w:p w14:paraId="229041D1">
            <w:pPr>
              <w:wordWrap w:val="0"/>
              <w:snapToGrid w:val="0"/>
              <w:spacing w:before="50" w:after="50"/>
              <w:rPr>
                <w:rFonts w:hint="eastAsia" w:ascii="宋体" w:hAnsi="宋体" w:eastAsia="宋体" w:cs="宋体"/>
                <w:color w:val="auto"/>
                <w:sz w:val="24"/>
              </w:rPr>
            </w:pPr>
          </w:p>
        </w:tc>
        <w:tc>
          <w:tcPr>
            <w:tcW w:w="584" w:type="pct"/>
            <w:tcBorders>
              <w:top w:val="single" w:color="auto" w:sz="4" w:space="0"/>
              <w:left w:val="single" w:color="auto" w:sz="4" w:space="0"/>
              <w:bottom w:val="single" w:color="auto" w:sz="4" w:space="0"/>
              <w:right w:val="single" w:color="auto" w:sz="4" w:space="0"/>
            </w:tcBorders>
            <w:vAlign w:val="center"/>
          </w:tcPr>
          <w:p w14:paraId="1339B1D8">
            <w:pPr>
              <w:wordWrap w:val="0"/>
              <w:snapToGrid w:val="0"/>
              <w:spacing w:before="50" w:after="50"/>
              <w:rPr>
                <w:rFonts w:hint="eastAsia" w:ascii="宋体" w:hAnsi="宋体" w:eastAsia="宋体" w:cs="宋体"/>
                <w:color w:val="auto"/>
                <w:sz w:val="24"/>
              </w:rPr>
            </w:pPr>
          </w:p>
        </w:tc>
        <w:tc>
          <w:tcPr>
            <w:tcW w:w="500" w:type="pct"/>
            <w:tcBorders>
              <w:top w:val="single" w:color="auto" w:sz="4" w:space="0"/>
              <w:left w:val="single" w:color="auto" w:sz="4" w:space="0"/>
              <w:bottom w:val="single" w:color="auto" w:sz="4" w:space="0"/>
              <w:right w:val="single" w:color="auto" w:sz="4" w:space="0"/>
            </w:tcBorders>
            <w:vAlign w:val="center"/>
          </w:tcPr>
          <w:p w14:paraId="27685774">
            <w:pPr>
              <w:wordWrap w:val="0"/>
              <w:snapToGrid w:val="0"/>
              <w:spacing w:before="50" w:after="50"/>
              <w:rPr>
                <w:rFonts w:hint="eastAsia" w:ascii="宋体" w:hAnsi="宋体" w:eastAsia="宋体" w:cs="宋体"/>
                <w:color w:val="auto"/>
                <w:sz w:val="24"/>
              </w:rPr>
            </w:pPr>
          </w:p>
        </w:tc>
        <w:tc>
          <w:tcPr>
            <w:tcW w:w="998" w:type="pct"/>
            <w:tcBorders>
              <w:top w:val="single" w:color="auto" w:sz="4" w:space="0"/>
              <w:left w:val="single" w:color="auto" w:sz="4" w:space="0"/>
              <w:bottom w:val="single" w:color="auto" w:sz="4" w:space="0"/>
              <w:right w:val="single" w:color="auto" w:sz="4" w:space="0"/>
            </w:tcBorders>
          </w:tcPr>
          <w:p w14:paraId="68EFC884">
            <w:pPr>
              <w:wordWrap w:val="0"/>
              <w:snapToGrid w:val="0"/>
              <w:spacing w:before="50" w:after="50"/>
              <w:rPr>
                <w:rFonts w:hint="eastAsia" w:ascii="宋体" w:hAnsi="宋体" w:eastAsia="宋体" w:cs="宋体"/>
                <w:color w:val="auto"/>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51EC65D1">
            <w:pPr>
              <w:wordWrap w:val="0"/>
              <w:snapToGrid w:val="0"/>
              <w:spacing w:before="50" w:after="50"/>
              <w:rPr>
                <w:rFonts w:hint="eastAsia" w:ascii="宋体" w:hAnsi="宋体" w:eastAsia="宋体" w:cs="宋体"/>
                <w:color w:val="auto"/>
                <w:sz w:val="24"/>
              </w:rPr>
            </w:pPr>
          </w:p>
        </w:tc>
        <w:tc>
          <w:tcPr>
            <w:tcW w:w="412" w:type="pct"/>
            <w:tcBorders>
              <w:top w:val="single" w:color="auto" w:sz="4" w:space="0"/>
              <w:left w:val="single" w:color="auto" w:sz="4" w:space="0"/>
              <w:bottom w:val="single" w:color="auto" w:sz="4" w:space="0"/>
              <w:right w:val="single" w:color="auto" w:sz="4" w:space="0"/>
            </w:tcBorders>
            <w:vAlign w:val="center"/>
          </w:tcPr>
          <w:p w14:paraId="750AD20C">
            <w:pPr>
              <w:wordWrap w:val="0"/>
              <w:snapToGrid w:val="0"/>
              <w:spacing w:before="50" w:after="50"/>
              <w:rPr>
                <w:rFonts w:hint="eastAsia" w:ascii="宋体" w:hAnsi="宋体" w:eastAsia="宋体" w:cs="宋体"/>
                <w:color w:val="auto"/>
                <w:sz w:val="24"/>
              </w:rPr>
            </w:pPr>
          </w:p>
        </w:tc>
        <w:tc>
          <w:tcPr>
            <w:tcW w:w="836" w:type="pct"/>
            <w:tcBorders>
              <w:top w:val="single" w:color="auto" w:sz="4" w:space="0"/>
              <w:left w:val="single" w:color="auto" w:sz="4" w:space="0"/>
              <w:bottom w:val="single" w:color="auto" w:sz="4" w:space="0"/>
              <w:right w:val="single" w:color="auto" w:sz="4" w:space="0"/>
            </w:tcBorders>
            <w:vAlign w:val="center"/>
          </w:tcPr>
          <w:p w14:paraId="3B290F5F">
            <w:pPr>
              <w:wordWrap w:val="0"/>
              <w:snapToGrid w:val="0"/>
              <w:spacing w:before="50" w:after="50"/>
              <w:rPr>
                <w:rFonts w:hint="eastAsia" w:ascii="宋体" w:hAnsi="宋体" w:eastAsia="宋体" w:cs="宋体"/>
                <w:color w:val="auto"/>
                <w:sz w:val="24"/>
              </w:rPr>
            </w:pPr>
          </w:p>
        </w:tc>
      </w:tr>
    </w:tbl>
    <w:p w14:paraId="69CABE4D">
      <w:pPr>
        <w:wordWrap w:val="0"/>
        <w:spacing w:line="360" w:lineRule="auto"/>
        <w:contextualSpacing/>
        <w:rPr>
          <w:rFonts w:hint="eastAsia" w:ascii="宋体" w:hAnsi="宋体" w:eastAsia="宋体" w:cs="宋体"/>
          <w:color w:val="auto"/>
          <w:sz w:val="24"/>
        </w:rPr>
      </w:pPr>
      <w:r>
        <w:rPr>
          <w:rFonts w:hint="eastAsia" w:ascii="宋体" w:hAnsi="宋体" w:eastAsia="宋体" w:cs="宋体"/>
          <w:color w:val="auto"/>
          <w:sz w:val="24"/>
        </w:rPr>
        <w:t>备注：</w:t>
      </w:r>
    </w:p>
    <w:p w14:paraId="21F382D7">
      <w:pPr>
        <w:wordWrap w:val="0"/>
        <w:spacing w:line="360" w:lineRule="auto"/>
        <w:ind w:firstLine="480" w:firstLineChars="200"/>
        <w:contextualSpacing/>
        <w:rPr>
          <w:rFonts w:hint="eastAsia" w:ascii="宋体" w:hAnsi="宋体" w:eastAsia="宋体" w:cs="宋体"/>
          <w:b/>
          <w:color w:val="auto"/>
          <w:sz w:val="24"/>
        </w:rPr>
      </w:pPr>
      <w:r>
        <w:rPr>
          <w:rFonts w:hint="eastAsia" w:ascii="宋体" w:hAnsi="宋体" w:eastAsia="宋体" w:cs="宋体"/>
          <w:color w:val="auto"/>
          <w:sz w:val="24"/>
        </w:rPr>
        <w:t>以上设备性能配置清单中“标的名称、数量及单位、品牌、规格型号、制造商、原产地、参数性能、指标及配置”必须如实填写完整，品牌、规格型号没有则填无，填写有缺漏</w:t>
      </w:r>
      <w:r>
        <w:rPr>
          <w:rFonts w:hint="eastAsia" w:ascii="宋体" w:hAnsi="宋体" w:eastAsia="宋体" w:cs="宋体"/>
          <w:bCs/>
          <w:color w:val="auto"/>
          <w:sz w:val="24"/>
        </w:rPr>
        <w:t>的，</w:t>
      </w:r>
      <w:r>
        <w:rPr>
          <w:rFonts w:hint="eastAsia" w:ascii="宋体" w:hAnsi="宋体" w:eastAsia="宋体" w:cs="宋体"/>
          <w:b/>
          <w:color w:val="auto"/>
          <w:sz w:val="24"/>
        </w:rPr>
        <w:t>作无效投标处理。</w:t>
      </w:r>
      <w:r>
        <w:rPr>
          <w:rFonts w:hint="eastAsia" w:ascii="宋体" w:hAnsi="宋体" w:eastAsia="宋体" w:cs="宋体"/>
          <w:color w:val="auto"/>
          <w:sz w:val="24"/>
        </w:rPr>
        <w:t>标的名称、数量及单位、品牌必须与“开标一览表”一致，</w:t>
      </w:r>
      <w:r>
        <w:rPr>
          <w:rFonts w:hint="eastAsia" w:ascii="宋体" w:hAnsi="宋体" w:eastAsia="宋体" w:cs="宋体"/>
          <w:b/>
          <w:color w:val="auto"/>
          <w:sz w:val="24"/>
        </w:rPr>
        <w:t>否则按无效投标处理。</w:t>
      </w:r>
    </w:p>
    <w:p w14:paraId="15EF370B">
      <w:pPr>
        <w:wordWrap w:val="0"/>
        <w:spacing w:line="360" w:lineRule="auto"/>
        <w:ind w:firstLine="480" w:firstLineChars="200"/>
        <w:contextualSpacing/>
        <w:rPr>
          <w:rFonts w:hint="eastAsia" w:ascii="宋体" w:hAnsi="宋体" w:eastAsia="宋体" w:cs="宋体"/>
          <w:color w:val="auto"/>
          <w:sz w:val="24"/>
        </w:rPr>
      </w:pPr>
    </w:p>
    <w:p w14:paraId="151F58AC">
      <w:pPr>
        <w:wordWrap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投标人名称（电子签章）：</w:t>
      </w:r>
    </w:p>
    <w:p w14:paraId="6E997062">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日期：年月日</w:t>
      </w:r>
    </w:p>
    <w:p w14:paraId="16DB3B3E">
      <w:pPr>
        <w:pStyle w:val="4"/>
        <w:wordWrap w:val="0"/>
        <w:rPr>
          <w:rFonts w:hint="eastAsia" w:ascii="宋体" w:hAnsi="宋体" w:eastAsia="宋体" w:cs="宋体"/>
          <w:color w:val="auto"/>
        </w:rPr>
        <w:sectPr>
          <w:pgSz w:w="11906" w:h="16838"/>
          <w:pgMar w:top="1134" w:right="1134" w:bottom="1134" w:left="1134" w:header="720" w:footer="720" w:gutter="0"/>
          <w:cols w:space="720" w:num="1"/>
          <w:docGrid w:type="lines" w:linePitch="331" w:charSpace="0"/>
        </w:sectPr>
      </w:pPr>
    </w:p>
    <w:p w14:paraId="3E34F565">
      <w:pPr>
        <w:wordWrap w:val="0"/>
        <w:snapToGrid w:val="0"/>
        <w:spacing w:before="120" w:beforeLines="50" w:after="50"/>
        <w:ind w:left="142"/>
        <w:outlineLvl w:val="2"/>
        <w:rPr>
          <w:rFonts w:hint="eastAsia" w:ascii="宋体" w:hAnsi="宋体" w:eastAsia="宋体" w:cs="宋体"/>
          <w:b/>
          <w:color w:val="auto"/>
          <w:sz w:val="24"/>
        </w:rPr>
      </w:pPr>
      <w:r>
        <w:rPr>
          <w:rFonts w:hint="eastAsia" w:ascii="宋体" w:hAnsi="宋体" w:eastAsia="宋体" w:cs="宋体"/>
          <w:b/>
          <w:color w:val="auto"/>
          <w:sz w:val="24"/>
        </w:rPr>
        <w:t>10.售后服务、备品备件等优惠表格式（注：按项目需求表具体项目修改）</w:t>
      </w:r>
    </w:p>
    <w:p w14:paraId="10B6F105">
      <w:pPr>
        <w:wordWrap w:val="0"/>
        <w:rPr>
          <w:rFonts w:hint="eastAsia" w:ascii="宋体" w:hAnsi="宋体" w:eastAsia="宋体" w:cs="宋体"/>
          <w:color w:val="auto"/>
        </w:rPr>
      </w:pPr>
    </w:p>
    <w:p w14:paraId="554911AD">
      <w:pPr>
        <w:snapToGrid w:val="0"/>
        <w:spacing w:before="50" w:after="50"/>
        <w:jc w:val="center"/>
        <w:outlineLvl w:val="3"/>
        <w:rPr>
          <w:rFonts w:hint="eastAsia" w:ascii="宋体" w:hAnsi="宋体" w:eastAsia="宋体" w:cs="宋体"/>
          <w:b/>
          <w:color w:val="auto"/>
          <w:sz w:val="32"/>
        </w:rPr>
      </w:pPr>
      <w:r>
        <w:rPr>
          <w:rFonts w:hint="eastAsia" w:ascii="宋体" w:hAnsi="宋体" w:eastAsia="宋体" w:cs="宋体"/>
          <w:b/>
          <w:color w:val="auto"/>
          <w:sz w:val="32"/>
        </w:rPr>
        <w:t>选配件、专用耗材、售后服务优惠表</w:t>
      </w: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14:paraId="49427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46"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F37F0E9">
            <w:pPr>
              <w:wordWrap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序号</w:t>
            </w:r>
          </w:p>
        </w:tc>
        <w:tc>
          <w:tcPr>
            <w:tcW w:w="2700" w:type="dxa"/>
            <w:tcBorders>
              <w:top w:val="single" w:color="auto" w:sz="4" w:space="0"/>
              <w:left w:val="single" w:color="auto" w:sz="4" w:space="0"/>
              <w:bottom w:val="single" w:color="auto" w:sz="2" w:space="0"/>
              <w:right w:val="single" w:color="auto" w:sz="4" w:space="0"/>
            </w:tcBorders>
            <w:vAlign w:val="center"/>
          </w:tcPr>
          <w:p w14:paraId="50221D65">
            <w:pPr>
              <w:wordWrap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14:paraId="47CE842E">
            <w:pPr>
              <w:wordWrap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58B1C668">
            <w:pPr>
              <w:wordWrap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单价</w:t>
            </w:r>
          </w:p>
        </w:tc>
        <w:tc>
          <w:tcPr>
            <w:tcW w:w="2340" w:type="dxa"/>
            <w:tcBorders>
              <w:top w:val="single" w:color="auto" w:sz="4" w:space="0"/>
              <w:left w:val="single" w:color="auto" w:sz="4" w:space="0"/>
              <w:bottom w:val="single" w:color="auto" w:sz="2" w:space="0"/>
              <w:right w:val="single" w:color="auto" w:sz="4" w:space="0"/>
            </w:tcBorders>
            <w:vAlign w:val="center"/>
          </w:tcPr>
          <w:p w14:paraId="37155AA0">
            <w:pPr>
              <w:wordWrap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比市场价优惠率</w:t>
            </w:r>
          </w:p>
        </w:tc>
      </w:tr>
      <w:tr w14:paraId="02A1E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1559E617">
            <w:pPr>
              <w:wordWrap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1</w:t>
            </w:r>
          </w:p>
        </w:tc>
        <w:tc>
          <w:tcPr>
            <w:tcW w:w="2700" w:type="dxa"/>
            <w:tcBorders>
              <w:top w:val="single" w:color="auto" w:sz="2" w:space="0"/>
              <w:left w:val="single" w:color="auto" w:sz="2" w:space="0"/>
              <w:bottom w:val="single" w:color="auto" w:sz="6" w:space="0"/>
              <w:right w:val="single" w:color="auto" w:sz="4" w:space="0"/>
            </w:tcBorders>
            <w:vAlign w:val="center"/>
          </w:tcPr>
          <w:p w14:paraId="34DCBF99">
            <w:pPr>
              <w:wordWrap w:val="0"/>
              <w:spacing w:line="400" w:lineRule="exact"/>
              <w:rPr>
                <w:rFonts w:hint="eastAsia" w:ascii="宋体" w:hAnsi="宋体" w:eastAsia="宋体" w:cs="宋体"/>
                <w:color w:val="auto"/>
                <w:sz w:val="22"/>
                <w:szCs w:val="22"/>
              </w:rPr>
            </w:pPr>
          </w:p>
        </w:tc>
        <w:tc>
          <w:tcPr>
            <w:tcW w:w="1440" w:type="dxa"/>
            <w:tcBorders>
              <w:top w:val="single" w:color="auto" w:sz="2" w:space="0"/>
              <w:left w:val="single" w:color="auto" w:sz="4" w:space="0"/>
              <w:bottom w:val="single" w:color="auto" w:sz="6" w:space="0"/>
              <w:right w:val="single" w:color="auto" w:sz="6" w:space="0"/>
            </w:tcBorders>
            <w:vAlign w:val="center"/>
          </w:tcPr>
          <w:p w14:paraId="13AF0FC0">
            <w:pPr>
              <w:wordWrap w:val="0"/>
              <w:spacing w:line="400" w:lineRule="exact"/>
              <w:rPr>
                <w:rFonts w:hint="eastAsia" w:ascii="宋体" w:hAnsi="宋体" w:eastAsia="宋体" w:cs="宋体"/>
                <w:color w:val="auto"/>
                <w:sz w:val="22"/>
                <w:szCs w:val="22"/>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3DFBF0F2">
            <w:pPr>
              <w:wordWrap w:val="0"/>
              <w:spacing w:line="400" w:lineRule="exact"/>
              <w:rPr>
                <w:rFonts w:hint="eastAsia" w:ascii="宋体" w:hAnsi="宋体" w:eastAsia="宋体" w:cs="宋体"/>
                <w:color w:val="auto"/>
                <w:sz w:val="22"/>
                <w:szCs w:val="22"/>
              </w:rPr>
            </w:pPr>
          </w:p>
        </w:tc>
        <w:tc>
          <w:tcPr>
            <w:tcW w:w="2340" w:type="dxa"/>
            <w:tcBorders>
              <w:top w:val="single" w:color="auto" w:sz="2" w:space="0"/>
              <w:left w:val="single" w:color="auto" w:sz="6" w:space="0"/>
              <w:bottom w:val="single" w:color="auto" w:sz="6" w:space="0"/>
              <w:right w:val="single" w:color="auto" w:sz="2" w:space="0"/>
            </w:tcBorders>
            <w:vAlign w:val="center"/>
          </w:tcPr>
          <w:p w14:paraId="05575699">
            <w:pPr>
              <w:wordWrap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w:t>
            </w:r>
          </w:p>
        </w:tc>
      </w:tr>
      <w:tr w14:paraId="125600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183BE583">
            <w:pPr>
              <w:wordWrap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2</w:t>
            </w:r>
          </w:p>
        </w:tc>
        <w:tc>
          <w:tcPr>
            <w:tcW w:w="2700" w:type="dxa"/>
            <w:tcBorders>
              <w:top w:val="single" w:color="auto" w:sz="6" w:space="0"/>
              <w:left w:val="single" w:color="auto" w:sz="2" w:space="0"/>
              <w:bottom w:val="single" w:color="auto" w:sz="6" w:space="0"/>
              <w:right w:val="single" w:color="auto" w:sz="4" w:space="0"/>
            </w:tcBorders>
            <w:vAlign w:val="center"/>
          </w:tcPr>
          <w:p w14:paraId="4CE0804C">
            <w:pPr>
              <w:wordWrap w:val="0"/>
              <w:spacing w:line="400" w:lineRule="exact"/>
              <w:rPr>
                <w:rFonts w:hint="eastAsia" w:ascii="宋体" w:hAnsi="宋体" w:eastAsia="宋体" w:cs="宋体"/>
                <w:color w:val="auto"/>
                <w:sz w:val="22"/>
                <w:szCs w:val="22"/>
              </w:rPr>
            </w:pPr>
          </w:p>
        </w:tc>
        <w:tc>
          <w:tcPr>
            <w:tcW w:w="1440" w:type="dxa"/>
            <w:tcBorders>
              <w:top w:val="single" w:color="auto" w:sz="6" w:space="0"/>
              <w:left w:val="single" w:color="auto" w:sz="4" w:space="0"/>
              <w:bottom w:val="single" w:color="auto" w:sz="6" w:space="0"/>
              <w:right w:val="single" w:color="auto" w:sz="6" w:space="0"/>
            </w:tcBorders>
            <w:vAlign w:val="center"/>
          </w:tcPr>
          <w:p w14:paraId="5BA6CCCF">
            <w:pPr>
              <w:wordWrap w:val="0"/>
              <w:spacing w:line="400" w:lineRule="exact"/>
              <w:rPr>
                <w:rFonts w:hint="eastAsia" w:ascii="宋体" w:hAnsi="宋体" w:eastAsia="宋体" w:cs="宋体"/>
                <w:color w:val="auto"/>
                <w:sz w:val="22"/>
                <w:szCs w:val="22"/>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290BFBF0">
            <w:pPr>
              <w:wordWrap w:val="0"/>
              <w:spacing w:line="400" w:lineRule="exact"/>
              <w:rPr>
                <w:rFonts w:hint="eastAsia" w:ascii="宋体" w:hAnsi="宋体" w:eastAsia="宋体" w:cs="宋体"/>
                <w:color w:val="auto"/>
                <w:sz w:val="22"/>
                <w:szCs w:val="22"/>
              </w:rPr>
            </w:pPr>
          </w:p>
        </w:tc>
        <w:tc>
          <w:tcPr>
            <w:tcW w:w="2340" w:type="dxa"/>
            <w:tcBorders>
              <w:top w:val="single" w:color="auto" w:sz="6" w:space="0"/>
              <w:left w:val="single" w:color="auto" w:sz="6" w:space="0"/>
              <w:bottom w:val="single" w:color="auto" w:sz="6" w:space="0"/>
              <w:right w:val="single" w:color="auto" w:sz="2" w:space="0"/>
            </w:tcBorders>
            <w:vAlign w:val="center"/>
          </w:tcPr>
          <w:p w14:paraId="4BCCFEC1">
            <w:pPr>
              <w:wordWrap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w:t>
            </w:r>
          </w:p>
        </w:tc>
      </w:tr>
      <w:tr w14:paraId="7B38D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085AB53B">
            <w:pPr>
              <w:wordWrap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3</w:t>
            </w:r>
          </w:p>
        </w:tc>
        <w:tc>
          <w:tcPr>
            <w:tcW w:w="2700" w:type="dxa"/>
            <w:tcBorders>
              <w:top w:val="single" w:color="auto" w:sz="6" w:space="0"/>
              <w:left w:val="single" w:color="auto" w:sz="2" w:space="0"/>
              <w:bottom w:val="single" w:color="auto" w:sz="6" w:space="0"/>
              <w:right w:val="single" w:color="auto" w:sz="4" w:space="0"/>
            </w:tcBorders>
            <w:vAlign w:val="center"/>
          </w:tcPr>
          <w:p w14:paraId="1AE7604B">
            <w:pPr>
              <w:wordWrap w:val="0"/>
              <w:spacing w:line="400" w:lineRule="exact"/>
              <w:rPr>
                <w:rFonts w:hint="eastAsia" w:ascii="宋体" w:hAnsi="宋体" w:eastAsia="宋体" w:cs="宋体"/>
                <w:color w:val="auto"/>
                <w:sz w:val="22"/>
                <w:szCs w:val="22"/>
              </w:rPr>
            </w:pPr>
          </w:p>
        </w:tc>
        <w:tc>
          <w:tcPr>
            <w:tcW w:w="1440" w:type="dxa"/>
            <w:tcBorders>
              <w:top w:val="single" w:color="auto" w:sz="6" w:space="0"/>
              <w:left w:val="single" w:color="auto" w:sz="4" w:space="0"/>
              <w:bottom w:val="single" w:color="auto" w:sz="6" w:space="0"/>
              <w:right w:val="single" w:color="auto" w:sz="6" w:space="0"/>
            </w:tcBorders>
            <w:vAlign w:val="center"/>
          </w:tcPr>
          <w:p w14:paraId="3965D824">
            <w:pPr>
              <w:wordWrap w:val="0"/>
              <w:spacing w:line="400" w:lineRule="exact"/>
              <w:rPr>
                <w:rFonts w:hint="eastAsia" w:ascii="宋体" w:hAnsi="宋体" w:eastAsia="宋体" w:cs="宋体"/>
                <w:color w:val="auto"/>
                <w:sz w:val="22"/>
                <w:szCs w:val="22"/>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1321AE14">
            <w:pPr>
              <w:wordWrap w:val="0"/>
              <w:spacing w:line="400" w:lineRule="exact"/>
              <w:rPr>
                <w:rFonts w:hint="eastAsia" w:ascii="宋体" w:hAnsi="宋体" w:eastAsia="宋体" w:cs="宋体"/>
                <w:color w:val="auto"/>
                <w:sz w:val="22"/>
                <w:szCs w:val="22"/>
              </w:rPr>
            </w:pPr>
          </w:p>
        </w:tc>
        <w:tc>
          <w:tcPr>
            <w:tcW w:w="2340" w:type="dxa"/>
            <w:tcBorders>
              <w:top w:val="single" w:color="auto" w:sz="6" w:space="0"/>
              <w:left w:val="single" w:color="auto" w:sz="6" w:space="0"/>
              <w:bottom w:val="single" w:color="auto" w:sz="6" w:space="0"/>
              <w:right w:val="single" w:color="auto" w:sz="2" w:space="0"/>
            </w:tcBorders>
            <w:vAlign w:val="center"/>
          </w:tcPr>
          <w:p w14:paraId="0E1FF64F">
            <w:pPr>
              <w:wordWrap w:val="0"/>
              <w:spacing w:line="400" w:lineRule="exact"/>
              <w:rPr>
                <w:rFonts w:hint="eastAsia" w:ascii="宋体" w:hAnsi="宋体" w:eastAsia="宋体" w:cs="宋体"/>
                <w:color w:val="auto"/>
                <w:sz w:val="22"/>
                <w:szCs w:val="22"/>
              </w:rPr>
            </w:pPr>
            <w:r>
              <w:rPr>
                <w:rFonts w:hint="eastAsia" w:ascii="宋体" w:hAnsi="宋体" w:eastAsia="宋体" w:cs="宋体"/>
                <w:color w:val="auto"/>
                <w:sz w:val="22"/>
                <w:szCs w:val="22"/>
              </w:rPr>
              <w:t>%</w:t>
            </w:r>
          </w:p>
        </w:tc>
      </w:tr>
    </w:tbl>
    <w:p w14:paraId="4F416E43">
      <w:pPr>
        <w:wordWrap w:val="0"/>
        <w:spacing w:line="360" w:lineRule="auto"/>
        <w:contextualSpacing/>
        <w:rPr>
          <w:rFonts w:hint="eastAsia" w:ascii="宋体" w:hAnsi="宋体" w:eastAsia="宋体" w:cs="宋体"/>
          <w:color w:val="auto"/>
          <w:sz w:val="24"/>
        </w:rPr>
      </w:pPr>
    </w:p>
    <w:p w14:paraId="1C2FEC2A">
      <w:pPr>
        <w:wordWrap w:val="0"/>
        <w:spacing w:line="360" w:lineRule="auto"/>
        <w:contextualSpacing/>
        <w:rPr>
          <w:rFonts w:hint="eastAsia" w:ascii="宋体" w:hAnsi="宋体" w:eastAsia="宋体" w:cs="宋体"/>
          <w:color w:val="auto"/>
          <w:spacing w:val="20"/>
          <w:sz w:val="24"/>
        </w:rPr>
      </w:pPr>
    </w:p>
    <w:p w14:paraId="7583C957">
      <w:pPr>
        <w:wordWrap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投标人名称（电子签章）：</w:t>
      </w:r>
    </w:p>
    <w:p w14:paraId="5BD016C0">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日期：年月日</w:t>
      </w:r>
    </w:p>
    <w:p w14:paraId="59059F3C">
      <w:pPr>
        <w:widowControl/>
        <w:wordWrap w:val="0"/>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14:paraId="47BAB8AF">
      <w:pPr>
        <w:wordWrap w:val="0"/>
        <w:snapToGrid w:val="0"/>
        <w:spacing w:before="120" w:beforeLines="50" w:after="50"/>
        <w:ind w:left="142"/>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五、其他文书、文件格式</w:t>
      </w:r>
    </w:p>
    <w:p w14:paraId="614BDD06">
      <w:pPr>
        <w:wordWrap w:val="0"/>
        <w:snapToGrid w:val="0"/>
        <w:spacing w:before="120" w:beforeLines="50" w:after="50"/>
        <w:ind w:left="142"/>
        <w:outlineLvl w:val="2"/>
        <w:rPr>
          <w:rFonts w:hint="eastAsia" w:ascii="宋体" w:hAnsi="宋体" w:eastAsia="宋体" w:cs="宋体"/>
          <w:b/>
          <w:color w:val="auto"/>
          <w:spacing w:val="20"/>
          <w:sz w:val="24"/>
        </w:rPr>
      </w:pPr>
      <w:r>
        <w:rPr>
          <w:rFonts w:hint="eastAsia" w:ascii="宋体" w:hAnsi="宋体" w:eastAsia="宋体" w:cs="宋体"/>
          <w:b/>
          <w:color w:val="auto"/>
          <w:spacing w:val="20"/>
          <w:sz w:val="24"/>
        </w:rPr>
        <w:t>1.联合投标协议书格式</w:t>
      </w:r>
    </w:p>
    <w:p w14:paraId="366B2C03">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联合投标协议书</w:t>
      </w:r>
    </w:p>
    <w:p w14:paraId="48843A18">
      <w:pPr>
        <w:pStyle w:val="7"/>
        <w:wordWrap w:val="0"/>
        <w:overflowPunct w:val="0"/>
        <w:spacing w:line="440" w:lineRule="exact"/>
        <w:rPr>
          <w:rFonts w:hint="eastAsia" w:ascii="宋体" w:hAnsi="宋体" w:eastAsia="宋体" w:cs="宋体"/>
          <w:color w:val="auto"/>
          <w:sz w:val="24"/>
        </w:rPr>
      </w:pPr>
      <w:r>
        <w:rPr>
          <w:rFonts w:hint="eastAsia" w:ascii="宋体" w:hAnsi="宋体" w:eastAsia="宋体" w:cs="宋体"/>
          <w:color w:val="auto"/>
          <w:sz w:val="24"/>
          <w:u w:val="single"/>
        </w:rPr>
        <w:t>（所有成员单位名称）</w:t>
      </w:r>
      <w:r>
        <w:rPr>
          <w:rFonts w:hint="eastAsia" w:ascii="宋体" w:hAnsi="宋体" w:eastAsia="宋体" w:cs="宋体"/>
          <w:color w:val="auto"/>
          <w:sz w:val="24"/>
        </w:rPr>
        <w:t>自愿组成</w:t>
      </w:r>
      <w:r>
        <w:rPr>
          <w:rFonts w:hint="eastAsia" w:ascii="宋体" w:hAnsi="宋体" w:eastAsia="宋体" w:cs="宋体"/>
          <w:color w:val="auto"/>
          <w:sz w:val="24"/>
          <w:u w:val="single"/>
        </w:rPr>
        <w:t>（联合体名称）</w:t>
      </w:r>
      <w:r>
        <w:rPr>
          <w:rFonts w:hint="eastAsia" w:ascii="宋体" w:hAnsi="宋体" w:eastAsia="宋体" w:cs="宋体"/>
          <w:color w:val="auto"/>
          <w:sz w:val="24"/>
        </w:rPr>
        <w:t>联合体，共同参加</w:t>
      </w:r>
      <w:r>
        <w:rPr>
          <w:rFonts w:hint="eastAsia" w:ascii="宋体" w:hAnsi="宋体" w:eastAsia="宋体" w:cs="宋体"/>
          <w:color w:val="auto"/>
          <w:sz w:val="24"/>
          <w:u w:val="single"/>
        </w:rPr>
        <w:tab/>
      </w:r>
      <w:r>
        <w:rPr>
          <w:rFonts w:hint="eastAsia" w:ascii="宋体" w:hAnsi="宋体" w:eastAsia="宋体" w:cs="宋体"/>
          <w:color w:val="auto"/>
          <w:sz w:val="24"/>
          <w:u w:val="single"/>
        </w:rPr>
        <w:t>（项目名称</w:t>
      </w:r>
      <w:r>
        <w:rPr>
          <w:rFonts w:hint="eastAsia" w:ascii="宋体" w:hAnsi="宋体" w:eastAsia="宋体" w:cs="宋体"/>
          <w:color w:val="auto"/>
          <w:sz w:val="24"/>
          <w:u w:val="single"/>
        </w:rPr>
        <w:t>/项目编号</w:t>
      </w:r>
      <w:r>
        <w:rPr>
          <w:rFonts w:hint="eastAsia" w:ascii="宋体" w:hAnsi="宋体" w:eastAsia="宋体" w:cs="宋体"/>
          <w:color w:val="auto"/>
          <w:sz w:val="24"/>
        </w:rPr>
        <w:t>）采购项目投标。现就联合体投标事宜订立如下协议。</w:t>
      </w:r>
    </w:p>
    <w:p w14:paraId="13B57DBE">
      <w:pPr>
        <w:pStyle w:val="7"/>
        <w:wordWrap w:val="0"/>
        <w:overflowPunct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u w:val="single"/>
        </w:rPr>
        <w:tab/>
      </w:r>
      <w:r>
        <w:rPr>
          <w:rFonts w:hint="eastAsia" w:ascii="宋体" w:hAnsi="宋体" w:eastAsia="宋体" w:cs="宋体"/>
          <w:color w:val="auto"/>
          <w:sz w:val="24"/>
          <w:u w:val="single"/>
        </w:rPr>
        <w:t>（某成员单位名称）</w:t>
      </w:r>
      <w:r>
        <w:rPr>
          <w:rFonts w:hint="eastAsia" w:ascii="宋体" w:hAnsi="宋体" w:eastAsia="宋体" w:cs="宋体"/>
          <w:color w:val="auto"/>
          <w:sz w:val="24"/>
        </w:rPr>
        <w:t>为</w:t>
      </w:r>
      <w:r>
        <w:rPr>
          <w:rFonts w:hint="eastAsia" w:ascii="宋体" w:hAnsi="宋体" w:eastAsia="宋体" w:cs="宋体"/>
          <w:color w:val="auto"/>
          <w:sz w:val="24"/>
          <w:u w:val="single"/>
        </w:rPr>
        <w:t>（联合体名称）</w:t>
      </w:r>
      <w:r>
        <w:rPr>
          <w:rFonts w:hint="eastAsia" w:ascii="宋体" w:hAnsi="宋体" w:eastAsia="宋体" w:cs="宋体"/>
          <w:color w:val="auto"/>
          <w:sz w:val="24"/>
        </w:rPr>
        <w:t>牵头人。</w:t>
      </w:r>
    </w:p>
    <w:p w14:paraId="34A59F64">
      <w:pPr>
        <w:pStyle w:val="7"/>
        <w:wordWrap w:val="0"/>
        <w:overflowPunct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联合体各成员授权牵头人代表联合体参加投标活动，签署文件及对文件的盖章，提交和接收相关的资料、信息及指示，进行合同谈判活动，负责合同实施阶段的组织和协调工作，以及处理与本采购项目有关的一切事宜。</w:t>
      </w:r>
    </w:p>
    <w:p w14:paraId="50E0901A">
      <w:pPr>
        <w:pStyle w:val="7"/>
        <w:wordWrap w:val="0"/>
        <w:overflowPunct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3.联合体牵头人在本项目中签署和盖章的一切文件和处理的一切事宜，联合体各成员均予以承认。联合体各成员将严格按照招标文件、投标文件和合同的要求全面履行义务，并向招标人承担连带责任。</w:t>
      </w:r>
    </w:p>
    <w:p w14:paraId="520507F1">
      <w:pPr>
        <w:pStyle w:val="7"/>
        <w:wordWrap w:val="0"/>
        <w:overflowPunct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4.对本项目的保密要求及提供的保密承诺全部材料，</w:t>
      </w:r>
      <w:r>
        <w:rPr>
          <w:rFonts w:hint="eastAsia" w:ascii="宋体" w:hAnsi="宋体" w:eastAsia="宋体" w:cs="宋体"/>
          <w:color w:val="auto"/>
          <w:sz w:val="24"/>
        </w:rPr>
        <w:t>联合体各成员单位严格执行，任何一方均对保密事项负责，并无条件向采购人承担保密承诺的任何责任。</w:t>
      </w:r>
    </w:p>
    <w:p w14:paraId="260E81DE">
      <w:pPr>
        <w:pStyle w:val="7"/>
        <w:wordWrap w:val="0"/>
        <w:overflowPunct w:val="0"/>
        <w:spacing w:line="440" w:lineRule="exact"/>
        <w:ind w:firstLine="480" w:firstLineChars="200"/>
        <w:outlineLvl w:val="2"/>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rPr>
        <w:t>.联合体各成员单位内部的职责分工如下：</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w:t>
      </w:r>
    </w:p>
    <w:p w14:paraId="1598E8E8">
      <w:pPr>
        <w:wordWrap w:val="0"/>
        <w:snapToGrid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t>6.本联合体中</w:t>
      </w:r>
      <w:r>
        <w:rPr>
          <w:rFonts w:hint="eastAsia" w:ascii="宋体" w:hAnsi="宋体" w:eastAsia="宋体" w:cs="宋体"/>
          <w:color w:val="auto"/>
          <w:sz w:val="24"/>
          <w:u w:val="single"/>
        </w:rPr>
        <w:tab/>
      </w:r>
      <w:r>
        <w:rPr>
          <w:rFonts w:hint="eastAsia" w:ascii="宋体" w:hAnsi="宋体" w:eastAsia="宋体" w:cs="宋体"/>
          <w:color w:val="auto"/>
          <w:kern w:val="0"/>
          <w:sz w:val="24"/>
          <w:u w:val="single"/>
        </w:rPr>
        <w:t>（某成员单位名称）为</w:t>
      </w:r>
      <w:r>
        <w:rPr>
          <w:rFonts w:hint="eastAsia" w:ascii="宋体" w:hAnsi="宋体" w:eastAsia="宋体" w:cs="宋体"/>
          <w:color w:val="auto"/>
          <w:sz w:val="24"/>
          <w:u w:val="single"/>
        </w:rPr>
        <w:t>（</w:t>
      </w:r>
      <w:r>
        <w:rPr>
          <w:rFonts w:hint="eastAsia" w:ascii="宋体" w:hAnsi="宋体" w:eastAsia="宋体" w:cs="宋体"/>
          <w:color w:val="auto"/>
          <w:sz w:val="24"/>
          <w:u w:val="single"/>
        </w:rPr>
        <w:t>请填写：中型企业、小型企业、微型企业或其他）</w:t>
      </w:r>
      <w:r>
        <w:rPr>
          <w:rFonts w:hint="eastAsia" w:ascii="宋体" w:hAnsi="宋体" w:eastAsia="宋体" w:cs="宋体"/>
          <w:color w:val="auto"/>
          <w:sz w:val="24"/>
        </w:rPr>
        <w:t>，其协议合同金额占联合体协议合同总金额的</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%。【如联合体成员中有多个的，请逐一列出。】</w:t>
      </w:r>
    </w:p>
    <w:p w14:paraId="262BDC28">
      <w:pPr>
        <w:pStyle w:val="7"/>
        <w:wordWrap w:val="0"/>
        <w:overflowPunct w:val="0"/>
        <w:spacing w:line="440" w:lineRule="exact"/>
        <w:ind w:firstLine="480" w:firstLineChars="200"/>
        <w:outlineLvl w:val="2"/>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rPr>
        <w:t>.</w:t>
      </w:r>
      <w:r>
        <w:rPr>
          <w:rFonts w:hint="eastAsia" w:ascii="宋体" w:hAnsi="宋体" w:eastAsia="宋体" w:cs="宋体"/>
          <w:color w:val="auto"/>
          <w:sz w:val="24"/>
          <w:szCs w:val="24"/>
        </w:rPr>
        <w:t>其他相关事项：</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w:t>
      </w:r>
    </w:p>
    <w:p w14:paraId="7BA9B621">
      <w:pPr>
        <w:pStyle w:val="7"/>
        <w:wordWrap w:val="0"/>
        <w:overflowPunct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rPr>
        <w:t>.本协议书自所有成员单位法定代表人或者其委托代理人签字（或者电子签名）或者盖公章之日起生效，合同履行完毕后自动失效。</w:t>
      </w:r>
    </w:p>
    <w:p w14:paraId="38BD1AC2">
      <w:pPr>
        <w:pStyle w:val="7"/>
        <w:wordWrap w:val="0"/>
        <w:overflowPunct w:val="0"/>
        <w:spacing w:line="440" w:lineRule="exact"/>
        <w:ind w:firstLine="480" w:firstLineChars="200"/>
        <w:outlineLvl w:val="2"/>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eastAsia="宋体" w:cs="宋体"/>
          <w:color w:val="auto"/>
          <w:sz w:val="24"/>
          <w:szCs w:val="24"/>
        </w:rPr>
        <w:t>.本协议书一式</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份，联合体成员和招标人各执一份。</w:t>
      </w:r>
    </w:p>
    <w:p w14:paraId="49B8473D">
      <w:pPr>
        <w:pStyle w:val="7"/>
        <w:wordWrap w:val="0"/>
        <w:overflowPunct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注：1）具体要求实现详见</w:t>
      </w:r>
      <w:r>
        <w:rPr>
          <w:rFonts w:hint="eastAsia" w:ascii="宋体" w:hAnsi="宋体" w:eastAsia="宋体" w:cs="宋体"/>
          <w:b/>
          <w:color w:val="auto"/>
          <w:sz w:val="24"/>
          <w:szCs w:val="24"/>
        </w:rPr>
        <w:t>第三章投标人须知投标人须知前附表“6.2”</w:t>
      </w:r>
    </w:p>
    <w:p w14:paraId="3D91C2EE">
      <w:pPr>
        <w:pStyle w:val="7"/>
        <w:wordWrap w:val="0"/>
        <w:overflowPunct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2）本协议书应附法定代表人身份证明；有委托代理的，应附授权委托书（格式自拟）。</w:t>
      </w:r>
    </w:p>
    <w:p w14:paraId="1BF00126">
      <w:pPr>
        <w:pStyle w:val="7"/>
        <w:wordWrap w:val="0"/>
        <w:overflowPunct w:val="0"/>
        <w:spacing w:line="440" w:lineRule="exact"/>
        <w:ind w:firstLine="480" w:firstLineChars="200"/>
        <w:rPr>
          <w:rFonts w:hint="eastAsia" w:ascii="宋体" w:hAnsi="宋体" w:eastAsia="宋体" w:cs="宋体"/>
          <w:color w:val="auto"/>
          <w:sz w:val="24"/>
          <w:szCs w:val="24"/>
        </w:rPr>
      </w:pPr>
    </w:p>
    <w:p w14:paraId="6168DCBA">
      <w:pPr>
        <w:pStyle w:val="7"/>
        <w:wordWrap w:val="0"/>
        <w:overflowPunct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联合体牵头人名称（电子签章）：</w:t>
      </w:r>
    </w:p>
    <w:p w14:paraId="0EE8C82E">
      <w:pPr>
        <w:pStyle w:val="7"/>
        <w:wordWrap w:val="0"/>
        <w:overflowPunct w:val="0"/>
        <w:spacing w:line="440" w:lineRule="exact"/>
        <w:ind w:firstLine="480" w:firstLineChars="200"/>
        <w:outlineLvl w:val="1"/>
        <w:rPr>
          <w:rFonts w:hint="eastAsia" w:ascii="宋体" w:hAnsi="宋体" w:eastAsia="宋体" w:cs="宋体"/>
          <w:color w:val="auto"/>
          <w:sz w:val="24"/>
        </w:rPr>
      </w:pPr>
      <w:r>
        <w:rPr>
          <w:rFonts w:hint="eastAsia" w:ascii="宋体" w:hAnsi="宋体" w:eastAsia="宋体" w:cs="宋体"/>
          <w:color w:val="auto"/>
          <w:sz w:val="24"/>
        </w:rPr>
        <w:t>法定代表人或者其委托代理人：（签字或者电子签名）</w:t>
      </w:r>
    </w:p>
    <w:p w14:paraId="135442D0">
      <w:pPr>
        <w:pStyle w:val="7"/>
        <w:wordWrap w:val="0"/>
        <w:overflowPunct w:val="0"/>
        <w:spacing w:line="440" w:lineRule="exact"/>
        <w:ind w:firstLine="480" w:firstLineChars="200"/>
        <w:rPr>
          <w:rFonts w:hint="eastAsia" w:ascii="宋体" w:hAnsi="宋体" w:eastAsia="宋体" w:cs="宋体"/>
          <w:color w:val="auto"/>
          <w:sz w:val="24"/>
        </w:rPr>
      </w:pPr>
    </w:p>
    <w:p w14:paraId="2293DE96">
      <w:pPr>
        <w:pStyle w:val="7"/>
        <w:wordWrap w:val="0"/>
        <w:overflowPunct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联合体成员名称（盖公章或者电子签章）：</w:t>
      </w:r>
    </w:p>
    <w:p w14:paraId="1DCEDCBD">
      <w:pPr>
        <w:pStyle w:val="7"/>
        <w:wordWrap w:val="0"/>
        <w:overflowPunct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法定代表人或者其委托代理人：（签字或者电子签名）</w:t>
      </w:r>
    </w:p>
    <w:p w14:paraId="23F6F3A3">
      <w:pPr>
        <w:pStyle w:val="7"/>
        <w:wordWrap w:val="0"/>
        <w:overflowPunct w:val="0"/>
        <w:spacing w:line="440" w:lineRule="exact"/>
        <w:ind w:firstLineChars="175"/>
        <w:rPr>
          <w:rFonts w:hint="eastAsia" w:ascii="宋体" w:hAnsi="宋体" w:eastAsia="宋体" w:cs="宋体"/>
          <w:color w:val="auto"/>
          <w:sz w:val="24"/>
        </w:rPr>
      </w:pPr>
      <w:r>
        <w:rPr>
          <w:rFonts w:hint="eastAsia" w:ascii="宋体" w:hAnsi="宋体" w:eastAsia="宋体" w:cs="宋体"/>
          <w:color w:val="auto"/>
          <w:sz w:val="24"/>
        </w:rPr>
        <w:t>……</w:t>
      </w:r>
    </w:p>
    <w:p w14:paraId="53ED77CD">
      <w:pPr>
        <w:wordWrap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日期：</w:t>
      </w:r>
      <w:bookmarkStart w:id="239" w:name="OLE_LINK270"/>
      <w:bookmarkStart w:id="240" w:name="OLE_LINK269"/>
      <w:r>
        <w:rPr>
          <w:rFonts w:hint="eastAsia" w:ascii="宋体" w:hAnsi="宋体" w:eastAsia="宋体" w:cs="宋体"/>
          <w:color w:val="auto"/>
          <w:sz w:val="24"/>
        </w:rPr>
        <w:t>年月日</w:t>
      </w:r>
      <w:bookmarkEnd w:id="239"/>
      <w:bookmarkEnd w:id="240"/>
    </w:p>
    <w:p w14:paraId="5819C72B">
      <w:pPr>
        <w:wordWrap w:val="0"/>
        <w:snapToGrid w:val="0"/>
        <w:spacing w:before="120" w:beforeLines="50" w:after="50"/>
        <w:outlineLvl w:val="2"/>
        <w:rPr>
          <w:rFonts w:hint="eastAsia" w:ascii="宋体" w:hAnsi="宋体" w:eastAsia="宋体" w:cs="宋体"/>
          <w:color w:val="auto"/>
        </w:rPr>
      </w:pPr>
      <w:r>
        <w:rPr>
          <w:rFonts w:hint="eastAsia" w:ascii="宋体" w:hAnsi="宋体" w:eastAsia="宋体" w:cs="宋体"/>
          <w:b/>
          <w:color w:val="auto"/>
          <w:sz w:val="24"/>
        </w:rPr>
        <w:br w:type="page"/>
      </w:r>
      <w:r>
        <w:rPr>
          <w:rFonts w:hint="eastAsia" w:ascii="宋体" w:hAnsi="宋体" w:eastAsia="宋体" w:cs="宋体"/>
          <w:b/>
          <w:color w:val="auto"/>
          <w:sz w:val="24"/>
        </w:rPr>
        <w:t>2.中小企业声明函格式</w:t>
      </w:r>
    </w:p>
    <w:p w14:paraId="6FFA9256">
      <w:pPr>
        <w:wordWrap w:val="0"/>
        <w:rPr>
          <w:rFonts w:hint="eastAsia" w:ascii="宋体" w:hAnsi="宋体" w:eastAsia="宋体" w:cs="宋体"/>
          <w:color w:val="auto"/>
        </w:rPr>
      </w:pPr>
    </w:p>
    <w:p w14:paraId="7ACCE5A6">
      <w:pPr>
        <w:snapToGrid w:val="0"/>
        <w:spacing w:before="120" w:beforeLines="50" w:after="50"/>
        <w:ind w:left="142"/>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中小企业声明函（货物）</w:t>
      </w:r>
    </w:p>
    <w:p w14:paraId="21930D9D">
      <w:pPr>
        <w:pStyle w:val="19"/>
        <w:wordWrap w:val="0"/>
        <w:spacing w:line="360" w:lineRule="auto"/>
        <w:ind w:left="-426" w:leftChars="-203" w:right="142" w:firstLine="480" w:firstLineChars="200"/>
        <w:contextualSpacing/>
        <w:rPr>
          <w:rFonts w:hint="eastAsia" w:ascii="宋体" w:hAnsi="宋体" w:eastAsia="宋体" w:cs="宋体"/>
          <w:color w:val="auto"/>
          <w:kern w:val="24"/>
          <w:sz w:val="21"/>
        </w:rPr>
      </w:pPr>
      <w:r>
        <w:rPr>
          <w:rFonts w:hint="eastAsia" w:ascii="宋体" w:hAnsi="宋体" w:eastAsia="宋体" w:cs="宋体"/>
          <w:color w:val="auto"/>
          <w:kern w:val="24"/>
        </w:rPr>
        <w:t>本公司（联合体）郑重声明，根据《政府采购促进中小企业发展管理办法》（财库﹝2020﹞46号）的规定，本公司（联合体）参加</w:t>
      </w:r>
      <w:bookmarkStart w:id="241" w:name="OLE_LINK164"/>
      <w:r>
        <w:rPr>
          <w:rFonts w:hint="eastAsia" w:ascii="宋体" w:hAnsi="宋体" w:eastAsia="宋体" w:cs="宋体"/>
          <w:color w:val="auto"/>
          <w:kern w:val="24"/>
          <w:u w:val="single"/>
        </w:rPr>
        <w:t>（采购人）</w:t>
      </w:r>
      <w:r>
        <w:rPr>
          <w:rFonts w:hint="eastAsia" w:ascii="宋体" w:hAnsi="宋体" w:eastAsia="宋体" w:cs="宋体"/>
          <w:color w:val="auto"/>
          <w:kern w:val="24"/>
        </w:rPr>
        <w:t>的</w:t>
      </w:r>
      <w:r>
        <w:rPr>
          <w:rFonts w:hint="eastAsia" w:ascii="宋体" w:hAnsi="宋体" w:eastAsia="宋体" w:cs="宋体"/>
          <w:color w:val="auto"/>
          <w:u w:val="single"/>
        </w:rPr>
        <w:t>（项目名称/项目编号）</w:t>
      </w:r>
      <w:bookmarkEnd w:id="241"/>
      <w:r>
        <w:rPr>
          <w:rFonts w:hint="eastAsia" w:ascii="宋体" w:hAnsi="宋体" w:eastAsia="宋体" w:cs="宋体"/>
          <w:color w:val="auto"/>
          <w:kern w:val="24"/>
        </w:rPr>
        <w:t>采购活动，提供的货物全部由符合政策要求的中小企业制造。相关企业（含联合体中的中小企业、签订分包意向协议的中小企业）的具体情况如下：</w:t>
      </w:r>
    </w:p>
    <w:p w14:paraId="217E00B3">
      <w:pPr>
        <w:tabs>
          <w:tab w:val="left" w:pos="1384"/>
          <w:tab w:val="left" w:pos="4562"/>
          <w:tab w:val="left" w:pos="6803"/>
        </w:tabs>
        <w:wordWrap w:val="0"/>
        <w:spacing w:line="360" w:lineRule="auto"/>
        <w:ind w:left="-426" w:right="-58" w:firstLine="655"/>
        <w:contextualSpacing/>
        <w:rPr>
          <w:rFonts w:hint="eastAsia" w:ascii="宋体" w:hAnsi="宋体" w:eastAsia="宋体" w:cs="宋体"/>
          <w:color w:val="auto"/>
          <w:kern w:val="24"/>
          <w:sz w:val="24"/>
        </w:rPr>
      </w:pPr>
      <w:r>
        <w:rPr>
          <w:rFonts w:hint="eastAsia" w:ascii="宋体" w:hAnsi="宋体" w:eastAsia="宋体" w:cs="宋体"/>
          <w:color w:val="auto"/>
          <w:kern w:val="24"/>
          <w:sz w:val="24"/>
        </w:rPr>
        <w:t>1.</w:t>
      </w:r>
      <w:r>
        <w:rPr>
          <w:rFonts w:hint="eastAsia" w:ascii="宋体" w:hAnsi="宋体" w:eastAsia="宋体" w:cs="宋体"/>
          <w:color w:val="auto"/>
          <w:kern w:val="24"/>
          <w:sz w:val="24"/>
          <w:u w:val="single"/>
        </w:rPr>
        <w:t>（标的名称）</w:t>
      </w:r>
      <w:r>
        <w:rPr>
          <w:rFonts w:hint="eastAsia" w:ascii="宋体" w:hAnsi="宋体" w:eastAsia="宋体" w:cs="宋体"/>
          <w:color w:val="auto"/>
          <w:kern w:val="24"/>
          <w:sz w:val="24"/>
        </w:rPr>
        <w:t>，属于</w:t>
      </w:r>
      <w:r>
        <w:rPr>
          <w:rFonts w:hint="eastAsia" w:ascii="宋体" w:hAnsi="宋体" w:eastAsia="宋体" w:cs="宋体"/>
          <w:color w:val="auto"/>
          <w:kern w:val="24"/>
          <w:sz w:val="24"/>
          <w:u w:val="single"/>
        </w:rPr>
        <w:t>（采购文件中明确的所属行业）</w:t>
      </w:r>
      <w:r>
        <w:rPr>
          <w:rFonts w:hint="eastAsia" w:ascii="宋体" w:hAnsi="宋体" w:eastAsia="宋体" w:cs="宋体"/>
          <w:color w:val="auto"/>
          <w:kern w:val="24"/>
          <w:sz w:val="24"/>
        </w:rPr>
        <w:t>行业；制造商为</w:t>
      </w:r>
      <w:r>
        <w:rPr>
          <w:rFonts w:hint="eastAsia" w:ascii="宋体" w:hAnsi="宋体" w:eastAsia="宋体" w:cs="宋体"/>
          <w:color w:val="auto"/>
          <w:kern w:val="24"/>
          <w:sz w:val="24"/>
          <w:u w:val="single"/>
        </w:rPr>
        <w:t>（企业名称）</w:t>
      </w:r>
      <w:r>
        <w:rPr>
          <w:rFonts w:hint="eastAsia" w:ascii="宋体" w:hAnsi="宋体" w:eastAsia="宋体" w:cs="宋体"/>
          <w:color w:val="auto"/>
          <w:kern w:val="24"/>
          <w:sz w:val="24"/>
        </w:rPr>
        <w:t>，从业人员人，营业收入为</w:t>
      </w:r>
      <w:r>
        <w:rPr>
          <w:rFonts w:hint="eastAsia" w:ascii="宋体" w:hAnsi="宋体" w:eastAsia="宋体" w:cs="宋体"/>
          <w:color w:val="auto"/>
          <w:kern w:val="24"/>
          <w:sz w:val="24"/>
          <w:u w:val="single"/>
        </w:rPr>
        <w:t xml:space="preserve">  </w:t>
      </w:r>
      <w:r>
        <w:rPr>
          <w:rFonts w:hint="eastAsia" w:ascii="宋体" w:hAnsi="宋体" w:eastAsia="宋体" w:cs="宋体"/>
          <w:color w:val="auto"/>
          <w:kern w:val="24"/>
          <w:sz w:val="24"/>
        </w:rPr>
        <w:t>万元，资产总额为</w:t>
      </w:r>
      <w:r>
        <w:rPr>
          <w:rFonts w:hint="eastAsia" w:ascii="宋体" w:hAnsi="宋体" w:eastAsia="宋体" w:cs="宋体"/>
          <w:color w:val="auto"/>
          <w:kern w:val="24"/>
          <w:sz w:val="24"/>
          <w:u w:val="single"/>
        </w:rPr>
        <w:t xml:space="preserve">  </w:t>
      </w:r>
      <w:r>
        <w:rPr>
          <w:rFonts w:hint="eastAsia" w:ascii="宋体" w:hAnsi="宋体" w:eastAsia="宋体" w:cs="宋体"/>
          <w:color w:val="auto"/>
          <w:kern w:val="24"/>
          <w:sz w:val="24"/>
        </w:rPr>
        <w:t>万元，属于</w:t>
      </w:r>
      <w:r>
        <w:rPr>
          <w:rFonts w:hint="eastAsia" w:ascii="宋体" w:hAnsi="宋体" w:eastAsia="宋体" w:cs="宋体"/>
          <w:color w:val="auto"/>
          <w:kern w:val="24"/>
          <w:sz w:val="24"/>
          <w:u w:val="single"/>
        </w:rPr>
        <w:t>（中型企业、小型企业、微型企业）</w:t>
      </w:r>
      <w:r>
        <w:rPr>
          <w:rFonts w:hint="eastAsia" w:ascii="宋体" w:hAnsi="宋体" w:eastAsia="宋体" w:cs="宋体"/>
          <w:color w:val="auto"/>
          <w:kern w:val="24"/>
          <w:sz w:val="24"/>
        </w:rPr>
        <w:t>；</w:t>
      </w:r>
    </w:p>
    <w:p w14:paraId="79EDA37F">
      <w:pPr>
        <w:tabs>
          <w:tab w:val="left" w:pos="1065"/>
          <w:tab w:val="left" w:pos="6477"/>
        </w:tabs>
        <w:wordWrap w:val="0"/>
        <w:spacing w:line="360" w:lineRule="auto"/>
        <w:ind w:left="-426" w:right="-58" w:firstLine="655"/>
        <w:contextualSpacing/>
        <w:rPr>
          <w:rFonts w:hint="eastAsia" w:ascii="宋体" w:hAnsi="宋体" w:eastAsia="宋体" w:cs="宋体"/>
          <w:color w:val="auto"/>
          <w:kern w:val="24"/>
          <w:sz w:val="24"/>
        </w:rPr>
      </w:pPr>
      <w:r>
        <w:rPr>
          <w:rFonts w:hint="eastAsia" w:ascii="宋体" w:hAnsi="宋体" w:eastAsia="宋体" w:cs="宋体"/>
          <w:color w:val="auto"/>
          <w:kern w:val="24"/>
          <w:sz w:val="24"/>
        </w:rPr>
        <w:t>2.</w:t>
      </w:r>
      <w:r>
        <w:rPr>
          <w:rFonts w:hint="eastAsia" w:ascii="宋体" w:hAnsi="宋体" w:eastAsia="宋体" w:cs="宋体"/>
          <w:color w:val="auto"/>
          <w:kern w:val="24"/>
          <w:sz w:val="24"/>
          <w:u w:val="single"/>
        </w:rPr>
        <w:t>（标的名称）</w:t>
      </w:r>
      <w:r>
        <w:rPr>
          <w:rFonts w:hint="eastAsia" w:ascii="宋体" w:hAnsi="宋体" w:eastAsia="宋体" w:cs="宋体"/>
          <w:color w:val="auto"/>
          <w:kern w:val="24"/>
          <w:sz w:val="24"/>
        </w:rPr>
        <w:t>，属于</w:t>
      </w:r>
      <w:r>
        <w:rPr>
          <w:rFonts w:hint="eastAsia" w:ascii="宋体" w:hAnsi="宋体" w:eastAsia="宋体" w:cs="宋体"/>
          <w:color w:val="auto"/>
          <w:kern w:val="24"/>
          <w:sz w:val="24"/>
          <w:u w:val="single"/>
        </w:rPr>
        <w:t>（采购文件中明确的所属行业）</w:t>
      </w:r>
      <w:r>
        <w:rPr>
          <w:rFonts w:hint="eastAsia" w:ascii="宋体" w:hAnsi="宋体" w:eastAsia="宋体" w:cs="宋体"/>
          <w:color w:val="auto"/>
          <w:kern w:val="24"/>
          <w:sz w:val="24"/>
        </w:rPr>
        <w:t>行业；制造商为</w:t>
      </w:r>
      <w:r>
        <w:rPr>
          <w:rFonts w:hint="eastAsia" w:ascii="宋体" w:hAnsi="宋体" w:eastAsia="宋体" w:cs="宋体"/>
          <w:color w:val="auto"/>
          <w:kern w:val="24"/>
          <w:sz w:val="24"/>
          <w:u w:val="single"/>
        </w:rPr>
        <w:t>（企业名称）</w:t>
      </w:r>
      <w:r>
        <w:rPr>
          <w:rFonts w:hint="eastAsia" w:ascii="宋体" w:hAnsi="宋体" w:eastAsia="宋体" w:cs="宋体"/>
          <w:color w:val="auto"/>
          <w:kern w:val="24"/>
          <w:sz w:val="24"/>
        </w:rPr>
        <w:t>，从业人员人，营业收入为</w:t>
      </w:r>
      <w:r>
        <w:rPr>
          <w:rFonts w:hint="eastAsia" w:ascii="宋体" w:hAnsi="宋体" w:eastAsia="宋体" w:cs="宋体"/>
          <w:color w:val="auto"/>
          <w:kern w:val="24"/>
          <w:sz w:val="24"/>
          <w:u w:val="single"/>
        </w:rPr>
        <w:t xml:space="preserve">  </w:t>
      </w:r>
      <w:r>
        <w:rPr>
          <w:rFonts w:hint="eastAsia" w:ascii="宋体" w:hAnsi="宋体" w:eastAsia="宋体" w:cs="宋体"/>
          <w:color w:val="auto"/>
          <w:kern w:val="24"/>
          <w:sz w:val="24"/>
        </w:rPr>
        <w:t>万元，资产总额为</w:t>
      </w:r>
      <w:r>
        <w:rPr>
          <w:rFonts w:hint="eastAsia" w:ascii="宋体" w:hAnsi="宋体" w:eastAsia="宋体" w:cs="宋体"/>
          <w:color w:val="auto"/>
          <w:kern w:val="24"/>
          <w:sz w:val="24"/>
          <w:u w:val="single"/>
        </w:rPr>
        <w:t xml:space="preserve">  </w:t>
      </w:r>
      <w:r>
        <w:rPr>
          <w:rFonts w:hint="eastAsia" w:ascii="宋体" w:hAnsi="宋体" w:eastAsia="宋体" w:cs="宋体"/>
          <w:color w:val="auto"/>
          <w:kern w:val="24"/>
          <w:sz w:val="24"/>
        </w:rPr>
        <w:t>万元，属于</w:t>
      </w:r>
      <w:r>
        <w:rPr>
          <w:rFonts w:hint="eastAsia" w:ascii="宋体" w:hAnsi="宋体" w:eastAsia="宋体" w:cs="宋体"/>
          <w:color w:val="auto"/>
          <w:kern w:val="24"/>
          <w:sz w:val="24"/>
          <w:u w:val="single"/>
        </w:rPr>
        <w:t>（中型企业、小型企业、微型企业）</w:t>
      </w:r>
      <w:r>
        <w:rPr>
          <w:rFonts w:hint="eastAsia" w:ascii="宋体" w:hAnsi="宋体" w:eastAsia="宋体" w:cs="宋体"/>
          <w:color w:val="auto"/>
          <w:kern w:val="24"/>
          <w:sz w:val="24"/>
        </w:rPr>
        <w:t>；</w:t>
      </w:r>
    </w:p>
    <w:p w14:paraId="2CA6427D">
      <w:pPr>
        <w:pStyle w:val="19"/>
        <w:wordWrap w:val="0"/>
        <w:spacing w:line="360" w:lineRule="auto"/>
        <w:ind w:left="142" w:right="142"/>
        <w:contextualSpacing/>
        <w:rPr>
          <w:rFonts w:hint="eastAsia" w:ascii="宋体" w:hAnsi="宋体" w:eastAsia="宋体" w:cs="宋体"/>
          <w:color w:val="auto"/>
          <w:kern w:val="24"/>
          <w:sz w:val="21"/>
        </w:rPr>
      </w:pPr>
      <w:r>
        <w:rPr>
          <w:rFonts w:hint="eastAsia" w:ascii="宋体" w:hAnsi="宋体" w:eastAsia="宋体" w:cs="宋体"/>
          <w:color w:val="auto"/>
          <w:kern w:val="24"/>
        </w:rPr>
        <w:t>……</w:t>
      </w:r>
    </w:p>
    <w:p w14:paraId="015178ED">
      <w:pPr>
        <w:pStyle w:val="19"/>
        <w:wordWrap w:val="0"/>
        <w:spacing w:line="360" w:lineRule="auto"/>
        <w:ind w:left="-405" w:leftChars="-193" w:right="142" w:firstLine="453" w:firstLineChars="189"/>
        <w:contextualSpacing/>
        <w:rPr>
          <w:rFonts w:hint="eastAsia" w:ascii="宋体" w:hAnsi="宋体" w:eastAsia="宋体" w:cs="宋体"/>
          <w:color w:val="auto"/>
          <w:kern w:val="24"/>
        </w:rPr>
      </w:pPr>
      <w:r>
        <w:rPr>
          <w:rFonts w:hint="eastAsia" w:ascii="宋体" w:hAnsi="宋体" w:eastAsia="宋体" w:cs="宋体"/>
          <w:color w:val="auto"/>
          <w:kern w:val="24"/>
        </w:rPr>
        <w:t>以上企业，不属于大企业的分支机构，不存在控股股东为大企业的情形，也不存在与大企业的负责人为同一人的情形。</w:t>
      </w:r>
    </w:p>
    <w:p w14:paraId="2D98C276">
      <w:pPr>
        <w:pStyle w:val="19"/>
        <w:wordWrap w:val="0"/>
        <w:spacing w:line="360" w:lineRule="auto"/>
        <w:ind w:left="-426" w:right="142" w:firstLine="567"/>
        <w:contextualSpacing/>
        <w:rPr>
          <w:rFonts w:hint="eastAsia" w:ascii="宋体" w:hAnsi="宋体" w:eastAsia="宋体" w:cs="宋体"/>
          <w:color w:val="auto"/>
          <w:kern w:val="24"/>
        </w:rPr>
      </w:pPr>
      <w:r>
        <w:rPr>
          <w:rFonts w:hint="eastAsia" w:ascii="宋体" w:hAnsi="宋体" w:eastAsia="宋体" w:cs="宋体"/>
          <w:color w:val="auto"/>
          <w:kern w:val="24"/>
        </w:rPr>
        <w:t>本企业对上述声明内容的真实性负责。如有虚假，将依法承担相应责任。</w:t>
      </w:r>
    </w:p>
    <w:p w14:paraId="586902B5">
      <w:pPr>
        <w:pStyle w:val="19"/>
        <w:wordWrap w:val="0"/>
        <w:spacing w:line="360" w:lineRule="auto"/>
        <w:ind w:left="3960" w:right="1808"/>
        <w:contextualSpacing/>
        <w:rPr>
          <w:rFonts w:hint="eastAsia" w:ascii="宋体" w:hAnsi="宋体" w:eastAsia="宋体" w:cs="宋体"/>
          <w:color w:val="auto"/>
          <w:kern w:val="24"/>
        </w:rPr>
      </w:pPr>
    </w:p>
    <w:p w14:paraId="4F99B6ED">
      <w:pPr>
        <w:wordWrap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投标人名称（电子签章）：</w:t>
      </w:r>
    </w:p>
    <w:p w14:paraId="570B8A19">
      <w:pPr>
        <w:wordWrap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日期：年月日</w:t>
      </w:r>
    </w:p>
    <w:p w14:paraId="70BDBF6A">
      <w:pPr>
        <w:pStyle w:val="19"/>
        <w:wordWrap w:val="0"/>
        <w:spacing w:line="360" w:lineRule="auto"/>
        <w:ind w:left="3960" w:right="1808"/>
        <w:contextualSpacing/>
        <w:rPr>
          <w:rFonts w:hint="eastAsia" w:ascii="宋体" w:hAnsi="宋体" w:eastAsia="宋体" w:cs="宋体"/>
          <w:color w:val="auto"/>
          <w:kern w:val="24"/>
          <w:sz w:val="21"/>
        </w:rPr>
      </w:pPr>
    </w:p>
    <w:p w14:paraId="3A6539A6">
      <w:pPr>
        <w:pStyle w:val="19"/>
        <w:wordWrap w:val="0"/>
        <w:spacing w:line="360" w:lineRule="auto"/>
        <w:ind w:left="-426" w:right="142" w:firstLine="567"/>
        <w:contextualSpacing/>
        <w:rPr>
          <w:rFonts w:hint="eastAsia" w:ascii="宋体" w:hAnsi="宋体" w:eastAsia="宋体" w:cs="宋体"/>
          <w:color w:val="auto"/>
          <w:kern w:val="24"/>
        </w:rPr>
      </w:pPr>
      <w:r>
        <w:rPr>
          <w:rFonts w:hint="eastAsia" w:ascii="宋体" w:hAnsi="宋体" w:eastAsia="宋体" w:cs="宋体"/>
          <w:color w:val="auto"/>
          <w:kern w:val="24"/>
        </w:rPr>
        <w:t>注：1.享受《政府采购促进中小企业发展管理办法》（财库〔2020〕46号）规定的中小企业扶持政策的，采购人、采购代理机构应当随成交结果公开中标供应商的《中小企业声明函》。从业人员、营业收入、资产总额填报上一年度数据，无上一年度数据的新成立企业可不填报。</w:t>
      </w:r>
    </w:p>
    <w:p w14:paraId="58615DC2">
      <w:pPr>
        <w:pStyle w:val="19"/>
        <w:wordWrap w:val="0"/>
        <w:spacing w:line="360" w:lineRule="auto"/>
        <w:ind w:left="-426" w:right="142" w:firstLine="567"/>
        <w:contextualSpacing/>
        <w:rPr>
          <w:rFonts w:hint="eastAsia" w:ascii="宋体" w:hAnsi="宋体" w:eastAsia="宋体" w:cs="宋体"/>
          <w:color w:val="auto"/>
          <w:kern w:val="24"/>
        </w:rPr>
      </w:pPr>
      <w:r>
        <w:rPr>
          <w:rFonts w:hint="eastAsia" w:ascii="宋体" w:hAnsi="宋体" w:eastAsia="宋体" w:cs="宋体"/>
          <w:color w:val="auto"/>
          <w:kern w:val="24"/>
        </w:rPr>
        <w:t>2.供应商提供的《中小企业声明函》与事实不符的，依照《中华人民共和国政府采购法》第七十七条第一款的规定追究法律责任。</w:t>
      </w:r>
    </w:p>
    <w:p w14:paraId="2A56CE1E">
      <w:pPr>
        <w:pStyle w:val="19"/>
        <w:wordWrap w:val="0"/>
        <w:spacing w:line="360" w:lineRule="auto"/>
        <w:ind w:left="-426" w:right="142" w:firstLine="567"/>
        <w:contextualSpacing/>
        <w:rPr>
          <w:rFonts w:hint="eastAsia" w:ascii="宋体" w:hAnsi="宋体" w:eastAsia="宋体" w:cs="宋体"/>
          <w:color w:val="auto"/>
          <w:kern w:val="24"/>
        </w:rPr>
      </w:pPr>
      <w:r>
        <w:rPr>
          <w:rFonts w:hint="eastAsia" w:ascii="宋体" w:hAnsi="宋体" w:eastAsia="宋体" w:cs="宋体"/>
          <w:color w:val="auto"/>
          <w:kern w:val="24"/>
        </w:rPr>
        <w:t>3.未完整填写以上空白处信息，声明函将做无效处理。</w:t>
      </w:r>
    </w:p>
    <w:p w14:paraId="5F2E2B4A">
      <w:pPr>
        <w:pStyle w:val="19"/>
        <w:wordWrap w:val="0"/>
        <w:spacing w:line="360" w:lineRule="auto"/>
        <w:ind w:left="-426" w:right="142" w:firstLine="567"/>
        <w:contextualSpacing/>
        <w:rPr>
          <w:rFonts w:hint="eastAsia" w:ascii="宋体" w:hAnsi="宋体" w:eastAsia="宋体" w:cs="宋体"/>
          <w:color w:val="auto"/>
        </w:rPr>
      </w:pPr>
      <w:r>
        <w:rPr>
          <w:rFonts w:hint="eastAsia" w:ascii="宋体" w:hAnsi="宋体" w:eastAsia="宋体" w:cs="宋体"/>
          <w:color w:val="auto"/>
          <w:szCs w:val="21"/>
        </w:rPr>
        <w:t>4.</w:t>
      </w:r>
      <w:r>
        <w:rPr>
          <w:rFonts w:hint="eastAsia" w:ascii="宋体" w:hAnsi="宋体" w:eastAsia="宋体" w:cs="宋体"/>
          <w:color w:val="auto"/>
        </w:rPr>
        <w:t>小型、微型企业提供中型企业提供的服务的，视同为中型企业。</w:t>
      </w:r>
    </w:p>
    <w:p w14:paraId="093FA049">
      <w:pPr>
        <w:pStyle w:val="19"/>
        <w:wordWrap w:val="0"/>
        <w:spacing w:line="360" w:lineRule="auto"/>
        <w:ind w:left="-426" w:right="142" w:firstLine="567"/>
        <w:contextualSpacing/>
        <w:rPr>
          <w:rFonts w:hint="eastAsia" w:ascii="宋体" w:hAnsi="宋体" w:eastAsia="宋体" w:cs="宋体"/>
          <w:b/>
          <w:color w:val="auto"/>
        </w:rPr>
      </w:pPr>
      <w:r>
        <w:rPr>
          <w:rFonts w:hint="eastAsia" w:ascii="宋体" w:hAnsi="宋体" w:eastAsia="宋体" w:cs="宋体"/>
          <w:b/>
          <w:color w:val="auto"/>
        </w:rPr>
        <w:br w:type="page"/>
      </w:r>
    </w:p>
    <w:p w14:paraId="68F4C14C">
      <w:pPr>
        <w:wordWrap w:val="0"/>
        <w:snapToGrid w:val="0"/>
        <w:spacing w:before="120" w:beforeLines="50" w:after="50"/>
        <w:ind w:left="142"/>
        <w:rPr>
          <w:rFonts w:hint="eastAsia" w:ascii="宋体" w:hAnsi="宋体" w:eastAsia="宋体" w:cs="宋体"/>
          <w:b/>
          <w:color w:val="auto"/>
          <w:sz w:val="24"/>
        </w:rPr>
      </w:pPr>
      <w:r>
        <w:rPr>
          <w:rFonts w:hint="eastAsia" w:ascii="宋体" w:hAnsi="宋体" w:eastAsia="宋体" w:cs="宋体"/>
          <w:b/>
          <w:color w:val="auto"/>
          <w:sz w:val="24"/>
        </w:rPr>
        <w:t>3.残疾人福利性单位声明函格式</w:t>
      </w:r>
    </w:p>
    <w:p w14:paraId="10A863F8">
      <w:pPr>
        <w:wordWrap w:val="0"/>
        <w:spacing w:line="588" w:lineRule="exact"/>
        <w:rPr>
          <w:rFonts w:hint="eastAsia" w:ascii="宋体" w:hAnsi="宋体" w:eastAsia="宋体" w:cs="宋体"/>
          <w:b/>
          <w:color w:val="auto"/>
          <w:spacing w:val="6"/>
          <w:sz w:val="32"/>
          <w:szCs w:val="32"/>
        </w:rPr>
      </w:pPr>
    </w:p>
    <w:p w14:paraId="270FCF07">
      <w:pPr>
        <w:snapToGrid w:val="0"/>
        <w:spacing w:before="50" w:after="50"/>
        <w:jc w:val="center"/>
        <w:rPr>
          <w:rFonts w:hint="eastAsia" w:ascii="宋体" w:hAnsi="宋体" w:eastAsia="宋体" w:cs="宋体"/>
          <w:b/>
          <w:color w:val="auto"/>
          <w:sz w:val="32"/>
        </w:rPr>
      </w:pPr>
      <w:r>
        <w:rPr>
          <w:rFonts w:hint="eastAsia" w:ascii="宋体" w:hAnsi="宋体" w:eastAsia="宋体" w:cs="宋体"/>
          <w:b/>
          <w:color w:val="auto"/>
          <w:sz w:val="32"/>
        </w:rPr>
        <w:t>残疾人福利性单位声明函</w:t>
      </w:r>
    </w:p>
    <w:p w14:paraId="24860048">
      <w:pPr>
        <w:wordWrap w:val="0"/>
        <w:spacing w:line="360" w:lineRule="auto"/>
        <w:contextualSpacing/>
        <w:rPr>
          <w:rFonts w:hint="eastAsia" w:ascii="宋体" w:hAnsi="宋体" w:eastAsia="宋体" w:cs="宋体"/>
          <w:color w:val="auto"/>
          <w:sz w:val="32"/>
          <w:szCs w:val="32"/>
        </w:rPr>
      </w:pPr>
    </w:p>
    <w:p w14:paraId="43C5A199">
      <w:pPr>
        <w:wordWrap w:val="0"/>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本单位郑重声明，根据《财政部民政部中国残疾人联合会关于促进残疾人就业政府采购政策的通知》（财库〔</w:t>
      </w:r>
      <w:r>
        <w:rPr>
          <w:rFonts w:hint="eastAsia" w:ascii="宋体" w:hAnsi="宋体" w:eastAsia="宋体" w:cs="宋体"/>
          <w:color w:val="auto"/>
          <w:sz w:val="24"/>
        </w:rPr>
        <w:t>2017〕141号）的规定，本单位为符合条件的残疾人福利性单位，且本单位参加</w:t>
      </w:r>
      <w:r>
        <w:rPr>
          <w:rFonts w:hint="eastAsia" w:ascii="宋体" w:hAnsi="宋体" w:eastAsia="宋体" w:cs="宋体"/>
          <w:color w:val="auto"/>
          <w:sz w:val="24"/>
          <w:u w:val="single"/>
        </w:rPr>
        <w:t>（采购人）</w:t>
      </w:r>
      <w:r>
        <w:rPr>
          <w:rFonts w:hint="eastAsia" w:ascii="宋体" w:hAnsi="宋体" w:eastAsia="宋体" w:cs="宋体"/>
          <w:color w:val="auto"/>
          <w:sz w:val="24"/>
        </w:rPr>
        <w:t>的</w:t>
      </w:r>
      <w:r>
        <w:rPr>
          <w:rFonts w:hint="eastAsia" w:ascii="宋体" w:hAnsi="宋体" w:eastAsia="宋体" w:cs="宋体"/>
          <w:color w:val="auto"/>
          <w:sz w:val="24"/>
          <w:u w:val="single"/>
        </w:rPr>
        <w:t>（项目名称</w:t>
      </w:r>
      <w:r>
        <w:rPr>
          <w:rFonts w:hint="eastAsia" w:ascii="宋体" w:hAnsi="宋体" w:eastAsia="宋体" w:cs="宋体"/>
          <w:color w:val="auto"/>
          <w:sz w:val="24"/>
          <w:u w:val="single"/>
        </w:rPr>
        <w:t>/项目编号</w:t>
      </w:r>
      <w:r>
        <w:rPr>
          <w:rFonts w:hint="eastAsia" w:ascii="宋体" w:hAnsi="宋体" w:eastAsia="宋体" w:cs="宋体"/>
          <w:color w:val="auto"/>
          <w:sz w:val="24"/>
          <w:u w:val="single"/>
        </w:rPr>
        <w:t>）</w:t>
      </w:r>
      <w:r>
        <w:rPr>
          <w:rFonts w:hint="eastAsia" w:ascii="宋体" w:hAnsi="宋体" w:eastAsia="宋体" w:cs="宋体"/>
          <w:color w:val="auto"/>
          <w:sz w:val="24"/>
        </w:rPr>
        <w:t>项目采购活动提供本单位制造的货物（由本单位承担工程</w:t>
      </w:r>
      <w:r>
        <w:rPr>
          <w:rFonts w:hint="eastAsia" w:ascii="宋体" w:hAnsi="宋体" w:eastAsia="宋体" w:cs="宋体"/>
          <w:color w:val="auto"/>
          <w:sz w:val="24"/>
        </w:rPr>
        <w:t>/提供服务），或者提供其他残疾人福利性单位制造的货物（不包括使用非残疾人福利性单位注册商标的货物）。</w:t>
      </w:r>
    </w:p>
    <w:p w14:paraId="0FD54373">
      <w:pPr>
        <w:wordWrap w:val="0"/>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14:paraId="03895697">
      <w:pPr>
        <w:wordWrap w:val="0"/>
        <w:spacing w:line="360" w:lineRule="auto"/>
        <w:contextualSpacing/>
        <w:rPr>
          <w:rFonts w:hint="eastAsia" w:ascii="宋体" w:hAnsi="宋体" w:eastAsia="宋体" w:cs="宋体"/>
          <w:color w:val="auto"/>
          <w:sz w:val="24"/>
        </w:rPr>
      </w:pPr>
    </w:p>
    <w:p w14:paraId="46CBA118">
      <w:pPr>
        <w:wordWrap w:val="0"/>
        <w:spacing w:line="360" w:lineRule="auto"/>
        <w:contextualSpacing/>
        <w:rPr>
          <w:rFonts w:hint="eastAsia" w:ascii="宋体" w:hAnsi="宋体" w:eastAsia="宋体" w:cs="宋体"/>
          <w:color w:val="auto"/>
          <w:sz w:val="24"/>
        </w:rPr>
      </w:pPr>
    </w:p>
    <w:p w14:paraId="0CEFDF14">
      <w:pPr>
        <w:wordWrap w:val="0"/>
        <w:spacing w:line="360" w:lineRule="auto"/>
        <w:ind w:left="3990" w:leftChars="1900"/>
        <w:contextualSpacing/>
        <w:rPr>
          <w:rFonts w:hint="eastAsia" w:ascii="宋体" w:hAnsi="宋体" w:eastAsia="宋体" w:cs="宋体"/>
          <w:color w:val="auto"/>
          <w:sz w:val="24"/>
          <w:u w:val="single"/>
        </w:rPr>
      </w:pPr>
      <w:r>
        <w:rPr>
          <w:rFonts w:hint="eastAsia" w:ascii="宋体" w:hAnsi="宋体" w:eastAsia="宋体" w:cs="宋体"/>
          <w:color w:val="auto"/>
          <w:sz w:val="24"/>
        </w:rPr>
        <w:t>投标人</w:t>
      </w:r>
      <w:r>
        <w:rPr>
          <w:rFonts w:hint="eastAsia" w:ascii="宋体" w:hAnsi="宋体" w:eastAsia="宋体" w:cs="宋体"/>
          <w:color w:val="auto"/>
          <w:sz w:val="24"/>
        </w:rPr>
        <w:t>（电子签章）</w:t>
      </w:r>
      <w:r>
        <w:rPr>
          <w:rFonts w:hint="eastAsia" w:ascii="宋体" w:hAnsi="宋体" w:eastAsia="宋体" w:cs="宋体"/>
          <w:color w:val="auto"/>
          <w:sz w:val="24"/>
        </w:rPr>
        <w:t>：</w:t>
      </w:r>
    </w:p>
    <w:p w14:paraId="694DAF12">
      <w:pPr>
        <w:wordWrap w:val="0"/>
        <w:spacing w:line="360" w:lineRule="auto"/>
        <w:ind w:left="3990" w:leftChars="1900"/>
        <w:contextualSpacing/>
        <w:rPr>
          <w:rFonts w:hint="eastAsia" w:ascii="宋体" w:hAnsi="宋体" w:eastAsia="宋体" w:cs="宋体"/>
          <w:b/>
          <w:color w:val="auto"/>
          <w:sz w:val="24"/>
        </w:rPr>
      </w:pPr>
      <w:r>
        <w:rPr>
          <w:rFonts w:hint="eastAsia" w:ascii="宋体" w:hAnsi="宋体" w:eastAsia="宋体" w:cs="宋体"/>
          <w:color w:val="auto"/>
          <w:sz w:val="24"/>
        </w:rPr>
        <w:t>日期：年月日</w:t>
      </w:r>
    </w:p>
    <w:p w14:paraId="64423734">
      <w:pPr>
        <w:wordWrap w:val="0"/>
        <w:spacing w:line="360" w:lineRule="auto"/>
        <w:contextualSpacing/>
        <w:rPr>
          <w:rFonts w:hint="eastAsia" w:ascii="宋体" w:hAnsi="宋体" w:eastAsia="宋体" w:cs="宋体"/>
          <w:color w:val="auto"/>
          <w:sz w:val="24"/>
        </w:rPr>
      </w:pPr>
    </w:p>
    <w:p w14:paraId="5B4CB4C8">
      <w:pPr>
        <w:wordWrap w:val="0"/>
        <w:spacing w:line="360" w:lineRule="auto"/>
        <w:contextualSpacing/>
        <w:rPr>
          <w:rFonts w:hint="eastAsia" w:ascii="宋体" w:hAnsi="宋体" w:eastAsia="宋体" w:cs="宋体"/>
          <w:color w:val="auto"/>
          <w:sz w:val="24"/>
        </w:rPr>
      </w:pPr>
    </w:p>
    <w:p w14:paraId="28C05644">
      <w:pPr>
        <w:wordWrap w:val="0"/>
        <w:spacing w:line="520" w:lineRule="exact"/>
        <w:rPr>
          <w:rFonts w:hint="eastAsia" w:ascii="宋体" w:hAnsi="宋体" w:eastAsia="宋体" w:cs="宋体"/>
          <w:color w:val="auto"/>
          <w:sz w:val="24"/>
        </w:rPr>
      </w:pPr>
      <w:r>
        <w:rPr>
          <w:rFonts w:hint="eastAsia" w:ascii="宋体" w:hAnsi="宋体" w:eastAsia="宋体" w:cs="宋体"/>
          <w:color w:val="auto"/>
          <w:sz w:val="24"/>
        </w:rPr>
        <w:t>注：</w:t>
      </w:r>
      <w:r>
        <w:rPr>
          <w:rFonts w:hint="eastAsia" w:ascii="宋体" w:hAnsi="宋体" w:eastAsia="宋体" w:cs="宋体"/>
          <w:color w:val="auto"/>
          <w:sz w:val="24"/>
        </w:rPr>
        <w:t>1.请根据自己的真实情况出具《残疾人福利性单位声明函》。依法享受中小企业优惠政策的，采购人或者采购代理机构在公告中标结果时，同时公告其《残疾人福利性单位声明函》，接受社会监督。</w:t>
      </w:r>
    </w:p>
    <w:p w14:paraId="75BA40F9">
      <w:pPr>
        <w:wordWrap w:val="0"/>
        <w:spacing w:line="520" w:lineRule="exac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rPr>
        <w:t>投标人</w:t>
      </w:r>
      <w:r>
        <w:rPr>
          <w:rFonts w:hint="eastAsia" w:ascii="宋体" w:hAnsi="宋体" w:eastAsia="宋体" w:cs="宋体"/>
          <w:color w:val="auto"/>
          <w:sz w:val="24"/>
        </w:rPr>
        <w:t>提供的《残疾人福利性单位声明函》与事实不符的，依照《中华人民共和国政府采购法》第七十七条第一款的规定追究法律责任。</w:t>
      </w:r>
    </w:p>
    <w:p w14:paraId="055B7B3C">
      <w:pPr>
        <w:wordWrap w:val="0"/>
        <w:spacing w:line="520" w:lineRule="exact"/>
        <w:rPr>
          <w:rFonts w:hint="eastAsia" w:ascii="宋体" w:hAnsi="宋体" w:eastAsia="宋体" w:cs="宋体"/>
          <w:color w:val="auto"/>
          <w:sz w:val="24"/>
        </w:rPr>
      </w:pPr>
      <w:r>
        <w:rPr>
          <w:rFonts w:hint="eastAsia" w:ascii="宋体" w:hAnsi="宋体" w:eastAsia="宋体" w:cs="宋体"/>
          <w:color w:val="auto"/>
          <w:sz w:val="24"/>
        </w:rPr>
        <w:t>3.未完整填写以上空白处信息，声明函将做无效处理。</w:t>
      </w:r>
    </w:p>
    <w:p w14:paraId="21935A21">
      <w:pPr>
        <w:wordWrap w:val="0"/>
        <w:spacing w:line="360" w:lineRule="auto"/>
        <w:contextualSpacing/>
        <w:rPr>
          <w:rFonts w:hint="eastAsia" w:ascii="宋体" w:hAnsi="宋体" w:eastAsia="宋体" w:cs="宋体"/>
          <w:color w:val="auto"/>
          <w:sz w:val="24"/>
        </w:rPr>
      </w:pPr>
    </w:p>
    <w:p w14:paraId="2CF579B5">
      <w:pPr>
        <w:wordWrap w:val="0"/>
        <w:spacing w:line="360" w:lineRule="auto"/>
        <w:rPr>
          <w:rFonts w:hint="eastAsia" w:ascii="宋体" w:hAnsi="宋体" w:eastAsia="宋体" w:cs="宋体"/>
          <w:color w:val="auto"/>
          <w:sz w:val="24"/>
        </w:rPr>
      </w:pPr>
      <w:r>
        <w:rPr>
          <w:rFonts w:hint="eastAsia" w:ascii="宋体" w:hAnsi="宋体" w:eastAsia="宋体" w:cs="宋体"/>
          <w:color w:val="auto"/>
          <w:sz w:val="24"/>
        </w:rPr>
        <w:br w:type="page"/>
      </w:r>
      <w:r>
        <w:rPr>
          <w:rFonts w:hint="eastAsia" w:ascii="宋体" w:hAnsi="宋体" w:eastAsia="宋体" w:cs="宋体"/>
          <w:b/>
          <w:color w:val="auto"/>
          <w:sz w:val="24"/>
        </w:rPr>
        <w:t>4.质疑函（格式）</w:t>
      </w:r>
    </w:p>
    <w:p w14:paraId="604AE6CC">
      <w:pPr>
        <w:snapToGrid w:val="0"/>
        <w:spacing w:before="50" w:after="50"/>
        <w:jc w:val="center"/>
        <w:rPr>
          <w:rFonts w:hint="eastAsia" w:ascii="宋体" w:hAnsi="宋体" w:eastAsia="宋体" w:cs="宋体"/>
          <w:b/>
          <w:color w:val="auto"/>
          <w:sz w:val="36"/>
        </w:rPr>
      </w:pPr>
      <w:r>
        <w:rPr>
          <w:rFonts w:hint="eastAsia" w:ascii="宋体" w:hAnsi="宋体" w:eastAsia="宋体" w:cs="宋体"/>
          <w:b/>
          <w:color w:val="auto"/>
          <w:sz w:val="36"/>
        </w:rPr>
        <w:t>质疑函（格式）</w:t>
      </w:r>
    </w:p>
    <w:p w14:paraId="34851C57">
      <w:pPr>
        <w:pStyle w:val="25"/>
        <w:wordWrap w:val="0"/>
        <w:snapToGrid w:val="0"/>
        <w:spacing w:line="360" w:lineRule="auto"/>
        <w:ind w:firstLine="482" w:firstLineChars="200"/>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一、质疑投标人基本信息：</w:t>
      </w:r>
    </w:p>
    <w:p w14:paraId="719D1596">
      <w:pPr>
        <w:pStyle w:val="25"/>
        <w:wordWrap w:val="0"/>
        <w:snapToGrid w:val="0"/>
        <w:spacing w:line="360" w:lineRule="auto"/>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质疑投标人：</w:t>
      </w:r>
    </w:p>
    <w:p w14:paraId="32520F7B">
      <w:pPr>
        <w:pStyle w:val="25"/>
        <w:wordWrap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地址：邮编：</w:t>
      </w:r>
    </w:p>
    <w:p w14:paraId="1128C26B">
      <w:pPr>
        <w:pStyle w:val="25"/>
        <w:wordWrap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联系人：联系电话：</w:t>
      </w:r>
    </w:p>
    <w:p w14:paraId="63B74974">
      <w:pPr>
        <w:pStyle w:val="25"/>
        <w:wordWrap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授权代表：</w:t>
      </w:r>
    </w:p>
    <w:p w14:paraId="0989C508">
      <w:pPr>
        <w:pStyle w:val="25"/>
        <w:wordWrap w:val="0"/>
        <w:snapToGrid w:val="0"/>
        <w:spacing w:line="360" w:lineRule="auto"/>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联系电话：</w:t>
      </w:r>
    </w:p>
    <w:p w14:paraId="055867E0">
      <w:pPr>
        <w:pStyle w:val="25"/>
        <w:wordWrap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地址：邮编：</w:t>
      </w:r>
    </w:p>
    <w:p w14:paraId="2B95B70C">
      <w:pPr>
        <w:pStyle w:val="25"/>
        <w:wordWrap w:val="0"/>
        <w:snapToGrid w:val="0"/>
        <w:spacing w:line="360" w:lineRule="auto"/>
        <w:ind w:firstLine="482" w:firstLineChars="200"/>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二、质疑项目基本情况：</w:t>
      </w:r>
    </w:p>
    <w:p w14:paraId="299C0374">
      <w:pPr>
        <w:pStyle w:val="25"/>
        <w:wordWrap w:val="0"/>
        <w:spacing w:line="360" w:lineRule="auto"/>
        <w:ind w:left="25" w:leftChars="12" w:firstLine="472" w:firstLineChars="197"/>
        <w:rPr>
          <w:rFonts w:hint="eastAsia" w:ascii="宋体" w:hAnsi="宋体" w:eastAsia="宋体" w:cs="宋体"/>
          <w:color w:val="auto"/>
          <w:sz w:val="24"/>
          <w:szCs w:val="24"/>
        </w:rPr>
      </w:pPr>
      <w:r>
        <w:rPr>
          <w:rFonts w:hint="eastAsia" w:ascii="宋体" w:hAnsi="宋体" w:eastAsia="宋体" w:cs="宋体"/>
          <w:bCs/>
          <w:color w:val="auto"/>
          <w:sz w:val="24"/>
          <w:szCs w:val="24"/>
        </w:rPr>
        <w:t>质疑</w:t>
      </w:r>
      <w:r>
        <w:rPr>
          <w:rFonts w:hint="eastAsia" w:ascii="宋体" w:hAnsi="宋体" w:eastAsia="宋体" w:cs="宋体"/>
          <w:color w:val="auto"/>
          <w:sz w:val="24"/>
          <w:szCs w:val="24"/>
        </w:rPr>
        <w:t>项目的名称：</w:t>
      </w:r>
    </w:p>
    <w:p w14:paraId="613D468A">
      <w:pPr>
        <w:pStyle w:val="25"/>
        <w:wordWrap w:val="0"/>
        <w:spacing w:line="360" w:lineRule="auto"/>
        <w:ind w:left="25" w:leftChars="12" w:firstLine="472" w:firstLineChars="197"/>
        <w:rPr>
          <w:rFonts w:hint="eastAsia" w:ascii="宋体" w:hAnsi="宋体" w:eastAsia="宋体" w:cs="宋体"/>
          <w:color w:val="auto"/>
          <w:sz w:val="24"/>
          <w:szCs w:val="24"/>
        </w:rPr>
      </w:pPr>
      <w:r>
        <w:rPr>
          <w:rFonts w:hint="eastAsia" w:ascii="宋体" w:hAnsi="宋体" w:eastAsia="宋体" w:cs="宋体"/>
          <w:bCs/>
          <w:color w:val="auto"/>
          <w:sz w:val="24"/>
          <w:szCs w:val="24"/>
        </w:rPr>
        <w:t>质疑</w:t>
      </w:r>
      <w:r>
        <w:rPr>
          <w:rFonts w:hint="eastAsia" w:ascii="宋体" w:hAnsi="宋体" w:eastAsia="宋体" w:cs="宋体"/>
          <w:color w:val="auto"/>
          <w:sz w:val="24"/>
          <w:szCs w:val="24"/>
        </w:rPr>
        <w:t>项目的编号：</w:t>
      </w:r>
    </w:p>
    <w:p w14:paraId="06C80E54">
      <w:pPr>
        <w:pStyle w:val="25"/>
        <w:wordWrap w:val="0"/>
        <w:spacing w:line="360" w:lineRule="auto"/>
        <w:ind w:left="25" w:leftChars="12"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采购人名称：</w:t>
      </w:r>
    </w:p>
    <w:p w14:paraId="43DA5919">
      <w:pPr>
        <w:pStyle w:val="25"/>
        <w:wordWrap w:val="0"/>
        <w:spacing w:line="360" w:lineRule="auto"/>
        <w:ind w:left="25" w:leftChars="12"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质疑事项：</w:t>
      </w:r>
    </w:p>
    <w:p w14:paraId="2A98F0D8">
      <w:pPr>
        <w:pStyle w:val="25"/>
        <w:wordWrap w:val="0"/>
        <w:spacing w:line="360" w:lineRule="auto"/>
        <w:ind w:left="25" w:leftChars="12" w:firstLine="352" w:firstLineChars="147"/>
        <w:rPr>
          <w:rFonts w:hint="eastAsia" w:ascii="宋体" w:hAnsi="宋体" w:eastAsia="宋体" w:cs="宋体"/>
          <w:color w:val="auto"/>
          <w:sz w:val="24"/>
          <w:szCs w:val="24"/>
        </w:rPr>
      </w:pPr>
      <w:r>
        <w:rPr>
          <w:rFonts w:hint="eastAsia" w:ascii="宋体" w:hAnsi="宋体" w:eastAsia="宋体" w:cs="宋体"/>
          <w:color w:val="auto"/>
          <w:sz w:val="24"/>
          <w:szCs w:val="24"/>
        </w:rPr>
        <w:t>□采购文件采购文件获取日期：</w:t>
      </w:r>
    </w:p>
    <w:p w14:paraId="485C635D">
      <w:pPr>
        <w:pStyle w:val="25"/>
        <w:wordWrap w:val="0"/>
        <w:spacing w:line="360" w:lineRule="auto"/>
        <w:ind w:left="25" w:leftChars="12" w:firstLine="352" w:firstLineChars="147"/>
        <w:rPr>
          <w:rFonts w:hint="eastAsia" w:ascii="宋体" w:hAnsi="宋体" w:eastAsia="宋体" w:cs="宋体"/>
          <w:color w:val="auto"/>
          <w:sz w:val="24"/>
          <w:szCs w:val="24"/>
        </w:rPr>
      </w:pPr>
      <w:r>
        <w:rPr>
          <w:rFonts w:hint="eastAsia" w:ascii="宋体" w:hAnsi="宋体" w:eastAsia="宋体" w:cs="宋体"/>
          <w:color w:val="auto"/>
          <w:sz w:val="24"/>
          <w:szCs w:val="24"/>
        </w:rPr>
        <w:t>□采购过程</w:t>
      </w:r>
    </w:p>
    <w:p w14:paraId="1B5CB8E9">
      <w:pPr>
        <w:pStyle w:val="25"/>
        <w:wordWrap w:val="0"/>
        <w:spacing w:line="360" w:lineRule="auto"/>
        <w:ind w:left="25" w:leftChars="12" w:firstLine="352" w:firstLineChars="147"/>
        <w:rPr>
          <w:rFonts w:hint="eastAsia" w:ascii="宋体" w:hAnsi="宋体" w:eastAsia="宋体" w:cs="宋体"/>
          <w:bCs/>
          <w:color w:val="auto"/>
          <w:sz w:val="24"/>
          <w:szCs w:val="24"/>
          <w:u w:val="single"/>
        </w:rPr>
      </w:pPr>
      <w:r>
        <w:rPr>
          <w:rFonts w:hint="eastAsia" w:ascii="宋体" w:hAnsi="宋体" w:eastAsia="宋体" w:cs="宋体"/>
          <w:color w:val="auto"/>
          <w:sz w:val="24"/>
          <w:szCs w:val="24"/>
        </w:rPr>
        <w:t>□采购结果</w:t>
      </w:r>
    </w:p>
    <w:p w14:paraId="4F2E791E">
      <w:pPr>
        <w:pStyle w:val="25"/>
        <w:wordWrap w:val="0"/>
        <w:spacing w:line="360" w:lineRule="auto"/>
        <w:ind w:left="25" w:leftChars="12" w:firstLine="472" w:firstLineChars="196"/>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三、质疑事项具体内容</w:t>
      </w:r>
    </w:p>
    <w:p w14:paraId="44E94FC3">
      <w:pPr>
        <w:pStyle w:val="25"/>
        <w:wordWrap w:val="0"/>
        <w:spacing w:line="360" w:lineRule="auto"/>
        <w:ind w:left="25" w:leftChars="12"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质疑事项</w:t>
      </w:r>
      <w:r>
        <w:rPr>
          <w:rFonts w:hint="eastAsia" w:ascii="宋体" w:hAnsi="宋体" w:eastAsia="宋体" w:cs="宋体"/>
          <w:color w:val="auto"/>
          <w:sz w:val="24"/>
          <w:szCs w:val="24"/>
        </w:rPr>
        <w:t>1：</w:t>
      </w:r>
    </w:p>
    <w:p w14:paraId="45A5B9D7">
      <w:pPr>
        <w:pStyle w:val="25"/>
        <w:wordWrap w:val="0"/>
        <w:spacing w:line="360" w:lineRule="auto"/>
        <w:ind w:left="25" w:leftChars="12"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事实依据：</w:t>
      </w:r>
    </w:p>
    <w:p w14:paraId="01D74A52">
      <w:pPr>
        <w:pStyle w:val="25"/>
        <w:wordWrap w:val="0"/>
        <w:spacing w:line="360" w:lineRule="auto"/>
        <w:ind w:left="25" w:leftChars="12"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法律依据：</w:t>
      </w:r>
    </w:p>
    <w:p w14:paraId="3B4ADDC4">
      <w:pPr>
        <w:pStyle w:val="25"/>
        <w:wordWrap w:val="0"/>
        <w:spacing w:line="360" w:lineRule="auto"/>
        <w:ind w:left="25" w:leftChars="12"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质疑事项</w:t>
      </w:r>
      <w:r>
        <w:rPr>
          <w:rFonts w:hint="eastAsia" w:ascii="宋体" w:hAnsi="宋体" w:eastAsia="宋体" w:cs="宋体"/>
          <w:color w:val="auto"/>
          <w:sz w:val="24"/>
          <w:szCs w:val="24"/>
        </w:rPr>
        <w:t>2</w:t>
      </w:r>
    </w:p>
    <w:p w14:paraId="422A87F7">
      <w:pPr>
        <w:pStyle w:val="25"/>
        <w:wordWrap w:val="0"/>
        <w:spacing w:line="360" w:lineRule="auto"/>
        <w:ind w:left="25" w:leftChars="12"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74AEDE74">
      <w:pPr>
        <w:pStyle w:val="25"/>
        <w:wordWrap w:val="0"/>
        <w:spacing w:line="360" w:lineRule="auto"/>
        <w:ind w:left="25" w:leftChars="12" w:firstLine="472" w:firstLineChars="197"/>
        <w:outlineLvl w:val="1"/>
        <w:rPr>
          <w:rFonts w:hint="eastAsia" w:ascii="宋体" w:hAnsi="宋体" w:eastAsia="宋体" w:cs="宋体"/>
          <w:color w:val="auto"/>
          <w:sz w:val="24"/>
          <w:szCs w:val="24"/>
        </w:rPr>
      </w:pPr>
      <w:r>
        <w:rPr>
          <w:rFonts w:hint="eastAsia" w:ascii="宋体" w:hAnsi="宋体" w:eastAsia="宋体" w:cs="宋体"/>
          <w:color w:val="auto"/>
          <w:sz w:val="24"/>
          <w:szCs w:val="24"/>
        </w:rPr>
        <w:t>四、与质疑事项相关的质疑请求：</w:t>
      </w:r>
    </w:p>
    <w:p w14:paraId="7398EC2B">
      <w:pPr>
        <w:pStyle w:val="25"/>
        <w:wordWrap w:val="0"/>
        <w:spacing w:line="360" w:lineRule="auto"/>
        <w:ind w:left="25" w:leftChars="12"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请求：</w:t>
      </w:r>
    </w:p>
    <w:p w14:paraId="4CA91A57">
      <w:pPr>
        <w:pStyle w:val="25"/>
        <w:wordWrap w:val="0"/>
        <w:spacing w:line="360" w:lineRule="auto"/>
        <w:ind w:left="25" w:leftChars="12" w:firstLine="352" w:firstLineChars="147"/>
        <w:rPr>
          <w:rFonts w:hint="eastAsia" w:ascii="宋体" w:hAnsi="宋体" w:eastAsia="宋体" w:cs="宋体"/>
          <w:color w:val="auto"/>
          <w:sz w:val="24"/>
          <w:szCs w:val="24"/>
        </w:rPr>
      </w:pPr>
    </w:p>
    <w:p w14:paraId="0E646B07">
      <w:pPr>
        <w:pStyle w:val="25"/>
        <w:wordWrap w:val="0"/>
        <w:spacing w:line="360" w:lineRule="auto"/>
        <w:ind w:left="25" w:leftChars="12"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签字（签章）：公章：</w:t>
      </w:r>
    </w:p>
    <w:p w14:paraId="3D6AA2D7">
      <w:pPr>
        <w:pStyle w:val="25"/>
        <w:wordWrap w:val="0"/>
        <w:spacing w:line="360" w:lineRule="auto"/>
        <w:ind w:left="25" w:leftChars="12" w:firstLine="352" w:firstLineChars="147"/>
        <w:rPr>
          <w:rFonts w:hint="eastAsia" w:ascii="宋体" w:hAnsi="宋体" w:eastAsia="宋体" w:cs="宋体"/>
          <w:color w:val="auto"/>
          <w:sz w:val="24"/>
          <w:szCs w:val="24"/>
        </w:rPr>
      </w:pPr>
    </w:p>
    <w:p w14:paraId="3EF5EDE5">
      <w:pPr>
        <w:pStyle w:val="25"/>
        <w:wordWrap w:val="0"/>
        <w:spacing w:line="360" w:lineRule="auto"/>
        <w:ind w:left="25" w:leftChars="12"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日期：</w:t>
      </w:r>
    </w:p>
    <w:p w14:paraId="7BB43138">
      <w:pPr>
        <w:pStyle w:val="25"/>
        <w:wordWrap w:val="0"/>
        <w:snapToGrid w:val="0"/>
        <w:spacing w:line="360" w:lineRule="auto"/>
        <w:rPr>
          <w:rFonts w:hint="eastAsia" w:ascii="宋体" w:hAnsi="宋体" w:eastAsia="宋体" w:cs="宋体"/>
          <w:b/>
          <w:color w:val="auto"/>
          <w:sz w:val="24"/>
          <w:szCs w:val="24"/>
        </w:rPr>
      </w:pPr>
    </w:p>
    <w:p w14:paraId="4AD1390A">
      <w:pPr>
        <w:widowControl/>
        <w:wordWrap w:val="0"/>
        <w:rPr>
          <w:rFonts w:hint="eastAsia" w:ascii="宋体" w:hAnsi="宋体" w:eastAsia="宋体" w:cs="宋体"/>
          <w:b/>
          <w:color w:val="auto"/>
          <w:kern w:val="0"/>
          <w:sz w:val="24"/>
        </w:rPr>
      </w:pPr>
      <w:r>
        <w:rPr>
          <w:rFonts w:hint="eastAsia" w:ascii="宋体" w:hAnsi="宋体" w:eastAsia="宋体" w:cs="宋体"/>
          <w:b/>
          <w:color w:val="auto"/>
          <w:sz w:val="24"/>
        </w:rPr>
        <w:br w:type="page"/>
      </w:r>
    </w:p>
    <w:p w14:paraId="57860CAC">
      <w:pPr>
        <w:pStyle w:val="25"/>
        <w:wordWrap w:val="0"/>
        <w:snapToGrid w:val="0"/>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说明：</w:t>
      </w:r>
    </w:p>
    <w:p w14:paraId="4CA10CBB">
      <w:pPr>
        <w:pStyle w:val="25"/>
        <w:wordWrap w:val="0"/>
        <w:spacing w:line="360" w:lineRule="auto"/>
        <w:ind w:left="25" w:leftChars="12" w:firstLine="354" w:firstLineChars="147"/>
        <w:outlineLvl w:val="2"/>
        <w:rPr>
          <w:rFonts w:hint="eastAsia" w:ascii="宋体" w:hAnsi="宋体" w:eastAsia="宋体" w:cs="宋体"/>
          <w:b/>
          <w:bCs/>
          <w:color w:val="auto"/>
          <w:sz w:val="24"/>
          <w:szCs w:val="24"/>
        </w:rPr>
      </w:pPr>
      <w:r>
        <w:rPr>
          <w:rFonts w:hint="eastAsia" w:ascii="宋体" w:hAnsi="宋体" w:eastAsia="宋体" w:cs="宋体"/>
          <w:b/>
          <w:color w:val="auto"/>
          <w:sz w:val="24"/>
          <w:szCs w:val="24"/>
        </w:rPr>
        <w:t>1.</w:t>
      </w:r>
      <w:r>
        <w:rPr>
          <w:rFonts w:hint="eastAsia" w:ascii="宋体" w:hAnsi="宋体" w:eastAsia="宋体" w:cs="宋体"/>
          <w:b/>
          <w:color w:val="auto"/>
          <w:sz w:val="24"/>
          <w:szCs w:val="24"/>
        </w:rPr>
        <w:t>投标人</w:t>
      </w:r>
      <w:r>
        <w:rPr>
          <w:rFonts w:hint="eastAsia" w:ascii="宋体" w:hAnsi="宋体" w:eastAsia="宋体" w:cs="宋体"/>
          <w:b/>
          <w:color w:val="auto"/>
          <w:sz w:val="24"/>
          <w:szCs w:val="24"/>
        </w:rPr>
        <w:t>提出质疑时，应提交质疑函和必要的证明材料</w:t>
      </w:r>
      <w:r>
        <w:rPr>
          <w:rFonts w:hint="eastAsia" w:ascii="宋体" w:hAnsi="宋体" w:eastAsia="宋体" w:cs="宋体"/>
          <w:b/>
          <w:bCs/>
          <w:color w:val="auto"/>
          <w:sz w:val="24"/>
          <w:szCs w:val="24"/>
        </w:rPr>
        <w:t>。</w:t>
      </w:r>
    </w:p>
    <w:p w14:paraId="59725180">
      <w:pPr>
        <w:pStyle w:val="25"/>
        <w:wordWrap w:val="0"/>
        <w:spacing w:line="360" w:lineRule="auto"/>
        <w:ind w:left="25" w:leftChars="12" w:firstLine="354" w:firstLineChars="147"/>
        <w:rPr>
          <w:rFonts w:hint="eastAsia" w:ascii="宋体" w:hAnsi="宋体" w:eastAsia="宋体" w:cs="宋体"/>
          <w:b/>
          <w:color w:val="auto"/>
          <w:sz w:val="24"/>
          <w:szCs w:val="24"/>
        </w:rPr>
      </w:pPr>
      <w:r>
        <w:rPr>
          <w:rFonts w:hint="eastAsia" w:ascii="宋体" w:hAnsi="宋体" w:eastAsia="宋体" w:cs="宋体"/>
          <w:b/>
          <w:color w:val="auto"/>
          <w:sz w:val="24"/>
          <w:szCs w:val="24"/>
        </w:rPr>
        <w:t>2.质疑</w:t>
      </w:r>
      <w:r>
        <w:rPr>
          <w:rFonts w:hint="eastAsia" w:ascii="宋体" w:hAnsi="宋体" w:eastAsia="宋体" w:cs="宋体"/>
          <w:b/>
          <w:color w:val="auto"/>
          <w:sz w:val="24"/>
          <w:szCs w:val="24"/>
        </w:rPr>
        <w:t>投标人</w:t>
      </w:r>
      <w:r>
        <w:rPr>
          <w:rFonts w:hint="eastAsia" w:ascii="宋体" w:hAnsi="宋体" w:eastAsia="宋体" w:cs="宋体"/>
          <w:b/>
          <w:color w:val="auto"/>
          <w:sz w:val="24"/>
          <w:szCs w:val="24"/>
        </w:rPr>
        <w:t>若委托代理人进行质疑的，质疑函应按要求列明“授权代表”的有关内容，并在附件中提交由质疑</w:t>
      </w:r>
      <w:r>
        <w:rPr>
          <w:rFonts w:hint="eastAsia" w:ascii="宋体" w:hAnsi="宋体" w:eastAsia="宋体" w:cs="宋体"/>
          <w:b/>
          <w:color w:val="auto"/>
          <w:sz w:val="24"/>
          <w:szCs w:val="24"/>
        </w:rPr>
        <w:t>投标人</w:t>
      </w:r>
      <w:r>
        <w:rPr>
          <w:rFonts w:hint="eastAsia" w:ascii="宋体" w:hAnsi="宋体" w:eastAsia="宋体" w:cs="宋体"/>
          <w:b/>
          <w:color w:val="auto"/>
          <w:sz w:val="24"/>
          <w:szCs w:val="24"/>
        </w:rPr>
        <w:t>签署的授权委托书。授权委托书应载明代理人的姓名或者名称、代理事项、具体权限、期限和相关事项。</w:t>
      </w:r>
    </w:p>
    <w:p w14:paraId="11AD871A">
      <w:pPr>
        <w:pStyle w:val="25"/>
        <w:wordWrap w:val="0"/>
        <w:spacing w:line="360" w:lineRule="auto"/>
        <w:ind w:left="25" w:leftChars="12" w:firstLine="354" w:firstLineChars="147"/>
        <w:rPr>
          <w:rFonts w:hint="eastAsia" w:ascii="宋体" w:hAnsi="宋体" w:eastAsia="宋体" w:cs="宋体"/>
          <w:b/>
          <w:color w:val="auto"/>
          <w:sz w:val="24"/>
          <w:szCs w:val="24"/>
        </w:rPr>
      </w:pPr>
      <w:r>
        <w:rPr>
          <w:rFonts w:hint="eastAsia" w:ascii="宋体" w:hAnsi="宋体" w:eastAsia="宋体" w:cs="宋体"/>
          <w:b/>
          <w:color w:val="auto"/>
          <w:sz w:val="24"/>
          <w:szCs w:val="24"/>
        </w:rPr>
        <w:t>3.质疑函的质疑事项应具体、明确，并有必要的事实依据和法律依据。</w:t>
      </w:r>
    </w:p>
    <w:p w14:paraId="49249DA0">
      <w:pPr>
        <w:pStyle w:val="25"/>
        <w:wordWrap w:val="0"/>
        <w:spacing w:line="360" w:lineRule="auto"/>
        <w:ind w:left="25" w:leftChars="12" w:firstLine="354" w:firstLineChars="147"/>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4.质疑函的质疑请求应与质疑事项相关。</w:t>
      </w:r>
    </w:p>
    <w:p w14:paraId="1CBFF146">
      <w:pPr>
        <w:pStyle w:val="25"/>
        <w:wordWrap w:val="0"/>
        <w:spacing w:line="360" w:lineRule="auto"/>
        <w:ind w:left="25" w:leftChars="12" w:firstLine="354" w:firstLineChars="147"/>
        <w:rPr>
          <w:rFonts w:hint="eastAsia" w:ascii="宋体" w:hAnsi="宋体" w:eastAsia="宋体" w:cs="宋体"/>
          <w:b/>
          <w:color w:val="auto"/>
        </w:rPr>
      </w:pPr>
      <w:r>
        <w:rPr>
          <w:rFonts w:hint="eastAsia" w:ascii="宋体" w:hAnsi="宋体" w:eastAsia="宋体" w:cs="宋体"/>
          <w:b/>
          <w:color w:val="auto"/>
          <w:sz w:val="24"/>
          <w:szCs w:val="24"/>
        </w:rPr>
        <w:t>5.质疑</w:t>
      </w:r>
      <w:r>
        <w:rPr>
          <w:rFonts w:hint="eastAsia" w:ascii="宋体" w:hAnsi="宋体" w:eastAsia="宋体" w:cs="宋体"/>
          <w:b/>
          <w:color w:val="auto"/>
          <w:sz w:val="24"/>
          <w:szCs w:val="24"/>
        </w:rPr>
        <w:t>投标人</w:t>
      </w:r>
      <w:r>
        <w:rPr>
          <w:rFonts w:hint="eastAsia" w:ascii="宋体" w:hAnsi="宋体" w:eastAsia="宋体" w:cs="宋体"/>
          <w:b/>
          <w:color w:val="auto"/>
          <w:sz w:val="24"/>
          <w:szCs w:val="24"/>
        </w:rPr>
        <w:t>为法人或者其他组织的，质疑函应由法定代表人、主要负责人，或者其授权代表签字或者盖章，并加盖公章。</w:t>
      </w:r>
    </w:p>
    <w:p w14:paraId="0A97BE5C">
      <w:pPr>
        <w:pStyle w:val="25"/>
        <w:wordWrap w:val="0"/>
        <w:snapToGrid w:val="0"/>
        <w:rPr>
          <w:rFonts w:hint="eastAsia" w:ascii="宋体" w:hAnsi="宋体" w:eastAsia="宋体" w:cs="宋体"/>
          <w:b/>
          <w:color w:val="auto"/>
          <w:sz w:val="24"/>
          <w:szCs w:val="24"/>
        </w:rPr>
      </w:pPr>
    </w:p>
    <w:p w14:paraId="7A6E7E2D">
      <w:pPr>
        <w:wordWrap w:val="0"/>
        <w:spacing w:line="360" w:lineRule="auto"/>
        <w:outlineLvl w:val="2"/>
        <w:rPr>
          <w:rFonts w:hint="eastAsia" w:ascii="宋体" w:hAnsi="宋体" w:eastAsia="宋体" w:cs="宋体"/>
          <w:b/>
          <w:bCs/>
          <w:color w:val="auto"/>
          <w:sz w:val="32"/>
          <w:szCs w:val="32"/>
        </w:rPr>
      </w:pPr>
      <w:r>
        <w:rPr>
          <w:rFonts w:hint="eastAsia" w:ascii="宋体" w:hAnsi="宋体" w:eastAsia="宋体" w:cs="宋体"/>
          <w:color w:val="auto"/>
          <w:sz w:val="44"/>
        </w:rPr>
        <w:br w:type="page"/>
      </w:r>
      <w:r>
        <w:rPr>
          <w:rFonts w:hint="eastAsia" w:ascii="宋体" w:hAnsi="宋体" w:eastAsia="宋体" w:cs="宋体"/>
          <w:b/>
          <w:color w:val="auto"/>
          <w:sz w:val="24"/>
        </w:rPr>
        <w:t>5.投诉书（格式）</w:t>
      </w:r>
    </w:p>
    <w:p w14:paraId="7BEB6B5F">
      <w:pPr>
        <w:snapToGrid w:val="0"/>
        <w:spacing w:before="50" w:after="50"/>
        <w:jc w:val="center"/>
        <w:rPr>
          <w:rFonts w:hint="eastAsia" w:ascii="宋体" w:hAnsi="宋体" w:eastAsia="宋体" w:cs="宋体"/>
          <w:b/>
          <w:color w:val="auto"/>
          <w:sz w:val="36"/>
        </w:rPr>
      </w:pPr>
      <w:r>
        <w:rPr>
          <w:rFonts w:hint="eastAsia" w:ascii="宋体" w:hAnsi="宋体" w:eastAsia="宋体" w:cs="宋体"/>
          <w:b/>
          <w:color w:val="auto"/>
          <w:sz w:val="36"/>
        </w:rPr>
        <w:t>投诉书（格式）</w:t>
      </w:r>
    </w:p>
    <w:p w14:paraId="1183126D">
      <w:pPr>
        <w:pStyle w:val="25"/>
        <w:wordWrap w:val="0"/>
        <w:snapToGrid w:val="0"/>
        <w:spacing w:line="360" w:lineRule="auto"/>
        <w:ind w:firstLine="482" w:firstLineChars="200"/>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一、投诉相关主体基本情况：</w:t>
      </w:r>
    </w:p>
    <w:p w14:paraId="6C669D43">
      <w:pPr>
        <w:pStyle w:val="25"/>
        <w:wordWrap w:val="0"/>
        <w:snapToGrid w:val="0"/>
        <w:spacing w:line="360" w:lineRule="auto"/>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投标人：</w:t>
      </w:r>
    </w:p>
    <w:p w14:paraId="37ABFFFD">
      <w:pPr>
        <w:pStyle w:val="25"/>
        <w:wordWrap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地址：邮编：</w:t>
      </w:r>
    </w:p>
    <w:p w14:paraId="5C884F12">
      <w:pPr>
        <w:pStyle w:val="25"/>
        <w:wordWrap w:val="0"/>
        <w:snapToGrid w:val="0"/>
        <w:spacing w:line="360" w:lineRule="auto"/>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法定代表人</w:t>
      </w:r>
      <w:r>
        <w:rPr>
          <w:rFonts w:hint="eastAsia" w:ascii="宋体" w:hAnsi="宋体" w:eastAsia="宋体" w:cs="宋体"/>
          <w:bCs/>
          <w:color w:val="auto"/>
          <w:sz w:val="24"/>
          <w:szCs w:val="24"/>
        </w:rPr>
        <w:t>/主要负责人：</w:t>
      </w:r>
    </w:p>
    <w:p w14:paraId="744E4E49">
      <w:pPr>
        <w:pStyle w:val="25"/>
        <w:wordWrap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联系电话：</w:t>
      </w:r>
    </w:p>
    <w:p w14:paraId="7B1E442C">
      <w:pPr>
        <w:pStyle w:val="25"/>
        <w:wordWrap w:val="0"/>
        <w:snapToGrid w:val="0"/>
        <w:spacing w:line="360" w:lineRule="auto"/>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授权代表：联系电话：</w:t>
      </w:r>
    </w:p>
    <w:p w14:paraId="532A3D5A">
      <w:pPr>
        <w:pStyle w:val="25"/>
        <w:wordWrap w:val="0"/>
        <w:snapToGrid w:val="0"/>
        <w:spacing w:line="360" w:lineRule="auto"/>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地址：</w:t>
      </w:r>
    </w:p>
    <w:p w14:paraId="168078CB">
      <w:pPr>
        <w:pStyle w:val="25"/>
        <w:wordWrap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邮编：</w:t>
      </w:r>
    </w:p>
    <w:p w14:paraId="59A6C814">
      <w:pPr>
        <w:pStyle w:val="25"/>
        <w:wordWrap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被投诉人</w:t>
      </w:r>
      <w:r>
        <w:rPr>
          <w:rFonts w:hint="eastAsia" w:ascii="宋体" w:hAnsi="宋体" w:eastAsia="宋体" w:cs="宋体"/>
          <w:bCs/>
          <w:color w:val="auto"/>
          <w:sz w:val="24"/>
          <w:szCs w:val="24"/>
        </w:rPr>
        <w:t>1：</w:t>
      </w:r>
    </w:p>
    <w:p w14:paraId="6E569A47">
      <w:pPr>
        <w:pStyle w:val="25"/>
        <w:wordWrap w:val="0"/>
        <w:snapToGrid w:val="0"/>
        <w:spacing w:line="360" w:lineRule="auto"/>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地址：</w:t>
      </w:r>
    </w:p>
    <w:p w14:paraId="0B698F08">
      <w:pPr>
        <w:pStyle w:val="25"/>
        <w:wordWrap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邮编：</w:t>
      </w:r>
    </w:p>
    <w:p w14:paraId="6BA0D57C">
      <w:pPr>
        <w:pStyle w:val="25"/>
        <w:wordWrap w:val="0"/>
        <w:snapToGrid w:val="0"/>
        <w:spacing w:line="360" w:lineRule="auto"/>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联系人：联系电话：</w:t>
      </w:r>
    </w:p>
    <w:p w14:paraId="142ADD00">
      <w:pPr>
        <w:pStyle w:val="25"/>
        <w:wordWrap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被投诉人</w:t>
      </w:r>
      <w:r>
        <w:rPr>
          <w:rFonts w:hint="eastAsia" w:ascii="宋体" w:hAnsi="宋体" w:eastAsia="宋体" w:cs="宋体"/>
          <w:bCs/>
          <w:color w:val="auto"/>
          <w:sz w:val="24"/>
          <w:szCs w:val="24"/>
        </w:rPr>
        <w:t>2：</w:t>
      </w:r>
    </w:p>
    <w:p w14:paraId="4B6D12A7">
      <w:pPr>
        <w:pStyle w:val="25"/>
        <w:wordWrap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w:t>
      </w:r>
    </w:p>
    <w:p w14:paraId="32717FB6">
      <w:pPr>
        <w:pStyle w:val="25"/>
        <w:wordWrap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相关投标人：地址：邮编：联系人：联系电话：</w:t>
      </w:r>
    </w:p>
    <w:p w14:paraId="473D4A4D">
      <w:pPr>
        <w:pStyle w:val="25"/>
        <w:wordWrap w:val="0"/>
        <w:snapToGrid w:val="0"/>
        <w:spacing w:line="360" w:lineRule="auto"/>
        <w:ind w:firstLine="482" w:firstLineChars="200"/>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二、投诉项目基本情况：</w:t>
      </w:r>
    </w:p>
    <w:p w14:paraId="15583601">
      <w:pPr>
        <w:pStyle w:val="25"/>
        <w:wordWrap w:val="0"/>
        <w:spacing w:line="360" w:lineRule="auto"/>
        <w:ind w:left="25" w:leftChars="12" w:firstLine="472" w:firstLineChars="197"/>
        <w:rPr>
          <w:rFonts w:hint="eastAsia" w:ascii="宋体" w:hAnsi="宋体" w:eastAsia="宋体" w:cs="宋体"/>
          <w:color w:val="auto"/>
          <w:sz w:val="24"/>
          <w:szCs w:val="24"/>
        </w:rPr>
      </w:pPr>
      <w:r>
        <w:rPr>
          <w:rFonts w:hint="eastAsia" w:ascii="宋体" w:hAnsi="宋体" w:eastAsia="宋体" w:cs="宋体"/>
          <w:bCs/>
          <w:color w:val="auto"/>
          <w:sz w:val="24"/>
          <w:szCs w:val="24"/>
        </w:rPr>
        <w:t>采购</w:t>
      </w:r>
      <w:r>
        <w:rPr>
          <w:rFonts w:hint="eastAsia" w:ascii="宋体" w:hAnsi="宋体" w:eastAsia="宋体" w:cs="宋体"/>
          <w:color w:val="auto"/>
          <w:sz w:val="24"/>
          <w:szCs w:val="24"/>
        </w:rPr>
        <w:t>项目的名称：</w:t>
      </w:r>
    </w:p>
    <w:p w14:paraId="741C8985">
      <w:pPr>
        <w:pStyle w:val="25"/>
        <w:wordWrap w:val="0"/>
        <w:spacing w:line="360" w:lineRule="auto"/>
        <w:ind w:left="25" w:leftChars="12" w:firstLine="472" w:firstLineChars="197"/>
        <w:rPr>
          <w:rFonts w:hint="eastAsia" w:ascii="宋体" w:hAnsi="宋体" w:eastAsia="宋体" w:cs="宋体"/>
          <w:color w:val="auto"/>
          <w:sz w:val="24"/>
          <w:szCs w:val="24"/>
        </w:rPr>
      </w:pPr>
      <w:r>
        <w:rPr>
          <w:rFonts w:hint="eastAsia" w:ascii="宋体" w:hAnsi="宋体" w:eastAsia="宋体" w:cs="宋体"/>
          <w:bCs/>
          <w:color w:val="auto"/>
          <w:sz w:val="24"/>
          <w:szCs w:val="24"/>
        </w:rPr>
        <w:t>采购</w:t>
      </w:r>
      <w:r>
        <w:rPr>
          <w:rFonts w:hint="eastAsia" w:ascii="宋体" w:hAnsi="宋体" w:eastAsia="宋体" w:cs="宋体"/>
          <w:color w:val="auto"/>
          <w:sz w:val="24"/>
          <w:szCs w:val="24"/>
        </w:rPr>
        <w:t>项目的编号：</w:t>
      </w:r>
    </w:p>
    <w:p w14:paraId="05D4A643">
      <w:pPr>
        <w:pStyle w:val="25"/>
        <w:wordWrap w:val="0"/>
        <w:spacing w:line="360" w:lineRule="auto"/>
        <w:ind w:left="25" w:leftChars="12" w:firstLine="472" w:firstLineChars="197"/>
        <w:rPr>
          <w:rFonts w:hint="eastAsia" w:ascii="宋体" w:hAnsi="宋体" w:eastAsia="宋体" w:cs="宋体"/>
          <w:bCs/>
          <w:color w:val="auto"/>
          <w:sz w:val="24"/>
          <w:szCs w:val="24"/>
          <w:u w:val="single"/>
        </w:rPr>
      </w:pPr>
      <w:r>
        <w:rPr>
          <w:rFonts w:hint="eastAsia" w:ascii="宋体" w:hAnsi="宋体" w:eastAsia="宋体" w:cs="宋体"/>
          <w:color w:val="auto"/>
          <w:sz w:val="24"/>
          <w:szCs w:val="24"/>
        </w:rPr>
        <w:t>采购人名称：</w:t>
      </w:r>
    </w:p>
    <w:p w14:paraId="49FAFE07">
      <w:pPr>
        <w:pStyle w:val="25"/>
        <w:wordWrap w:val="0"/>
        <w:spacing w:line="360" w:lineRule="auto"/>
        <w:ind w:left="25" w:leftChars="12" w:firstLine="472" w:firstLineChars="197"/>
        <w:rPr>
          <w:rFonts w:hint="eastAsia" w:ascii="宋体" w:hAnsi="宋体" w:eastAsia="宋体" w:cs="宋体"/>
          <w:bCs/>
          <w:color w:val="auto"/>
          <w:sz w:val="24"/>
          <w:szCs w:val="24"/>
          <w:u w:val="single"/>
        </w:rPr>
      </w:pPr>
      <w:r>
        <w:rPr>
          <w:rFonts w:hint="eastAsia" w:ascii="宋体" w:hAnsi="宋体" w:eastAsia="宋体" w:cs="宋体"/>
          <w:color w:val="auto"/>
          <w:sz w:val="24"/>
          <w:szCs w:val="24"/>
        </w:rPr>
        <w:t>代理机构名称：</w:t>
      </w:r>
    </w:p>
    <w:p w14:paraId="3CF03A65">
      <w:pPr>
        <w:pStyle w:val="25"/>
        <w:wordWrap w:val="0"/>
        <w:spacing w:line="360" w:lineRule="auto"/>
        <w:ind w:left="25" w:leftChars="12" w:firstLine="472" w:firstLineChars="197"/>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采购文件公告：</w:t>
      </w:r>
      <w:r>
        <w:rPr>
          <w:rFonts w:hint="eastAsia" w:ascii="宋体" w:hAnsi="宋体" w:eastAsia="宋体" w:cs="宋体"/>
          <w:bCs/>
          <w:color w:val="auto"/>
          <w:sz w:val="24"/>
          <w:szCs w:val="24"/>
          <w:u w:val="single"/>
        </w:rPr>
        <w:t>是</w:t>
      </w:r>
      <w:r>
        <w:rPr>
          <w:rFonts w:hint="eastAsia" w:ascii="宋体" w:hAnsi="宋体" w:eastAsia="宋体" w:cs="宋体"/>
          <w:bCs/>
          <w:color w:val="auto"/>
          <w:sz w:val="24"/>
          <w:szCs w:val="24"/>
          <w:u w:val="single"/>
        </w:rPr>
        <w:t>/否</w:t>
      </w:r>
      <w:r>
        <w:rPr>
          <w:rFonts w:hint="eastAsia" w:ascii="宋体" w:hAnsi="宋体" w:eastAsia="宋体" w:cs="宋体"/>
          <w:bCs/>
          <w:color w:val="auto"/>
          <w:sz w:val="24"/>
          <w:szCs w:val="24"/>
        </w:rPr>
        <w:t>公告期限：</w:t>
      </w:r>
    </w:p>
    <w:p w14:paraId="66FD0516">
      <w:pPr>
        <w:pStyle w:val="25"/>
        <w:wordWrap w:val="0"/>
        <w:spacing w:line="360" w:lineRule="auto"/>
        <w:ind w:left="25" w:leftChars="12" w:firstLine="472" w:firstLineChars="197"/>
        <w:rPr>
          <w:rFonts w:hint="eastAsia" w:ascii="宋体" w:hAnsi="宋体" w:eastAsia="宋体" w:cs="宋体"/>
          <w:b/>
          <w:color w:val="auto"/>
          <w:sz w:val="24"/>
          <w:szCs w:val="24"/>
        </w:rPr>
      </w:pPr>
      <w:r>
        <w:rPr>
          <w:rFonts w:hint="eastAsia" w:ascii="宋体" w:hAnsi="宋体" w:eastAsia="宋体" w:cs="宋体"/>
          <w:bCs/>
          <w:color w:val="auto"/>
          <w:sz w:val="24"/>
          <w:szCs w:val="24"/>
        </w:rPr>
        <w:t>采购结果公告：</w:t>
      </w:r>
      <w:r>
        <w:rPr>
          <w:rFonts w:hint="eastAsia" w:ascii="宋体" w:hAnsi="宋体" w:eastAsia="宋体" w:cs="宋体"/>
          <w:bCs/>
          <w:color w:val="auto"/>
          <w:sz w:val="24"/>
          <w:szCs w:val="24"/>
          <w:u w:val="single"/>
        </w:rPr>
        <w:t>是</w:t>
      </w:r>
      <w:r>
        <w:rPr>
          <w:rFonts w:hint="eastAsia" w:ascii="宋体" w:hAnsi="宋体" w:eastAsia="宋体" w:cs="宋体"/>
          <w:bCs/>
          <w:color w:val="auto"/>
          <w:sz w:val="24"/>
          <w:szCs w:val="24"/>
          <w:u w:val="single"/>
        </w:rPr>
        <w:t>/否</w:t>
      </w:r>
      <w:r>
        <w:rPr>
          <w:rFonts w:hint="eastAsia" w:ascii="宋体" w:hAnsi="宋体" w:eastAsia="宋体" w:cs="宋体"/>
          <w:bCs/>
          <w:color w:val="auto"/>
          <w:sz w:val="24"/>
          <w:szCs w:val="24"/>
        </w:rPr>
        <w:t>公告期限：</w:t>
      </w:r>
    </w:p>
    <w:p w14:paraId="13B91960">
      <w:pPr>
        <w:pStyle w:val="25"/>
        <w:wordWrap w:val="0"/>
        <w:spacing w:line="360" w:lineRule="auto"/>
        <w:ind w:left="25" w:leftChars="12" w:firstLine="472" w:firstLineChars="196"/>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三、质疑基本情况</w:t>
      </w:r>
    </w:p>
    <w:p w14:paraId="3F0F3F6F">
      <w:pPr>
        <w:pStyle w:val="25"/>
        <w:wordWrap w:val="0"/>
        <w:spacing w:line="360" w:lineRule="auto"/>
        <w:ind w:left="25" w:leftChars="12"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投诉人于年月日，向提出质疑，质疑事项为：</w:t>
      </w:r>
    </w:p>
    <w:p w14:paraId="47014AB5">
      <w:pPr>
        <w:pStyle w:val="25"/>
        <w:wordWrap w:val="0"/>
        <w:spacing w:line="360" w:lineRule="auto"/>
        <w:ind w:firstLine="241"/>
        <w:rPr>
          <w:rFonts w:hint="eastAsia" w:ascii="宋体" w:hAnsi="宋体" w:eastAsia="宋体" w:cs="宋体"/>
          <w:bCs/>
          <w:color w:val="auto"/>
          <w:sz w:val="24"/>
          <w:szCs w:val="24"/>
          <w:u w:val="single"/>
        </w:rPr>
      </w:pPr>
    </w:p>
    <w:p w14:paraId="179BE33D">
      <w:pPr>
        <w:pStyle w:val="25"/>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u w:val="single"/>
        </w:rPr>
        <w:t>采购人</w:t>
      </w:r>
      <w:r>
        <w:rPr>
          <w:rFonts w:hint="eastAsia" w:ascii="宋体" w:hAnsi="宋体" w:eastAsia="宋体" w:cs="宋体"/>
          <w:bCs/>
          <w:color w:val="auto"/>
          <w:sz w:val="24"/>
          <w:szCs w:val="24"/>
          <w:u w:val="single"/>
        </w:rPr>
        <w:t>/代理机构</w:t>
      </w:r>
      <w:r>
        <w:rPr>
          <w:rFonts w:hint="eastAsia" w:ascii="宋体" w:hAnsi="宋体" w:eastAsia="宋体" w:cs="宋体"/>
          <w:bCs/>
          <w:color w:val="auto"/>
          <w:sz w:val="24"/>
          <w:szCs w:val="24"/>
        </w:rPr>
        <w:t>于</w:t>
      </w:r>
      <w:r>
        <w:rPr>
          <w:rFonts w:hint="eastAsia" w:ascii="宋体" w:hAnsi="宋体" w:eastAsia="宋体" w:cs="宋体"/>
          <w:color w:val="auto"/>
          <w:sz w:val="24"/>
          <w:szCs w:val="24"/>
        </w:rPr>
        <w:t>年月日，</w:t>
      </w:r>
      <w:r>
        <w:rPr>
          <w:rFonts w:hint="eastAsia" w:ascii="宋体" w:hAnsi="宋体" w:eastAsia="宋体" w:cs="宋体"/>
          <w:bCs/>
          <w:color w:val="auto"/>
          <w:sz w:val="24"/>
          <w:szCs w:val="24"/>
        </w:rPr>
        <w:t>就质疑事项作出了答复</w:t>
      </w:r>
      <w:r>
        <w:rPr>
          <w:rFonts w:hint="eastAsia" w:ascii="宋体" w:hAnsi="宋体" w:eastAsia="宋体" w:cs="宋体"/>
          <w:bCs/>
          <w:color w:val="auto"/>
          <w:sz w:val="24"/>
          <w:szCs w:val="24"/>
        </w:rPr>
        <w:t>/没有在法定期限内作出答复。</w:t>
      </w:r>
    </w:p>
    <w:p w14:paraId="52695AB3">
      <w:pPr>
        <w:pStyle w:val="25"/>
        <w:wordWrap w:val="0"/>
        <w:spacing w:line="360" w:lineRule="auto"/>
        <w:ind w:left="25" w:leftChars="12" w:firstLine="472" w:firstLineChars="196"/>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四、投诉事项具体内容</w:t>
      </w:r>
    </w:p>
    <w:p w14:paraId="2EC96011">
      <w:pPr>
        <w:pStyle w:val="25"/>
        <w:wordWrap w:val="0"/>
        <w:spacing w:line="360" w:lineRule="auto"/>
        <w:ind w:left="25" w:leftChars="12" w:firstLine="472" w:firstLineChars="197"/>
        <w:rPr>
          <w:rFonts w:hint="eastAsia" w:ascii="宋体" w:hAnsi="宋体" w:eastAsia="宋体" w:cs="宋体"/>
          <w:bCs/>
          <w:color w:val="auto"/>
          <w:sz w:val="24"/>
          <w:szCs w:val="24"/>
          <w:u w:val="single"/>
        </w:rPr>
      </w:pPr>
      <w:r>
        <w:rPr>
          <w:rFonts w:hint="eastAsia" w:ascii="宋体" w:hAnsi="宋体" w:eastAsia="宋体" w:cs="宋体"/>
          <w:color w:val="auto"/>
          <w:sz w:val="24"/>
          <w:szCs w:val="24"/>
        </w:rPr>
        <w:t>投诉事项</w:t>
      </w:r>
      <w:r>
        <w:rPr>
          <w:rFonts w:hint="eastAsia" w:ascii="宋体" w:hAnsi="宋体" w:eastAsia="宋体" w:cs="宋体"/>
          <w:color w:val="auto"/>
          <w:sz w:val="24"/>
          <w:szCs w:val="24"/>
        </w:rPr>
        <w:t>1：</w:t>
      </w:r>
    </w:p>
    <w:p w14:paraId="7E773A3F">
      <w:pPr>
        <w:pStyle w:val="25"/>
        <w:wordWrap w:val="0"/>
        <w:spacing w:line="360" w:lineRule="auto"/>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事实依据：</w:t>
      </w:r>
    </w:p>
    <w:p w14:paraId="3F028D6E">
      <w:pPr>
        <w:pStyle w:val="25"/>
        <w:wordWrap w:val="0"/>
        <w:spacing w:line="360" w:lineRule="auto"/>
        <w:ind w:left="25" w:leftChars="12" w:firstLine="472" w:firstLineChars="197"/>
        <w:rPr>
          <w:rFonts w:hint="eastAsia" w:ascii="宋体" w:hAnsi="宋体" w:eastAsia="宋体" w:cs="宋体"/>
          <w:color w:val="auto"/>
          <w:sz w:val="24"/>
          <w:szCs w:val="24"/>
        </w:rPr>
      </w:pPr>
    </w:p>
    <w:p w14:paraId="5FF88941">
      <w:pPr>
        <w:pStyle w:val="25"/>
        <w:wordWrap w:val="0"/>
        <w:spacing w:line="360" w:lineRule="auto"/>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法律依据：</w:t>
      </w:r>
    </w:p>
    <w:p w14:paraId="5CB669B7">
      <w:pPr>
        <w:pStyle w:val="25"/>
        <w:wordWrap w:val="0"/>
        <w:spacing w:line="360" w:lineRule="auto"/>
        <w:ind w:left="25" w:leftChars="12" w:firstLine="352" w:firstLineChars="147"/>
        <w:rPr>
          <w:rFonts w:hint="eastAsia" w:ascii="宋体" w:hAnsi="宋体" w:eastAsia="宋体" w:cs="宋体"/>
          <w:bCs/>
          <w:color w:val="auto"/>
          <w:sz w:val="24"/>
          <w:szCs w:val="24"/>
          <w:u w:val="single"/>
        </w:rPr>
      </w:pPr>
    </w:p>
    <w:p w14:paraId="5D0268EC">
      <w:pPr>
        <w:pStyle w:val="25"/>
        <w:wordWrap w:val="0"/>
        <w:spacing w:line="360" w:lineRule="auto"/>
        <w:ind w:left="25" w:leftChars="12" w:firstLine="472" w:firstLineChars="197"/>
        <w:rPr>
          <w:rFonts w:hint="eastAsia" w:ascii="宋体" w:hAnsi="宋体" w:eastAsia="宋体" w:cs="宋体"/>
          <w:bCs/>
          <w:color w:val="auto"/>
          <w:sz w:val="24"/>
          <w:szCs w:val="24"/>
        </w:rPr>
      </w:pPr>
      <w:r>
        <w:rPr>
          <w:rFonts w:hint="eastAsia" w:ascii="宋体" w:hAnsi="宋体" w:eastAsia="宋体" w:cs="宋体"/>
          <w:color w:val="auto"/>
          <w:sz w:val="24"/>
          <w:szCs w:val="24"/>
        </w:rPr>
        <w:t>投诉事项</w:t>
      </w:r>
      <w:r>
        <w:rPr>
          <w:rFonts w:hint="eastAsia" w:ascii="宋体" w:hAnsi="宋体" w:eastAsia="宋体" w:cs="宋体"/>
          <w:color w:val="auto"/>
          <w:sz w:val="24"/>
          <w:szCs w:val="24"/>
        </w:rPr>
        <w:t xml:space="preserve">2  </w:t>
      </w:r>
    </w:p>
    <w:p w14:paraId="407FFE9A">
      <w:pPr>
        <w:pStyle w:val="25"/>
        <w:wordWrap w:val="0"/>
        <w:spacing w:line="360" w:lineRule="auto"/>
        <w:ind w:left="25" w:leftChars="12" w:firstLine="472" w:firstLineChars="197"/>
        <w:rPr>
          <w:rFonts w:hint="eastAsia" w:ascii="宋体" w:hAnsi="宋体" w:eastAsia="宋体" w:cs="宋体"/>
          <w:bCs/>
          <w:color w:val="auto"/>
          <w:sz w:val="24"/>
          <w:szCs w:val="24"/>
        </w:rPr>
      </w:pPr>
      <w:r>
        <w:rPr>
          <w:rFonts w:hint="eastAsia" w:ascii="宋体" w:hAnsi="宋体" w:eastAsia="宋体" w:cs="宋体"/>
          <w:bCs/>
          <w:color w:val="auto"/>
          <w:sz w:val="24"/>
          <w:szCs w:val="24"/>
        </w:rPr>
        <w:t>……</w:t>
      </w:r>
    </w:p>
    <w:p w14:paraId="09571DC2">
      <w:pPr>
        <w:pStyle w:val="25"/>
        <w:wordWrap w:val="0"/>
        <w:spacing w:line="360" w:lineRule="auto"/>
        <w:ind w:left="25" w:leftChars="12" w:firstLine="472" w:firstLineChars="196"/>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五、与投诉事项相关的投诉请求：</w:t>
      </w:r>
    </w:p>
    <w:p w14:paraId="6E1D5DB6">
      <w:pPr>
        <w:pStyle w:val="25"/>
        <w:wordWrap w:val="0"/>
        <w:spacing w:line="360" w:lineRule="auto"/>
        <w:ind w:left="25" w:leftChars="12"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请求：</w:t>
      </w:r>
    </w:p>
    <w:p w14:paraId="77A0FED5">
      <w:pPr>
        <w:pStyle w:val="25"/>
        <w:wordWrap w:val="0"/>
        <w:spacing w:line="360" w:lineRule="auto"/>
        <w:ind w:left="25" w:leftChars="12" w:firstLine="352" w:firstLineChars="147"/>
        <w:rPr>
          <w:rFonts w:hint="eastAsia" w:ascii="宋体" w:hAnsi="宋体" w:eastAsia="宋体" w:cs="宋体"/>
          <w:color w:val="auto"/>
          <w:sz w:val="24"/>
          <w:szCs w:val="24"/>
        </w:rPr>
      </w:pPr>
    </w:p>
    <w:p w14:paraId="765D2AFC">
      <w:pPr>
        <w:pStyle w:val="25"/>
        <w:wordWrap w:val="0"/>
        <w:spacing w:line="360" w:lineRule="auto"/>
        <w:ind w:left="25" w:leftChars="12"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签字（签章）：公章：</w:t>
      </w:r>
    </w:p>
    <w:p w14:paraId="6F46FE41">
      <w:pPr>
        <w:pStyle w:val="25"/>
        <w:wordWrap w:val="0"/>
        <w:spacing w:line="360" w:lineRule="auto"/>
        <w:ind w:left="25" w:leftChars="12"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日期：</w:t>
      </w:r>
    </w:p>
    <w:p w14:paraId="1194F56F">
      <w:pPr>
        <w:pStyle w:val="25"/>
        <w:wordWrap w:val="0"/>
        <w:spacing w:line="360" w:lineRule="auto"/>
        <w:ind w:left="25" w:leftChars="12" w:firstLine="472" w:firstLineChars="197"/>
        <w:rPr>
          <w:rFonts w:hint="eastAsia" w:ascii="宋体" w:hAnsi="宋体" w:eastAsia="宋体" w:cs="宋体"/>
          <w:color w:val="auto"/>
          <w:sz w:val="24"/>
          <w:szCs w:val="24"/>
        </w:rPr>
      </w:pPr>
    </w:p>
    <w:p w14:paraId="1A985381">
      <w:pPr>
        <w:pStyle w:val="25"/>
        <w:wordWrap w:val="0"/>
        <w:snapToGrid w:val="0"/>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说明：</w:t>
      </w:r>
    </w:p>
    <w:p w14:paraId="60C84DD5">
      <w:pPr>
        <w:pStyle w:val="25"/>
        <w:wordWrap w:val="0"/>
        <w:spacing w:line="360" w:lineRule="auto"/>
        <w:ind w:left="25" w:leftChars="12" w:firstLine="354" w:firstLineChars="147"/>
        <w:rPr>
          <w:rFonts w:hint="eastAsia" w:ascii="宋体" w:hAnsi="宋体" w:eastAsia="宋体" w:cs="宋体"/>
          <w:b/>
          <w:bCs/>
          <w:color w:val="auto"/>
          <w:sz w:val="24"/>
          <w:szCs w:val="24"/>
        </w:rPr>
      </w:pPr>
      <w:r>
        <w:rPr>
          <w:rFonts w:hint="eastAsia" w:ascii="宋体" w:hAnsi="宋体" w:eastAsia="宋体" w:cs="宋体"/>
          <w:b/>
          <w:color w:val="auto"/>
          <w:sz w:val="24"/>
          <w:szCs w:val="24"/>
        </w:rPr>
        <w:t>1.投诉人提起投诉时，应当提交投诉书和必要的证明材料，并按照被投诉人和与投诉事项有关的</w:t>
      </w:r>
      <w:r>
        <w:rPr>
          <w:rFonts w:hint="eastAsia" w:ascii="宋体" w:hAnsi="宋体" w:eastAsia="宋体" w:cs="宋体"/>
          <w:b/>
          <w:color w:val="auto"/>
          <w:sz w:val="24"/>
          <w:szCs w:val="24"/>
        </w:rPr>
        <w:t>投标人</w:t>
      </w:r>
      <w:r>
        <w:rPr>
          <w:rFonts w:hint="eastAsia" w:ascii="宋体" w:hAnsi="宋体" w:eastAsia="宋体" w:cs="宋体"/>
          <w:b/>
          <w:color w:val="auto"/>
          <w:sz w:val="24"/>
          <w:szCs w:val="24"/>
        </w:rPr>
        <w:t>数量提供投诉书副本</w:t>
      </w:r>
      <w:r>
        <w:rPr>
          <w:rFonts w:hint="eastAsia" w:ascii="宋体" w:hAnsi="宋体" w:eastAsia="宋体" w:cs="宋体"/>
          <w:b/>
          <w:bCs/>
          <w:color w:val="auto"/>
          <w:sz w:val="24"/>
          <w:szCs w:val="24"/>
        </w:rPr>
        <w:t>。</w:t>
      </w:r>
    </w:p>
    <w:p w14:paraId="7F5ED9A3">
      <w:pPr>
        <w:pStyle w:val="25"/>
        <w:wordWrap w:val="0"/>
        <w:spacing w:line="360" w:lineRule="auto"/>
        <w:ind w:left="25" w:leftChars="12" w:firstLine="354" w:firstLineChars="147"/>
        <w:rPr>
          <w:rFonts w:hint="eastAsia" w:ascii="宋体" w:hAnsi="宋体" w:eastAsia="宋体" w:cs="宋体"/>
          <w:b/>
          <w:color w:val="auto"/>
          <w:sz w:val="24"/>
          <w:szCs w:val="24"/>
        </w:rPr>
      </w:pPr>
      <w:r>
        <w:rPr>
          <w:rFonts w:hint="eastAsia" w:ascii="宋体" w:hAnsi="宋体" w:eastAsia="宋体" w:cs="宋体"/>
          <w:b/>
          <w:color w:val="auto"/>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4D04CAE">
      <w:pPr>
        <w:pStyle w:val="25"/>
        <w:wordWrap w:val="0"/>
        <w:spacing w:line="360" w:lineRule="auto"/>
        <w:ind w:left="25" w:leftChars="12" w:firstLine="354" w:firstLineChars="147"/>
        <w:rPr>
          <w:rFonts w:hint="eastAsia" w:ascii="宋体" w:hAnsi="宋体" w:eastAsia="宋体" w:cs="宋体"/>
          <w:b/>
          <w:color w:val="auto"/>
          <w:sz w:val="24"/>
          <w:szCs w:val="24"/>
        </w:rPr>
      </w:pPr>
      <w:r>
        <w:rPr>
          <w:rFonts w:hint="eastAsia" w:ascii="宋体" w:hAnsi="宋体" w:eastAsia="宋体" w:cs="宋体"/>
          <w:b/>
          <w:color w:val="auto"/>
          <w:sz w:val="24"/>
          <w:szCs w:val="24"/>
        </w:rPr>
        <w:t>3.投诉书应简要列明质疑事项，质疑函、质疑答复等作为附件材料提供。</w:t>
      </w:r>
    </w:p>
    <w:p w14:paraId="761AA2D3">
      <w:pPr>
        <w:pStyle w:val="25"/>
        <w:wordWrap w:val="0"/>
        <w:spacing w:line="360" w:lineRule="auto"/>
        <w:ind w:left="25" w:leftChars="12" w:firstLine="354" w:firstLineChars="147"/>
        <w:rPr>
          <w:rFonts w:hint="eastAsia" w:ascii="宋体" w:hAnsi="宋体" w:eastAsia="宋体" w:cs="宋体"/>
          <w:b/>
          <w:color w:val="auto"/>
          <w:sz w:val="24"/>
          <w:szCs w:val="24"/>
        </w:rPr>
      </w:pPr>
      <w:r>
        <w:rPr>
          <w:rFonts w:hint="eastAsia" w:ascii="宋体" w:hAnsi="宋体" w:eastAsia="宋体" w:cs="宋体"/>
          <w:b/>
          <w:color w:val="auto"/>
          <w:sz w:val="24"/>
          <w:szCs w:val="24"/>
        </w:rPr>
        <w:t>4.投诉书的投诉事项应具体、明确，并有必要的事实依据和法律依据。</w:t>
      </w:r>
    </w:p>
    <w:p w14:paraId="76E55CFA">
      <w:pPr>
        <w:pStyle w:val="25"/>
        <w:wordWrap w:val="0"/>
        <w:spacing w:line="360" w:lineRule="auto"/>
        <w:ind w:left="25" w:leftChars="12" w:firstLine="354" w:firstLineChars="147"/>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5.投诉书的投诉请求应与投诉事项相关。</w:t>
      </w:r>
    </w:p>
    <w:p w14:paraId="14FDF8B6">
      <w:pPr>
        <w:pStyle w:val="25"/>
        <w:wordWrap w:val="0"/>
        <w:spacing w:line="360" w:lineRule="auto"/>
        <w:ind w:left="25" w:leftChars="12" w:firstLine="354" w:firstLineChars="147"/>
        <w:rPr>
          <w:rFonts w:hint="eastAsia" w:ascii="宋体" w:hAnsi="宋体" w:eastAsia="宋体" w:cs="宋体"/>
          <w:b/>
          <w:color w:val="auto"/>
          <w:sz w:val="24"/>
          <w:szCs w:val="24"/>
        </w:rPr>
        <w:sectPr>
          <w:footerReference r:id="rId13" w:type="first"/>
          <w:footerReference r:id="rId11" w:type="default"/>
          <w:footerReference r:id="rId12" w:type="even"/>
          <w:pgSz w:w="11906" w:h="16838"/>
          <w:pgMar w:top="1134" w:right="1247" w:bottom="1134" w:left="1247" w:header="737" w:footer="680" w:gutter="113"/>
          <w:cols w:space="720" w:num="1"/>
          <w:docGrid w:linePitch="312" w:charSpace="0"/>
        </w:sectPr>
      </w:pPr>
      <w:r>
        <w:rPr>
          <w:rFonts w:hint="eastAsia" w:ascii="宋体" w:hAnsi="宋体" w:eastAsia="宋体" w:cs="宋体"/>
          <w:b/>
          <w:color w:val="auto"/>
          <w:sz w:val="24"/>
          <w:szCs w:val="24"/>
        </w:rPr>
        <w:t>6.投诉人为法人或者其他组织的，投诉书应由法定代表人、主要负责人，或者其授权代表签字或者盖章，并加盖公章。</w:t>
      </w:r>
    </w:p>
    <w:p w14:paraId="4E502071">
      <w:pPr>
        <w:tabs>
          <w:tab w:val="left" w:pos="576"/>
        </w:tabs>
        <w:jc w:val="center"/>
        <w:rPr>
          <w:rFonts w:hint="eastAsia" w:ascii="宋体" w:hAnsi="宋体" w:eastAsia="宋体" w:cs="宋体"/>
          <w:color w:val="auto"/>
          <w:kern w:val="0"/>
          <w:sz w:val="32"/>
        </w:rPr>
      </w:pPr>
      <w:r>
        <w:rPr>
          <w:rFonts w:hint="eastAsia" w:ascii="宋体" w:hAnsi="宋体" w:eastAsia="宋体" w:cs="宋体"/>
          <w:b/>
          <w:bCs/>
          <w:color w:val="auto"/>
          <w:sz w:val="32"/>
          <w:szCs w:val="32"/>
        </w:rPr>
        <w:t>广西壮族自治区政府采购项目合同验收书（格式）</w:t>
      </w:r>
    </w:p>
    <w:p w14:paraId="72F96E35">
      <w:pPr>
        <w:widowControl/>
        <w:wordWrap w:val="0"/>
        <w:snapToGrid w:val="0"/>
        <w:spacing w:before="100" w:beforeAutospacing="1" w:after="100" w:afterAutospacing="1" w:line="320" w:lineRule="exact"/>
        <w:ind w:left="-359" w:leftChars="-171"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根据政府采购项目（</w:t>
      </w:r>
      <w:r>
        <w:rPr>
          <w:rFonts w:hint="eastAsia" w:ascii="宋体" w:hAnsi="宋体" w:eastAsia="宋体" w:cs="宋体"/>
          <w:color w:val="auto"/>
          <w:kern w:val="0"/>
          <w:sz w:val="24"/>
          <w:u w:val="single"/>
        </w:rPr>
        <w:t>采购合同编号：</w:t>
      </w:r>
      <w:r>
        <w:rPr>
          <w:rFonts w:hint="eastAsia" w:ascii="宋体" w:hAnsi="宋体" w:eastAsia="宋体" w:cs="宋体"/>
          <w:color w:val="auto"/>
          <w:kern w:val="0"/>
          <w:sz w:val="24"/>
          <w:u w:val="single"/>
        </w:rPr>
        <w:softHyphen/>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）的约定，我单位对（</w:t>
      </w:r>
      <w:r>
        <w:rPr>
          <w:rFonts w:hint="eastAsia" w:ascii="宋体" w:hAnsi="宋体" w:eastAsia="宋体" w:cs="宋体"/>
          <w:color w:val="auto"/>
          <w:kern w:val="0"/>
          <w:sz w:val="24"/>
          <w:u w:val="single"/>
        </w:rPr>
        <w:t>项目名称</w:t>
      </w:r>
      <w:r>
        <w:rPr>
          <w:rFonts w:hint="eastAsia" w:ascii="宋体" w:hAnsi="宋体" w:eastAsia="宋体" w:cs="宋体"/>
          <w:color w:val="auto"/>
          <w:kern w:val="0"/>
          <w:sz w:val="24"/>
        </w:rPr>
        <w:t>）政府采购项目中标（或成交）投标人（</w:t>
      </w:r>
      <w:r>
        <w:rPr>
          <w:rFonts w:hint="eastAsia" w:ascii="宋体" w:hAnsi="宋体" w:eastAsia="宋体" w:cs="宋体"/>
          <w:color w:val="auto"/>
          <w:kern w:val="0"/>
          <w:sz w:val="24"/>
          <w:u w:val="single"/>
        </w:rPr>
        <w:t>公司名称</w:t>
      </w:r>
      <w:r>
        <w:rPr>
          <w:rFonts w:hint="eastAsia" w:ascii="宋体" w:hAnsi="宋体" w:eastAsia="宋体" w:cs="宋体"/>
          <w:color w:val="auto"/>
          <w:kern w:val="0"/>
          <w:sz w:val="24"/>
        </w:rPr>
        <w:t>）提供的货物（或工程、服务）进行了验收，验收情况如下：</w:t>
      </w:r>
    </w:p>
    <w:tbl>
      <w:tblPr>
        <w:tblStyle w:val="48"/>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527"/>
        <w:gridCol w:w="2294"/>
        <w:gridCol w:w="946"/>
        <w:gridCol w:w="2495"/>
        <w:gridCol w:w="205"/>
        <w:gridCol w:w="793"/>
        <w:gridCol w:w="1367"/>
      </w:tblGrid>
      <w:tr w14:paraId="7D1786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vAlign w:val="center"/>
          </w:tcPr>
          <w:p w14:paraId="6605DB51">
            <w:pPr>
              <w:widowControl/>
              <w:wordWrap w:val="0"/>
              <w:snapToGrid w:val="0"/>
              <w:spacing w:before="100" w:beforeAutospacing="1" w:after="100" w:afterAutospacing="1" w:line="320" w:lineRule="exact"/>
              <w:ind w:left="-3" w:firstLine="4" w:firstLineChars="2"/>
              <w:rPr>
                <w:rFonts w:hint="eastAsia" w:ascii="宋体" w:hAnsi="宋体" w:eastAsia="宋体" w:cs="宋体"/>
                <w:color w:val="auto"/>
                <w:kern w:val="0"/>
                <w:sz w:val="24"/>
              </w:rPr>
            </w:pPr>
            <w:r>
              <w:rPr>
                <w:rFonts w:hint="eastAsia" w:ascii="宋体" w:hAnsi="宋体" w:eastAsia="宋体" w:cs="宋体"/>
                <w:color w:val="auto"/>
                <w:kern w:val="0"/>
                <w:sz w:val="24"/>
              </w:rPr>
              <w:t>验收方式：</w:t>
            </w:r>
          </w:p>
        </w:tc>
        <w:tc>
          <w:tcPr>
            <w:tcW w:w="5806" w:type="dxa"/>
            <w:gridSpan w:val="5"/>
            <w:tcBorders>
              <w:top w:val="single" w:color="auto" w:sz="8" w:space="0"/>
              <w:left w:val="single" w:color="auto" w:sz="8" w:space="0"/>
              <w:bottom w:val="single" w:color="auto" w:sz="8" w:space="0"/>
              <w:right w:val="single" w:color="auto" w:sz="8" w:space="0"/>
            </w:tcBorders>
            <w:vAlign w:val="center"/>
          </w:tcPr>
          <w:p w14:paraId="09BB9A35">
            <w:pPr>
              <w:widowControl/>
              <w:wordWrap w:val="0"/>
              <w:snapToGrid w:val="0"/>
              <w:spacing w:before="100" w:beforeAutospacing="1" w:after="100" w:afterAutospacing="1" w:line="320" w:lineRule="exact"/>
              <w:ind w:left="-3"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□自行验收         □委托验收</w:t>
            </w:r>
          </w:p>
        </w:tc>
      </w:tr>
      <w:tr w14:paraId="1CA026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0A88D1EE">
            <w:pPr>
              <w:widowControl/>
              <w:wordWrap w:val="0"/>
              <w:snapToGrid w:val="0"/>
              <w:spacing w:before="100" w:beforeAutospacing="1" w:after="100" w:afterAutospacing="1" w:line="320" w:lineRule="exact"/>
              <w:ind w:firstLine="2" w:firstLineChars="1"/>
              <w:rPr>
                <w:rFonts w:hint="eastAsia" w:ascii="宋体" w:hAnsi="宋体" w:eastAsia="宋体" w:cs="宋体"/>
                <w:color w:val="auto"/>
                <w:kern w:val="0"/>
                <w:sz w:val="24"/>
              </w:rPr>
            </w:pPr>
            <w:r>
              <w:rPr>
                <w:rFonts w:hint="eastAsia" w:ascii="宋体" w:hAnsi="宋体" w:eastAsia="宋体" w:cs="宋体"/>
                <w:color w:val="auto"/>
                <w:kern w:val="0"/>
                <w:sz w:val="24"/>
              </w:rPr>
              <w:t>序号</w:t>
            </w:r>
          </w:p>
        </w:tc>
        <w:tc>
          <w:tcPr>
            <w:tcW w:w="2294" w:type="dxa"/>
            <w:tcBorders>
              <w:top w:val="single" w:color="auto" w:sz="8" w:space="0"/>
              <w:left w:val="single" w:color="auto" w:sz="8" w:space="0"/>
              <w:bottom w:val="single" w:color="auto" w:sz="8" w:space="0"/>
              <w:right w:val="single" w:color="auto" w:sz="8" w:space="0"/>
            </w:tcBorders>
            <w:vAlign w:val="center"/>
          </w:tcPr>
          <w:p w14:paraId="3DEA5EB8">
            <w:pPr>
              <w:widowControl/>
              <w:wordWrap w:val="0"/>
              <w:snapToGrid w:val="0"/>
              <w:spacing w:before="100" w:beforeAutospacing="1" w:after="100" w:afterAutospacing="1" w:line="320" w:lineRule="exact"/>
              <w:ind w:left="-3" w:firstLine="2" w:firstLineChars="1"/>
              <w:rPr>
                <w:rFonts w:hint="eastAsia" w:ascii="宋体" w:hAnsi="宋体" w:eastAsia="宋体" w:cs="宋体"/>
                <w:color w:val="auto"/>
                <w:kern w:val="0"/>
                <w:sz w:val="24"/>
              </w:rPr>
            </w:pPr>
            <w:r>
              <w:rPr>
                <w:rFonts w:hint="eastAsia" w:ascii="宋体" w:hAnsi="宋体" w:eastAsia="宋体" w:cs="宋体"/>
                <w:color w:val="auto"/>
                <w:kern w:val="0"/>
                <w:sz w:val="24"/>
              </w:rPr>
              <w:t>名  称</w:t>
            </w:r>
          </w:p>
        </w:tc>
        <w:tc>
          <w:tcPr>
            <w:tcW w:w="3441" w:type="dxa"/>
            <w:gridSpan w:val="2"/>
            <w:tcBorders>
              <w:top w:val="single" w:color="auto" w:sz="8" w:space="0"/>
              <w:left w:val="single" w:color="auto" w:sz="8" w:space="0"/>
              <w:bottom w:val="single" w:color="auto" w:sz="8" w:space="0"/>
              <w:right w:val="single" w:color="auto" w:sz="8" w:space="0"/>
            </w:tcBorders>
            <w:vAlign w:val="center"/>
          </w:tcPr>
          <w:p w14:paraId="634088B7">
            <w:pPr>
              <w:widowControl/>
              <w:wordWrap w:val="0"/>
              <w:snapToGrid w:val="0"/>
              <w:spacing w:before="100" w:beforeAutospacing="1" w:after="100" w:afterAutospacing="1" w:line="320" w:lineRule="exact"/>
              <w:ind w:left="-3" w:firstLine="2" w:firstLineChars="1"/>
              <w:rPr>
                <w:rFonts w:hint="eastAsia" w:ascii="宋体" w:hAnsi="宋体" w:eastAsia="宋体" w:cs="宋体"/>
                <w:color w:val="auto"/>
                <w:kern w:val="0"/>
                <w:sz w:val="24"/>
              </w:rPr>
            </w:pPr>
            <w:r>
              <w:rPr>
                <w:rFonts w:hint="eastAsia" w:ascii="宋体" w:hAnsi="宋体" w:eastAsia="宋体" w:cs="宋体"/>
                <w:color w:val="auto"/>
                <w:kern w:val="0"/>
                <w:sz w:val="24"/>
              </w:rPr>
              <w:t>货物型号规格、标准及配置等（或服务内容、标准）</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3DC9C672">
            <w:pPr>
              <w:widowControl/>
              <w:wordWrap w:val="0"/>
              <w:snapToGrid w:val="0"/>
              <w:spacing w:before="100" w:beforeAutospacing="1" w:after="100" w:afterAutospacing="1" w:line="320" w:lineRule="exact"/>
              <w:rPr>
                <w:rFonts w:hint="eastAsia" w:ascii="宋体" w:hAnsi="宋体" w:eastAsia="宋体" w:cs="宋体"/>
                <w:color w:val="auto"/>
                <w:kern w:val="0"/>
                <w:sz w:val="24"/>
              </w:rPr>
            </w:pPr>
            <w:r>
              <w:rPr>
                <w:rFonts w:hint="eastAsia" w:ascii="宋体" w:hAnsi="宋体" w:eastAsia="宋体" w:cs="宋体"/>
                <w:color w:val="auto"/>
                <w:kern w:val="0"/>
                <w:sz w:val="24"/>
              </w:rPr>
              <w:t>数量</w:t>
            </w:r>
          </w:p>
        </w:tc>
        <w:tc>
          <w:tcPr>
            <w:tcW w:w="1367" w:type="dxa"/>
            <w:tcBorders>
              <w:top w:val="single" w:color="auto" w:sz="8" w:space="0"/>
              <w:left w:val="single" w:color="auto" w:sz="8" w:space="0"/>
              <w:bottom w:val="single" w:color="auto" w:sz="8" w:space="0"/>
              <w:right w:val="single" w:color="auto" w:sz="8" w:space="0"/>
            </w:tcBorders>
            <w:vAlign w:val="center"/>
          </w:tcPr>
          <w:p w14:paraId="00CEE7D2">
            <w:pPr>
              <w:widowControl/>
              <w:wordWrap w:val="0"/>
              <w:snapToGrid w:val="0"/>
              <w:spacing w:before="100" w:beforeAutospacing="1" w:after="100" w:afterAutospacing="1" w:line="320" w:lineRule="exact"/>
              <w:ind w:left="-3" w:firstLine="2" w:firstLineChars="1"/>
              <w:rPr>
                <w:rFonts w:hint="eastAsia" w:ascii="宋体" w:hAnsi="宋体" w:eastAsia="宋体" w:cs="宋体"/>
                <w:color w:val="auto"/>
                <w:kern w:val="0"/>
                <w:sz w:val="24"/>
              </w:rPr>
            </w:pPr>
            <w:r>
              <w:rPr>
                <w:rFonts w:hint="eastAsia" w:ascii="宋体" w:hAnsi="宋体" w:eastAsia="宋体" w:cs="宋体"/>
                <w:color w:val="auto"/>
                <w:kern w:val="0"/>
                <w:sz w:val="24"/>
              </w:rPr>
              <w:t>金  额</w:t>
            </w:r>
          </w:p>
        </w:tc>
      </w:tr>
      <w:tr w14:paraId="5D68EC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46E0947E">
            <w:pPr>
              <w:widowControl/>
              <w:wordWrap w:val="0"/>
              <w:snapToGrid w:val="0"/>
              <w:spacing w:before="100" w:beforeAutospacing="1" w:after="100" w:afterAutospacing="1" w:line="320" w:lineRule="exact"/>
              <w:ind w:left="-3" w:firstLine="4" w:firstLineChars="2"/>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2294" w:type="dxa"/>
            <w:tcBorders>
              <w:top w:val="single" w:color="auto" w:sz="8" w:space="0"/>
              <w:left w:val="single" w:color="auto" w:sz="8" w:space="0"/>
              <w:bottom w:val="single" w:color="auto" w:sz="8" w:space="0"/>
              <w:right w:val="single" w:color="auto" w:sz="8" w:space="0"/>
            </w:tcBorders>
            <w:vAlign w:val="center"/>
          </w:tcPr>
          <w:p w14:paraId="30AD8DF6">
            <w:pPr>
              <w:widowControl/>
              <w:wordWrap w:val="0"/>
              <w:snapToGrid w:val="0"/>
              <w:spacing w:before="100" w:beforeAutospacing="1" w:after="100" w:afterAutospacing="1" w:line="320" w:lineRule="exact"/>
              <w:ind w:left="-3"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14:paraId="0D2BF2FB">
            <w:pPr>
              <w:widowControl/>
              <w:wordWrap w:val="0"/>
              <w:snapToGrid w:val="0"/>
              <w:spacing w:before="100" w:beforeAutospacing="1" w:after="100" w:afterAutospacing="1" w:line="320" w:lineRule="exact"/>
              <w:ind w:left="-3"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6A154E23">
            <w:pPr>
              <w:widowControl/>
              <w:wordWrap w:val="0"/>
              <w:snapToGrid w:val="0"/>
              <w:spacing w:before="100" w:beforeAutospacing="1" w:after="100" w:afterAutospacing="1" w:line="32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1367" w:type="dxa"/>
            <w:tcBorders>
              <w:top w:val="single" w:color="auto" w:sz="8" w:space="0"/>
              <w:left w:val="single" w:color="auto" w:sz="8" w:space="0"/>
              <w:bottom w:val="single" w:color="auto" w:sz="8" w:space="0"/>
              <w:right w:val="single" w:color="auto" w:sz="8" w:space="0"/>
            </w:tcBorders>
            <w:vAlign w:val="center"/>
          </w:tcPr>
          <w:p w14:paraId="4E639571">
            <w:pPr>
              <w:widowControl/>
              <w:wordWrap w:val="0"/>
              <w:snapToGrid w:val="0"/>
              <w:spacing w:before="100" w:beforeAutospacing="1" w:after="100" w:afterAutospacing="1" w:line="32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 </w:t>
            </w:r>
          </w:p>
        </w:tc>
      </w:tr>
      <w:tr w14:paraId="2C701C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1D37DD9F">
            <w:pPr>
              <w:widowControl/>
              <w:wordWrap w:val="0"/>
              <w:snapToGrid w:val="0"/>
              <w:spacing w:before="100" w:beforeAutospacing="1" w:after="100" w:afterAutospacing="1" w:line="320" w:lineRule="exact"/>
              <w:ind w:left="-3"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2294" w:type="dxa"/>
            <w:tcBorders>
              <w:top w:val="single" w:color="auto" w:sz="8" w:space="0"/>
              <w:left w:val="single" w:color="auto" w:sz="8" w:space="0"/>
              <w:bottom w:val="single" w:color="auto" w:sz="8" w:space="0"/>
              <w:right w:val="single" w:color="auto" w:sz="8" w:space="0"/>
            </w:tcBorders>
            <w:vAlign w:val="center"/>
          </w:tcPr>
          <w:p w14:paraId="033DED9D">
            <w:pPr>
              <w:widowControl/>
              <w:wordWrap w:val="0"/>
              <w:snapToGrid w:val="0"/>
              <w:spacing w:before="100" w:beforeAutospacing="1" w:after="100" w:afterAutospacing="1" w:line="320" w:lineRule="exact"/>
              <w:ind w:left="-3"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14:paraId="79D15322">
            <w:pPr>
              <w:widowControl/>
              <w:wordWrap w:val="0"/>
              <w:snapToGrid w:val="0"/>
              <w:spacing w:before="100" w:beforeAutospacing="1" w:after="100" w:afterAutospacing="1" w:line="320" w:lineRule="exact"/>
              <w:ind w:left="-3"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6E6F3AE8">
            <w:pPr>
              <w:widowControl/>
              <w:wordWrap w:val="0"/>
              <w:snapToGrid w:val="0"/>
              <w:spacing w:before="100" w:beforeAutospacing="1" w:after="100" w:afterAutospacing="1" w:line="32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1367" w:type="dxa"/>
            <w:tcBorders>
              <w:top w:val="single" w:color="auto" w:sz="8" w:space="0"/>
              <w:left w:val="single" w:color="auto" w:sz="8" w:space="0"/>
              <w:bottom w:val="single" w:color="auto" w:sz="8" w:space="0"/>
              <w:right w:val="single" w:color="auto" w:sz="8" w:space="0"/>
            </w:tcBorders>
            <w:vAlign w:val="center"/>
          </w:tcPr>
          <w:p w14:paraId="3C33DB48">
            <w:pPr>
              <w:widowControl/>
              <w:wordWrap w:val="0"/>
              <w:snapToGrid w:val="0"/>
              <w:spacing w:before="100" w:beforeAutospacing="1" w:after="100" w:afterAutospacing="1" w:line="32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 </w:t>
            </w:r>
          </w:p>
        </w:tc>
      </w:tr>
      <w:tr w14:paraId="2263E4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6402D91B">
            <w:pPr>
              <w:widowControl/>
              <w:wordWrap w:val="0"/>
              <w:snapToGrid w:val="0"/>
              <w:spacing w:before="100" w:beforeAutospacing="1" w:after="100" w:afterAutospacing="1" w:line="320" w:lineRule="exact"/>
              <w:ind w:left="-3"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2294" w:type="dxa"/>
            <w:tcBorders>
              <w:top w:val="single" w:color="auto" w:sz="8" w:space="0"/>
              <w:left w:val="single" w:color="auto" w:sz="8" w:space="0"/>
              <w:bottom w:val="single" w:color="auto" w:sz="8" w:space="0"/>
              <w:right w:val="single" w:color="auto" w:sz="8" w:space="0"/>
            </w:tcBorders>
            <w:vAlign w:val="center"/>
          </w:tcPr>
          <w:p w14:paraId="5C4FC2E3">
            <w:pPr>
              <w:widowControl/>
              <w:wordWrap w:val="0"/>
              <w:snapToGrid w:val="0"/>
              <w:spacing w:before="100" w:beforeAutospacing="1" w:after="100" w:afterAutospacing="1" w:line="320" w:lineRule="exact"/>
              <w:ind w:left="-3"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14:paraId="7AF475BF">
            <w:pPr>
              <w:widowControl/>
              <w:wordWrap w:val="0"/>
              <w:snapToGrid w:val="0"/>
              <w:spacing w:before="100" w:beforeAutospacing="1" w:after="100" w:afterAutospacing="1" w:line="320" w:lineRule="exact"/>
              <w:ind w:left="-3"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0F562730">
            <w:pPr>
              <w:widowControl/>
              <w:wordWrap w:val="0"/>
              <w:snapToGrid w:val="0"/>
              <w:spacing w:before="100" w:beforeAutospacing="1" w:after="100" w:afterAutospacing="1" w:line="32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1367" w:type="dxa"/>
            <w:tcBorders>
              <w:top w:val="single" w:color="auto" w:sz="8" w:space="0"/>
              <w:left w:val="single" w:color="auto" w:sz="8" w:space="0"/>
              <w:bottom w:val="single" w:color="auto" w:sz="8" w:space="0"/>
              <w:right w:val="single" w:color="auto" w:sz="8" w:space="0"/>
            </w:tcBorders>
            <w:vAlign w:val="center"/>
          </w:tcPr>
          <w:p w14:paraId="772A0738">
            <w:pPr>
              <w:widowControl/>
              <w:wordWrap w:val="0"/>
              <w:snapToGrid w:val="0"/>
              <w:spacing w:before="100" w:beforeAutospacing="1" w:after="100" w:afterAutospacing="1" w:line="32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 </w:t>
            </w:r>
          </w:p>
        </w:tc>
      </w:tr>
      <w:tr w14:paraId="065097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vAlign w:val="center"/>
          </w:tcPr>
          <w:p w14:paraId="6D48D26E">
            <w:pPr>
              <w:widowControl/>
              <w:wordWrap w:val="0"/>
              <w:snapToGrid w:val="0"/>
              <w:spacing w:before="100" w:beforeAutospacing="1" w:after="100" w:afterAutospacing="1" w:line="320" w:lineRule="exact"/>
              <w:ind w:left="-3" w:firstLine="4" w:firstLineChars="2"/>
              <w:rPr>
                <w:rFonts w:hint="eastAsia" w:ascii="宋体" w:hAnsi="宋体" w:eastAsia="宋体" w:cs="宋体"/>
                <w:color w:val="auto"/>
                <w:kern w:val="0"/>
                <w:sz w:val="24"/>
              </w:rPr>
            </w:pPr>
            <w:r>
              <w:rPr>
                <w:rFonts w:hint="eastAsia" w:ascii="宋体" w:hAnsi="宋体" w:eastAsia="宋体" w:cs="宋体"/>
                <w:color w:val="auto"/>
                <w:kern w:val="0"/>
                <w:sz w:val="24"/>
              </w:rPr>
              <w:t>合        计</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1DBDC365">
            <w:pPr>
              <w:widowControl/>
              <w:wordWrap w:val="0"/>
              <w:snapToGrid w:val="0"/>
              <w:spacing w:before="100" w:beforeAutospacing="1" w:after="100" w:afterAutospacing="1" w:line="32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 </w:t>
            </w:r>
          </w:p>
        </w:tc>
        <w:tc>
          <w:tcPr>
            <w:tcW w:w="1367" w:type="dxa"/>
            <w:tcBorders>
              <w:top w:val="single" w:color="auto" w:sz="8" w:space="0"/>
              <w:left w:val="single" w:color="auto" w:sz="8" w:space="0"/>
              <w:bottom w:val="single" w:color="auto" w:sz="8" w:space="0"/>
              <w:right w:val="single" w:color="auto" w:sz="8" w:space="0"/>
            </w:tcBorders>
            <w:vAlign w:val="center"/>
          </w:tcPr>
          <w:p w14:paraId="13FDAFDE">
            <w:pPr>
              <w:widowControl/>
              <w:wordWrap w:val="0"/>
              <w:snapToGrid w:val="0"/>
              <w:spacing w:before="100" w:beforeAutospacing="1" w:after="100" w:afterAutospacing="1" w:line="32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 </w:t>
            </w:r>
          </w:p>
        </w:tc>
      </w:tr>
      <w:tr w14:paraId="1E977C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vAlign w:val="center"/>
          </w:tcPr>
          <w:p w14:paraId="5CD626B3">
            <w:pPr>
              <w:widowControl/>
              <w:wordWrap w:val="0"/>
              <w:snapToGrid w:val="0"/>
              <w:spacing w:before="100" w:beforeAutospacing="1" w:after="100" w:afterAutospacing="1" w:line="320" w:lineRule="exact"/>
              <w:ind w:firstLine="2" w:firstLineChars="1"/>
              <w:rPr>
                <w:rFonts w:hint="eastAsia" w:ascii="宋体" w:hAnsi="宋体" w:eastAsia="宋体" w:cs="宋体"/>
                <w:color w:val="auto"/>
                <w:kern w:val="0"/>
                <w:sz w:val="24"/>
              </w:rPr>
            </w:pPr>
            <w:r>
              <w:rPr>
                <w:rFonts w:hint="eastAsia" w:ascii="宋体" w:hAnsi="宋体" w:eastAsia="宋体" w:cs="宋体"/>
                <w:color w:val="auto"/>
                <w:kern w:val="0"/>
                <w:sz w:val="24"/>
              </w:rPr>
              <w:t>合计大写金额：   仟    佰    拾    万    仟    佰    拾    元</w:t>
            </w:r>
          </w:p>
        </w:tc>
      </w:tr>
      <w:tr w14:paraId="60B725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34994517">
            <w:pPr>
              <w:widowControl/>
              <w:wordWrap w:val="0"/>
              <w:snapToGrid w:val="0"/>
              <w:spacing w:before="100" w:beforeAutospacing="1" w:after="100" w:afterAutospacing="1" w:line="320" w:lineRule="exact"/>
              <w:ind w:firstLine="2" w:firstLineChars="1"/>
              <w:rPr>
                <w:rFonts w:hint="eastAsia" w:ascii="宋体" w:hAnsi="宋体" w:eastAsia="宋体" w:cs="宋体"/>
                <w:color w:val="auto"/>
                <w:kern w:val="0"/>
                <w:sz w:val="24"/>
              </w:rPr>
            </w:pPr>
            <w:r>
              <w:rPr>
                <w:rFonts w:hint="eastAsia" w:ascii="宋体" w:hAnsi="宋体" w:eastAsia="宋体" w:cs="宋体"/>
                <w:color w:val="auto"/>
                <w:kern w:val="0"/>
                <w:sz w:val="24"/>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14:paraId="76FC4271">
            <w:pPr>
              <w:wordWrap w:val="0"/>
              <w:snapToGrid w:val="0"/>
              <w:spacing w:before="100" w:beforeAutospacing="1" w:after="100" w:afterAutospacing="1" w:line="320" w:lineRule="exact"/>
              <w:ind w:firstLine="480" w:firstLineChars="200"/>
              <w:rPr>
                <w:rFonts w:hint="eastAsia" w:ascii="宋体" w:hAnsi="宋体" w:eastAsia="宋体" w:cs="宋体"/>
                <w:color w:val="auto"/>
                <w:kern w:val="0"/>
                <w:sz w:val="24"/>
              </w:rPr>
            </w:pPr>
          </w:p>
        </w:tc>
        <w:tc>
          <w:tcPr>
            <w:tcW w:w="2700" w:type="dxa"/>
            <w:gridSpan w:val="2"/>
            <w:tcBorders>
              <w:top w:val="single" w:color="auto" w:sz="8" w:space="0"/>
              <w:left w:val="single" w:color="auto" w:sz="8" w:space="0"/>
              <w:bottom w:val="single" w:color="auto" w:sz="8" w:space="0"/>
              <w:right w:val="single" w:color="auto" w:sz="8" w:space="0"/>
            </w:tcBorders>
            <w:vAlign w:val="center"/>
          </w:tcPr>
          <w:p w14:paraId="468DE701">
            <w:pPr>
              <w:wordWrap w:val="0"/>
              <w:snapToGrid w:val="0"/>
              <w:spacing w:before="100" w:beforeAutospacing="1" w:after="100" w:afterAutospacing="1" w:line="320" w:lineRule="exact"/>
              <w:ind w:firstLine="45" w:firstLineChars="19"/>
              <w:rPr>
                <w:rFonts w:hint="eastAsia" w:ascii="宋体" w:hAnsi="宋体" w:eastAsia="宋体" w:cs="宋体"/>
                <w:color w:val="auto"/>
                <w:kern w:val="0"/>
                <w:sz w:val="24"/>
              </w:rPr>
            </w:pPr>
            <w:r>
              <w:rPr>
                <w:rFonts w:hint="eastAsia" w:ascii="宋体" w:hAnsi="宋体" w:eastAsia="宋体" w:cs="宋体"/>
                <w:color w:val="auto"/>
                <w:kern w:val="0"/>
                <w:sz w:val="24"/>
              </w:rPr>
              <w:t>合同交货验收日期</w:t>
            </w:r>
          </w:p>
        </w:tc>
        <w:tc>
          <w:tcPr>
            <w:tcW w:w="2160" w:type="dxa"/>
            <w:gridSpan w:val="2"/>
            <w:tcBorders>
              <w:top w:val="single" w:color="auto" w:sz="8" w:space="0"/>
              <w:left w:val="single" w:color="auto" w:sz="8" w:space="0"/>
              <w:bottom w:val="single" w:color="auto" w:sz="8" w:space="0"/>
              <w:right w:val="single" w:color="auto" w:sz="8" w:space="0"/>
            </w:tcBorders>
            <w:vAlign w:val="center"/>
          </w:tcPr>
          <w:p w14:paraId="4CE3F83D">
            <w:pPr>
              <w:wordWrap w:val="0"/>
              <w:snapToGrid w:val="0"/>
              <w:spacing w:before="100" w:beforeAutospacing="1" w:after="100" w:afterAutospacing="1" w:line="320" w:lineRule="exact"/>
              <w:ind w:firstLine="480" w:firstLineChars="200"/>
              <w:rPr>
                <w:rFonts w:hint="eastAsia" w:ascii="宋体" w:hAnsi="宋体" w:eastAsia="宋体" w:cs="宋体"/>
                <w:color w:val="auto"/>
                <w:kern w:val="0"/>
                <w:sz w:val="24"/>
              </w:rPr>
            </w:pPr>
          </w:p>
        </w:tc>
      </w:tr>
      <w:tr w14:paraId="03DD8E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6D1595AD">
            <w:pPr>
              <w:widowControl/>
              <w:wordWrap w:val="0"/>
              <w:snapToGrid w:val="0"/>
              <w:spacing w:before="100" w:beforeAutospacing="1" w:after="100" w:afterAutospacing="1" w:line="320" w:lineRule="exact"/>
              <w:ind w:firstLine="480" w:firstLineChars="200"/>
              <w:rPr>
                <w:rFonts w:hint="eastAsia" w:ascii="宋体" w:hAnsi="宋体" w:eastAsia="宋体" w:cs="宋体"/>
                <w:color w:val="auto"/>
                <w:kern w:val="0"/>
                <w:sz w:val="24"/>
              </w:rPr>
            </w:pPr>
          </w:p>
        </w:tc>
        <w:tc>
          <w:tcPr>
            <w:tcW w:w="3240" w:type="dxa"/>
            <w:gridSpan w:val="2"/>
            <w:tcBorders>
              <w:top w:val="single" w:color="auto" w:sz="8" w:space="0"/>
              <w:left w:val="single" w:color="auto" w:sz="8" w:space="0"/>
              <w:bottom w:val="single" w:color="auto" w:sz="8" w:space="0"/>
              <w:right w:val="single" w:color="auto" w:sz="8" w:space="0"/>
            </w:tcBorders>
            <w:vAlign w:val="center"/>
          </w:tcPr>
          <w:p w14:paraId="701BF6E5">
            <w:pPr>
              <w:wordWrap w:val="0"/>
              <w:snapToGrid w:val="0"/>
              <w:spacing w:before="100" w:beforeAutospacing="1" w:after="100" w:afterAutospacing="1" w:line="320" w:lineRule="exact"/>
              <w:ind w:firstLine="480" w:firstLineChars="200"/>
              <w:rPr>
                <w:rFonts w:hint="eastAsia" w:ascii="宋体" w:hAnsi="宋体" w:eastAsia="宋体" w:cs="宋体"/>
                <w:color w:val="auto"/>
                <w:kern w:val="0"/>
                <w:sz w:val="24"/>
              </w:rPr>
            </w:pPr>
          </w:p>
        </w:tc>
        <w:tc>
          <w:tcPr>
            <w:tcW w:w="2700" w:type="dxa"/>
            <w:gridSpan w:val="2"/>
            <w:tcBorders>
              <w:top w:val="single" w:color="auto" w:sz="8" w:space="0"/>
              <w:left w:val="single" w:color="auto" w:sz="8" w:space="0"/>
              <w:bottom w:val="single" w:color="auto" w:sz="8" w:space="0"/>
              <w:right w:val="single" w:color="auto" w:sz="8" w:space="0"/>
            </w:tcBorders>
            <w:vAlign w:val="center"/>
          </w:tcPr>
          <w:p w14:paraId="7BDBA281">
            <w:pPr>
              <w:wordWrap w:val="0"/>
              <w:snapToGrid w:val="0"/>
              <w:spacing w:before="100" w:beforeAutospacing="1" w:after="100" w:afterAutospacing="1" w:line="320" w:lineRule="exact"/>
              <w:ind w:left="590" w:firstLine="480" w:firstLineChars="200"/>
              <w:rPr>
                <w:rFonts w:hint="eastAsia" w:ascii="宋体" w:hAnsi="宋体" w:eastAsia="宋体" w:cs="宋体"/>
                <w:color w:val="auto"/>
                <w:kern w:val="0"/>
                <w:sz w:val="24"/>
              </w:rPr>
            </w:pPr>
          </w:p>
        </w:tc>
        <w:tc>
          <w:tcPr>
            <w:tcW w:w="2160" w:type="dxa"/>
            <w:gridSpan w:val="2"/>
            <w:tcBorders>
              <w:top w:val="single" w:color="auto" w:sz="8" w:space="0"/>
              <w:left w:val="single" w:color="auto" w:sz="8" w:space="0"/>
              <w:bottom w:val="single" w:color="auto" w:sz="8" w:space="0"/>
              <w:right w:val="single" w:color="auto" w:sz="8" w:space="0"/>
            </w:tcBorders>
            <w:vAlign w:val="center"/>
          </w:tcPr>
          <w:p w14:paraId="33F61DAF">
            <w:pPr>
              <w:wordWrap w:val="0"/>
              <w:snapToGrid w:val="0"/>
              <w:spacing w:before="100" w:beforeAutospacing="1" w:after="100" w:afterAutospacing="1" w:line="320" w:lineRule="exact"/>
              <w:ind w:firstLine="480" w:firstLineChars="200"/>
              <w:rPr>
                <w:rFonts w:hint="eastAsia" w:ascii="宋体" w:hAnsi="宋体" w:eastAsia="宋体" w:cs="宋体"/>
                <w:color w:val="auto"/>
                <w:kern w:val="0"/>
                <w:sz w:val="24"/>
              </w:rPr>
            </w:pPr>
          </w:p>
        </w:tc>
      </w:tr>
      <w:tr w14:paraId="1D69B5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5C0F775">
            <w:pPr>
              <w:widowControl/>
              <w:wordWrap w:val="0"/>
              <w:snapToGrid w:val="0"/>
              <w:spacing w:before="100" w:beforeAutospacing="1" w:after="100" w:afterAutospacing="1" w:line="320" w:lineRule="exact"/>
              <w:rPr>
                <w:rFonts w:hint="eastAsia" w:ascii="宋体" w:hAnsi="宋体" w:eastAsia="宋体" w:cs="宋体"/>
                <w:color w:val="auto"/>
                <w:kern w:val="0"/>
                <w:sz w:val="24"/>
              </w:rPr>
            </w:pPr>
            <w:r>
              <w:rPr>
                <w:rFonts w:hint="eastAsia" w:ascii="宋体" w:hAnsi="宋体" w:eastAsia="宋体" w:cs="宋体"/>
                <w:color w:val="auto"/>
                <w:kern w:val="0"/>
                <w:sz w:val="24"/>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6E229C8">
            <w:pPr>
              <w:widowControl/>
              <w:wordWrap w:val="0"/>
              <w:snapToGrid w:val="0"/>
              <w:spacing w:before="100" w:beforeAutospacing="1" w:after="100" w:afterAutospacing="1" w:line="320" w:lineRule="exact"/>
              <w:rPr>
                <w:rFonts w:hint="eastAsia" w:ascii="宋体" w:hAnsi="宋体" w:eastAsia="宋体" w:cs="宋体"/>
                <w:color w:val="auto"/>
                <w:kern w:val="0"/>
                <w:sz w:val="24"/>
              </w:rPr>
            </w:pPr>
            <w:r>
              <w:rPr>
                <w:rFonts w:hint="eastAsia" w:ascii="宋体" w:hAnsi="宋体" w:eastAsia="宋体" w:cs="宋体"/>
                <w:color w:val="auto"/>
                <w:sz w:val="24"/>
              </w:rPr>
              <w:t>（应</w:t>
            </w:r>
            <w:r>
              <w:rPr>
                <w:rFonts w:hint="eastAsia" w:ascii="宋体" w:hAnsi="宋体" w:eastAsia="宋体" w:cs="宋体"/>
                <w:color w:val="auto"/>
                <w:kern w:val="0"/>
                <w:sz w:val="24"/>
              </w:rPr>
              <w:t>按采购合同、采购文件、投标投标文件及验收方案等进行验收；并核对</w:t>
            </w:r>
            <w:r>
              <w:rPr>
                <w:rFonts w:hint="eastAsia" w:ascii="宋体" w:hAnsi="宋体" w:eastAsia="宋体" w:cs="宋体"/>
                <w:color w:val="auto"/>
                <w:sz w:val="24"/>
              </w:rPr>
              <w:t>中标或者成交投标人在安装调试等方面是否违反合同约定或服务规范要求、提供的质量保证证明材料是否齐全、应有的配件及附件是否达到合同约定等</w:t>
            </w:r>
            <w:r>
              <w:rPr>
                <w:rFonts w:hint="eastAsia" w:ascii="宋体" w:hAnsi="宋体" w:eastAsia="宋体" w:cs="宋体"/>
                <w:color w:val="auto"/>
                <w:kern w:val="0"/>
                <w:sz w:val="24"/>
              </w:rPr>
              <w:t>。可附件)</w:t>
            </w:r>
          </w:p>
        </w:tc>
      </w:tr>
      <w:tr w14:paraId="7662E1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81" w:hRule="atLeast"/>
          <w:jc w:val="center"/>
        </w:trPr>
        <w:tc>
          <w:tcPr>
            <w:tcW w:w="1527"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B5838D0">
            <w:pPr>
              <w:widowControl/>
              <w:wordWrap w:val="0"/>
              <w:spacing w:before="100" w:beforeAutospacing="1" w:after="100" w:afterAutospacing="1" w:line="320" w:lineRule="exact"/>
              <w:rPr>
                <w:rFonts w:hint="eastAsia" w:ascii="宋体" w:hAnsi="宋体" w:eastAsia="宋体" w:cs="宋体"/>
                <w:color w:val="auto"/>
                <w:kern w:val="0"/>
                <w:sz w:val="24"/>
              </w:rPr>
            </w:pPr>
            <w:r>
              <w:rPr>
                <w:rFonts w:hint="eastAsia" w:ascii="宋体" w:hAnsi="宋体" w:eastAsia="宋体" w:cs="宋体"/>
                <w:color w:val="auto"/>
                <w:kern w:val="0"/>
                <w:sz w:val="24"/>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14:paraId="02888FFB">
            <w:pPr>
              <w:widowControl/>
              <w:wordWrap w:val="0"/>
              <w:spacing w:before="100" w:beforeAutospacing="1" w:after="100" w:afterAutospacing="1" w:line="320" w:lineRule="exact"/>
              <w:rPr>
                <w:rFonts w:hint="eastAsia" w:ascii="宋体" w:hAnsi="宋体" w:eastAsia="宋体" w:cs="宋体"/>
                <w:color w:val="auto"/>
                <w:kern w:val="0"/>
                <w:sz w:val="24"/>
              </w:rPr>
            </w:pPr>
            <w:r>
              <w:rPr>
                <w:rFonts w:hint="eastAsia" w:ascii="宋体" w:hAnsi="宋体" w:eastAsia="宋体" w:cs="宋体"/>
                <w:color w:val="auto"/>
                <w:kern w:val="0"/>
                <w:sz w:val="24"/>
              </w:rPr>
              <w:t> 验收结论性意见：</w:t>
            </w:r>
          </w:p>
          <w:p w14:paraId="4C0852F2">
            <w:pPr>
              <w:widowControl/>
              <w:wordWrap w:val="0"/>
              <w:spacing w:before="100" w:beforeAutospacing="1" w:after="100" w:afterAutospacing="1" w:line="320" w:lineRule="exact"/>
              <w:rPr>
                <w:rFonts w:hint="eastAsia" w:ascii="宋体" w:hAnsi="宋体" w:eastAsia="宋体" w:cs="宋体"/>
                <w:color w:val="auto"/>
                <w:kern w:val="0"/>
                <w:sz w:val="24"/>
              </w:rPr>
            </w:pPr>
          </w:p>
        </w:tc>
      </w:tr>
      <w:tr w14:paraId="5E9233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4A78EA43">
            <w:pPr>
              <w:widowControl/>
              <w:wordWrap w:val="0"/>
              <w:spacing w:line="320" w:lineRule="exact"/>
              <w:rPr>
                <w:rFonts w:hint="eastAsia" w:ascii="宋体" w:hAnsi="宋体" w:eastAsia="宋体" w:cs="宋体"/>
                <w:color w:val="auto"/>
                <w:kern w:val="0"/>
                <w:sz w:val="24"/>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14:paraId="1BBFF791">
            <w:pPr>
              <w:wordWrap w:val="0"/>
              <w:spacing w:before="100" w:beforeAutospacing="1" w:after="100" w:afterAutospacing="1" w:line="320" w:lineRule="exact"/>
              <w:ind w:firstLine="96" w:firstLineChars="40"/>
              <w:rPr>
                <w:rFonts w:hint="eastAsia" w:ascii="宋体" w:hAnsi="宋体" w:eastAsia="宋体" w:cs="宋体"/>
                <w:color w:val="auto"/>
                <w:kern w:val="0"/>
                <w:sz w:val="24"/>
              </w:rPr>
            </w:pPr>
            <w:r>
              <w:rPr>
                <w:rFonts w:hint="eastAsia" w:ascii="宋体" w:hAnsi="宋体" w:eastAsia="宋体" w:cs="宋体"/>
                <w:color w:val="auto"/>
                <w:kern w:val="0"/>
                <w:sz w:val="24"/>
              </w:rPr>
              <w:t>有异议的意见和说明理由：</w:t>
            </w:r>
          </w:p>
          <w:p w14:paraId="2E892661">
            <w:pPr>
              <w:wordWrap w:val="0"/>
              <w:spacing w:before="100" w:beforeAutospacing="1" w:after="100" w:afterAutospacing="1" w:line="320" w:lineRule="exact"/>
              <w:rPr>
                <w:rFonts w:hint="eastAsia" w:ascii="宋体" w:hAnsi="宋体" w:eastAsia="宋体" w:cs="宋体"/>
                <w:color w:val="auto"/>
                <w:kern w:val="0"/>
                <w:sz w:val="24"/>
              </w:rPr>
            </w:pPr>
            <w:r>
              <w:rPr>
                <w:rFonts w:hint="eastAsia" w:ascii="宋体" w:hAnsi="宋体" w:eastAsia="宋体" w:cs="宋体"/>
                <w:color w:val="auto"/>
                <w:kern w:val="0"/>
                <w:sz w:val="24"/>
              </w:rPr>
              <w:t>签字：</w:t>
            </w:r>
          </w:p>
        </w:tc>
      </w:tr>
      <w:tr w14:paraId="2C1EE9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9627"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9D3598B">
            <w:pPr>
              <w:widowControl/>
              <w:wordWrap w:val="0"/>
              <w:spacing w:before="100" w:beforeAutospacing="1" w:after="100" w:afterAutospacing="1" w:line="320" w:lineRule="exact"/>
              <w:rPr>
                <w:rFonts w:hint="eastAsia" w:ascii="宋体" w:hAnsi="宋体" w:eastAsia="宋体" w:cs="宋体"/>
                <w:color w:val="auto"/>
                <w:kern w:val="0"/>
                <w:sz w:val="24"/>
              </w:rPr>
            </w:pPr>
            <w:r>
              <w:rPr>
                <w:rFonts w:hint="eastAsia" w:ascii="宋体" w:hAnsi="宋体" w:eastAsia="宋体" w:cs="宋体"/>
                <w:color w:val="auto"/>
                <w:kern w:val="0"/>
                <w:sz w:val="24"/>
              </w:rPr>
              <w:t>验收小组成员签字：</w:t>
            </w:r>
          </w:p>
        </w:tc>
      </w:tr>
      <w:tr w14:paraId="53EAF7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627"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8FE77E3">
            <w:pPr>
              <w:widowControl/>
              <w:wordWrap w:val="0"/>
              <w:spacing w:before="100" w:beforeAutospacing="1" w:after="100" w:afterAutospacing="1" w:line="320" w:lineRule="exact"/>
              <w:rPr>
                <w:rFonts w:hint="eastAsia" w:ascii="宋体" w:hAnsi="宋体" w:eastAsia="宋体" w:cs="宋体"/>
                <w:color w:val="auto"/>
                <w:kern w:val="0"/>
                <w:sz w:val="24"/>
              </w:rPr>
            </w:pPr>
            <w:r>
              <w:rPr>
                <w:rFonts w:hint="eastAsia" w:ascii="宋体" w:hAnsi="宋体" w:eastAsia="宋体" w:cs="宋体"/>
                <w:color w:val="auto"/>
                <w:kern w:val="0"/>
                <w:sz w:val="24"/>
              </w:rPr>
              <w:t>监督人员或其他相关人员签字：</w:t>
            </w:r>
          </w:p>
          <w:p w14:paraId="154A0693">
            <w:pPr>
              <w:widowControl/>
              <w:wordWrap w:val="0"/>
              <w:spacing w:before="100" w:beforeAutospacing="1" w:after="100" w:afterAutospacing="1" w:line="320" w:lineRule="exact"/>
              <w:ind w:firstLine="74" w:firstLineChars="31"/>
              <w:rPr>
                <w:rFonts w:hint="eastAsia" w:ascii="宋体" w:hAnsi="宋体" w:eastAsia="宋体" w:cs="宋体"/>
                <w:color w:val="auto"/>
                <w:kern w:val="0"/>
                <w:sz w:val="24"/>
              </w:rPr>
            </w:pPr>
            <w:r>
              <w:rPr>
                <w:rFonts w:hint="eastAsia" w:ascii="宋体" w:hAnsi="宋体" w:eastAsia="宋体" w:cs="宋体"/>
                <w:color w:val="auto"/>
                <w:kern w:val="0"/>
                <w:sz w:val="24"/>
              </w:rPr>
              <w:t>或受邀机构的意见（盖章）：</w:t>
            </w:r>
          </w:p>
        </w:tc>
      </w:tr>
      <w:tr w14:paraId="6C70ED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4767" w:type="dxa"/>
            <w:gridSpan w:val="3"/>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14:paraId="781F9872">
            <w:pPr>
              <w:widowControl/>
              <w:wordWrap w:val="0"/>
              <w:spacing w:before="100" w:beforeAutospacing="1" w:after="100" w:afterAutospacing="1" w:line="320" w:lineRule="exact"/>
              <w:ind w:firstLine="74" w:firstLineChars="31"/>
              <w:rPr>
                <w:rFonts w:hint="eastAsia" w:ascii="宋体" w:hAnsi="宋体" w:eastAsia="宋体" w:cs="宋体"/>
                <w:color w:val="auto"/>
                <w:kern w:val="0"/>
                <w:sz w:val="24"/>
              </w:rPr>
            </w:pPr>
            <w:r>
              <w:rPr>
                <w:rFonts w:hint="eastAsia" w:ascii="宋体" w:hAnsi="宋体" w:eastAsia="宋体" w:cs="宋体"/>
                <w:color w:val="auto"/>
                <w:kern w:val="0"/>
                <w:sz w:val="24"/>
              </w:rPr>
              <w:t>中标或者成交投标人负责人签字或盖章：</w:t>
            </w:r>
          </w:p>
          <w:p w14:paraId="6F28576E">
            <w:pPr>
              <w:widowControl/>
              <w:wordWrap w:val="0"/>
              <w:spacing w:before="100" w:beforeAutospacing="1" w:after="100" w:afterAutospacing="1" w:line="320" w:lineRule="exact"/>
              <w:rPr>
                <w:rFonts w:hint="eastAsia" w:ascii="宋体" w:hAnsi="宋体" w:eastAsia="宋体" w:cs="宋体"/>
                <w:color w:val="auto"/>
                <w:kern w:val="0"/>
                <w:sz w:val="24"/>
              </w:rPr>
            </w:pPr>
            <w:r>
              <w:rPr>
                <w:rFonts w:hint="eastAsia" w:ascii="宋体" w:hAnsi="宋体" w:eastAsia="宋体" w:cs="宋体"/>
                <w:color w:val="auto"/>
                <w:kern w:val="0"/>
                <w:sz w:val="24"/>
              </w:rPr>
              <w:t>联系电话：         年 月 日</w:t>
            </w:r>
          </w:p>
        </w:tc>
        <w:tc>
          <w:tcPr>
            <w:tcW w:w="4860" w:type="dxa"/>
            <w:gridSpan w:val="4"/>
            <w:tcBorders>
              <w:top w:val="single" w:color="auto" w:sz="8" w:space="0"/>
              <w:left w:val="nil"/>
              <w:bottom w:val="single" w:color="auto" w:sz="8" w:space="0"/>
              <w:right w:val="single" w:color="auto" w:sz="8" w:space="0"/>
            </w:tcBorders>
            <w:vAlign w:val="center"/>
          </w:tcPr>
          <w:p w14:paraId="79AF0746">
            <w:pPr>
              <w:widowControl/>
              <w:wordWrap w:val="0"/>
              <w:spacing w:before="100" w:beforeAutospacing="1" w:after="100" w:afterAutospacing="1" w:line="320" w:lineRule="exact"/>
              <w:rPr>
                <w:rFonts w:hint="eastAsia" w:ascii="宋体" w:hAnsi="宋体" w:eastAsia="宋体" w:cs="宋体"/>
                <w:color w:val="auto"/>
                <w:kern w:val="0"/>
                <w:sz w:val="24"/>
              </w:rPr>
            </w:pPr>
            <w:r>
              <w:rPr>
                <w:rFonts w:hint="eastAsia" w:ascii="宋体" w:hAnsi="宋体" w:eastAsia="宋体" w:cs="宋体"/>
                <w:color w:val="auto"/>
                <w:kern w:val="0"/>
                <w:sz w:val="24"/>
              </w:rPr>
              <w:t> 采购人或受托机构的意见（盖章）：</w:t>
            </w:r>
          </w:p>
          <w:p w14:paraId="4AB7136C">
            <w:pPr>
              <w:widowControl/>
              <w:wordWrap w:val="0"/>
              <w:spacing w:before="100" w:beforeAutospacing="1" w:after="100" w:afterAutospacing="1" w:line="320" w:lineRule="exact"/>
              <w:rPr>
                <w:rFonts w:hint="eastAsia" w:ascii="宋体" w:hAnsi="宋体" w:eastAsia="宋体" w:cs="宋体"/>
                <w:color w:val="auto"/>
                <w:kern w:val="0"/>
                <w:sz w:val="24"/>
              </w:rPr>
            </w:pPr>
            <w:r>
              <w:rPr>
                <w:rFonts w:hint="eastAsia" w:ascii="宋体" w:hAnsi="宋体" w:eastAsia="宋体" w:cs="宋体"/>
                <w:color w:val="auto"/>
                <w:kern w:val="0"/>
                <w:sz w:val="24"/>
              </w:rPr>
              <w:t>联系电话：年月日</w:t>
            </w:r>
          </w:p>
        </w:tc>
      </w:tr>
    </w:tbl>
    <w:p w14:paraId="43665E32">
      <w:pPr>
        <w:wordWrap w:val="0"/>
        <w:snapToGrid w:val="0"/>
        <w:spacing w:before="50" w:after="165" w:afterLines="50" w:line="360" w:lineRule="auto"/>
        <w:ind w:firstLine="480" w:firstLineChars="200"/>
        <w:rPr>
          <w:rFonts w:hint="eastAsia" w:ascii="宋体" w:hAnsi="宋体" w:eastAsia="宋体" w:cs="宋体"/>
          <w:color w:val="auto"/>
          <w:sz w:val="24"/>
        </w:rPr>
      </w:pPr>
    </w:p>
    <w:p w14:paraId="49387E01">
      <w:pPr>
        <w:pStyle w:val="25"/>
        <w:wordWrap w:val="0"/>
        <w:spacing w:line="360" w:lineRule="auto"/>
        <w:ind w:left="25" w:leftChars="12" w:firstLine="354" w:firstLineChars="147"/>
        <w:rPr>
          <w:rFonts w:hint="eastAsia" w:ascii="宋体" w:hAnsi="宋体" w:eastAsia="宋体" w:cs="宋体"/>
          <w:b/>
          <w:color w:val="auto"/>
          <w:sz w:val="24"/>
          <w:szCs w:val="24"/>
        </w:rPr>
      </w:pPr>
    </w:p>
    <w:p w14:paraId="07743480">
      <w:pPr>
        <w:wordWrap w:val="0"/>
        <w:rPr>
          <w:rFonts w:hint="eastAsia" w:ascii="宋体" w:hAnsi="宋体" w:eastAsia="宋体" w:cs="宋体"/>
          <w:color w:val="auto"/>
        </w:rPr>
      </w:pPr>
    </w:p>
    <w:sectPr>
      <w:footerReference r:id="rId16" w:type="first"/>
      <w:footerReference r:id="rId14" w:type="default"/>
      <w:footerReference r:id="rId15" w:type="even"/>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_x000B__x000C_">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entury">
    <w:altName w:val="Times New Roman"/>
    <w:panose1 w:val="02040604050505020304"/>
    <w:charset w:val="00"/>
    <w:family w:val="roman"/>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5EB2F">
    <w:pPr>
      <w:snapToGrid w:val="0"/>
      <w:jc w:val="left"/>
      <w:rPr>
        <w:rFonts w:ascii="Calibri" w:hAnsi="Calibri"/>
        <w:kern w:val="0"/>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0CD157">
                          <w:pPr>
                            <w:snapToGrid w:val="0"/>
                            <w:jc w:val="left"/>
                            <w:rPr>
                              <w:rFonts w:ascii="Calibri" w:hAnsi="Calibri"/>
                              <w:kern w:val="0"/>
                              <w:sz w:val="18"/>
                              <w:szCs w:val="18"/>
                            </w:rPr>
                          </w:pPr>
                          <w:r>
                            <w:rPr>
                              <w:rFonts w:ascii="Calibri" w:hAnsi="Calibri"/>
                              <w:kern w:val="0"/>
                              <w:sz w:val="18"/>
                              <w:szCs w:val="18"/>
                            </w:rPr>
                            <w:fldChar w:fldCharType="begin"/>
                          </w:r>
                          <w:r>
                            <w:rPr>
                              <w:rFonts w:ascii="Calibri" w:hAnsi="Calibri"/>
                              <w:kern w:val="0"/>
                              <w:sz w:val="18"/>
                              <w:szCs w:val="18"/>
                            </w:rPr>
                            <w:instrText xml:space="preserve">PAGE  </w:instrText>
                          </w:r>
                          <w:r>
                            <w:rPr>
                              <w:rFonts w:ascii="Calibri" w:hAnsi="Calibri"/>
                              <w:kern w:val="0"/>
                              <w:sz w:val="18"/>
                              <w:szCs w:val="18"/>
                            </w:rPr>
                            <w:fldChar w:fldCharType="separate"/>
                          </w:r>
                          <w:r>
                            <w:rPr>
                              <w:rFonts w:ascii="Calibri" w:hAnsi="Calibri"/>
                              <w:kern w:val="0"/>
                              <w:sz w:val="18"/>
                              <w:szCs w:val="18"/>
                            </w:rPr>
                            <w:t>1</w:t>
                          </w:r>
                          <w:r>
                            <w:rPr>
                              <w:rFonts w:ascii="Calibri" w:hAnsi="Calibri"/>
                              <w:kern w:val="0"/>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D0CD157">
                    <w:pPr>
                      <w:snapToGrid w:val="0"/>
                      <w:jc w:val="left"/>
                      <w:rPr>
                        <w:rFonts w:ascii="Calibri" w:hAnsi="Calibri"/>
                        <w:kern w:val="0"/>
                        <w:sz w:val="18"/>
                        <w:szCs w:val="18"/>
                      </w:rPr>
                    </w:pPr>
                    <w:r>
                      <w:rPr>
                        <w:rFonts w:ascii="Calibri" w:hAnsi="Calibri"/>
                        <w:kern w:val="0"/>
                        <w:sz w:val="18"/>
                        <w:szCs w:val="18"/>
                      </w:rPr>
                      <w:fldChar w:fldCharType="begin"/>
                    </w:r>
                    <w:r>
                      <w:rPr>
                        <w:rFonts w:ascii="Calibri" w:hAnsi="Calibri"/>
                        <w:kern w:val="0"/>
                        <w:sz w:val="18"/>
                        <w:szCs w:val="18"/>
                      </w:rPr>
                      <w:instrText xml:space="preserve">PAGE  </w:instrText>
                    </w:r>
                    <w:r>
                      <w:rPr>
                        <w:rFonts w:ascii="Calibri" w:hAnsi="Calibri"/>
                        <w:kern w:val="0"/>
                        <w:sz w:val="18"/>
                        <w:szCs w:val="18"/>
                      </w:rPr>
                      <w:fldChar w:fldCharType="separate"/>
                    </w:r>
                    <w:r>
                      <w:rPr>
                        <w:rFonts w:ascii="Calibri" w:hAnsi="Calibri"/>
                        <w:kern w:val="0"/>
                        <w:sz w:val="18"/>
                        <w:szCs w:val="18"/>
                      </w:rPr>
                      <w:t>1</w:t>
                    </w:r>
                    <w:r>
                      <w:rPr>
                        <w:rFonts w:ascii="Calibri" w:hAnsi="Calibri"/>
                        <w:kern w:val="0"/>
                        <w:sz w:val="18"/>
                        <w:szCs w:val="1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EB962">
    <w:pPr>
      <w:pStyle w:val="31"/>
      <w:ind w:right="360"/>
      <w:jc w:val="both"/>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02AC5">
    <w:pPr>
      <w:pStyle w:val="3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50C65B4">
                          <w:pPr>
                            <w:pStyle w:val="31"/>
                          </w:pPr>
                          <w:r>
                            <w:fldChar w:fldCharType="begin"/>
                          </w:r>
                          <w:r>
                            <w:instrText xml:space="preserve"> PAGE  \* MERGEFORMAT </w:instrText>
                          </w:r>
                          <w:r>
                            <w:fldChar w:fldCharType="separate"/>
                          </w:r>
                          <w:r>
                            <w:t>82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TuusYBAACb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LZO66xgEAAJsDAAAOAAAAAAAAAAEAIAAAAB4BAABkcnMvZTJvRG9jLnht&#10;bFBLBQYAAAAABgAGAFkBAABWBQAAAAA=&#10;">
              <v:fill on="f" focussize="0,0"/>
              <v:stroke on="f"/>
              <v:imagedata o:title=""/>
              <o:lock v:ext="edit" aspectratio="f"/>
              <v:textbox inset="0mm,0mm,0mm,0mm" style="mso-fit-shape-to-text:t;">
                <w:txbxContent>
                  <w:p w14:paraId="350C65B4">
                    <w:pPr>
                      <w:pStyle w:val="31"/>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0632D">
    <w:pPr>
      <w:pStyle w:val="31"/>
      <w:framePr w:wrap="around" w:vAnchor="text" w:hAnchor="margin" w:xAlign="center" w:y="1"/>
      <w:rPr>
        <w:rStyle w:val="53"/>
      </w:rPr>
    </w:pPr>
    <w:r>
      <w:fldChar w:fldCharType="begin"/>
    </w:r>
    <w:r>
      <w:rPr>
        <w:rStyle w:val="53"/>
      </w:rPr>
      <w:instrText xml:space="preserve">PAGE  </w:instrText>
    </w:r>
    <w:r>
      <w:fldChar w:fldCharType="end"/>
    </w:r>
  </w:p>
  <w:p w14:paraId="420980A7">
    <w:pPr>
      <w:pStyle w:val="31"/>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B5AD6">
    <w:pPr>
      <w:pStyle w:val="31"/>
      <w:framePr w:wrap="around" w:vAnchor="text" w:hAnchor="margin" w:xAlign="right" w:y="1"/>
      <w:rPr>
        <w:rStyle w:val="53"/>
      </w:rPr>
    </w:pPr>
    <w:r>
      <w:fldChar w:fldCharType="begin"/>
    </w:r>
    <w:r>
      <w:rPr>
        <w:rStyle w:val="53"/>
      </w:rPr>
      <w:instrText xml:space="preserve">PAGE  </w:instrText>
    </w:r>
    <w:r>
      <w:fldChar w:fldCharType="separate"/>
    </w:r>
    <w:r>
      <w:rPr>
        <w:rStyle w:val="53"/>
      </w:rPr>
      <w:t>122</w:t>
    </w:r>
    <w:r>
      <w:fldChar w:fldCharType="end"/>
    </w:r>
  </w:p>
  <w:p w14:paraId="2C38BCAE">
    <w:pPr>
      <w:pStyle w:val="31"/>
      <w:ind w:right="360"/>
      <w:jc w:val="both"/>
    </w:pPr>
    <w:r>
      <w:rPr>
        <w:rFonts w:hint="eastAsia"/>
      </w:rPr>
      <w:t>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B99FF">
    <w:pPr>
      <w:framePr w:wrap="around" w:vAnchor="text" w:hAnchor="margin" w:xAlign="center" w:yAlign="top"/>
      <w:snapToGrid w:val="0"/>
      <w:jc w:val="left"/>
      <w:rPr>
        <w:rFonts w:ascii="Calibri" w:hAnsi="Calibri"/>
        <w:kern w:val="0"/>
        <w:sz w:val="18"/>
        <w:szCs w:val="18"/>
      </w:rPr>
    </w:pPr>
    <w:r>
      <w:rPr>
        <w:rFonts w:ascii="Calibri" w:hAnsi="Calibri"/>
        <w:kern w:val="0"/>
        <w:sz w:val="18"/>
        <w:szCs w:val="18"/>
      </w:rPr>
      <w:fldChar w:fldCharType="begin"/>
    </w:r>
    <w:r>
      <w:rPr>
        <w:rFonts w:ascii="Calibri" w:hAnsi="Calibri"/>
        <w:kern w:val="0"/>
        <w:sz w:val="18"/>
        <w:szCs w:val="18"/>
      </w:rPr>
      <w:instrText xml:space="preserve">PAGE  </w:instrText>
    </w:r>
    <w:r>
      <w:rPr>
        <w:rFonts w:ascii="Calibri" w:hAnsi="Calibri"/>
        <w:kern w:val="0"/>
        <w:sz w:val="18"/>
        <w:szCs w:val="18"/>
      </w:rPr>
      <w:fldChar w:fldCharType="separate"/>
    </w:r>
    <w:r>
      <w:rPr>
        <w:rFonts w:ascii="Calibri" w:hAnsi="Calibri"/>
        <w:kern w:val="0"/>
        <w:sz w:val="18"/>
        <w:szCs w:val="18"/>
      </w:rPr>
      <w:t>25</w:t>
    </w:r>
    <w:r>
      <w:rPr>
        <w:rFonts w:ascii="Calibri" w:hAnsi="Calibri"/>
        <w:kern w:val="0"/>
        <w:sz w:val="18"/>
        <w:szCs w:val="18"/>
      </w:rPr>
      <w:fldChar w:fldCharType="end"/>
    </w:r>
  </w:p>
  <w:p w14:paraId="48DF87A7">
    <w:pPr>
      <w:snapToGrid w:val="0"/>
      <w:jc w:val="left"/>
      <w:rPr>
        <w:rFonts w:ascii="Calibri" w:hAnsi="Calibri"/>
        <w:kern w:val="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EFFDD">
    <w:pPr>
      <w:pStyle w:val="31"/>
      <w:jc w:val="center"/>
    </w:pPr>
    <w:r>
      <mc:AlternateContent>
        <mc:Choice Requires="wps">
          <w:drawing>
            <wp:anchor distT="0" distB="0" distL="114300" distR="114300" simplePos="0" relativeHeight="251664384" behindDoc="0" locked="0" layoutInCell="1" allowOverlap="1">
              <wp:simplePos x="0" y="0"/>
              <wp:positionH relativeFrom="margin">
                <wp:posOffset>2861945</wp:posOffset>
              </wp:positionH>
              <wp:positionV relativeFrom="paragraph">
                <wp:posOffset>-10795</wp:posOffset>
              </wp:positionV>
              <wp:extent cx="455295" cy="1828800"/>
              <wp:effectExtent l="0" t="0" r="2540" b="14605"/>
              <wp:wrapNone/>
              <wp:docPr id="7" name="文本框 7"/>
              <wp:cNvGraphicFramePr/>
              <a:graphic xmlns:a="http://schemas.openxmlformats.org/drawingml/2006/main">
                <a:graphicData uri="http://schemas.microsoft.com/office/word/2010/wordprocessingShape">
                  <wps:wsp>
                    <wps:cNvSpPr txBox="1"/>
                    <wps:spPr>
                      <a:xfrm>
                        <a:off x="0" y="0"/>
                        <a:ext cx="455074"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162DFE">
                          <w:pPr>
                            <w:pStyle w:val="31"/>
                            <w:jc w:val="center"/>
                          </w:pPr>
                          <w:r>
                            <w:fldChar w:fldCharType="begin"/>
                          </w:r>
                          <w:r>
                            <w:instrText xml:space="preserve"> PAGE   \* MERGEFORMAT </w:instrText>
                          </w:r>
                          <w:r>
                            <w:fldChar w:fldCharType="separate"/>
                          </w:r>
                          <w:r>
                            <w:rPr>
                              <w:lang w:val="zh-CN"/>
                            </w:rPr>
                            <w:t>2</w:t>
                          </w:r>
                          <w:r>
                            <w:rPr>
                              <w:lang w:val="zh-CN"/>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5.35pt;margin-top:-0.85pt;height:144pt;width:35.85pt;mso-position-horizontal-relative:margin;z-index:251664384;mso-width-relative:page;mso-height-relative:page;" filled="f" stroked="f" coordsize="21600,21600" o:gfxdata="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Puvu9kAAAAKAQAADwAAAAAAAAABACAAAAAiAAAAZHJzL2Rvd25yZXYu&#10;eG1sUEsBAhQAFAAAAAgAh07iQNU3z3wzAgAAVgQAAA4AAAAAAAAAAQAgAAAAKAEAAGRycy9lMm9E&#10;b2MueG1sUEsFBgAAAAAGAAYAWQEAAM0FAAAAAA==&#10;">
              <v:fill on="f" focussize="0,0"/>
              <v:stroke on="f" weight="0.5pt"/>
              <v:imagedata o:title=""/>
              <o:lock v:ext="edit" aspectratio="f"/>
              <v:textbox inset="0mm,0mm,0mm,0mm" style="mso-fit-shape-to-text:t;">
                <w:txbxContent>
                  <w:p w14:paraId="60162DFE">
                    <w:pPr>
                      <w:pStyle w:val="31"/>
                      <w:jc w:val="center"/>
                    </w:pPr>
                    <w:r>
                      <w:fldChar w:fldCharType="begin"/>
                    </w:r>
                    <w:r>
                      <w:instrText xml:space="preserve"> PAGE   \* MERGEFORMAT </w:instrText>
                    </w:r>
                    <w:r>
                      <w:fldChar w:fldCharType="separate"/>
                    </w:r>
                    <w:r>
                      <w:rPr>
                        <w:lang w:val="zh-CN"/>
                      </w:rPr>
                      <w:t>2</w:t>
                    </w:r>
                    <w:r>
                      <w:rPr>
                        <w:lang w:val="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9D2D1">
    <w:pPr>
      <w:pStyle w:val="31"/>
      <w:framePr w:wrap="around" w:vAnchor="text" w:hAnchor="margin" w:xAlign="center" w:y="1"/>
      <w:rPr>
        <w:rStyle w:val="53"/>
      </w:rPr>
    </w:pPr>
    <w:r>
      <w:fldChar w:fldCharType="begin"/>
    </w:r>
    <w:r>
      <w:rPr>
        <w:rStyle w:val="53"/>
      </w:rPr>
      <w:instrText xml:space="preserve">PAGE  </w:instrText>
    </w:r>
    <w:r>
      <w:fldChar w:fldCharType="end"/>
    </w:r>
  </w:p>
  <w:p w14:paraId="36398367">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86D06">
    <w:pPr>
      <w:pStyle w:val="31"/>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D12B63">
                          <w:pPr>
                            <w:pStyle w:val="31"/>
                            <w:jc w:val="center"/>
                          </w:pPr>
                          <w:r>
                            <w:fldChar w:fldCharType="begin"/>
                          </w:r>
                          <w:r>
                            <w:instrText xml:space="preserve">PAGE   \* MERGEFORMAT</w:instrText>
                          </w:r>
                          <w: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DD12B63">
                    <w:pPr>
                      <w:pStyle w:val="31"/>
                      <w:jc w:val="center"/>
                    </w:pPr>
                    <w:r>
                      <w:fldChar w:fldCharType="begin"/>
                    </w:r>
                    <w:r>
                      <w:instrText xml:space="preserve">PAGE   \* MERGEFORMAT</w:instrText>
                    </w:r>
                    <w:r>
                      <w:fldChar w:fldCharType="separate"/>
                    </w:r>
                    <w:r>
                      <w:rPr>
                        <w:lang w:val="zh-CN"/>
                      </w:rPr>
                      <w:t>1</w:t>
                    </w:r>
                    <w:r>
                      <w:rPr>
                        <w:lang w:val="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C1BF1">
    <w:pPr>
      <w:pStyle w:val="31"/>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288B13">
                          <w:pPr>
                            <w:pStyle w:val="31"/>
                            <w:jc w:val="center"/>
                          </w:pPr>
                          <w:r>
                            <w:fldChar w:fldCharType="begin"/>
                          </w:r>
                          <w:r>
                            <w:instrText xml:space="preserve">PAGE   \* MERGEFORMAT</w:instrText>
                          </w:r>
                          <w: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1A288B13">
                    <w:pPr>
                      <w:pStyle w:val="31"/>
                      <w:jc w:val="center"/>
                    </w:pPr>
                    <w:r>
                      <w:fldChar w:fldCharType="begin"/>
                    </w:r>
                    <w:r>
                      <w:instrText xml:space="preserve">PAGE   \* MERGEFORMAT</w:instrText>
                    </w:r>
                    <w:r>
                      <w:fldChar w:fldCharType="separate"/>
                    </w:r>
                    <w:r>
                      <w:rPr>
                        <w:lang w:val="zh-CN"/>
                      </w:rPr>
                      <w:t>1</w:t>
                    </w:r>
                    <w:r>
                      <w:rPr>
                        <w:lang w:val="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03847">
    <w:pPr>
      <w:spacing w:line="174" w:lineRule="auto"/>
      <w:ind w:left="4619"/>
      <w:rPr>
        <w:rFonts w:eastAsia="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09E3B">
                          <w:pPr>
                            <w:pStyle w:val="31"/>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6F309E3B">
                    <w:pPr>
                      <w:pStyle w:val="31"/>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6CE45">
    <w:pPr>
      <w:pStyle w:val="31"/>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0A67D5">
                          <w:pPr>
                            <w:pStyle w:val="31"/>
                            <w:jc w:val="center"/>
                          </w:pPr>
                          <w:r>
                            <w:fldChar w:fldCharType="begin"/>
                          </w:r>
                          <w:r>
                            <w:instrText xml:space="preserve"> PAGE   \* MERGEFORMAT </w:instrText>
                          </w:r>
                          <w:r>
                            <w:fldChar w:fldCharType="separate"/>
                          </w:r>
                          <w:r>
                            <w:rPr>
                              <w:lang w:val="zh-CN"/>
                            </w:rPr>
                            <w:t>81</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10A67D5">
                    <w:pPr>
                      <w:pStyle w:val="31"/>
                      <w:jc w:val="center"/>
                    </w:pPr>
                    <w:r>
                      <w:fldChar w:fldCharType="begin"/>
                    </w:r>
                    <w:r>
                      <w:instrText xml:space="preserve"> PAGE   \* MERGEFORMAT </w:instrText>
                    </w:r>
                    <w:r>
                      <w:fldChar w:fldCharType="separate"/>
                    </w:r>
                    <w:r>
                      <w:rPr>
                        <w:lang w:val="zh-CN"/>
                      </w:rPr>
                      <w:t>81</w:t>
                    </w:r>
                    <w:r>
                      <w:rPr>
                        <w:lang w:val="zh-CN"/>
                      </w:rPr>
                      <w:fldChar w:fldCharType="end"/>
                    </w:r>
                  </w:p>
                </w:txbxContent>
              </v:textbox>
            </v:shape>
          </w:pict>
        </mc:Fallback>
      </mc:AlternateContent>
    </w:r>
  </w:p>
  <w:p w14:paraId="3DF3F66D">
    <w:pPr>
      <w:pStyle w:val="3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C42A3">
    <w:pPr>
      <w:pStyle w:val="31"/>
      <w:framePr w:wrap="around" w:vAnchor="text" w:hAnchor="margin" w:xAlign="center" w:y="1"/>
      <w:rPr>
        <w:rStyle w:val="53"/>
      </w:rPr>
    </w:pPr>
    <w:r>
      <w:fldChar w:fldCharType="begin"/>
    </w:r>
    <w:r>
      <w:rPr>
        <w:rStyle w:val="53"/>
      </w:rPr>
      <w:instrText xml:space="preserve">PAGE  </w:instrText>
    </w:r>
    <w:r>
      <w:fldChar w:fldCharType="end"/>
    </w:r>
  </w:p>
  <w:p w14:paraId="5B9519B7">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F738E">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2">
    <w:nsid w:val="748D16CD"/>
    <w:multiLevelType w:val="multilevel"/>
    <w:tmpl w:val="748D16CD"/>
    <w:lvl w:ilvl="0" w:tentative="0">
      <w:start w:val="1"/>
      <w:numFmt w:val="decimal"/>
      <w:pStyle w:val="64"/>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lOWY3N2Y1YTk0NmQxMGJhZTBkN2I2MTgyZTAyODQifQ=="/>
    <w:docVar w:name="KSO_WPS_MARK_KEY" w:val="6a04a488-2c17-48b5-9fcf-0c8640eab8c8"/>
  </w:docVars>
  <w:rsids>
    <w:rsidRoot w:val="00F9008B"/>
    <w:rsid w:val="0000010C"/>
    <w:rsid w:val="00000266"/>
    <w:rsid w:val="000004FE"/>
    <w:rsid w:val="00000FE0"/>
    <w:rsid w:val="00001068"/>
    <w:rsid w:val="0000114A"/>
    <w:rsid w:val="000011FA"/>
    <w:rsid w:val="00001433"/>
    <w:rsid w:val="00001731"/>
    <w:rsid w:val="00001C2D"/>
    <w:rsid w:val="00001C55"/>
    <w:rsid w:val="00001CA8"/>
    <w:rsid w:val="00001FAE"/>
    <w:rsid w:val="00002291"/>
    <w:rsid w:val="0000251C"/>
    <w:rsid w:val="0000257D"/>
    <w:rsid w:val="000026A2"/>
    <w:rsid w:val="00002DBF"/>
    <w:rsid w:val="00002EC0"/>
    <w:rsid w:val="00003224"/>
    <w:rsid w:val="000033F5"/>
    <w:rsid w:val="0000356F"/>
    <w:rsid w:val="0000358C"/>
    <w:rsid w:val="00003BEF"/>
    <w:rsid w:val="00003D90"/>
    <w:rsid w:val="00004130"/>
    <w:rsid w:val="000042BE"/>
    <w:rsid w:val="0000431F"/>
    <w:rsid w:val="00004634"/>
    <w:rsid w:val="0000494E"/>
    <w:rsid w:val="00004D8B"/>
    <w:rsid w:val="00004DF8"/>
    <w:rsid w:val="00004E67"/>
    <w:rsid w:val="000059E2"/>
    <w:rsid w:val="000061EA"/>
    <w:rsid w:val="00006AE7"/>
    <w:rsid w:val="00006B9B"/>
    <w:rsid w:val="00006BCA"/>
    <w:rsid w:val="00006C35"/>
    <w:rsid w:val="000072B1"/>
    <w:rsid w:val="00007329"/>
    <w:rsid w:val="0000794D"/>
    <w:rsid w:val="000079C2"/>
    <w:rsid w:val="00007BA7"/>
    <w:rsid w:val="00007E28"/>
    <w:rsid w:val="00007E84"/>
    <w:rsid w:val="00007FE8"/>
    <w:rsid w:val="00010401"/>
    <w:rsid w:val="000105A1"/>
    <w:rsid w:val="000107AD"/>
    <w:rsid w:val="00010835"/>
    <w:rsid w:val="000112DF"/>
    <w:rsid w:val="000117D5"/>
    <w:rsid w:val="00011842"/>
    <w:rsid w:val="00011922"/>
    <w:rsid w:val="00011A0B"/>
    <w:rsid w:val="00011DA6"/>
    <w:rsid w:val="00012137"/>
    <w:rsid w:val="000121FF"/>
    <w:rsid w:val="00012456"/>
    <w:rsid w:val="00012527"/>
    <w:rsid w:val="000125B8"/>
    <w:rsid w:val="00012692"/>
    <w:rsid w:val="00012C05"/>
    <w:rsid w:val="000133D9"/>
    <w:rsid w:val="00013446"/>
    <w:rsid w:val="00013509"/>
    <w:rsid w:val="000135BC"/>
    <w:rsid w:val="000135DC"/>
    <w:rsid w:val="000136D6"/>
    <w:rsid w:val="00013E23"/>
    <w:rsid w:val="00013F88"/>
    <w:rsid w:val="00014085"/>
    <w:rsid w:val="00014D89"/>
    <w:rsid w:val="00014DD9"/>
    <w:rsid w:val="00014EE0"/>
    <w:rsid w:val="000151E4"/>
    <w:rsid w:val="0001528B"/>
    <w:rsid w:val="00015577"/>
    <w:rsid w:val="000156E4"/>
    <w:rsid w:val="000159A7"/>
    <w:rsid w:val="00015DC0"/>
    <w:rsid w:val="00015E5B"/>
    <w:rsid w:val="00015FB8"/>
    <w:rsid w:val="0001609F"/>
    <w:rsid w:val="0001635B"/>
    <w:rsid w:val="00016396"/>
    <w:rsid w:val="00016508"/>
    <w:rsid w:val="00016549"/>
    <w:rsid w:val="00016784"/>
    <w:rsid w:val="00016814"/>
    <w:rsid w:val="00016987"/>
    <w:rsid w:val="00016BF7"/>
    <w:rsid w:val="000170A9"/>
    <w:rsid w:val="0001720C"/>
    <w:rsid w:val="0001767E"/>
    <w:rsid w:val="0001776D"/>
    <w:rsid w:val="00017874"/>
    <w:rsid w:val="00017F31"/>
    <w:rsid w:val="00020607"/>
    <w:rsid w:val="00020899"/>
    <w:rsid w:val="0002103A"/>
    <w:rsid w:val="000217E4"/>
    <w:rsid w:val="00021852"/>
    <w:rsid w:val="000218A0"/>
    <w:rsid w:val="00021A12"/>
    <w:rsid w:val="00022524"/>
    <w:rsid w:val="00022612"/>
    <w:rsid w:val="00022622"/>
    <w:rsid w:val="000230C0"/>
    <w:rsid w:val="0002316F"/>
    <w:rsid w:val="00023363"/>
    <w:rsid w:val="000235F3"/>
    <w:rsid w:val="00023644"/>
    <w:rsid w:val="00023712"/>
    <w:rsid w:val="0002382A"/>
    <w:rsid w:val="000244F6"/>
    <w:rsid w:val="00024914"/>
    <w:rsid w:val="0002497F"/>
    <w:rsid w:val="00024B5A"/>
    <w:rsid w:val="00024CF1"/>
    <w:rsid w:val="00024E25"/>
    <w:rsid w:val="00024E3C"/>
    <w:rsid w:val="00024EB0"/>
    <w:rsid w:val="00025A82"/>
    <w:rsid w:val="0002646A"/>
    <w:rsid w:val="0002651D"/>
    <w:rsid w:val="00026CFD"/>
    <w:rsid w:val="0002731A"/>
    <w:rsid w:val="00027376"/>
    <w:rsid w:val="00027C8B"/>
    <w:rsid w:val="00027CD9"/>
    <w:rsid w:val="00030242"/>
    <w:rsid w:val="0003062A"/>
    <w:rsid w:val="00030A25"/>
    <w:rsid w:val="00030B06"/>
    <w:rsid w:val="00030B61"/>
    <w:rsid w:val="00030C86"/>
    <w:rsid w:val="00030DB9"/>
    <w:rsid w:val="00030E54"/>
    <w:rsid w:val="00030EEE"/>
    <w:rsid w:val="00031380"/>
    <w:rsid w:val="00031441"/>
    <w:rsid w:val="00031817"/>
    <w:rsid w:val="0003183A"/>
    <w:rsid w:val="00031CDC"/>
    <w:rsid w:val="000323D8"/>
    <w:rsid w:val="00032461"/>
    <w:rsid w:val="0003263B"/>
    <w:rsid w:val="0003282C"/>
    <w:rsid w:val="00032B9E"/>
    <w:rsid w:val="00032F6D"/>
    <w:rsid w:val="0003304A"/>
    <w:rsid w:val="0003317E"/>
    <w:rsid w:val="00033413"/>
    <w:rsid w:val="000337F3"/>
    <w:rsid w:val="00034B24"/>
    <w:rsid w:val="00034C27"/>
    <w:rsid w:val="00034E28"/>
    <w:rsid w:val="00034E2A"/>
    <w:rsid w:val="00035275"/>
    <w:rsid w:val="000352AD"/>
    <w:rsid w:val="0003577F"/>
    <w:rsid w:val="00035A65"/>
    <w:rsid w:val="00036466"/>
    <w:rsid w:val="0003675E"/>
    <w:rsid w:val="00036FD5"/>
    <w:rsid w:val="00037F87"/>
    <w:rsid w:val="00037FA2"/>
    <w:rsid w:val="000400D0"/>
    <w:rsid w:val="00040343"/>
    <w:rsid w:val="00040E89"/>
    <w:rsid w:val="00041104"/>
    <w:rsid w:val="00041138"/>
    <w:rsid w:val="00041310"/>
    <w:rsid w:val="000425AC"/>
    <w:rsid w:val="0004291F"/>
    <w:rsid w:val="00042D2C"/>
    <w:rsid w:val="00042F4A"/>
    <w:rsid w:val="0004334D"/>
    <w:rsid w:val="00043AC8"/>
    <w:rsid w:val="00043BE5"/>
    <w:rsid w:val="00043DAA"/>
    <w:rsid w:val="00044003"/>
    <w:rsid w:val="00044216"/>
    <w:rsid w:val="00044527"/>
    <w:rsid w:val="00044897"/>
    <w:rsid w:val="00044ACF"/>
    <w:rsid w:val="00044B2E"/>
    <w:rsid w:val="00044D74"/>
    <w:rsid w:val="00044FD5"/>
    <w:rsid w:val="000453CC"/>
    <w:rsid w:val="000454F4"/>
    <w:rsid w:val="00045D1E"/>
    <w:rsid w:val="00045E69"/>
    <w:rsid w:val="00045EF4"/>
    <w:rsid w:val="0004651A"/>
    <w:rsid w:val="00046547"/>
    <w:rsid w:val="000466D7"/>
    <w:rsid w:val="00046753"/>
    <w:rsid w:val="00046BB2"/>
    <w:rsid w:val="00046D1C"/>
    <w:rsid w:val="00046E8C"/>
    <w:rsid w:val="0004712C"/>
    <w:rsid w:val="00047254"/>
    <w:rsid w:val="00047B5B"/>
    <w:rsid w:val="00047CA4"/>
    <w:rsid w:val="00047E41"/>
    <w:rsid w:val="0005022B"/>
    <w:rsid w:val="00050771"/>
    <w:rsid w:val="000509BA"/>
    <w:rsid w:val="00050C2C"/>
    <w:rsid w:val="00050CCD"/>
    <w:rsid w:val="000513F3"/>
    <w:rsid w:val="000519B5"/>
    <w:rsid w:val="00051B92"/>
    <w:rsid w:val="00051D89"/>
    <w:rsid w:val="00052287"/>
    <w:rsid w:val="000522E0"/>
    <w:rsid w:val="000529CC"/>
    <w:rsid w:val="00052D8C"/>
    <w:rsid w:val="000532F4"/>
    <w:rsid w:val="000535A9"/>
    <w:rsid w:val="000536AE"/>
    <w:rsid w:val="00053EEB"/>
    <w:rsid w:val="00054CD5"/>
    <w:rsid w:val="00054D03"/>
    <w:rsid w:val="000550AC"/>
    <w:rsid w:val="0005584D"/>
    <w:rsid w:val="00055CC3"/>
    <w:rsid w:val="00055CD8"/>
    <w:rsid w:val="00055CEE"/>
    <w:rsid w:val="00055FB7"/>
    <w:rsid w:val="000566FA"/>
    <w:rsid w:val="00056A2B"/>
    <w:rsid w:val="00056C01"/>
    <w:rsid w:val="00056D18"/>
    <w:rsid w:val="00056DA8"/>
    <w:rsid w:val="00056E37"/>
    <w:rsid w:val="00056EE2"/>
    <w:rsid w:val="00056FE2"/>
    <w:rsid w:val="0005709E"/>
    <w:rsid w:val="000570FB"/>
    <w:rsid w:val="000575B8"/>
    <w:rsid w:val="00057FF2"/>
    <w:rsid w:val="00060131"/>
    <w:rsid w:val="0006026B"/>
    <w:rsid w:val="00060293"/>
    <w:rsid w:val="00061341"/>
    <w:rsid w:val="00061BD3"/>
    <w:rsid w:val="00061BDA"/>
    <w:rsid w:val="00061C86"/>
    <w:rsid w:val="00061E44"/>
    <w:rsid w:val="000621FE"/>
    <w:rsid w:val="00062B90"/>
    <w:rsid w:val="00062C70"/>
    <w:rsid w:val="00062CD8"/>
    <w:rsid w:val="00062DD0"/>
    <w:rsid w:val="00062E6F"/>
    <w:rsid w:val="000630C7"/>
    <w:rsid w:val="0006400F"/>
    <w:rsid w:val="000642AC"/>
    <w:rsid w:val="000645DD"/>
    <w:rsid w:val="00064ACD"/>
    <w:rsid w:val="00064D7E"/>
    <w:rsid w:val="00064F65"/>
    <w:rsid w:val="00064FD0"/>
    <w:rsid w:val="0006534A"/>
    <w:rsid w:val="000658BE"/>
    <w:rsid w:val="00065A5D"/>
    <w:rsid w:val="00065BA2"/>
    <w:rsid w:val="000661CA"/>
    <w:rsid w:val="0006668D"/>
    <w:rsid w:val="00066896"/>
    <w:rsid w:val="00066FE3"/>
    <w:rsid w:val="00067002"/>
    <w:rsid w:val="00067993"/>
    <w:rsid w:val="00067B1C"/>
    <w:rsid w:val="00067CED"/>
    <w:rsid w:val="00067F66"/>
    <w:rsid w:val="0007041A"/>
    <w:rsid w:val="00070634"/>
    <w:rsid w:val="00070883"/>
    <w:rsid w:val="000708D1"/>
    <w:rsid w:val="00070C3F"/>
    <w:rsid w:val="0007102C"/>
    <w:rsid w:val="00071B20"/>
    <w:rsid w:val="00071D68"/>
    <w:rsid w:val="00071FCE"/>
    <w:rsid w:val="00072661"/>
    <w:rsid w:val="00072CCC"/>
    <w:rsid w:val="00072EA0"/>
    <w:rsid w:val="0007315D"/>
    <w:rsid w:val="00073549"/>
    <w:rsid w:val="00073EFF"/>
    <w:rsid w:val="00074496"/>
    <w:rsid w:val="0007483E"/>
    <w:rsid w:val="00074BAC"/>
    <w:rsid w:val="000751DB"/>
    <w:rsid w:val="0007542D"/>
    <w:rsid w:val="0007544A"/>
    <w:rsid w:val="000755B9"/>
    <w:rsid w:val="0007563A"/>
    <w:rsid w:val="0007578F"/>
    <w:rsid w:val="00075E43"/>
    <w:rsid w:val="00077706"/>
    <w:rsid w:val="00077878"/>
    <w:rsid w:val="00077939"/>
    <w:rsid w:val="00077D0B"/>
    <w:rsid w:val="000804EF"/>
    <w:rsid w:val="00080558"/>
    <w:rsid w:val="000807BC"/>
    <w:rsid w:val="00080998"/>
    <w:rsid w:val="00081050"/>
    <w:rsid w:val="0008118D"/>
    <w:rsid w:val="00081230"/>
    <w:rsid w:val="000814E2"/>
    <w:rsid w:val="000818C9"/>
    <w:rsid w:val="00081A21"/>
    <w:rsid w:val="00081CBB"/>
    <w:rsid w:val="00081D42"/>
    <w:rsid w:val="000822EF"/>
    <w:rsid w:val="0008241E"/>
    <w:rsid w:val="000826F5"/>
    <w:rsid w:val="000829B1"/>
    <w:rsid w:val="00082AAB"/>
    <w:rsid w:val="0008307D"/>
    <w:rsid w:val="000831E9"/>
    <w:rsid w:val="000833BB"/>
    <w:rsid w:val="00083A4C"/>
    <w:rsid w:val="00083CA2"/>
    <w:rsid w:val="00084483"/>
    <w:rsid w:val="0008452D"/>
    <w:rsid w:val="0008467B"/>
    <w:rsid w:val="000850FA"/>
    <w:rsid w:val="000857A6"/>
    <w:rsid w:val="0008599A"/>
    <w:rsid w:val="00085ADD"/>
    <w:rsid w:val="00085C12"/>
    <w:rsid w:val="00085DA0"/>
    <w:rsid w:val="00085F82"/>
    <w:rsid w:val="00086388"/>
    <w:rsid w:val="00086506"/>
    <w:rsid w:val="00086A92"/>
    <w:rsid w:val="00086B6E"/>
    <w:rsid w:val="00086C2F"/>
    <w:rsid w:val="00086C64"/>
    <w:rsid w:val="00086C77"/>
    <w:rsid w:val="00087272"/>
    <w:rsid w:val="000874BB"/>
    <w:rsid w:val="0008769D"/>
    <w:rsid w:val="0008781A"/>
    <w:rsid w:val="000905DF"/>
    <w:rsid w:val="00090942"/>
    <w:rsid w:val="00090951"/>
    <w:rsid w:val="00090A61"/>
    <w:rsid w:val="000918F5"/>
    <w:rsid w:val="000919B5"/>
    <w:rsid w:val="00091C1D"/>
    <w:rsid w:val="00091E08"/>
    <w:rsid w:val="00092083"/>
    <w:rsid w:val="00092100"/>
    <w:rsid w:val="000922D8"/>
    <w:rsid w:val="000929F5"/>
    <w:rsid w:val="00092F99"/>
    <w:rsid w:val="00093169"/>
    <w:rsid w:val="000932E7"/>
    <w:rsid w:val="0009333A"/>
    <w:rsid w:val="000933C3"/>
    <w:rsid w:val="00093459"/>
    <w:rsid w:val="00093B8B"/>
    <w:rsid w:val="000951E7"/>
    <w:rsid w:val="00095982"/>
    <w:rsid w:val="00095B82"/>
    <w:rsid w:val="00096098"/>
    <w:rsid w:val="000961B2"/>
    <w:rsid w:val="000964D4"/>
    <w:rsid w:val="000969D9"/>
    <w:rsid w:val="000969ED"/>
    <w:rsid w:val="00096AC7"/>
    <w:rsid w:val="00096F37"/>
    <w:rsid w:val="000974DE"/>
    <w:rsid w:val="00097FE5"/>
    <w:rsid w:val="000A0354"/>
    <w:rsid w:val="000A076B"/>
    <w:rsid w:val="000A091F"/>
    <w:rsid w:val="000A0958"/>
    <w:rsid w:val="000A0FCC"/>
    <w:rsid w:val="000A1033"/>
    <w:rsid w:val="000A22A7"/>
    <w:rsid w:val="000A2712"/>
    <w:rsid w:val="000A2877"/>
    <w:rsid w:val="000A28F9"/>
    <w:rsid w:val="000A2F34"/>
    <w:rsid w:val="000A3145"/>
    <w:rsid w:val="000A355D"/>
    <w:rsid w:val="000A35DA"/>
    <w:rsid w:val="000A371E"/>
    <w:rsid w:val="000A3759"/>
    <w:rsid w:val="000A3DE5"/>
    <w:rsid w:val="000A4011"/>
    <w:rsid w:val="000A41F7"/>
    <w:rsid w:val="000A45D5"/>
    <w:rsid w:val="000A490E"/>
    <w:rsid w:val="000A529E"/>
    <w:rsid w:val="000A5B49"/>
    <w:rsid w:val="000A5FE5"/>
    <w:rsid w:val="000A6158"/>
    <w:rsid w:val="000A6684"/>
    <w:rsid w:val="000A6839"/>
    <w:rsid w:val="000A69EA"/>
    <w:rsid w:val="000A7194"/>
    <w:rsid w:val="000A7218"/>
    <w:rsid w:val="000A740A"/>
    <w:rsid w:val="000A7446"/>
    <w:rsid w:val="000A7E7F"/>
    <w:rsid w:val="000A7E83"/>
    <w:rsid w:val="000A7ECD"/>
    <w:rsid w:val="000B01AB"/>
    <w:rsid w:val="000B04DD"/>
    <w:rsid w:val="000B0D70"/>
    <w:rsid w:val="000B0F01"/>
    <w:rsid w:val="000B129D"/>
    <w:rsid w:val="000B1346"/>
    <w:rsid w:val="000B162B"/>
    <w:rsid w:val="000B1914"/>
    <w:rsid w:val="000B19DC"/>
    <w:rsid w:val="000B1CA2"/>
    <w:rsid w:val="000B202E"/>
    <w:rsid w:val="000B2093"/>
    <w:rsid w:val="000B2293"/>
    <w:rsid w:val="000B24A4"/>
    <w:rsid w:val="000B255C"/>
    <w:rsid w:val="000B2D91"/>
    <w:rsid w:val="000B2FCA"/>
    <w:rsid w:val="000B395E"/>
    <w:rsid w:val="000B39C3"/>
    <w:rsid w:val="000B3A00"/>
    <w:rsid w:val="000B4420"/>
    <w:rsid w:val="000B4840"/>
    <w:rsid w:val="000B4D79"/>
    <w:rsid w:val="000B5272"/>
    <w:rsid w:val="000B539E"/>
    <w:rsid w:val="000B5627"/>
    <w:rsid w:val="000B5671"/>
    <w:rsid w:val="000B5E14"/>
    <w:rsid w:val="000B6479"/>
    <w:rsid w:val="000B6AC4"/>
    <w:rsid w:val="000B6BF0"/>
    <w:rsid w:val="000B6CE8"/>
    <w:rsid w:val="000B7957"/>
    <w:rsid w:val="000B7DAF"/>
    <w:rsid w:val="000B7E2E"/>
    <w:rsid w:val="000C0026"/>
    <w:rsid w:val="000C0091"/>
    <w:rsid w:val="000C034B"/>
    <w:rsid w:val="000C071C"/>
    <w:rsid w:val="000C0986"/>
    <w:rsid w:val="000C0BB4"/>
    <w:rsid w:val="000C0BEE"/>
    <w:rsid w:val="000C11CB"/>
    <w:rsid w:val="000C138B"/>
    <w:rsid w:val="000C1AED"/>
    <w:rsid w:val="000C1CB9"/>
    <w:rsid w:val="000C2159"/>
    <w:rsid w:val="000C21BB"/>
    <w:rsid w:val="000C284B"/>
    <w:rsid w:val="000C289B"/>
    <w:rsid w:val="000C352F"/>
    <w:rsid w:val="000C37CB"/>
    <w:rsid w:val="000C3805"/>
    <w:rsid w:val="000C3F01"/>
    <w:rsid w:val="000C410D"/>
    <w:rsid w:val="000C416A"/>
    <w:rsid w:val="000C420D"/>
    <w:rsid w:val="000C4773"/>
    <w:rsid w:val="000C4944"/>
    <w:rsid w:val="000C4E24"/>
    <w:rsid w:val="000C5C4A"/>
    <w:rsid w:val="000C5C4D"/>
    <w:rsid w:val="000C5F01"/>
    <w:rsid w:val="000C5F95"/>
    <w:rsid w:val="000C63C4"/>
    <w:rsid w:val="000C66C1"/>
    <w:rsid w:val="000C68F3"/>
    <w:rsid w:val="000C6F0B"/>
    <w:rsid w:val="000C6F32"/>
    <w:rsid w:val="000C6FEF"/>
    <w:rsid w:val="000C7512"/>
    <w:rsid w:val="000C778C"/>
    <w:rsid w:val="000C7833"/>
    <w:rsid w:val="000C7E1B"/>
    <w:rsid w:val="000C7E73"/>
    <w:rsid w:val="000D001B"/>
    <w:rsid w:val="000D025A"/>
    <w:rsid w:val="000D0A45"/>
    <w:rsid w:val="000D0DF8"/>
    <w:rsid w:val="000D136E"/>
    <w:rsid w:val="000D14AC"/>
    <w:rsid w:val="000D15BA"/>
    <w:rsid w:val="000D15BE"/>
    <w:rsid w:val="000D2300"/>
    <w:rsid w:val="000D25B3"/>
    <w:rsid w:val="000D2BCC"/>
    <w:rsid w:val="000D2C9B"/>
    <w:rsid w:val="000D2D34"/>
    <w:rsid w:val="000D311C"/>
    <w:rsid w:val="000D32CC"/>
    <w:rsid w:val="000D35FD"/>
    <w:rsid w:val="000D3643"/>
    <w:rsid w:val="000D3AAA"/>
    <w:rsid w:val="000D3D2D"/>
    <w:rsid w:val="000D3D99"/>
    <w:rsid w:val="000D4653"/>
    <w:rsid w:val="000D4696"/>
    <w:rsid w:val="000D4817"/>
    <w:rsid w:val="000D4C01"/>
    <w:rsid w:val="000D4D0C"/>
    <w:rsid w:val="000D4FB9"/>
    <w:rsid w:val="000D529D"/>
    <w:rsid w:val="000D54B4"/>
    <w:rsid w:val="000D584B"/>
    <w:rsid w:val="000D5EE9"/>
    <w:rsid w:val="000D5F55"/>
    <w:rsid w:val="000D6372"/>
    <w:rsid w:val="000D6979"/>
    <w:rsid w:val="000D6B32"/>
    <w:rsid w:val="000D6CE7"/>
    <w:rsid w:val="000D6E2C"/>
    <w:rsid w:val="000D6E38"/>
    <w:rsid w:val="000D6E63"/>
    <w:rsid w:val="000D711C"/>
    <w:rsid w:val="000D7B6E"/>
    <w:rsid w:val="000E0048"/>
    <w:rsid w:val="000E03BB"/>
    <w:rsid w:val="000E0644"/>
    <w:rsid w:val="000E076D"/>
    <w:rsid w:val="000E087C"/>
    <w:rsid w:val="000E173D"/>
    <w:rsid w:val="000E187C"/>
    <w:rsid w:val="000E19D4"/>
    <w:rsid w:val="000E1AB3"/>
    <w:rsid w:val="000E1B28"/>
    <w:rsid w:val="000E1E8D"/>
    <w:rsid w:val="000E1EBC"/>
    <w:rsid w:val="000E2164"/>
    <w:rsid w:val="000E2173"/>
    <w:rsid w:val="000E220B"/>
    <w:rsid w:val="000E2266"/>
    <w:rsid w:val="000E2A50"/>
    <w:rsid w:val="000E30F2"/>
    <w:rsid w:val="000E316B"/>
    <w:rsid w:val="000E362C"/>
    <w:rsid w:val="000E3D08"/>
    <w:rsid w:val="000E4728"/>
    <w:rsid w:val="000E476F"/>
    <w:rsid w:val="000E4D1F"/>
    <w:rsid w:val="000E5100"/>
    <w:rsid w:val="000E512F"/>
    <w:rsid w:val="000E5658"/>
    <w:rsid w:val="000E5698"/>
    <w:rsid w:val="000E5723"/>
    <w:rsid w:val="000E581B"/>
    <w:rsid w:val="000E60DF"/>
    <w:rsid w:val="000E64B2"/>
    <w:rsid w:val="000E65D2"/>
    <w:rsid w:val="000E6919"/>
    <w:rsid w:val="000E6A49"/>
    <w:rsid w:val="000E6B1B"/>
    <w:rsid w:val="000E6DF3"/>
    <w:rsid w:val="000E6F0C"/>
    <w:rsid w:val="000E732D"/>
    <w:rsid w:val="000E7F81"/>
    <w:rsid w:val="000F01E9"/>
    <w:rsid w:val="000F07ED"/>
    <w:rsid w:val="000F0CF2"/>
    <w:rsid w:val="000F1401"/>
    <w:rsid w:val="000F1A32"/>
    <w:rsid w:val="000F1B8C"/>
    <w:rsid w:val="000F1CC2"/>
    <w:rsid w:val="000F1D15"/>
    <w:rsid w:val="000F1DCB"/>
    <w:rsid w:val="000F270A"/>
    <w:rsid w:val="000F2938"/>
    <w:rsid w:val="000F2968"/>
    <w:rsid w:val="000F2A55"/>
    <w:rsid w:val="000F34C8"/>
    <w:rsid w:val="000F35A6"/>
    <w:rsid w:val="000F38BC"/>
    <w:rsid w:val="000F3E2A"/>
    <w:rsid w:val="000F4D26"/>
    <w:rsid w:val="000F5107"/>
    <w:rsid w:val="000F5639"/>
    <w:rsid w:val="000F58A4"/>
    <w:rsid w:val="000F5F99"/>
    <w:rsid w:val="000F6167"/>
    <w:rsid w:val="000F63C6"/>
    <w:rsid w:val="000F6833"/>
    <w:rsid w:val="000F6A24"/>
    <w:rsid w:val="000F6E4A"/>
    <w:rsid w:val="000F73C6"/>
    <w:rsid w:val="000F7616"/>
    <w:rsid w:val="000F7DE9"/>
    <w:rsid w:val="000F7E1F"/>
    <w:rsid w:val="000F7F7A"/>
    <w:rsid w:val="001002F4"/>
    <w:rsid w:val="00100A6C"/>
    <w:rsid w:val="00100C3C"/>
    <w:rsid w:val="00100D1D"/>
    <w:rsid w:val="00100EDD"/>
    <w:rsid w:val="001011FC"/>
    <w:rsid w:val="0010165F"/>
    <w:rsid w:val="00101E7C"/>
    <w:rsid w:val="001022DD"/>
    <w:rsid w:val="001023DC"/>
    <w:rsid w:val="00102572"/>
    <w:rsid w:val="00102946"/>
    <w:rsid w:val="00102FBF"/>
    <w:rsid w:val="0010333D"/>
    <w:rsid w:val="0010372A"/>
    <w:rsid w:val="00103F28"/>
    <w:rsid w:val="00103F41"/>
    <w:rsid w:val="00104662"/>
    <w:rsid w:val="00104D5D"/>
    <w:rsid w:val="00104F34"/>
    <w:rsid w:val="0010521A"/>
    <w:rsid w:val="001053C5"/>
    <w:rsid w:val="001055AD"/>
    <w:rsid w:val="00105B3E"/>
    <w:rsid w:val="00105BA2"/>
    <w:rsid w:val="00105C14"/>
    <w:rsid w:val="00106078"/>
    <w:rsid w:val="001061F0"/>
    <w:rsid w:val="001065A3"/>
    <w:rsid w:val="00106610"/>
    <w:rsid w:val="00106831"/>
    <w:rsid w:val="0010683E"/>
    <w:rsid w:val="0010691D"/>
    <w:rsid w:val="00106B33"/>
    <w:rsid w:val="00106E69"/>
    <w:rsid w:val="00107992"/>
    <w:rsid w:val="00107F55"/>
    <w:rsid w:val="00110AC5"/>
    <w:rsid w:val="00110F0B"/>
    <w:rsid w:val="0011108B"/>
    <w:rsid w:val="00111136"/>
    <w:rsid w:val="00111164"/>
    <w:rsid w:val="00111580"/>
    <w:rsid w:val="00111761"/>
    <w:rsid w:val="00112164"/>
    <w:rsid w:val="0011241F"/>
    <w:rsid w:val="0011274B"/>
    <w:rsid w:val="001128BF"/>
    <w:rsid w:val="00112D09"/>
    <w:rsid w:val="00112E8F"/>
    <w:rsid w:val="00112EDB"/>
    <w:rsid w:val="00112F03"/>
    <w:rsid w:val="00112F38"/>
    <w:rsid w:val="00113715"/>
    <w:rsid w:val="00113821"/>
    <w:rsid w:val="00113D66"/>
    <w:rsid w:val="00114058"/>
    <w:rsid w:val="0011449E"/>
    <w:rsid w:val="00115222"/>
    <w:rsid w:val="001153EF"/>
    <w:rsid w:val="00115460"/>
    <w:rsid w:val="00115D55"/>
    <w:rsid w:val="00115E45"/>
    <w:rsid w:val="00115F85"/>
    <w:rsid w:val="00116255"/>
    <w:rsid w:val="0011688E"/>
    <w:rsid w:val="00116ACD"/>
    <w:rsid w:val="00116D94"/>
    <w:rsid w:val="0011718F"/>
    <w:rsid w:val="0011734F"/>
    <w:rsid w:val="00117B7D"/>
    <w:rsid w:val="00117D23"/>
    <w:rsid w:val="00117EFC"/>
    <w:rsid w:val="001205A8"/>
    <w:rsid w:val="00120640"/>
    <w:rsid w:val="00120854"/>
    <w:rsid w:val="00120C28"/>
    <w:rsid w:val="00120CAC"/>
    <w:rsid w:val="00121766"/>
    <w:rsid w:val="001219B6"/>
    <w:rsid w:val="0012219A"/>
    <w:rsid w:val="00122939"/>
    <w:rsid w:val="00122A64"/>
    <w:rsid w:val="00122FDA"/>
    <w:rsid w:val="001230F4"/>
    <w:rsid w:val="001232A3"/>
    <w:rsid w:val="00123694"/>
    <w:rsid w:val="0012388A"/>
    <w:rsid w:val="0012388C"/>
    <w:rsid w:val="001238A2"/>
    <w:rsid w:val="0012395F"/>
    <w:rsid w:val="00123AFA"/>
    <w:rsid w:val="00123C8C"/>
    <w:rsid w:val="00123E8B"/>
    <w:rsid w:val="001248A2"/>
    <w:rsid w:val="00124B43"/>
    <w:rsid w:val="00124DF8"/>
    <w:rsid w:val="001250B3"/>
    <w:rsid w:val="001253EA"/>
    <w:rsid w:val="00125B66"/>
    <w:rsid w:val="00125B99"/>
    <w:rsid w:val="00126160"/>
    <w:rsid w:val="00126DB5"/>
    <w:rsid w:val="00126DCD"/>
    <w:rsid w:val="00127178"/>
    <w:rsid w:val="00127F09"/>
    <w:rsid w:val="0013002A"/>
    <w:rsid w:val="0013085D"/>
    <w:rsid w:val="0013089C"/>
    <w:rsid w:val="00130A2D"/>
    <w:rsid w:val="00130BE1"/>
    <w:rsid w:val="00130F54"/>
    <w:rsid w:val="001310EE"/>
    <w:rsid w:val="001312EF"/>
    <w:rsid w:val="00131888"/>
    <w:rsid w:val="00131F17"/>
    <w:rsid w:val="0013212F"/>
    <w:rsid w:val="001323F9"/>
    <w:rsid w:val="0013251F"/>
    <w:rsid w:val="00133088"/>
    <w:rsid w:val="00133113"/>
    <w:rsid w:val="0013321E"/>
    <w:rsid w:val="00133346"/>
    <w:rsid w:val="001335B1"/>
    <w:rsid w:val="00133B4E"/>
    <w:rsid w:val="0013410F"/>
    <w:rsid w:val="001346AF"/>
    <w:rsid w:val="00134990"/>
    <w:rsid w:val="00134FB4"/>
    <w:rsid w:val="001354D1"/>
    <w:rsid w:val="001357F6"/>
    <w:rsid w:val="00135840"/>
    <w:rsid w:val="00135A0A"/>
    <w:rsid w:val="00135B6F"/>
    <w:rsid w:val="00135BB9"/>
    <w:rsid w:val="00135D81"/>
    <w:rsid w:val="00136179"/>
    <w:rsid w:val="0013621D"/>
    <w:rsid w:val="00136354"/>
    <w:rsid w:val="001365DC"/>
    <w:rsid w:val="00136674"/>
    <w:rsid w:val="00136B0E"/>
    <w:rsid w:val="00136C3B"/>
    <w:rsid w:val="001376AB"/>
    <w:rsid w:val="0013777C"/>
    <w:rsid w:val="00137D5F"/>
    <w:rsid w:val="00140082"/>
    <w:rsid w:val="00140175"/>
    <w:rsid w:val="00140757"/>
    <w:rsid w:val="001409E8"/>
    <w:rsid w:val="00140ACD"/>
    <w:rsid w:val="00140AF0"/>
    <w:rsid w:val="00140D07"/>
    <w:rsid w:val="001410CF"/>
    <w:rsid w:val="00141113"/>
    <w:rsid w:val="00141A3A"/>
    <w:rsid w:val="00141E53"/>
    <w:rsid w:val="001420AD"/>
    <w:rsid w:val="001423FA"/>
    <w:rsid w:val="001427B5"/>
    <w:rsid w:val="001427CD"/>
    <w:rsid w:val="001428CF"/>
    <w:rsid w:val="00142D0C"/>
    <w:rsid w:val="00142E3C"/>
    <w:rsid w:val="00143387"/>
    <w:rsid w:val="00143B53"/>
    <w:rsid w:val="00143EC8"/>
    <w:rsid w:val="00144013"/>
    <w:rsid w:val="00144139"/>
    <w:rsid w:val="00144698"/>
    <w:rsid w:val="001448D9"/>
    <w:rsid w:val="001448DA"/>
    <w:rsid w:val="001455C3"/>
    <w:rsid w:val="00145A17"/>
    <w:rsid w:val="00145BBE"/>
    <w:rsid w:val="001460B5"/>
    <w:rsid w:val="0014641F"/>
    <w:rsid w:val="001464A8"/>
    <w:rsid w:val="001467BB"/>
    <w:rsid w:val="00146CA8"/>
    <w:rsid w:val="0014723E"/>
    <w:rsid w:val="00147884"/>
    <w:rsid w:val="00147AFE"/>
    <w:rsid w:val="00147F9D"/>
    <w:rsid w:val="00150664"/>
    <w:rsid w:val="00150827"/>
    <w:rsid w:val="00150B0D"/>
    <w:rsid w:val="00150E10"/>
    <w:rsid w:val="001518E2"/>
    <w:rsid w:val="00151A32"/>
    <w:rsid w:val="00151BA2"/>
    <w:rsid w:val="00151BDE"/>
    <w:rsid w:val="00151E31"/>
    <w:rsid w:val="00151F9B"/>
    <w:rsid w:val="00152232"/>
    <w:rsid w:val="00152289"/>
    <w:rsid w:val="00152425"/>
    <w:rsid w:val="00152BAD"/>
    <w:rsid w:val="00152CE3"/>
    <w:rsid w:val="00152CEC"/>
    <w:rsid w:val="00152E5C"/>
    <w:rsid w:val="00153652"/>
    <w:rsid w:val="00153697"/>
    <w:rsid w:val="00153741"/>
    <w:rsid w:val="00153956"/>
    <w:rsid w:val="00153A11"/>
    <w:rsid w:val="00153AC7"/>
    <w:rsid w:val="00153B95"/>
    <w:rsid w:val="00154146"/>
    <w:rsid w:val="00154190"/>
    <w:rsid w:val="001545EA"/>
    <w:rsid w:val="001549BA"/>
    <w:rsid w:val="00154BBF"/>
    <w:rsid w:val="00155099"/>
    <w:rsid w:val="00155143"/>
    <w:rsid w:val="001552FA"/>
    <w:rsid w:val="00155415"/>
    <w:rsid w:val="00155983"/>
    <w:rsid w:val="00155C85"/>
    <w:rsid w:val="00155CB4"/>
    <w:rsid w:val="001567A1"/>
    <w:rsid w:val="00156841"/>
    <w:rsid w:val="00156A6C"/>
    <w:rsid w:val="00156B10"/>
    <w:rsid w:val="00156F55"/>
    <w:rsid w:val="001573F6"/>
    <w:rsid w:val="00157673"/>
    <w:rsid w:val="001576FE"/>
    <w:rsid w:val="00157823"/>
    <w:rsid w:val="0015790D"/>
    <w:rsid w:val="00157C5E"/>
    <w:rsid w:val="00157DD3"/>
    <w:rsid w:val="0016015A"/>
    <w:rsid w:val="0016020E"/>
    <w:rsid w:val="00160503"/>
    <w:rsid w:val="00160D7C"/>
    <w:rsid w:val="00160E30"/>
    <w:rsid w:val="0016106D"/>
    <w:rsid w:val="001612E1"/>
    <w:rsid w:val="001614DB"/>
    <w:rsid w:val="0016194E"/>
    <w:rsid w:val="0016236C"/>
    <w:rsid w:val="00162625"/>
    <w:rsid w:val="00162B1A"/>
    <w:rsid w:val="0016304F"/>
    <w:rsid w:val="001630A8"/>
    <w:rsid w:val="00163826"/>
    <w:rsid w:val="00163943"/>
    <w:rsid w:val="00163BA1"/>
    <w:rsid w:val="00163DDF"/>
    <w:rsid w:val="00163F22"/>
    <w:rsid w:val="0016417B"/>
    <w:rsid w:val="001642E1"/>
    <w:rsid w:val="0016470E"/>
    <w:rsid w:val="001649D3"/>
    <w:rsid w:val="00164CD8"/>
    <w:rsid w:val="00164E0A"/>
    <w:rsid w:val="001652D7"/>
    <w:rsid w:val="0016554F"/>
    <w:rsid w:val="00165816"/>
    <w:rsid w:val="00165A5F"/>
    <w:rsid w:val="001661D0"/>
    <w:rsid w:val="00166223"/>
    <w:rsid w:val="001662F2"/>
    <w:rsid w:val="001674C6"/>
    <w:rsid w:val="001677E8"/>
    <w:rsid w:val="0016793E"/>
    <w:rsid w:val="00167D4D"/>
    <w:rsid w:val="0017031E"/>
    <w:rsid w:val="0017054C"/>
    <w:rsid w:val="00170635"/>
    <w:rsid w:val="0017070D"/>
    <w:rsid w:val="00170837"/>
    <w:rsid w:val="00170D08"/>
    <w:rsid w:val="00170D09"/>
    <w:rsid w:val="00171035"/>
    <w:rsid w:val="001712BD"/>
    <w:rsid w:val="001713B7"/>
    <w:rsid w:val="001716FE"/>
    <w:rsid w:val="00171ADB"/>
    <w:rsid w:val="00171E2C"/>
    <w:rsid w:val="00172029"/>
    <w:rsid w:val="00172131"/>
    <w:rsid w:val="001724B9"/>
    <w:rsid w:val="00172FCA"/>
    <w:rsid w:val="001733A4"/>
    <w:rsid w:val="001735D4"/>
    <w:rsid w:val="00173AB9"/>
    <w:rsid w:val="00173EED"/>
    <w:rsid w:val="00173FAA"/>
    <w:rsid w:val="001742F8"/>
    <w:rsid w:val="00174368"/>
    <w:rsid w:val="001744EA"/>
    <w:rsid w:val="00174D82"/>
    <w:rsid w:val="00174E44"/>
    <w:rsid w:val="00175053"/>
    <w:rsid w:val="001753B7"/>
    <w:rsid w:val="001757E7"/>
    <w:rsid w:val="00175873"/>
    <w:rsid w:val="00175C59"/>
    <w:rsid w:val="00176033"/>
    <w:rsid w:val="001760BC"/>
    <w:rsid w:val="00176674"/>
    <w:rsid w:val="00176818"/>
    <w:rsid w:val="001768ED"/>
    <w:rsid w:val="00176B82"/>
    <w:rsid w:val="00176E3B"/>
    <w:rsid w:val="00176ECB"/>
    <w:rsid w:val="0017752D"/>
    <w:rsid w:val="0017759F"/>
    <w:rsid w:val="00177832"/>
    <w:rsid w:val="001802DE"/>
    <w:rsid w:val="001804BC"/>
    <w:rsid w:val="0018057A"/>
    <w:rsid w:val="001809EB"/>
    <w:rsid w:val="00181178"/>
    <w:rsid w:val="0018119E"/>
    <w:rsid w:val="0018152C"/>
    <w:rsid w:val="00181A74"/>
    <w:rsid w:val="00181C57"/>
    <w:rsid w:val="00181DBA"/>
    <w:rsid w:val="00181EEF"/>
    <w:rsid w:val="00181F26"/>
    <w:rsid w:val="00181F3E"/>
    <w:rsid w:val="00182B37"/>
    <w:rsid w:val="00182FE0"/>
    <w:rsid w:val="00183197"/>
    <w:rsid w:val="00183482"/>
    <w:rsid w:val="00183778"/>
    <w:rsid w:val="001837E8"/>
    <w:rsid w:val="00183911"/>
    <w:rsid w:val="00184103"/>
    <w:rsid w:val="001845FB"/>
    <w:rsid w:val="00184877"/>
    <w:rsid w:val="00184B72"/>
    <w:rsid w:val="00184FB1"/>
    <w:rsid w:val="001857FB"/>
    <w:rsid w:val="00185DA6"/>
    <w:rsid w:val="00185F64"/>
    <w:rsid w:val="00186096"/>
    <w:rsid w:val="001862FE"/>
    <w:rsid w:val="001864BD"/>
    <w:rsid w:val="001866F1"/>
    <w:rsid w:val="00186E20"/>
    <w:rsid w:val="0018724F"/>
    <w:rsid w:val="0018772E"/>
    <w:rsid w:val="00187A94"/>
    <w:rsid w:val="0019029E"/>
    <w:rsid w:val="0019078A"/>
    <w:rsid w:val="00190804"/>
    <w:rsid w:val="0019088F"/>
    <w:rsid w:val="00190C51"/>
    <w:rsid w:val="00190DD7"/>
    <w:rsid w:val="0019122E"/>
    <w:rsid w:val="0019170B"/>
    <w:rsid w:val="0019170C"/>
    <w:rsid w:val="001917F3"/>
    <w:rsid w:val="00191C53"/>
    <w:rsid w:val="00191DDF"/>
    <w:rsid w:val="00191E99"/>
    <w:rsid w:val="00192215"/>
    <w:rsid w:val="00192769"/>
    <w:rsid w:val="00192DDE"/>
    <w:rsid w:val="00193034"/>
    <w:rsid w:val="00193382"/>
    <w:rsid w:val="00193ACC"/>
    <w:rsid w:val="00193BFE"/>
    <w:rsid w:val="00194055"/>
    <w:rsid w:val="00194FDC"/>
    <w:rsid w:val="00195322"/>
    <w:rsid w:val="0019560E"/>
    <w:rsid w:val="001958E3"/>
    <w:rsid w:val="0019601B"/>
    <w:rsid w:val="00196048"/>
    <w:rsid w:val="00196A82"/>
    <w:rsid w:val="0019769B"/>
    <w:rsid w:val="00197798"/>
    <w:rsid w:val="001979F9"/>
    <w:rsid w:val="00197CF3"/>
    <w:rsid w:val="00197FFE"/>
    <w:rsid w:val="001A0D25"/>
    <w:rsid w:val="001A0E14"/>
    <w:rsid w:val="001A142F"/>
    <w:rsid w:val="001A1570"/>
    <w:rsid w:val="001A1917"/>
    <w:rsid w:val="001A19D5"/>
    <w:rsid w:val="001A1C64"/>
    <w:rsid w:val="001A1DFB"/>
    <w:rsid w:val="001A1E7F"/>
    <w:rsid w:val="001A21F1"/>
    <w:rsid w:val="001A240C"/>
    <w:rsid w:val="001A2918"/>
    <w:rsid w:val="001A2D02"/>
    <w:rsid w:val="001A3076"/>
    <w:rsid w:val="001A3163"/>
    <w:rsid w:val="001A31A5"/>
    <w:rsid w:val="001A389C"/>
    <w:rsid w:val="001A3B75"/>
    <w:rsid w:val="001A4027"/>
    <w:rsid w:val="001A46F7"/>
    <w:rsid w:val="001A46FB"/>
    <w:rsid w:val="001A4EA6"/>
    <w:rsid w:val="001A4EC9"/>
    <w:rsid w:val="001A5944"/>
    <w:rsid w:val="001A5DC7"/>
    <w:rsid w:val="001A5FB1"/>
    <w:rsid w:val="001A698A"/>
    <w:rsid w:val="001A6CCC"/>
    <w:rsid w:val="001A6E3B"/>
    <w:rsid w:val="001A6FF4"/>
    <w:rsid w:val="001A70C8"/>
    <w:rsid w:val="001A71C9"/>
    <w:rsid w:val="001A7429"/>
    <w:rsid w:val="001A760C"/>
    <w:rsid w:val="001A770F"/>
    <w:rsid w:val="001A7977"/>
    <w:rsid w:val="001A799B"/>
    <w:rsid w:val="001A7A93"/>
    <w:rsid w:val="001A7AC7"/>
    <w:rsid w:val="001A7C38"/>
    <w:rsid w:val="001A7DEA"/>
    <w:rsid w:val="001B00C5"/>
    <w:rsid w:val="001B02F8"/>
    <w:rsid w:val="001B0ABF"/>
    <w:rsid w:val="001B1921"/>
    <w:rsid w:val="001B2104"/>
    <w:rsid w:val="001B2279"/>
    <w:rsid w:val="001B24BA"/>
    <w:rsid w:val="001B2729"/>
    <w:rsid w:val="001B2866"/>
    <w:rsid w:val="001B2881"/>
    <w:rsid w:val="001B2B5B"/>
    <w:rsid w:val="001B2B73"/>
    <w:rsid w:val="001B3675"/>
    <w:rsid w:val="001B37C8"/>
    <w:rsid w:val="001B3EFC"/>
    <w:rsid w:val="001B485D"/>
    <w:rsid w:val="001B48BA"/>
    <w:rsid w:val="001B4B2C"/>
    <w:rsid w:val="001B4E9C"/>
    <w:rsid w:val="001B4F10"/>
    <w:rsid w:val="001B5154"/>
    <w:rsid w:val="001B54BF"/>
    <w:rsid w:val="001B5BD0"/>
    <w:rsid w:val="001B5CF6"/>
    <w:rsid w:val="001B600E"/>
    <w:rsid w:val="001B6149"/>
    <w:rsid w:val="001B6E30"/>
    <w:rsid w:val="001B7B44"/>
    <w:rsid w:val="001B7C83"/>
    <w:rsid w:val="001B7D67"/>
    <w:rsid w:val="001B7F9E"/>
    <w:rsid w:val="001C0206"/>
    <w:rsid w:val="001C0246"/>
    <w:rsid w:val="001C04D4"/>
    <w:rsid w:val="001C0654"/>
    <w:rsid w:val="001C0B1A"/>
    <w:rsid w:val="001C0B34"/>
    <w:rsid w:val="001C1237"/>
    <w:rsid w:val="001C12A3"/>
    <w:rsid w:val="001C13BA"/>
    <w:rsid w:val="001C17BB"/>
    <w:rsid w:val="001C187E"/>
    <w:rsid w:val="001C1A37"/>
    <w:rsid w:val="001C1B4B"/>
    <w:rsid w:val="001C1C49"/>
    <w:rsid w:val="001C286F"/>
    <w:rsid w:val="001C2B86"/>
    <w:rsid w:val="001C2F54"/>
    <w:rsid w:val="001C3308"/>
    <w:rsid w:val="001C396B"/>
    <w:rsid w:val="001C3A1F"/>
    <w:rsid w:val="001C3BBB"/>
    <w:rsid w:val="001C40D1"/>
    <w:rsid w:val="001C468A"/>
    <w:rsid w:val="001C4A38"/>
    <w:rsid w:val="001C4A9E"/>
    <w:rsid w:val="001C4DF2"/>
    <w:rsid w:val="001C5001"/>
    <w:rsid w:val="001C5103"/>
    <w:rsid w:val="001C52A8"/>
    <w:rsid w:val="001C5ADF"/>
    <w:rsid w:val="001C5E8E"/>
    <w:rsid w:val="001C6120"/>
    <w:rsid w:val="001C6175"/>
    <w:rsid w:val="001C6516"/>
    <w:rsid w:val="001C6865"/>
    <w:rsid w:val="001C6B5C"/>
    <w:rsid w:val="001C6D0D"/>
    <w:rsid w:val="001C7155"/>
    <w:rsid w:val="001C7E48"/>
    <w:rsid w:val="001D039B"/>
    <w:rsid w:val="001D078D"/>
    <w:rsid w:val="001D0849"/>
    <w:rsid w:val="001D088F"/>
    <w:rsid w:val="001D11A9"/>
    <w:rsid w:val="001D1258"/>
    <w:rsid w:val="001D1AB8"/>
    <w:rsid w:val="001D1CD7"/>
    <w:rsid w:val="001D1D5E"/>
    <w:rsid w:val="001D286F"/>
    <w:rsid w:val="001D2C94"/>
    <w:rsid w:val="001D33D9"/>
    <w:rsid w:val="001D36F6"/>
    <w:rsid w:val="001D3C23"/>
    <w:rsid w:val="001D3E35"/>
    <w:rsid w:val="001D409B"/>
    <w:rsid w:val="001D4303"/>
    <w:rsid w:val="001D45E5"/>
    <w:rsid w:val="001D461A"/>
    <w:rsid w:val="001D4A9D"/>
    <w:rsid w:val="001D4AAD"/>
    <w:rsid w:val="001D4C2F"/>
    <w:rsid w:val="001D4FE9"/>
    <w:rsid w:val="001D565A"/>
    <w:rsid w:val="001D5AFA"/>
    <w:rsid w:val="001D5CDC"/>
    <w:rsid w:val="001D652D"/>
    <w:rsid w:val="001D6A35"/>
    <w:rsid w:val="001D728B"/>
    <w:rsid w:val="001D784A"/>
    <w:rsid w:val="001D79E3"/>
    <w:rsid w:val="001E03B4"/>
    <w:rsid w:val="001E04A4"/>
    <w:rsid w:val="001E07C5"/>
    <w:rsid w:val="001E0CFA"/>
    <w:rsid w:val="001E0DA8"/>
    <w:rsid w:val="001E176D"/>
    <w:rsid w:val="001E1BCE"/>
    <w:rsid w:val="001E1E05"/>
    <w:rsid w:val="001E2086"/>
    <w:rsid w:val="001E2750"/>
    <w:rsid w:val="001E339F"/>
    <w:rsid w:val="001E3629"/>
    <w:rsid w:val="001E3E7D"/>
    <w:rsid w:val="001E40F0"/>
    <w:rsid w:val="001E4172"/>
    <w:rsid w:val="001E42A9"/>
    <w:rsid w:val="001E477B"/>
    <w:rsid w:val="001E47F5"/>
    <w:rsid w:val="001E4F08"/>
    <w:rsid w:val="001E51EA"/>
    <w:rsid w:val="001E5490"/>
    <w:rsid w:val="001E5730"/>
    <w:rsid w:val="001E5A97"/>
    <w:rsid w:val="001E5E2E"/>
    <w:rsid w:val="001E6352"/>
    <w:rsid w:val="001E6984"/>
    <w:rsid w:val="001E6ADE"/>
    <w:rsid w:val="001E70AD"/>
    <w:rsid w:val="001E7237"/>
    <w:rsid w:val="001E7AD1"/>
    <w:rsid w:val="001E7AF6"/>
    <w:rsid w:val="001E7D9D"/>
    <w:rsid w:val="001F01B8"/>
    <w:rsid w:val="001F0FC3"/>
    <w:rsid w:val="001F1188"/>
    <w:rsid w:val="001F1549"/>
    <w:rsid w:val="001F15D9"/>
    <w:rsid w:val="001F1B8D"/>
    <w:rsid w:val="001F248C"/>
    <w:rsid w:val="001F274F"/>
    <w:rsid w:val="001F289C"/>
    <w:rsid w:val="001F2A19"/>
    <w:rsid w:val="001F2BF9"/>
    <w:rsid w:val="001F2EE1"/>
    <w:rsid w:val="001F3AF2"/>
    <w:rsid w:val="001F5D7B"/>
    <w:rsid w:val="001F6008"/>
    <w:rsid w:val="001F604B"/>
    <w:rsid w:val="001F6387"/>
    <w:rsid w:val="001F641B"/>
    <w:rsid w:val="001F6D4D"/>
    <w:rsid w:val="001F6DB9"/>
    <w:rsid w:val="001F6EBA"/>
    <w:rsid w:val="001F75DA"/>
    <w:rsid w:val="001F78BE"/>
    <w:rsid w:val="00200434"/>
    <w:rsid w:val="0020079C"/>
    <w:rsid w:val="00200D69"/>
    <w:rsid w:val="00200D9B"/>
    <w:rsid w:val="00200F9D"/>
    <w:rsid w:val="0020130D"/>
    <w:rsid w:val="002013C5"/>
    <w:rsid w:val="00201916"/>
    <w:rsid w:val="002019FA"/>
    <w:rsid w:val="00201D06"/>
    <w:rsid w:val="00201E9F"/>
    <w:rsid w:val="00201F1D"/>
    <w:rsid w:val="0020217D"/>
    <w:rsid w:val="002022D2"/>
    <w:rsid w:val="00202D15"/>
    <w:rsid w:val="00202F25"/>
    <w:rsid w:val="002035B3"/>
    <w:rsid w:val="00203664"/>
    <w:rsid w:val="00203929"/>
    <w:rsid w:val="00203CD6"/>
    <w:rsid w:val="00203D01"/>
    <w:rsid w:val="00203E7A"/>
    <w:rsid w:val="0020406E"/>
    <w:rsid w:val="00204460"/>
    <w:rsid w:val="00205151"/>
    <w:rsid w:val="002051EA"/>
    <w:rsid w:val="00205CBC"/>
    <w:rsid w:val="00205DFD"/>
    <w:rsid w:val="00205FCE"/>
    <w:rsid w:val="00206121"/>
    <w:rsid w:val="00206259"/>
    <w:rsid w:val="00206342"/>
    <w:rsid w:val="002065BD"/>
    <w:rsid w:val="002074B7"/>
    <w:rsid w:val="0020758D"/>
    <w:rsid w:val="00207C7B"/>
    <w:rsid w:val="00207D5D"/>
    <w:rsid w:val="00210487"/>
    <w:rsid w:val="00210ABD"/>
    <w:rsid w:val="00211267"/>
    <w:rsid w:val="00211470"/>
    <w:rsid w:val="00211922"/>
    <w:rsid w:val="00211A3A"/>
    <w:rsid w:val="0021213A"/>
    <w:rsid w:val="002121B4"/>
    <w:rsid w:val="0021265F"/>
    <w:rsid w:val="00213232"/>
    <w:rsid w:val="002132CD"/>
    <w:rsid w:val="00213817"/>
    <w:rsid w:val="0021423F"/>
    <w:rsid w:val="00214428"/>
    <w:rsid w:val="002145EB"/>
    <w:rsid w:val="00214F82"/>
    <w:rsid w:val="00215033"/>
    <w:rsid w:val="00215356"/>
    <w:rsid w:val="00215786"/>
    <w:rsid w:val="00215834"/>
    <w:rsid w:val="00215A2A"/>
    <w:rsid w:val="00215CC2"/>
    <w:rsid w:val="00215ED8"/>
    <w:rsid w:val="00215FAF"/>
    <w:rsid w:val="002162C6"/>
    <w:rsid w:val="00216AE1"/>
    <w:rsid w:val="00217700"/>
    <w:rsid w:val="002177E2"/>
    <w:rsid w:val="0021783B"/>
    <w:rsid w:val="002205F3"/>
    <w:rsid w:val="002206D4"/>
    <w:rsid w:val="00220815"/>
    <w:rsid w:val="0022085B"/>
    <w:rsid w:val="00220BC9"/>
    <w:rsid w:val="00220E53"/>
    <w:rsid w:val="00220F3E"/>
    <w:rsid w:val="0022176C"/>
    <w:rsid w:val="002225D1"/>
    <w:rsid w:val="0022267D"/>
    <w:rsid w:val="002229B6"/>
    <w:rsid w:val="002230FA"/>
    <w:rsid w:val="00223D8B"/>
    <w:rsid w:val="00223DF2"/>
    <w:rsid w:val="002246C2"/>
    <w:rsid w:val="002247FA"/>
    <w:rsid w:val="002249A2"/>
    <w:rsid w:val="00224C0C"/>
    <w:rsid w:val="002256C2"/>
    <w:rsid w:val="002256D0"/>
    <w:rsid w:val="00225C8E"/>
    <w:rsid w:val="00226428"/>
    <w:rsid w:val="002265A9"/>
    <w:rsid w:val="002266CB"/>
    <w:rsid w:val="00227052"/>
    <w:rsid w:val="00227194"/>
    <w:rsid w:val="002272D5"/>
    <w:rsid w:val="0022738E"/>
    <w:rsid w:val="00227906"/>
    <w:rsid w:val="00227934"/>
    <w:rsid w:val="00227E21"/>
    <w:rsid w:val="00230A10"/>
    <w:rsid w:val="0023104C"/>
    <w:rsid w:val="00231132"/>
    <w:rsid w:val="00231C76"/>
    <w:rsid w:val="00231D05"/>
    <w:rsid w:val="00232001"/>
    <w:rsid w:val="0023241A"/>
    <w:rsid w:val="00232DE6"/>
    <w:rsid w:val="002332AC"/>
    <w:rsid w:val="002336E2"/>
    <w:rsid w:val="00233AC2"/>
    <w:rsid w:val="00233BAF"/>
    <w:rsid w:val="00233E3A"/>
    <w:rsid w:val="00233F80"/>
    <w:rsid w:val="00235420"/>
    <w:rsid w:val="00235610"/>
    <w:rsid w:val="00235700"/>
    <w:rsid w:val="00235A56"/>
    <w:rsid w:val="00235DE0"/>
    <w:rsid w:val="00236882"/>
    <w:rsid w:val="00236F0A"/>
    <w:rsid w:val="002374CA"/>
    <w:rsid w:val="00237B47"/>
    <w:rsid w:val="00237D60"/>
    <w:rsid w:val="0024065B"/>
    <w:rsid w:val="002409A6"/>
    <w:rsid w:val="00240BF4"/>
    <w:rsid w:val="00240C63"/>
    <w:rsid w:val="00240D91"/>
    <w:rsid w:val="00240EA5"/>
    <w:rsid w:val="00241132"/>
    <w:rsid w:val="00241205"/>
    <w:rsid w:val="002418C5"/>
    <w:rsid w:val="00241AB6"/>
    <w:rsid w:val="00241F90"/>
    <w:rsid w:val="002421FD"/>
    <w:rsid w:val="0024261D"/>
    <w:rsid w:val="00242712"/>
    <w:rsid w:val="00242820"/>
    <w:rsid w:val="0024298E"/>
    <w:rsid w:val="00242DFB"/>
    <w:rsid w:val="00243807"/>
    <w:rsid w:val="002440AC"/>
    <w:rsid w:val="00244365"/>
    <w:rsid w:val="0024459A"/>
    <w:rsid w:val="002446A3"/>
    <w:rsid w:val="00244771"/>
    <w:rsid w:val="00244903"/>
    <w:rsid w:val="00244AFB"/>
    <w:rsid w:val="002451AD"/>
    <w:rsid w:val="002453DF"/>
    <w:rsid w:val="00245A81"/>
    <w:rsid w:val="00246010"/>
    <w:rsid w:val="002462A5"/>
    <w:rsid w:val="002469D4"/>
    <w:rsid w:val="00246B86"/>
    <w:rsid w:val="00246CFB"/>
    <w:rsid w:val="00247334"/>
    <w:rsid w:val="00247335"/>
    <w:rsid w:val="002473EF"/>
    <w:rsid w:val="00247598"/>
    <w:rsid w:val="002477B9"/>
    <w:rsid w:val="00247B69"/>
    <w:rsid w:val="00247CBE"/>
    <w:rsid w:val="00250A1F"/>
    <w:rsid w:val="00250ADA"/>
    <w:rsid w:val="00250DDB"/>
    <w:rsid w:val="00250EB6"/>
    <w:rsid w:val="00250F1D"/>
    <w:rsid w:val="00251FF1"/>
    <w:rsid w:val="002520BA"/>
    <w:rsid w:val="00252234"/>
    <w:rsid w:val="002528E3"/>
    <w:rsid w:val="00252944"/>
    <w:rsid w:val="00252D55"/>
    <w:rsid w:val="00252D82"/>
    <w:rsid w:val="00253006"/>
    <w:rsid w:val="002533F5"/>
    <w:rsid w:val="002536B3"/>
    <w:rsid w:val="00253C60"/>
    <w:rsid w:val="00253F21"/>
    <w:rsid w:val="0025429D"/>
    <w:rsid w:val="0025436D"/>
    <w:rsid w:val="0025462B"/>
    <w:rsid w:val="0025486F"/>
    <w:rsid w:val="002549E9"/>
    <w:rsid w:val="00254FF6"/>
    <w:rsid w:val="00255099"/>
    <w:rsid w:val="00255221"/>
    <w:rsid w:val="002555C6"/>
    <w:rsid w:val="00255E14"/>
    <w:rsid w:val="00255FF9"/>
    <w:rsid w:val="00256225"/>
    <w:rsid w:val="00256292"/>
    <w:rsid w:val="00257059"/>
    <w:rsid w:val="0025712F"/>
    <w:rsid w:val="002571C5"/>
    <w:rsid w:val="00257395"/>
    <w:rsid w:val="00257550"/>
    <w:rsid w:val="00257857"/>
    <w:rsid w:val="002578DA"/>
    <w:rsid w:val="00257CBC"/>
    <w:rsid w:val="00257F0F"/>
    <w:rsid w:val="002602C2"/>
    <w:rsid w:val="002602DA"/>
    <w:rsid w:val="0026040B"/>
    <w:rsid w:val="002604F2"/>
    <w:rsid w:val="00260802"/>
    <w:rsid w:val="002609E3"/>
    <w:rsid w:val="00260C18"/>
    <w:rsid w:val="00261223"/>
    <w:rsid w:val="002617AB"/>
    <w:rsid w:val="00261D08"/>
    <w:rsid w:val="00261DA3"/>
    <w:rsid w:val="00261DCC"/>
    <w:rsid w:val="00262121"/>
    <w:rsid w:val="00262160"/>
    <w:rsid w:val="002624D0"/>
    <w:rsid w:val="00262F9F"/>
    <w:rsid w:val="0026338A"/>
    <w:rsid w:val="00263EC7"/>
    <w:rsid w:val="002647F7"/>
    <w:rsid w:val="002648E7"/>
    <w:rsid w:val="0026491B"/>
    <w:rsid w:val="00264A36"/>
    <w:rsid w:val="00264AE4"/>
    <w:rsid w:val="00264B06"/>
    <w:rsid w:val="00264C1B"/>
    <w:rsid w:val="00264E10"/>
    <w:rsid w:val="00265D10"/>
    <w:rsid w:val="00265E2E"/>
    <w:rsid w:val="002661AB"/>
    <w:rsid w:val="0026742B"/>
    <w:rsid w:val="002674FE"/>
    <w:rsid w:val="0026782E"/>
    <w:rsid w:val="00267E59"/>
    <w:rsid w:val="002702F6"/>
    <w:rsid w:val="00270310"/>
    <w:rsid w:val="00270748"/>
    <w:rsid w:val="002708B7"/>
    <w:rsid w:val="00270CAB"/>
    <w:rsid w:val="0027117F"/>
    <w:rsid w:val="002712B2"/>
    <w:rsid w:val="002712DC"/>
    <w:rsid w:val="00271875"/>
    <w:rsid w:val="002718FF"/>
    <w:rsid w:val="00271955"/>
    <w:rsid w:val="00271C68"/>
    <w:rsid w:val="00272278"/>
    <w:rsid w:val="00272432"/>
    <w:rsid w:val="00272633"/>
    <w:rsid w:val="00272D2C"/>
    <w:rsid w:val="00272E48"/>
    <w:rsid w:val="00272FBF"/>
    <w:rsid w:val="0027352A"/>
    <w:rsid w:val="002739B5"/>
    <w:rsid w:val="00273A10"/>
    <w:rsid w:val="00273A58"/>
    <w:rsid w:val="002744BD"/>
    <w:rsid w:val="00274513"/>
    <w:rsid w:val="00274638"/>
    <w:rsid w:val="00274CAB"/>
    <w:rsid w:val="00274E8A"/>
    <w:rsid w:val="00275A53"/>
    <w:rsid w:val="00275FCE"/>
    <w:rsid w:val="002766B8"/>
    <w:rsid w:val="0027680F"/>
    <w:rsid w:val="00276DEF"/>
    <w:rsid w:val="0027708D"/>
    <w:rsid w:val="002777C0"/>
    <w:rsid w:val="0028044D"/>
    <w:rsid w:val="002804F1"/>
    <w:rsid w:val="00281006"/>
    <w:rsid w:val="002815B1"/>
    <w:rsid w:val="00281893"/>
    <w:rsid w:val="00281C1F"/>
    <w:rsid w:val="00281EEA"/>
    <w:rsid w:val="00281F88"/>
    <w:rsid w:val="0028288D"/>
    <w:rsid w:val="002829B7"/>
    <w:rsid w:val="00282B82"/>
    <w:rsid w:val="00282C74"/>
    <w:rsid w:val="00282E5B"/>
    <w:rsid w:val="002831D0"/>
    <w:rsid w:val="002834D5"/>
    <w:rsid w:val="00283995"/>
    <w:rsid w:val="00283B11"/>
    <w:rsid w:val="002841A9"/>
    <w:rsid w:val="00284313"/>
    <w:rsid w:val="00284554"/>
    <w:rsid w:val="00284759"/>
    <w:rsid w:val="002848AD"/>
    <w:rsid w:val="002849C2"/>
    <w:rsid w:val="00284DE4"/>
    <w:rsid w:val="00285154"/>
    <w:rsid w:val="00285BF2"/>
    <w:rsid w:val="00285C78"/>
    <w:rsid w:val="00285DF8"/>
    <w:rsid w:val="00285E54"/>
    <w:rsid w:val="0028619E"/>
    <w:rsid w:val="00286238"/>
    <w:rsid w:val="0028625F"/>
    <w:rsid w:val="002863CE"/>
    <w:rsid w:val="0028781A"/>
    <w:rsid w:val="00287B7E"/>
    <w:rsid w:val="00287BF8"/>
    <w:rsid w:val="00287E20"/>
    <w:rsid w:val="002900EB"/>
    <w:rsid w:val="002902D6"/>
    <w:rsid w:val="00290B8A"/>
    <w:rsid w:val="00290DF5"/>
    <w:rsid w:val="0029110F"/>
    <w:rsid w:val="00291492"/>
    <w:rsid w:val="00291527"/>
    <w:rsid w:val="0029199A"/>
    <w:rsid w:val="00291BBE"/>
    <w:rsid w:val="00291FEB"/>
    <w:rsid w:val="00292B17"/>
    <w:rsid w:val="00292CFB"/>
    <w:rsid w:val="00293146"/>
    <w:rsid w:val="0029361E"/>
    <w:rsid w:val="002939F4"/>
    <w:rsid w:val="00293D68"/>
    <w:rsid w:val="0029408A"/>
    <w:rsid w:val="00294352"/>
    <w:rsid w:val="002944A0"/>
    <w:rsid w:val="002946E4"/>
    <w:rsid w:val="0029487F"/>
    <w:rsid w:val="0029495C"/>
    <w:rsid w:val="002957D9"/>
    <w:rsid w:val="00295B52"/>
    <w:rsid w:val="00295B96"/>
    <w:rsid w:val="00296024"/>
    <w:rsid w:val="00296293"/>
    <w:rsid w:val="00296AF7"/>
    <w:rsid w:val="00297047"/>
    <w:rsid w:val="002972F9"/>
    <w:rsid w:val="00297612"/>
    <w:rsid w:val="002977CA"/>
    <w:rsid w:val="00297837"/>
    <w:rsid w:val="00297ED7"/>
    <w:rsid w:val="002A0007"/>
    <w:rsid w:val="002A03AA"/>
    <w:rsid w:val="002A056D"/>
    <w:rsid w:val="002A07FE"/>
    <w:rsid w:val="002A094D"/>
    <w:rsid w:val="002A0C7D"/>
    <w:rsid w:val="002A0CAF"/>
    <w:rsid w:val="002A0DDB"/>
    <w:rsid w:val="002A1565"/>
    <w:rsid w:val="002A16A9"/>
    <w:rsid w:val="002A175E"/>
    <w:rsid w:val="002A1F96"/>
    <w:rsid w:val="002A2941"/>
    <w:rsid w:val="002A2DC4"/>
    <w:rsid w:val="002A33DB"/>
    <w:rsid w:val="002A399B"/>
    <w:rsid w:val="002A3B11"/>
    <w:rsid w:val="002A3BB9"/>
    <w:rsid w:val="002A3E69"/>
    <w:rsid w:val="002A44F9"/>
    <w:rsid w:val="002A493F"/>
    <w:rsid w:val="002A49EF"/>
    <w:rsid w:val="002A4B8B"/>
    <w:rsid w:val="002A5107"/>
    <w:rsid w:val="002A5193"/>
    <w:rsid w:val="002A535E"/>
    <w:rsid w:val="002A5DBD"/>
    <w:rsid w:val="002A6406"/>
    <w:rsid w:val="002A6432"/>
    <w:rsid w:val="002A6CF0"/>
    <w:rsid w:val="002A6FFC"/>
    <w:rsid w:val="002A7010"/>
    <w:rsid w:val="002A70BA"/>
    <w:rsid w:val="002A724C"/>
    <w:rsid w:val="002A750E"/>
    <w:rsid w:val="002A7A57"/>
    <w:rsid w:val="002A7BB2"/>
    <w:rsid w:val="002A7BFB"/>
    <w:rsid w:val="002A7DCB"/>
    <w:rsid w:val="002B0685"/>
    <w:rsid w:val="002B0B53"/>
    <w:rsid w:val="002B124F"/>
    <w:rsid w:val="002B1617"/>
    <w:rsid w:val="002B1A90"/>
    <w:rsid w:val="002B1B4F"/>
    <w:rsid w:val="002B1D11"/>
    <w:rsid w:val="002B1E8B"/>
    <w:rsid w:val="002B273B"/>
    <w:rsid w:val="002B29AA"/>
    <w:rsid w:val="002B2A7E"/>
    <w:rsid w:val="002B2D11"/>
    <w:rsid w:val="002B2D75"/>
    <w:rsid w:val="002B2F1B"/>
    <w:rsid w:val="002B3332"/>
    <w:rsid w:val="002B34C7"/>
    <w:rsid w:val="002B3C2C"/>
    <w:rsid w:val="002B45CA"/>
    <w:rsid w:val="002B4B18"/>
    <w:rsid w:val="002B4DCA"/>
    <w:rsid w:val="002B5269"/>
    <w:rsid w:val="002B5AFB"/>
    <w:rsid w:val="002B6254"/>
    <w:rsid w:val="002B6320"/>
    <w:rsid w:val="002B6499"/>
    <w:rsid w:val="002B66AC"/>
    <w:rsid w:val="002B6852"/>
    <w:rsid w:val="002B691B"/>
    <w:rsid w:val="002B6BED"/>
    <w:rsid w:val="002B6D39"/>
    <w:rsid w:val="002B6D81"/>
    <w:rsid w:val="002B6DC8"/>
    <w:rsid w:val="002B720D"/>
    <w:rsid w:val="002B76E3"/>
    <w:rsid w:val="002B77E1"/>
    <w:rsid w:val="002C0325"/>
    <w:rsid w:val="002C0656"/>
    <w:rsid w:val="002C0714"/>
    <w:rsid w:val="002C08AA"/>
    <w:rsid w:val="002C0A79"/>
    <w:rsid w:val="002C0A96"/>
    <w:rsid w:val="002C1422"/>
    <w:rsid w:val="002C152B"/>
    <w:rsid w:val="002C1697"/>
    <w:rsid w:val="002C1BF4"/>
    <w:rsid w:val="002C1E0D"/>
    <w:rsid w:val="002C2266"/>
    <w:rsid w:val="002C2356"/>
    <w:rsid w:val="002C2752"/>
    <w:rsid w:val="002C28EB"/>
    <w:rsid w:val="002C316C"/>
    <w:rsid w:val="002C322C"/>
    <w:rsid w:val="002C3265"/>
    <w:rsid w:val="002C39E8"/>
    <w:rsid w:val="002C3AED"/>
    <w:rsid w:val="002C3E56"/>
    <w:rsid w:val="002C3E8A"/>
    <w:rsid w:val="002C414C"/>
    <w:rsid w:val="002C4692"/>
    <w:rsid w:val="002C49F8"/>
    <w:rsid w:val="002C4B49"/>
    <w:rsid w:val="002C4C2F"/>
    <w:rsid w:val="002C5522"/>
    <w:rsid w:val="002C5776"/>
    <w:rsid w:val="002C5EED"/>
    <w:rsid w:val="002C66DE"/>
    <w:rsid w:val="002C6CA4"/>
    <w:rsid w:val="002C7193"/>
    <w:rsid w:val="002C7699"/>
    <w:rsid w:val="002C7A49"/>
    <w:rsid w:val="002D0128"/>
    <w:rsid w:val="002D0638"/>
    <w:rsid w:val="002D0B52"/>
    <w:rsid w:val="002D0E85"/>
    <w:rsid w:val="002D0FA7"/>
    <w:rsid w:val="002D12FB"/>
    <w:rsid w:val="002D13AA"/>
    <w:rsid w:val="002D147F"/>
    <w:rsid w:val="002D19D1"/>
    <w:rsid w:val="002D1F35"/>
    <w:rsid w:val="002D1FA3"/>
    <w:rsid w:val="002D20CD"/>
    <w:rsid w:val="002D23C6"/>
    <w:rsid w:val="002D24F0"/>
    <w:rsid w:val="002D25EB"/>
    <w:rsid w:val="002D2992"/>
    <w:rsid w:val="002D29F3"/>
    <w:rsid w:val="002D2DC5"/>
    <w:rsid w:val="002D3126"/>
    <w:rsid w:val="002D3381"/>
    <w:rsid w:val="002D3427"/>
    <w:rsid w:val="002D3529"/>
    <w:rsid w:val="002D3A96"/>
    <w:rsid w:val="002D3AE7"/>
    <w:rsid w:val="002D3D0A"/>
    <w:rsid w:val="002D3EF0"/>
    <w:rsid w:val="002D478E"/>
    <w:rsid w:val="002D47AE"/>
    <w:rsid w:val="002D4A94"/>
    <w:rsid w:val="002D4C7C"/>
    <w:rsid w:val="002D59C6"/>
    <w:rsid w:val="002D5D5C"/>
    <w:rsid w:val="002D6216"/>
    <w:rsid w:val="002D65FF"/>
    <w:rsid w:val="002D6925"/>
    <w:rsid w:val="002D6D10"/>
    <w:rsid w:val="002D71E2"/>
    <w:rsid w:val="002D77F4"/>
    <w:rsid w:val="002D7B6A"/>
    <w:rsid w:val="002E0026"/>
    <w:rsid w:val="002E047F"/>
    <w:rsid w:val="002E06D1"/>
    <w:rsid w:val="002E08E8"/>
    <w:rsid w:val="002E0918"/>
    <w:rsid w:val="002E0BAA"/>
    <w:rsid w:val="002E0C70"/>
    <w:rsid w:val="002E0D96"/>
    <w:rsid w:val="002E0EA5"/>
    <w:rsid w:val="002E0F1C"/>
    <w:rsid w:val="002E1BCE"/>
    <w:rsid w:val="002E1DD4"/>
    <w:rsid w:val="002E1E19"/>
    <w:rsid w:val="002E1FAC"/>
    <w:rsid w:val="002E283F"/>
    <w:rsid w:val="002E2854"/>
    <w:rsid w:val="002E2DC2"/>
    <w:rsid w:val="002E2E69"/>
    <w:rsid w:val="002E2E74"/>
    <w:rsid w:val="002E32D2"/>
    <w:rsid w:val="002E331E"/>
    <w:rsid w:val="002E361B"/>
    <w:rsid w:val="002E37AB"/>
    <w:rsid w:val="002E3A80"/>
    <w:rsid w:val="002E3B13"/>
    <w:rsid w:val="002E3ECB"/>
    <w:rsid w:val="002E3FB9"/>
    <w:rsid w:val="002E41C7"/>
    <w:rsid w:val="002E51DF"/>
    <w:rsid w:val="002E5455"/>
    <w:rsid w:val="002E57B9"/>
    <w:rsid w:val="002E6127"/>
    <w:rsid w:val="002E6885"/>
    <w:rsid w:val="002E698A"/>
    <w:rsid w:val="002E70EA"/>
    <w:rsid w:val="002E72E4"/>
    <w:rsid w:val="002E739D"/>
    <w:rsid w:val="002E7731"/>
    <w:rsid w:val="002E7D4B"/>
    <w:rsid w:val="002F0F36"/>
    <w:rsid w:val="002F0F9A"/>
    <w:rsid w:val="002F1276"/>
    <w:rsid w:val="002F175B"/>
    <w:rsid w:val="002F1986"/>
    <w:rsid w:val="002F1E5F"/>
    <w:rsid w:val="002F224E"/>
    <w:rsid w:val="002F253C"/>
    <w:rsid w:val="002F2A49"/>
    <w:rsid w:val="002F3275"/>
    <w:rsid w:val="002F3550"/>
    <w:rsid w:val="002F3A4F"/>
    <w:rsid w:val="002F3B63"/>
    <w:rsid w:val="002F3C56"/>
    <w:rsid w:val="002F3D4D"/>
    <w:rsid w:val="002F4390"/>
    <w:rsid w:val="002F46B0"/>
    <w:rsid w:val="002F4A4C"/>
    <w:rsid w:val="002F4B17"/>
    <w:rsid w:val="002F5150"/>
    <w:rsid w:val="002F5255"/>
    <w:rsid w:val="002F5463"/>
    <w:rsid w:val="002F58C2"/>
    <w:rsid w:val="002F5932"/>
    <w:rsid w:val="002F5C85"/>
    <w:rsid w:val="002F603B"/>
    <w:rsid w:val="002F6201"/>
    <w:rsid w:val="002F6493"/>
    <w:rsid w:val="002F669F"/>
    <w:rsid w:val="002F724B"/>
    <w:rsid w:val="002F72BA"/>
    <w:rsid w:val="002F7383"/>
    <w:rsid w:val="00300196"/>
    <w:rsid w:val="00300267"/>
    <w:rsid w:val="003004D2"/>
    <w:rsid w:val="00300543"/>
    <w:rsid w:val="00300B0E"/>
    <w:rsid w:val="00300C4B"/>
    <w:rsid w:val="00300D6B"/>
    <w:rsid w:val="00301380"/>
    <w:rsid w:val="00301E89"/>
    <w:rsid w:val="00302052"/>
    <w:rsid w:val="003020C2"/>
    <w:rsid w:val="00302142"/>
    <w:rsid w:val="00302169"/>
    <w:rsid w:val="00302612"/>
    <w:rsid w:val="0030268B"/>
    <w:rsid w:val="003028A4"/>
    <w:rsid w:val="00302B7D"/>
    <w:rsid w:val="00302F7D"/>
    <w:rsid w:val="0030305F"/>
    <w:rsid w:val="00303093"/>
    <w:rsid w:val="00303254"/>
    <w:rsid w:val="003032D8"/>
    <w:rsid w:val="003033FA"/>
    <w:rsid w:val="00303A0D"/>
    <w:rsid w:val="00303D2F"/>
    <w:rsid w:val="00304052"/>
    <w:rsid w:val="003044D9"/>
    <w:rsid w:val="003049D2"/>
    <w:rsid w:val="00304C15"/>
    <w:rsid w:val="00304D8A"/>
    <w:rsid w:val="00304FB7"/>
    <w:rsid w:val="00305216"/>
    <w:rsid w:val="0030555B"/>
    <w:rsid w:val="00305B7A"/>
    <w:rsid w:val="003061F5"/>
    <w:rsid w:val="0030628F"/>
    <w:rsid w:val="0030694D"/>
    <w:rsid w:val="00306A49"/>
    <w:rsid w:val="00306D27"/>
    <w:rsid w:val="00307117"/>
    <w:rsid w:val="0030722F"/>
    <w:rsid w:val="0030739C"/>
    <w:rsid w:val="0030766B"/>
    <w:rsid w:val="00307A2C"/>
    <w:rsid w:val="00310229"/>
    <w:rsid w:val="00310446"/>
    <w:rsid w:val="00310D51"/>
    <w:rsid w:val="003113C7"/>
    <w:rsid w:val="00311B36"/>
    <w:rsid w:val="00311C92"/>
    <w:rsid w:val="003126C1"/>
    <w:rsid w:val="00312BF9"/>
    <w:rsid w:val="00313321"/>
    <w:rsid w:val="003133AE"/>
    <w:rsid w:val="0031371B"/>
    <w:rsid w:val="00314156"/>
    <w:rsid w:val="00314CF8"/>
    <w:rsid w:val="00314FAF"/>
    <w:rsid w:val="0031535B"/>
    <w:rsid w:val="003154DD"/>
    <w:rsid w:val="00315FEA"/>
    <w:rsid w:val="003168BE"/>
    <w:rsid w:val="00316EC4"/>
    <w:rsid w:val="00316F76"/>
    <w:rsid w:val="003170F4"/>
    <w:rsid w:val="0031738F"/>
    <w:rsid w:val="003176EA"/>
    <w:rsid w:val="00317974"/>
    <w:rsid w:val="0032035D"/>
    <w:rsid w:val="003205E9"/>
    <w:rsid w:val="0032067C"/>
    <w:rsid w:val="00320A73"/>
    <w:rsid w:val="00320B28"/>
    <w:rsid w:val="00320C31"/>
    <w:rsid w:val="00320CB9"/>
    <w:rsid w:val="0032123E"/>
    <w:rsid w:val="00321311"/>
    <w:rsid w:val="003216D5"/>
    <w:rsid w:val="003216FF"/>
    <w:rsid w:val="00321866"/>
    <w:rsid w:val="00321A83"/>
    <w:rsid w:val="00321C1A"/>
    <w:rsid w:val="00321F6B"/>
    <w:rsid w:val="00322179"/>
    <w:rsid w:val="00322389"/>
    <w:rsid w:val="003223CA"/>
    <w:rsid w:val="00322BE5"/>
    <w:rsid w:val="00322E87"/>
    <w:rsid w:val="003230DD"/>
    <w:rsid w:val="0032312D"/>
    <w:rsid w:val="00323466"/>
    <w:rsid w:val="003234ED"/>
    <w:rsid w:val="00323AA5"/>
    <w:rsid w:val="00323F73"/>
    <w:rsid w:val="00324249"/>
    <w:rsid w:val="003242E4"/>
    <w:rsid w:val="00324525"/>
    <w:rsid w:val="0032468D"/>
    <w:rsid w:val="00324926"/>
    <w:rsid w:val="00324B25"/>
    <w:rsid w:val="00324BA4"/>
    <w:rsid w:val="00325005"/>
    <w:rsid w:val="0032522F"/>
    <w:rsid w:val="003253C4"/>
    <w:rsid w:val="0032550F"/>
    <w:rsid w:val="00325992"/>
    <w:rsid w:val="00325B74"/>
    <w:rsid w:val="0032626F"/>
    <w:rsid w:val="0032638F"/>
    <w:rsid w:val="00326B59"/>
    <w:rsid w:val="00326BD4"/>
    <w:rsid w:val="00326E49"/>
    <w:rsid w:val="003272C6"/>
    <w:rsid w:val="00327752"/>
    <w:rsid w:val="00327C7C"/>
    <w:rsid w:val="00327CE3"/>
    <w:rsid w:val="00327E25"/>
    <w:rsid w:val="00330009"/>
    <w:rsid w:val="003301E6"/>
    <w:rsid w:val="00330710"/>
    <w:rsid w:val="0033085E"/>
    <w:rsid w:val="00330FA2"/>
    <w:rsid w:val="003310AB"/>
    <w:rsid w:val="0033119E"/>
    <w:rsid w:val="003314D2"/>
    <w:rsid w:val="003315A9"/>
    <w:rsid w:val="00331712"/>
    <w:rsid w:val="00331A3F"/>
    <w:rsid w:val="00332191"/>
    <w:rsid w:val="003323DC"/>
    <w:rsid w:val="003325E0"/>
    <w:rsid w:val="00332720"/>
    <w:rsid w:val="00332D8B"/>
    <w:rsid w:val="00332EED"/>
    <w:rsid w:val="00332F1F"/>
    <w:rsid w:val="00332FB1"/>
    <w:rsid w:val="00332FF3"/>
    <w:rsid w:val="003333AB"/>
    <w:rsid w:val="003333AD"/>
    <w:rsid w:val="003334A7"/>
    <w:rsid w:val="003337E8"/>
    <w:rsid w:val="00333A14"/>
    <w:rsid w:val="00333B2A"/>
    <w:rsid w:val="00333FD5"/>
    <w:rsid w:val="003340CB"/>
    <w:rsid w:val="0033430D"/>
    <w:rsid w:val="003345B8"/>
    <w:rsid w:val="003350E9"/>
    <w:rsid w:val="003351BA"/>
    <w:rsid w:val="0033520F"/>
    <w:rsid w:val="003358A3"/>
    <w:rsid w:val="0033596B"/>
    <w:rsid w:val="00335A93"/>
    <w:rsid w:val="00336070"/>
    <w:rsid w:val="0033650E"/>
    <w:rsid w:val="00336907"/>
    <w:rsid w:val="003369DF"/>
    <w:rsid w:val="00336AD1"/>
    <w:rsid w:val="00336B95"/>
    <w:rsid w:val="00336C71"/>
    <w:rsid w:val="00336D96"/>
    <w:rsid w:val="00336DFC"/>
    <w:rsid w:val="00337230"/>
    <w:rsid w:val="003377D0"/>
    <w:rsid w:val="00337A3F"/>
    <w:rsid w:val="00337D75"/>
    <w:rsid w:val="00340020"/>
    <w:rsid w:val="003404E2"/>
    <w:rsid w:val="00340AFD"/>
    <w:rsid w:val="00341162"/>
    <w:rsid w:val="00341360"/>
    <w:rsid w:val="00341866"/>
    <w:rsid w:val="00341DAF"/>
    <w:rsid w:val="00342181"/>
    <w:rsid w:val="0034268A"/>
    <w:rsid w:val="0034288F"/>
    <w:rsid w:val="003428B4"/>
    <w:rsid w:val="00342B37"/>
    <w:rsid w:val="00343560"/>
    <w:rsid w:val="00343A20"/>
    <w:rsid w:val="0034402B"/>
    <w:rsid w:val="0034449E"/>
    <w:rsid w:val="0034472A"/>
    <w:rsid w:val="003447B2"/>
    <w:rsid w:val="00344D46"/>
    <w:rsid w:val="003451F0"/>
    <w:rsid w:val="003461CB"/>
    <w:rsid w:val="003465A5"/>
    <w:rsid w:val="00346817"/>
    <w:rsid w:val="00346F1B"/>
    <w:rsid w:val="003470A1"/>
    <w:rsid w:val="00347440"/>
    <w:rsid w:val="003475EA"/>
    <w:rsid w:val="00347A27"/>
    <w:rsid w:val="00347BC0"/>
    <w:rsid w:val="00347CD4"/>
    <w:rsid w:val="00347E2E"/>
    <w:rsid w:val="0035033D"/>
    <w:rsid w:val="00350375"/>
    <w:rsid w:val="00350A55"/>
    <w:rsid w:val="00350DF8"/>
    <w:rsid w:val="00351386"/>
    <w:rsid w:val="00351708"/>
    <w:rsid w:val="00351A8A"/>
    <w:rsid w:val="003522E8"/>
    <w:rsid w:val="0035266A"/>
    <w:rsid w:val="0035279C"/>
    <w:rsid w:val="003535D2"/>
    <w:rsid w:val="0035384D"/>
    <w:rsid w:val="00353C0B"/>
    <w:rsid w:val="0035450D"/>
    <w:rsid w:val="0035460D"/>
    <w:rsid w:val="00354AE4"/>
    <w:rsid w:val="00354B0A"/>
    <w:rsid w:val="00355264"/>
    <w:rsid w:val="00355445"/>
    <w:rsid w:val="0035551B"/>
    <w:rsid w:val="003555ED"/>
    <w:rsid w:val="00355911"/>
    <w:rsid w:val="00355BFC"/>
    <w:rsid w:val="00355F90"/>
    <w:rsid w:val="0035636B"/>
    <w:rsid w:val="00356433"/>
    <w:rsid w:val="00357424"/>
    <w:rsid w:val="00357B95"/>
    <w:rsid w:val="00357BE9"/>
    <w:rsid w:val="00357E83"/>
    <w:rsid w:val="00357F44"/>
    <w:rsid w:val="003601A2"/>
    <w:rsid w:val="003605DB"/>
    <w:rsid w:val="00360624"/>
    <w:rsid w:val="00360D9B"/>
    <w:rsid w:val="00360F79"/>
    <w:rsid w:val="00361327"/>
    <w:rsid w:val="00361789"/>
    <w:rsid w:val="0036196D"/>
    <w:rsid w:val="00361A59"/>
    <w:rsid w:val="00362136"/>
    <w:rsid w:val="0036268A"/>
    <w:rsid w:val="003627BD"/>
    <w:rsid w:val="00362997"/>
    <w:rsid w:val="00362C59"/>
    <w:rsid w:val="00362F94"/>
    <w:rsid w:val="00363040"/>
    <w:rsid w:val="003630B7"/>
    <w:rsid w:val="003630EE"/>
    <w:rsid w:val="00363786"/>
    <w:rsid w:val="003638A4"/>
    <w:rsid w:val="003639BF"/>
    <w:rsid w:val="00363E41"/>
    <w:rsid w:val="00363FD2"/>
    <w:rsid w:val="00364091"/>
    <w:rsid w:val="003641F6"/>
    <w:rsid w:val="0036447A"/>
    <w:rsid w:val="0036560B"/>
    <w:rsid w:val="0036572E"/>
    <w:rsid w:val="00366005"/>
    <w:rsid w:val="00366168"/>
    <w:rsid w:val="003663D9"/>
    <w:rsid w:val="003666BF"/>
    <w:rsid w:val="00366707"/>
    <w:rsid w:val="003668D4"/>
    <w:rsid w:val="00366BC3"/>
    <w:rsid w:val="00366FA9"/>
    <w:rsid w:val="0036713F"/>
    <w:rsid w:val="00367B19"/>
    <w:rsid w:val="00367DE3"/>
    <w:rsid w:val="00367E49"/>
    <w:rsid w:val="003700E6"/>
    <w:rsid w:val="0037017C"/>
    <w:rsid w:val="00370490"/>
    <w:rsid w:val="00370633"/>
    <w:rsid w:val="00371C86"/>
    <w:rsid w:val="0037229E"/>
    <w:rsid w:val="003722CE"/>
    <w:rsid w:val="0037236C"/>
    <w:rsid w:val="003729DE"/>
    <w:rsid w:val="003735D3"/>
    <w:rsid w:val="0037386D"/>
    <w:rsid w:val="00373956"/>
    <w:rsid w:val="003739A4"/>
    <w:rsid w:val="00374153"/>
    <w:rsid w:val="00374671"/>
    <w:rsid w:val="003750E0"/>
    <w:rsid w:val="00375AF1"/>
    <w:rsid w:val="00375C2F"/>
    <w:rsid w:val="00375FC5"/>
    <w:rsid w:val="00376281"/>
    <w:rsid w:val="003762F8"/>
    <w:rsid w:val="00376599"/>
    <w:rsid w:val="00376943"/>
    <w:rsid w:val="0037698E"/>
    <w:rsid w:val="003769BA"/>
    <w:rsid w:val="00377871"/>
    <w:rsid w:val="003778B2"/>
    <w:rsid w:val="00377D0E"/>
    <w:rsid w:val="00377E58"/>
    <w:rsid w:val="003804EE"/>
    <w:rsid w:val="003805E3"/>
    <w:rsid w:val="00380618"/>
    <w:rsid w:val="0038062E"/>
    <w:rsid w:val="003806D7"/>
    <w:rsid w:val="00380757"/>
    <w:rsid w:val="003807F7"/>
    <w:rsid w:val="00380F88"/>
    <w:rsid w:val="00381610"/>
    <w:rsid w:val="00382106"/>
    <w:rsid w:val="00382657"/>
    <w:rsid w:val="00382708"/>
    <w:rsid w:val="00382ADF"/>
    <w:rsid w:val="00382B82"/>
    <w:rsid w:val="00383050"/>
    <w:rsid w:val="00383399"/>
    <w:rsid w:val="003834CE"/>
    <w:rsid w:val="00383FFA"/>
    <w:rsid w:val="003844BF"/>
    <w:rsid w:val="00384E30"/>
    <w:rsid w:val="00384F87"/>
    <w:rsid w:val="003850F9"/>
    <w:rsid w:val="0038518F"/>
    <w:rsid w:val="003854D5"/>
    <w:rsid w:val="0038552A"/>
    <w:rsid w:val="003856F1"/>
    <w:rsid w:val="003859EA"/>
    <w:rsid w:val="00385B62"/>
    <w:rsid w:val="00386157"/>
    <w:rsid w:val="003862DC"/>
    <w:rsid w:val="00386649"/>
    <w:rsid w:val="0038709E"/>
    <w:rsid w:val="00387965"/>
    <w:rsid w:val="00387D30"/>
    <w:rsid w:val="00390B1E"/>
    <w:rsid w:val="00391753"/>
    <w:rsid w:val="00391C7F"/>
    <w:rsid w:val="00391EC3"/>
    <w:rsid w:val="00392454"/>
    <w:rsid w:val="003924A8"/>
    <w:rsid w:val="00392C85"/>
    <w:rsid w:val="00392D29"/>
    <w:rsid w:val="00392FD8"/>
    <w:rsid w:val="0039390C"/>
    <w:rsid w:val="00393E11"/>
    <w:rsid w:val="00394475"/>
    <w:rsid w:val="00394AE6"/>
    <w:rsid w:val="00394C70"/>
    <w:rsid w:val="00394FCC"/>
    <w:rsid w:val="0039517A"/>
    <w:rsid w:val="003958B9"/>
    <w:rsid w:val="00395B51"/>
    <w:rsid w:val="0039624D"/>
    <w:rsid w:val="003964DD"/>
    <w:rsid w:val="00396796"/>
    <w:rsid w:val="00396EC6"/>
    <w:rsid w:val="003970BA"/>
    <w:rsid w:val="0039746C"/>
    <w:rsid w:val="003978CA"/>
    <w:rsid w:val="00397DC6"/>
    <w:rsid w:val="003A0E82"/>
    <w:rsid w:val="003A0F54"/>
    <w:rsid w:val="003A0FAC"/>
    <w:rsid w:val="003A1584"/>
    <w:rsid w:val="003A184D"/>
    <w:rsid w:val="003A1959"/>
    <w:rsid w:val="003A1F3A"/>
    <w:rsid w:val="003A1F68"/>
    <w:rsid w:val="003A1FB7"/>
    <w:rsid w:val="003A228C"/>
    <w:rsid w:val="003A2EDC"/>
    <w:rsid w:val="003A313C"/>
    <w:rsid w:val="003A371E"/>
    <w:rsid w:val="003A3794"/>
    <w:rsid w:val="003A3957"/>
    <w:rsid w:val="003A3A9D"/>
    <w:rsid w:val="003A41DC"/>
    <w:rsid w:val="003A4316"/>
    <w:rsid w:val="003A4530"/>
    <w:rsid w:val="003A45C2"/>
    <w:rsid w:val="003A462A"/>
    <w:rsid w:val="003A47D9"/>
    <w:rsid w:val="003A580B"/>
    <w:rsid w:val="003A595F"/>
    <w:rsid w:val="003A5EEC"/>
    <w:rsid w:val="003A693E"/>
    <w:rsid w:val="003A6B7A"/>
    <w:rsid w:val="003A721D"/>
    <w:rsid w:val="003A79AE"/>
    <w:rsid w:val="003A7CA3"/>
    <w:rsid w:val="003B00B6"/>
    <w:rsid w:val="003B01C4"/>
    <w:rsid w:val="003B09D5"/>
    <w:rsid w:val="003B0BB0"/>
    <w:rsid w:val="003B0E8E"/>
    <w:rsid w:val="003B11EE"/>
    <w:rsid w:val="003B15F8"/>
    <w:rsid w:val="003B1B18"/>
    <w:rsid w:val="003B1B60"/>
    <w:rsid w:val="003B1D0E"/>
    <w:rsid w:val="003B20F5"/>
    <w:rsid w:val="003B230B"/>
    <w:rsid w:val="003B23BC"/>
    <w:rsid w:val="003B28BA"/>
    <w:rsid w:val="003B28F6"/>
    <w:rsid w:val="003B2DB5"/>
    <w:rsid w:val="003B2F05"/>
    <w:rsid w:val="003B3331"/>
    <w:rsid w:val="003B354B"/>
    <w:rsid w:val="003B3966"/>
    <w:rsid w:val="003B39B7"/>
    <w:rsid w:val="003B4754"/>
    <w:rsid w:val="003B4C10"/>
    <w:rsid w:val="003B4C78"/>
    <w:rsid w:val="003B4EB0"/>
    <w:rsid w:val="003B5094"/>
    <w:rsid w:val="003B51F2"/>
    <w:rsid w:val="003B5F6A"/>
    <w:rsid w:val="003B64C4"/>
    <w:rsid w:val="003B6B7F"/>
    <w:rsid w:val="003B6BFA"/>
    <w:rsid w:val="003B6C4B"/>
    <w:rsid w:val="003B6E93"/>
    <w:rsid w:val="003B7091"/>
    <w:rsid w:val="003B75DB"/>
    <w:rsid w:val="003B7820"/>
    <w:rsid w:val="003C01A4"/>
    <w:rsid w:val="003C0219"/>
    <w:rsid w:val="003C0C12"/>
    <w:rsid w:val="003C14D1"/>
    <w:rsid w:val="003C16EE"/>
    <w:rsid w:val="003C1B38"/>
    <w:rsid w:val="003C1C87"/>
    <w:rsid w:val="003C21DF"/>
    <w:rsid w:val="003C21EA"/>
    <w:rsid w:val="003C26B6"/>
    <w:rsid w:val="003C2C85"/>
    <w:rsid w:val="003C2F61"/>
    <w:rsid w:val="003C324E"/>
    <w:rsid w:val="003C345E"/>
    <w:rsid w:val="003C3DD8"/>
    <w:rsid w:val="003C4409"/>
    <w:rsid w:val="003C4725"/>
    <w:rsid w:val="003C4997"/>
    <w:rsid w:val="003C4B0B"/>
    <w:rsid w:val="003C4DA5"/>
    <w:rsid w:val="003C502A"/>
    <w:rsid w:val="003C5406"/>
    <w:rsid w:val="003C55EF"/>
    <w:rsid w:val="003C5666"/>
    <w:rsid w:val="003C60CC"/>
    <w:rsid w:val="003C63DB"/>
    <w:rsid w:val="003C64F4"/>
    <w:rsid w:val="003C6D4E"/>
    <w:rsid w:val="003C6FD1"/>
    <w:rsid w:val="003C724B"/>
    <w:rsid w:val="003C73DB"/>
    <w:rsid w:val="003D0185"/>
    <w:rsid w:val="003D01B2"/>
    <w:rsid w:val="003D02CB"/>
    <w:rsid w:val="003D0382"/>
    <w:rsid w:val="003D069C"/>
    <w:rsid w:val="003D0FA0"/>
    <w:rsid w:val="003D1315"/>
    <w:rsid w:val="003D18F6"/>
    <w:rsid w:val="003D191E"/>
    <w:rsid w:val="003D1A19"/>
    <w:rsid w:val="003D1A40"/>
    <w:rsid w:val="003D1DD4"/>
    <w:rsid w:val="003D1F99"/>
    <w:rsid w:val="003D2027"/>
    <w:rsid w:val="003D2253"/>
    <w:rsid w:val="003D22A5"/>
    <w:rsid w:val="003D23A4"/>
    <w:rsid w:val="003D2592"/>
    <w:rsid w:val="003D29A3"/>
    <w:rsid w:val="003D3414"/>
    <w:rsid w:val="003D3426"/>
    <w:rsid w:val="003D358F"/>
    <w:rsid w:val="003D3654"/>
    <w:rsid w:val="003D3721"/>
    <w:rsid w:val="003D413A"/>
    <w:rsid w:val="003D42B5"/>
    <w:rsid w:val="003D454F"/>
    <w:rsid w:val="003D4A86"/>
    <w:rsid w:val="003D4A9F"/>
    <w:rsid w:val="003D4B23"/>
    <w:rsid w:val="003D4C5D"/>
    <w:rsid w:val="003D5B38"/>
    <w:rsid w:val="003D5BB5"/>
    <w:rsid w:val="003D5C14"/>
    <w:rsid w:val="003D6287"/>
    <w:rsid w:val="003D643B"/>
    <w:rsid w:val="003D654B"/>
    <w:rsid w:val="003D6722"/>
    <w:rsid w:val="003D7428"/>
    <w:rsid w:val="003D77F2"/>
    <w:rsid w:val="003D78CC"/>
    <w:rsid w:val="003D7D01"/>
    <w:rsid w:val="003D7D25"/>
    <w:rsid w:val="003D7ED8"/>
    <w:rsid w:val="003E0003"/>
    <w:rsid w:val="003E0099"/>
    <w:rsid w:val="003E0237"/>
    <w:rsid w:val="003E08C7"/>
    <w:rsid w:val="003E1180"/>
    <w:rsid w:val="003E1427"/>
    <w:rsid w:val="003E1A72"/>
    <w:rsid w:val="003E1C35"/>
    <w:rsid w:val="003E1CF0"/>
    <w:rsid w:val="003E2582"/>
    <w:rsid w:val="003E2880"/>
    <w:rsid w:val="003E28FB"/>
    <w:rsid w:val="003E2A00"/>
    <w:rsid w:val="003E2C34"/>
    <w:rsid w:val="003E2CCD"/>
    <w:rsid w:val="003E2E2B"/>
    <w:rsid w:val="003E382C"/>
    <w:rsid w:val="003E3C08"/>
    <w:rsid w:val="003E3D00"/>
    <w:rsid w:val="003E4531"/>
    <w:rsid w:val="003E4771"/>
    <w:rsid w:val="003E4BBD"/>
    <w:rsid w:val="003E4D4C"/>
    <w:rsid w:val="003E54A8"/>
    <w:rsid w:val="003E5833"/>
    <w:rsid w:val="003E5A41"/>
    <w:rsid w:val="003E5DA8"/>
    <w:rsid w:val="003E60EC"/>
    <w:rsid w:val="003E6149"/>
    <w:rsid w:val="003E7109"/>
    <w:rsid w:val="003E74D7"/>
    <w:rsid w:val="003E75F8"/>
    <w:rsid w:val="003E77DC"/>
    <w:rsid w:val="003E7BC1"/>
    <w:rsid w:val="003F0045"/>
    <w:rsid w:val="003F0453"/>
    <w:rsid w:val="003F0C9F"/>
    <w:rsid w:val="003F144A"/>
    <w:rsid w:val="003F15D8"/>
    <w:rsid w:val="003F18FB"/>
    <w:rsid w:val="003F1B02"/>
    <w:rsid w:val="003F1EFE"/>
    <w:rsid w:val="003F2240"/>
    <w:rsid w:val="003F2460"/>
    <w:rsid w:val="003F2E7B"/>
    <w:rsid w:val="003F3172"/>
    <w:rsid w:val="003F3467"/>
    <w:rsid w:val="003F35F4"/>
    <w:rsid w:val="003F392E"/>
    <w:rsid w:val="003F39C5"/>
    <w:rsid w:val="003F3CD5"/>
    <w:rsid w:val="003F3D16"/>
    <w:rsid w:val="003F4033"/>
    <w:rsid w:val="003F4473"/>
    <w:rsid w:val="003F449F"/>
    <w:rsid w:val="003F4953"/>
    <w:rsid w:val="003F4B02"/>
    <w:rsid w:val="003F4CF5"/>
    <w:rsid w:val="003F4E31"/>
    <w:rsid w:val="003F51EE"/>
    <w:rsid w:val="003F5248"/>
    <w:rsid w:val="003F574E"/>
    <w:rsid w:val="003F6079"/>
    <w:rsid w:val="003F60D6"/>
    <w:rsid w:val="003F6428"/>
    <w:rsid w:val="003F68E9"/>
    <w:rsid w:val="003F728C"/>
    <w:rsid w:val="003F77C5"/>
    <w:rsid w:val="003F7E15"/>
    <w:rsid w:val="003F7FDA"/>
    <w:rsid w:val="004000F4"/>
    <w:rsid w:val="00400E65"/>
    <w:rsid w:val="00401282"/>
    <w:rsid w:val="00401296"/>
    <w:rsid w:val="004013AD"/>
    <w:rsid w:val="00401E20"/>
    <w:rsid w:val="004021C0"/>
    <w:rsid w:val="004024F9"/>
    <w:rsid w:val="004028CE"/>
    <w:rsid w:val="00402A12"/>
    <w:rsid w:val="00402F22"/>
    <w:rsid w:val="0040313D"/>
    <w:rsid w:val="0040360E"/>
    <w:rsid w:val="00403CBD"/>
    <w:rsid w:val="004043FA"/>
    <w:rsid w:val="0040480F"/>
    <w:rsid w:val="00404970"/>
    <w:rsid w:val="00405181"/>
    <w:rsid w:val="0040567F"/>
    <w:rsid w:val="00405873"/>
    <w:rsid w:val="00405969"/>
    <w:rsid w:val="00405F09"/>
    <w:rsid w:val="00405F3A"/>
    <w:rsid w:val="004066F4"/>
    <w:rsid w:val="00406A32"/>
    <w:rsid w:val="0040760B"/>
    <w:rsid w:val="00410117"/>
    <w:rsid w:val="00410C32"/>
    <w:rsid w:val="00411237"/>
    <w:rsid w:val="004113D2"/>
    <w:rsid w:val="00411557"/>
    <w:rsid w:val="00411994"/>
    <w:rsid w:val="00411B64"/>
    <w:rsid w:val="00411D03"/>
    <w:rsid w:val="00411D74"/>
    <w:rsid w:val="00411D8F"/>
    <w:rsid w:val="00411DDE"/>
    <w:rsid w:val="00411F84"/>
    <w:rsid w:val="00412069"/>
    <w:rsid w:val="004121A1"/>
    <w:rsid w:val="004122D1"/>
    <w:rsid w:val="00412477"/>
    <w:rsid w:val="0041256D"/>
    <w:rsid w:val="00412570"/>
    <w:rsid w:val="004125B0"/>
    <w:rsid w:val="004127A2"/>
    <w:rsid w:val="0041280A"/>
    <w:rsid w:val="004128A7"/>
    <w:rsid w:val="00412A9D"/>
    <w:rsid w:val="00412CB1"/>
    <w:rsid w:val="00412EF3"/>
    <w:rsid w:val="004133A5"/>
    <w:rsid w:val="004134A6"/>
    <w:rsid w:val="00413D45"/>
    <w:rsid w:val="00414197"/>
    <w:rsid w:val="004144D7"/>
    <w:rsid w:val="00414BB4"/>
    <w:rsid w:val="00414D68"/>
    <w:rsid w:val="00414E21"/>
    <w:rsid w:val="00414FD9"/>
    <w:rsid w:val="00415773"/>
    <w:rsid w:val="00415C4F"/>
    <w:rsid w:val="00415CAE"/>
    <w:rsid w:val="00415EE7"/>
    <w:rsid w:val="004160FA"/>
    <w:rsid w:val="0041626B"/>
    <w:rsid w:val="0041669E"/>
    <w:rsid w:val="00416ACA"/>
    <w:rsid w:val="00416C56"/>
    <w:rsid w:val="00416D7F"/>
    <w:rsid w:val="00416F06"/>
    <w:rsid w:val="0041709D"/>
    <w:rsid w:val="00417294"/>
    <w:rsid w:val="004176B8"/>
    <w:rsid w:val="00417B99"/>
    <w:rsid w:val="00417CE0"/>
    <w:rsid w:val="00417E0E"/>
    <w:rsid w:val="004209D5"/>
    <w:rsid w:val="00420C2D"/>
    <w:rsid w:val="00420FAF"/>
    <w:rsid w:val="00421184"/>
    <w:rsid w:val="004212C1"/>
    <w:rsid w:val="004214B7"/>
    <w:rsid w:val="00421510"/>
    <w:rsid w:val="00421B04"/>
    <w:rsid w:val="00421C84"/>
    <w:rsid w:val="00421FB5"/>
    <w:rsid w:val="00422115"/>
    <w:rsid w:val="004226ED"/>
    <w:rsid w:val="004228EA"/>
    <w:rsid w:val="00422AF4"/>
    <w:rsid w:val="004235F4"/>
    <w:rsid w:val="004236C9"/>
    <w:rsid w:val="00423CF3"/>
    <w:rsid w:val="00423E18"/>
    <w:rsid w:val="00423F4D"/>
    <w:rsid w:val="004245E4"/>
    <w:rsid w:val="00424B7C"/>
    <w:rsid w:val="0042500C"/>
    <w:rsid w:val="00425514"/>
    <w:rsid w:val="004256BD"/>
    <w:rsid w:val="00425863"/>
    <w:rsid w:val="00425B05"/>
    <w:rsid w:val="00425D02"/>
    <w:rsid w:val="00425EDC"/>
    <w:rsid w:val="00426C3E"/>
    <w:rsid w:val="00426F98"/>
    <w:rsid w:val="004275CD"/>
    <w:rsid w:val="00427E74"/>
    <w:rsid w:val="00427F6C"/>
    <w:rsid w:val="00427FEB"/>
    <w:rsid w:val="00427FF2"/>
    <w:rsid w:val="004305C0"/>
    <w:rsid w:val="00430ADA"/>
    <w:rsid w:val="00430B20"/>
    <w:rsid w:val="00430B6C"/>
    <w:rsid w:val="00431DE0"/>
    <w:rsid w:val="00431F6F"/>
    <w:rsid w:val="0043227C"/>
    <w:rsid w:val="00432E85"/>
    <w:rsid w:val="00433580"/>
    <w:rsid w:val="004335C0"/>
    <w:rsid w:val="00434193"/>
    <w:rsid w:val="004345E1"/>
    <w:rsid w:val="00434A64"/>
    <w:rsid w:val="00435121"/>
    <w:rsid w:val="00435715"/>
    <w:rsid w:val="0043571B"/>
    <w:rsid w:val="00435EE0"/>
    <w:rsid w:val="00435F29"/>
    <w:rsid w:val="0043610C"/>
    <w:rsid w:val="0043637A"/>
    <w:rsid w:val="004366FF"/>
    <w:rsid w:val="00436918"/>
    <w:rsid w:val="004375A9"/>
    <w:rsid w:val="00437D83"/>
    <w:rsid w:val="0044014D"/>
    <w:rsid w:val="004401DD"/>
    <w:rsid w:val="00440344"/>
    <w:rsid w:val="00441264"/>
    <w:rsid w:val="00441A6E"/>
    <w:rsid w:val="00441B0F"/>
    <w:rsid w:val="0044208D"/>
    <w:rsid w:val="004425C6"/>
    <w:rsid w:val="0044275F"/>
    <w:rsid w:val="00442A34"/>
    <w:rsid w:val="0044373E"/>
    <w:rsid w:val="0044393A"/>
    <w:rsid w:val="00443D5D"/>
    <w:rsid w:val="00444086"/>
    <w:rsid w:val="00444351"/>
    <w:rsid w:val="00444483"/>
    <w:rsid w:val="004458E6"/>
    <w:rsid w:val="00445CBA"/>
    <w:rsid w:val="004463CB"/>
    <w:rsid w:val="00446458"/>
    <w:rsid w:val="004466F7"/>
    <w:rsid w:val="00446858"/>
    <w:rsid w:val="00446878"/>
    <w:rsid w:val="00446BF6"/>
    <w:rsid w:val="00446C99"/>
    <w:rsid w:val="0044707B"/>
    <w:rsid w:val="00447304"/>
    <w:rsid w:val="004476F6"/>
    <w:rsid w:val="00447CDD"/>
    <w:rsid w:val="00447D6D"/>
    <w:rsid w:val="00450127"/>
    <w:rsid w:val="0045075F"/>
    <w:rsid w:val="004511DC"/>
    <w:rsid w:val="0045138C"/>
    <w:rsid w:val="0045147F"/>
    <w:rsid w:val="004516AD"/>
    <w:rsid w:val="004518A5"/>
    <w:rsid w:val="00451E84"/>
    <w:rsid w:val="00451EA3"/>
    <w:rsid w:val="00451F01"/>
    <w:rsid w:val="00452335"/>
    <w:rsid w:val="004524F6"/>
    <w:rsid w:val="00454145"/>
    <w:rsid w:val="00454660"/>
    <w:rsid w:val="004546A7"/>
    <w:rsid w:val="00454831"/>
    <w:rsid w:val="004548DF"/>
    <w:rsid w:val="0045578E"/>
    <w:rsid w:val="00455C3A"/>
    <w:rsid w:val="00456CC0"/>
    <w:rsid w:val="00457933"/>
    <w:rsid w:val="00457C78"/>
    <w:rsid w:val="00460735"/>
    <w:rsid w:val="00460AD5"/>
    <w:rsid w:val="00460EB8"/>
    <w:rsid w:val="00461090"/>
    <w:rsid w:val="004611A7"/>
    <w:rsid w:val="00461991"/>
    <w:rsid w:val="00461ACB"/>
    <w:rsid w:val="00461C43"/>
    <w:rsid w:val="00462125"/>
    <w:rsid w:val="0046223B"/>
    <w:rsid w:val="00462C64"/>
    <w:rsid w:val="00462EE5"/>
    <w:rsid w:val="00463216"/>
    <w:rsid w:val="0046334D"/>
    <w:rsid w:val="00463911"/>
    <w:rsid w:val="00463976"/>
    <w:rsid w:val="00463C95"/>
    <w:rsid w:val="00463E1C"/>
    <w:rsid w:val="00464052"/>
    <w:rsid w:val="00464236"/>
    <w:rsid w:val="00464542"/>
    <w:rsid w:val="00465153"/>
    <w:rsid w:val="00465602"/>
    <w:rsid w:val="004656A4"/>
    <w:rsid w:val="004656B4"/>
    <w:rsid w:val="0046599C"/>
    <w:rsid w:val="00465B4E"/>
    <w:rsid w:val="00465F01"/>
    <w:rsid w:val="00466224"/>
    <w:rsid w:val="00466A4A"/>
    <w:rsid w:val="00466AFD"/>
    <w:rsid w:val="00466BA2"/>
    <w:rsid w:val="00466DFB"/>
    <w:rsid w:val="00467497"/>
    <w:rsid w:val="004700C5"/>
    <w:rsid w:val="00470696"/>
    <w:rsid w:val="004707C3"/>
    <w:rsid w:val="00470EB5"/>
    <w:rsid w:val="004713A5"/>
    <w:rsid w:val="00471415"/>
    <w:rsid w:val="00471707"/>
    <w:rsid w:val="004718E1"/>
    <w:rsid w:val="00471FEC"/>
    <w:rsid w:val="00472177"/>
    <w:rsid w:val="00472234"/>
    <w:rsid w:val="004724C9"/>
    <w:rsid w:val="00472585"/>
    <w:rsid w:val="0047278F"/>
    <w:rsid w:val="00472C4E"/>
    <w:rsid w:val="00472EBA"/>
    <w:rsid w:val="004735F6"/>
    <w:rsid w:val="00474130"/>
    <w:rsid w:val="0047486A"/>
    <w:rsid w:val="00474A79"/>
    <w:rsid w:val="00474EDD"/>
    <w:rsid w:val="0047510C"/>
    <w:rsid w:val="004758F7"/>
    <w:rsid w:val="00475A6C"/>
    <w:rsid w:val="004764AF"/>
    <w:rsid w:val="00476D04"/>
    <w:rsid w:val="00476F58"/>
    <w:rsid w:val="00476F7F"/>
    <w:rsid w:val="0047775E"/>
    <w:rsid w:val="00477AAE"/>
    <w:rsid w:val="00477AF6"/>
    <w:rsid w:val="00477B3B"/>
    <w:rsid w:val="00477BCB"/>
    <w:rsid w:val="004801A7"/>
    <w:rsid w:val="00480E47"/>
    <w:rsid w:val="0048145D"/>
    <w:rsid w:val="00481562"/>
    <w:rsid w:val="00481666"/>
    <w:rsid w:val="0048181B"/>
    <w:rsid w:val="00481AFA"/>
    <w:rsid w:val="00481B2B"/>
    <w:rsid w:val="00481F2B"/>
    <w:rsid w:val="004820C5"/>
    <w:rsid w:val="00482198"/>
    <w:rsid w:val="004823D8"/>
    <w:rsid w:val="00482F20"/>
    <w:rsid w:val="00483196"/>
    <w:rsid w:val="0048340F"/>
    <w:rsid w:val="004839B4"/>
    <w:rsid w:val="00483A2B"/>
    <w:rsid w:val="0048423C"/>
    <w:rsid w:val="00484449"/>
    <w:rsid w:val="004852CE"/>
    <w:rsid w:val="0048540C"/>
    <w:rsid w:val="00485B5F"/>
    <w:rsid w:val="00485F92"/>
    <w:rsid w:val="004860BD"/>
    <w:rsid w:val="0048660A"/>
    <w:rsid w:val="004866E1"/>
    <w:rsid w:val="004867B2"/>
    <w:rsid w:val="00486BAF"/>
    <w:rsid w:val="00486C72"/>
    <w:rsid w:val="00487AC8"/>
    <w:rsid w:val="00487D3A"/>
    <w:rsid w:val="0049017A"/>
    <w:rsid w:val="00490954"/>
    <w:rsid w:val="0049102F"/>
    <w:rsid w:val="00491602"/>
    <w:rsid w:val="0049277A"/>
    <w:rsid w:val="00492B38"/>
    <w:rsid w:val="00492FE4"/>
    <w:rsid w:val="00493035"/>
    <w:rsid w:val="004930F5"/>
    <w:rsid w:val="00493321"/>
    <w:rsid w:val="004936DE"/>
    <w:rsid w:val="004949B0"/>
    <w:rsid w:val="0049521C"/>
    <w:rsid w:val="0049544E"/>
    <w:rsid w:val="00495492"/>
    <w:rsid w:val="00495670"/>
    <w:rsid w:val="0049567B"/>
    <w:rsid w:val="0049604B"/>
    <w:rsid w:val="00496607"/>
    <w:rsid w:val="00496666"/>
    <w:rsid w:val="00496AC9"/>
    <w:rsid w:val="00497A8E"/>
    <w:rsid w:val="00497A9D"/>
    <w:rsid w:val="00497C60"/>
    <w:rsid w:val="004A040E"/>
    <w:rsid w:val="004A042D"/>
    <w:rsid w:val="004A11E0"/>
    <w:rsid w:val="004A1953"/>
    <w:rsid w:val="004A1FC5"/>
    <w:rsid w:val="004A2158"/>
    <w:rsid w:val="004A29A5"/>
    <w:rsid w:val="004A2C0D"/>
    <w:rsid w:val="004A3225"/>
    <w:rsid w:val="004A3569"/>
    <w:rsid w:val="004A374A"/>
    <w:rsid w:val="004A395B"/>
    <w:rsid w:val="004A3C59"/>
    <w:rsid w:val="004A3FB9"/>
    <w:rsid w:val="004A3FE2"/>
    <w:rsid w:val="004A4195"/>
    <w:rsid w:val="004A480D"/>
    <w:rsid w:val="004A4D76"/>
    <w:rsid w:val="004A5851"/>
    <w:rsid w:val="004A5A91"/>
    <w:rsid w:val="004A5B0F"/>
    <w:rsid w:val="004A5CF1"/>
    <w:rsid w:val="004A5D48"/>
    <w:rsid w:val="004A66E0"/>
    <w:rsid w:val="004A7AAE"/>
    <w:rsid w:val="004A7B6D"/>
    <w:rsid w:val="004A7D49"/>
    <w:rsid w:val="004A7E52"/>
    <w:rsid w:val="004A7F21"/>
    <w:rsid w:val="004B056F"/>
    <w:rsid w:val="004B07C6"/>
    <w:rsid w:val="004B08DB"/>
    <w:rsid w:val="004B0A3A"/>
    <w:rsid w:val="004B13BB"/>
    <w:rsid w:val="004B1422"/>
    <w:rsid w:val="004B1DF2"/>
    <w:rsid w:val="004B24EB"/>
    <w:rsid w:val="004B29AC"/>
    <w:rsid w:val="004B2BB2"/>
    <w:rsid w:val="004B2C4E"/>
    <w:rsid w:val="004B2E75"/>
    <w:rsid w:val="004B3C8B"/>
    <w:rsid w:val="004B44A9"/>
    <w:rsid w:val="004B4509"/>
    <w:rsid w:val="004B452A"/>
    <w:rsid w:val="004B4871"/>
    <w:rsid w:val="004B4ADF"/>
    <w:rsid w:val="004B4C00"/>
    <w:rsid w:val="004B4E06"/>
    <w:rsid w:val="004B5493"/>
    <w:rsid w:val="004B5914"/>
    <w:rsid w:val="004B5A08"/>
    <w:rsid w:val="004B60C0"/>
    <w:rsid w:val="004B60F3"/>
    <w:rsid w:val="004B6585"/>
    <w:rsid w:val="004B6C77"/>
    <w:rsid w:val="004B6D0A"/>
    <w:rsid w:val="004B6DA4"/>
    <w:rsid w:val="004B794C"/>
    <w:rsid w:val="004B7995"/>
    <w:rsid w:val="004C02B3"/>
    <w:rsid w:val="004C098E"/>
    <w:rsid w:val="004C0BBE"/>
    <w:rsid w:val="004C0E2F"/>
    <w:rsid w:val="004C1705"/>
    <w:rsid w:val="004C222E"/>
    <w:rsid w:val="004C2246"/>
    <w:rsid w:val="004C23D4"/>
    <w:rsid w:val="004C2561"/>
    <w:rsid w:val="004C25B4"/>
    <w:rsid w:val="004C2806"/>
    <w:rsid w:val="004C29BD"/>
    <w:rsid w:val="004C3120"/>
    <w:rsid w:val="004C3A7A"/>
    <w:rsid w:val="004C3ADD"/>
    <w:rsid w:val="004C3C00"/>
    <w:rsid w:val="004C4104"/>
    <w:rsid w:val="004C428E"/>
    <w:rsid w:val="004C441A"/>
    <w:rsid w:val="004C4775"/>
    <w:rsid w:val="004C483D"/>
    <w:rsid w:val="004C48A9"/>
    <w:rsid w:val="004C4D05"/>
    <w:rsid w:val="004C57C0"/>
    <w:rsid w:val="004C590B"/>
    <w:rsid w:val="004C5BF4"/>
    <w:rsid w:val="004C5E9D"/>
    <w:rsid w:val="004C6017"/>
    <w:rsid w:val="004C62DE"/>
    <w:rsid w:val="004C63C7"/>
    <w:rsid w:val="004C6860"/>
    <w:rsid w:val="004C6D39"/>
    <w:rsid w:val="004C6D98"/>
    <w:rsid w:val="004C7217"/>
    <w:rsid w:val="004C7743"/>
    <w:rsid w:val="004C77A7"/>
    <w:rsid w:val="004C7B38"/>
    <w:rsid w:val="004D039E"/>
    <w:rsid w:val="004D04A3"/>
    <w:rsid w:val="004D0B93"/>
    <w:rsid w:val="004D0C9F"/>
    <w:rsid w:val="004D0E9D"/>
    <w:rsid w:val="004D14B6"/>
    <w:rsid w:val="004D15FD"/>
    <w:rsid w:val="004D1A0A"/>
    <w:rsid w:val="004D2369"/>
    <w:rsid w:val="004D2485"/>
    <w:rsid w:val="004D27A8"/>
    <w:rsid w:val="004D2CFC"/>
    <w:rsid w:val="004D316D"/>
    <w:rsid w:val="004D36BA"/>
    <w:rsid w:val="004D3A57"/>
    <w:rsid w:val="004D3CFD"/>
    <w:rsid w:val="004D4164"/>
    <w:rsid w:val="004D47FF"/>
    <w:rsid w:val="004D4D35"/>
    <w:rsid w:val="004D4E8D"/>
    <w:rsid w:val="004D518F"/>
    <w:rsid w:val="004D5394"/>
    <w:rsid w:val="004D54D7"/>
    <w:rsid w:val="004D5BB7"/>
    <w:rsid w:val="004D6053"/>
    <w:rsid w:val="004D6CF6"/>
    <w:rsid w:val="004D6FA4"/>
    <w:rsid w:val="004D715A"/>
    <w:rsid w:val="004D753A"/>
    <w:rsid w:val="004D7C23"/>
    <w:rsid w:val="004E01C6"/>
    <w:rsid w:val="004E0212"/>
    <w:rsid w:val="004E042E"/>
    <w:rsid w:val="004E0ADC"/>
    <w:rsid w:val="004E0FB1"/>
    <w:rsid w:val="004E1043"/>
    <w:rsid w:val="004E19DB"/>
    <w:rsid w:val="004E1DCA"/>
    <w:rsid w:val="004E1EEC"/>
    <w:rsid w:val="004E202D"/>
    <w:rsid w:val="004E21A9"/>
    <w:rsid w:val="004E21B4"/>
    <w:rsid w:val="004E252B"/>
    <w:rsid w:val="004E2861"/>
    <w:rsid w:val="004E2A85"/>
    <w:rsid w:val="004E3016"/>
    <w:rsid w:val="004E3C42"/>
    <w:rsid w:val="004E3F72"/>
    <w:rsid w:val="004E47D5"/>
    <w:rsid w:val="004E4A5C"/>
    <w:rsid w:val="004E4A78"/>
    <w:rsid w:val="004E551E"/>
    <w:rsid w:val="004E584D"/>
    <w:rsid w:val="004E58F6"/>
    <w:rsid w:val="004E5E37"/>
    <w:rsid w:val="004E5E4C"/>
    <w:rsid w:val="004E5F79"/>
    <w:rsid w:val="004E623E"/>
    <w:rsid w:val="004E6587"/>
    <w:rsid w:val="004E6589"/>
    <w:rsid w:val="004E6608"/>
    <w:rsid w:val="004E6A1D"/>
    <w:rsid w:val="004E6C10"/>
    <w:rsid w:val="004E6C25"/>
    <w:rsid w:val="004E6CF9"/>
    <w:rsid w:val="004E6F3C"/>
    <w:rsid w:val="004E7152"/>
    <w:rsid w:val="004E734E"/>
    <w:rsid w:val="004E7EC0"/>
    <w:rsid w:val="004E7F48"/>
    <w:rsid w:val="004F014E"/>
    <w:rsid w:val="004F023B"/>
    <w:rsid w:val="004F0BC6"/>
    <w:rsid w:val="004F1123"/>
    <w:rsid w:val="004F12F0"/>
    <w:rsid w:val="004F1715"/>
    <w:rsid w:val="004F17DA"/>
    <w:rsid w:val="004F1C82"/>
    <w:rsid w:val="004F1D81"/>
    <w:rsid w:val="004F2CC2"/>
    <w:rsid w:val="004F355B"/>
    <w:rsid w:val="004F393E"/>
    <w:rsid w:val="004F3BD2"/>
    <w:rsid w:val="004F3CBF"/>
    <w:rsid w:val="004F4372"/>
    <w:rsid w:val="004F43E0"/>
    <w:rsid w:val="004F45EB"/>
    <w:rsid w:val="004F5079"/>
    <w:rsid w:val="004F521B"/>
    <w:rsid w:val="004F52BB"/>
    <w:rsid w:val="004F5582"/>
    <w:rsid w:val="004F59B8"/>
    <w:rsid w:val="004F62A7"/>
    <w:rsid w:val="004F62F9"/>
    <w:rsid w:val="004F66B3"/>
    <w:rsid w:val="004F6F24"/>
    <w:rsid w:val="004F6FA7"/>
    <w:rsid w:val="004F7070"/>
    <w:rsid w:val="004F71FB"/>
    <w:rsid w:val="004F7352"/>
    <w:rsid w:val="004F7889"/>
    <w:rsid w:val="00500148"/>
    <w:rsid w:val="0050015C"/>
    <w:rsid w:val="00500418"/>
    <w:rsid w:val="00500CCF"/>
    <w:rsid w:val="00500E62"/>
    <w:rsid w:val="005010DE"/>
    <w:rsid w:val="005011FD"/>
    <w:rsid w:val="00501276"/>
    <w:rsid w:val="0050164B"/>
    <w:rsid w:val="00501665"/>
    <w:rsid w:val="00501A86"/>
    <w:rsid w:val="00501AA5"/>
    <w:rsid w:val="00502958"/>
    <w:rsid w:val="00502BD2"/>
    <w:rsid w:val="00502DA4"/>
    <w:rsid w:val="00503319"/>
    <w:rsid w:val="00503CFF"/>
    <w:rsid w:val="00503F83"/>
    <w:rsid w:val="00503FCC"/>
    <w:rsid w:val="005040BB"/>
    <w:rsid w:val="0050421C"/>
    <w:rsid w:val="00504A9B"/>
    <w:rsid w:val="00504D6C"/>
    <w:rsid w:val="00504E9A"/>
    <w:rsid w:val="00504F83"/>
    <w:rsid w:val="00505574"/>
    <w:rsid w:val="005059B9"/>
    <w:rsid w:val="00505E0F"/>
    <w:rsid w:val="00505F64"/>
    <w:rsid w:val="00506452"/>
    <w:rsid w:val="00506DCD"/>
    <w:rsid w:val="00507325"/>
    <w:rsid w:val="00507583"/>
    <w:rsid w:val="00507C36"/>
    <w:rsid w:val="00507C56"/>
    <w:rsid w:val="00507F13"/>
    <w:rsid w:val="005109D4"/>
    <w:rsid w:val="00510CF4"/>
    <w:rsid w:val="0051105A"/>
    <w:rsid w:val="0051126F"/>
    <w:rsid w:val="0051160A"/>
    <w:rsid w:val="0051170D"/>
    <w:rsid w:val="00511735"/>
    <w:rsid w:val="005118BA"/>
    <w:rsid w:val="00511A4E"/>
    <w:rsid w:val="00511F61"/>
    <w:rsid w:val="005123C0"/>
    <w:rsid w:val="005128B2"/>
    <w:rsid w:val="00512D87"/>
    <w:rsid w:val="0051301A"/>
    <w:rsid w:val="005130DA"/>
    <w:rsid w:val="00513430"/>
    <w:rsid w:val="0051354B"/>
    <w:rsid w:val="00513A23"/>
    <w:rsid w:val="00513C18"/>
    <w:rsid w:val="00513DDA"/>
    <w:rsid w:val="00513E19"/>
    <w:rsid w:val="005148B4"/>
    <w:rsid w:val="00514B29"/>
    <w:rsid w:val="00514E8C"/>
    <w:rsid w:val="005152B1"/>
    <w:rsid w:val="005152F0"/>
    <w:rsid w:val="0051532D"/>
    <w:rsid w:val="00515832"/>
    <w:rsid w:val="00515856"/>
    <w:rsid w:val="00515F50"/>
    <w:rsid w:val="005162B7"/>
    <w:rsid w:val="005163E6"/>
    <w:rsid w:val="00516804"/>
    <w:rsid w:val="005172EC"/>
    <w:rsid w:val="0051740D"/>
    <w:rsid w:val="0051746E"/>
    <w:rsid w:val="005178CE"/>
    <w:rsid w:val="00517A7E"/>
    <w:rsid w:val="00517B34"/>
    <w:rsid w:val="00517D9B"/>
    <w:rsid w:val="00517DF6"/>
    <w:rsid w:val="00517EBF"/>
    <w:rsid w:val="005205FF"/>
    <w:rsid w:val="00521356"/>
    <w:rsid w:val="00521955"/>
    <w:rsid w:val="00521CAB"/>
    <w:rsid w:val="00521DFB"/>
    <w:rsid w:val="005224EF"/>
    <w:rsid w:val="00522654"/>
    <w:rsid w:val="00522835"/>
    <w:rsid w:val="0052293D"/>
    <w:rsid w:val="00522AF4"/>
    <w:rsid w:val="00522F6E"/>
    <w:rsid w:val="00523499"/>
    <w:rsid w:val="0052373F"/>
    <w:rsid w:val="00523BC7"/>
    <w:rsid w:val="00523C08"/>
    <w:rsid w:val="00523C10"/>
    <w:rsid w:val="00523E23"/>
    <w:rsid w:val="005245D5"/>
    <w:rsid w:val="005247FE"/>
    <w:rsid w:val="00524889"/>
    <w:rsid w:val="0052575D"/>
    <w:rsid w:val="00525856"/>
    <w:rsid w:val="00525985"/>
    <w:rsid w:val="005259FC"/>
    <w:rsid w:val="00525A53"/>
    <w:rsid w:val="005260C7"/>
    <w:rsid w:val="005260F1"/>
    <w:rsid w:val="00526569"/>
    <w:rsid w:val="00526726"/>
    <w:rsid w:val="00526A27"/>
    <w:rsid w:val="00526F91"/>
    <w:rsid w:val="00527256"/>
    <w:rsid w:val="00527934"/>
    <w:rsid w:val="00527AC0"/>
    <w:rsid w:val="00527B57"/>
    <w:rsid w:val="00527C8D"/>
    <w:rsid w:val="00527C9C"/>
    <w:rsid w:val="00530034"/>
    <w:rsid w:val="005309A4"/>
    <w:rsid w:val="00530AC4"/>
    <w:rsid w:val="00531143"/>
    <w:rsid w:val="00531F4B"/>
    <w:rsid w:val="00531F7B"/>
    <w:rsid w:val="00532064"/>
    <w:rsid w:val="0053264D"/>
    <w:rsid w:val="0053268A"/>
    <w:rsid w:val="0053309E"/>
    <w:rsid w:val="005330FE"/>
    <w:rsid w:val="00533169"/>
    <w:rsid w:val="00533194"/>
    <w:rsid w:val="005332C8"/>
    <w:rsid w:val="00533B31"/>
    <w:rsid w:val="00534021"/>
    <w:rsid w:val="0053464E"/>
    <w:rsid w:val="005348C2"/>
    <w:rsid w:val="00534CBD"/>
    <w:rsid w:val="00534D48"/>
    <w:rsid w:val="005352C8"/>
    <w:rsid w:val="00535490"/>
    <w:rsid w:val="005354C1"/>
    <w:rsid w:val="00535975"/>
    <w:rsid w:val="00535F99"/>
    <w:rsid w:val="00536356"/>
    <w:rsid w:val="0053691D"/>
    <w:rsid w:val="00536BBB"/>
    <w:rsid w:val="00536CBB"/>
    <w:rsid w:val="00536DDD"/>
    <w:rsid w:val="00537033"/>
    <w:rsid w:val="005370FC"/>
    <w:rsid w:val="005371E8"/>
    <w:rsid w:val="0053735E"/>
    <w:rsid w:val="00537403"/>
    <w:rsid w:val="0053743F"/>
    <w:rsid w:val="0053745D"/>
    <w:rsid w:val="005376F8"/>
    <w:rsid w:val="005379EF"/>
    <w:rsid w:val="00537CBA"/>
    <w:rsid w:val="00540A37"/>
    <w:rsid w:val="00540B49"/>
    <w:rsid w:val="00541415"/>
    <w:rsid w:val="005418DB"/>
    <w:rsid w:val="00541B51"/>
    <w:rsid w:val="00542751"/>
    <w:rsid w:val="005434EA"/>
    <w:rsid w:val="005435CD"/>
    <w:rsid w:val="005436B8"/>
    <w:rsid w:val="00544E94"/>
    <w:rsid w:val="00545AA7"/>
    <w:rsid w:val="00545D55"/>
    <w:rsid w:val="00545E84"/>
    <w:rsid w:val="005461A7"/>
    <w:rsid w:val="005461AB"/>
    <w:rsid w:val="0054659D"/>
    <w:rsid w:val="00546C6A"/>
    <w:rsid w:val="00546FBA"/>
    <w:rsid w:val="00547C4A"/>
    <w:rsid w:val="00547F04"/>
    <w:rsid w:val="005506BD"/>
    <w:rsid w:val="00550924"/>
    <w:rsid w:val="00550952"/>
    <w:rsid w:val="00550B1F"/>
    <w:rsid w:val="00550D63"/>
    <w:rsid w:val="00550E75"/>
    <w:rsid w:val="00550EF1"/>
    <w:rsid w:val="00550FC4"/>
    <w:rsid w:val="0055101E"/>
    <w:rsid w:val="00551075"/>
    <w:rsid w:val="005513C8"/>
    <w:rsid w:val="00551E07"/>
    <w:rsid w:val="00552204"/>
    <w:rsid w:val="0055236E"/>
    <w:rsid w:val="005524F7"/>
    <w:rsid w:val="00552AAB"/>
    <w:rsid w:val="00553274"/>
    <w:rsid w:val="0055352C"/>
    <w:rsid w:val="005538A6"/>
    <w:rsid w:val="0055396C"/>
    <w:rsid w:val="00554CAB"/>
    <w:rsid w:val="00554F94"/>
    <w:rsid w:val="00555161"/>
    <w:rsid w:val="00555A59"/>
    <w:rsid w:val="00555BB7"/>
    <w:rsid w:val="00555DE6"/>
    <w:rsid w:val="00555EB3"/>
    <w:rsid w:val="005567F6"/>
    <w:rsid w:val="0055695F"/>
    <w:rsid w:val="00556E29"/>
    <w:rsid w:val="00556EC2"/>
    <w:rsid w:val="00557474"/>
    <w:rsid w:val="00557674"/>
    <w:rsid w:val="00557DAA"/>
    <w:rsid w:val="00557DAD"/>
    <w:rsid w:val="005605A8"/>
    <w:rsid w:val="00560721"/>
    <w:rsid w:val="00561138"/>
    <w:rsid w:val="00561443"/>
    <w:rsid w:val="00561572"/>
    <w:rsid w:val="00561699"/>
    <w:rsid w:val="0056194F"/>
    <w:rsid w:val="005619E1"/>
    <w:rsid w:val="00561A6A"/>
    <w:rsid w:val="00561EEE"/>
    <w:rsid w:val="00562152"/>
    <w:rsid w:val="00562629"/>
    <w:rsid w:val="005628FE"/>
    <w:rsid w:val="00562CAD"/>
    <w:rsid w:val="0056364B"/>
    <w:rsid w:val="00563D49"/>
    <w:rsid w:val="00564191"/>
    <w:rsid w:val="00564557"/>
    <w:rsid w:val="0056458C"/>
    <w:rsid w:val="00564628"/>
    <w:rsid w:val="005648B9"/>
    <w:rsid w:val="00564A3C"/>
    <w:rsid w:val="00564C5F"/>
    <w:rsid w:val="00564F82"/>
    <w:rsid w:val="005653AF"/>
    <w:rsid w:val="00565501"/>
    <w:rsid w:val="00565755"/>
    <w:rsid w:val="0056601E"/>
    <w:rsid w:val="00566406"/>
    <w:rsid w:val="005664A6"/>
    <w:rsid w:val="00566519"/>
    <w:rsid w:val="00566538"/>
    <w:rsid w:val="0056663C"/>
    <w:rsid w:val="0056725A"/>
    <w:rsid w:val="0056741F"/>
    <w:rsid w:val="00567647"/>
    <w:rsid w:val="0056781B"/>
    <w:rsid w:val="00567BE2"/>
    <w:rsid w:val="00567F96"/>
    <w:rsid w:val="00570102"/>
    <w:rsid w:val="00570505"/>
    <w:rsid w:val="00570541"/>
    <w:rsid w:val="00570FDD"/>
    <w:rsid w:val="005712E6"/>
    <w:rsid w:val="0057153C"/>
    <w:rsid w:val="00571E47"/>
    <w:rsid w:val="00572942"/>
    <w:rsid w:val="005730DB"/>
    <w:rsid w:val="00573251"/>
    <w:rsid w:val="005733A8"/>
    <w:rsid w:val="00573B5B"/>
    <w:rsid w:val="00573F55"/>
    <w:rsid w:val="00574070"/>
    <w:rsid w:val="00574468"/>
    <w:rsid w:val="00575148"/>
    <w:rsid w:val="0057540E"/>
    <w:rsid w:val="005757B6"/>
    <w:rsid w:val="005761E2"/>
    <w:rsid w:val="00576F44"/>
    <w:rsid w:val="0058000F"/>
    <w:rsid w:val="00580557"/>
    <w:rsid w:val="0058074F"/>
    <w:rsid w:val="00580A76"/>
    <w:rsid w:val="00581042"/>
    <w:rsid w:val="00581703"/>
    <w:rsid w:val="00581B15"/>
    <w:rsid w:val="00581E0A"/>
    <w:rsid w:val="005821DD"/>
    <w:rsid w:val="00583908"/>
    <w:rsid w:val="005844A7"/>
    <w:rsid w:val="00584757"/>
    <w:rsid w:val="00584E21"/>
    <w:rsid w:val="00584EF8"/>
    <w:rsid w:val="00585063"/>
    <w:rsid w:val="00585CD7"/>
    <w:rsid w:val="00585E41"/>
    <w:rsid w:val="0058608B"/>
    <w:rsid w:val="005863C1"/>
    <w:rsid w:val="0058654D"/>
    <w:rsid w:val="00586786"/>
    <w:rsid w:val="00586E49"/>
    <w:rsid w:val="005874AF"/>
    <w:rsid w:val="00587729"/>
    <w:rsid w:val="00587886"/>
    <w:rsid w:val="005878F7"/>
    <w:rsid w:val="00587A66"/>
    <w:rsid w:val="00590147"/>
    <w:rsid w:val="0059028F"/>
    <w:rsid w:val="0059045E"/>
    <w:rsid w:val="0059068C"/>
    <w:rsid w:val="00590BD1"/>
    <w:rsid w:val="00590D26"/>
    <w:rsid w:val="00591276"/>
    <w:rsid w:val="00591490"/>
    <w:rsid w:val="0059151A"/>
    <w:rsid w:val="005916C9"/>
    <w:rsid w:val="00591883"/>
    <w:rsid w:val="00591C7E"/>
    <w:rsid w:val="00591D27"/>
    <w:rsid w:val="00591DCF"/>
    <w:rsid w:val="005929B4"/>
    <w:rsid w:val="00592A3C"/>
    <w:rsid w:val="005935DF"/>
    <w:rsid w:val="0059367F"/>
    <w:rsid w:val="00593720"/>
    <w:rsid w:val="00593909"/>
    <w:rsid w:val="00593A71"/>
    <w:rsid w:val="005941E1"/>
    <w:rsid w:val="005943E2"/>
    <w:rsid w:val="00594B8A"/>
    <w:rsid w:val="00595009"/>
    <w:rsid w:val="005954B7"/>
    <w:rsid w:val="0059571E"/>
    <w:rsid w:val="00595A05"/>
    <w:rsid w:val="00595F17"/>
    <w:rsid w:val="00595F3D"/>
    <w:rsid w:val="00595F89"/>
    <w:rsid w:val="00596053"/>
    <w:rsid w:val="00596873"/>
    <w:rsid w:val="00596BB3"/>
    <w:rsid w:val="00596BD4"/>
    <w:rsid w:val="00596FA8"/>
    <w:rsid w:val="005971A7"/>
    <w:rsid w:val="00597310"/>
    <w:rsid w:val="005977AB"/>
    <w:rsid w:val="00597953"/>
    <w:rsid w:val="005A01C5"/>
    <w:rsid w:val="005A0532"/>
    <w:rsid w:val="005A07E7"/>
    <w:rsid w:val="005A0A57"/>
    <w:rsid w:val="005A0B9F"/>
    <w:rsid w:val="005A0DBB"/>
    <w:rsid w:val="005A0EBD"/>
    <w:rsid w:val="005A1146"/>
    <w:rsid w:val="005A1270"/>
    <w:rsid w:val="005A1295"/>
    <w:rsid w:val="005A1FBF"/>
    <w:rsid w:val="005A29B1"/>
    <w:rsid w:val="005A2DDF"/>
    <w:rsid w:val="005A2EBF"/>
    <w:rsid w:val="005A380B"/>
    <w:rsid w:val="005A3B9E"/>
    <w:rsid w:val="005A4056"/>
    <w:rsid w:val="005A4890"/>
    <w:rsid w:val="005A49D4"/>
    <w:rsid w:val="005A4D7C"/>
    <w:rsid w:val="005A51C9"/>
    <w:rsid w:val="005A5A96"/>
    <w:rsid w:val="005A5D7F"/>
    <w:rsid w:val="005A5DC0"/>
    <w:rsid w:val="005A6B6D"/>
    <w:rsid w:val="005A6ED5"/>
    <w:rsid w:val="005A6F0E"/>
    <w:rsid w:val="005A6F57"/>
    <w:rsid w:val="005A71E8"/>
    <w:rsid w:val="005A7235"/>
    <w:rsid w:val="005A78B3"/>
    <w:rsid w:val="005A795B"/>
    <w:rsid w:val="005A7BAF"/>
    <w:rsid w:val="005B05FA"/>
    <w:rsid w:val="005B0652"/>
    <w:rsid w:val="005B09D6"/>
    <w:rsid w:val="005B1213"/>
    <w:rsid w:val="005B1957"/>
    <w:rsid w:val="005B1B07"/>
    <w:rsid w:val="005B1B55"/>
    <w:rsid w:val="005B1C52"/>
    <w:rsid w:val="005B1DBD"/>
    <w:rsid w:val="005B2387"/>
    <w:rsid w:val="005B2414"/>
    <w:rsid w:val="005B26B0"/>
    <w:rsid w:val="005B330E"/>
    <w:rsid w:val="005B383D"/>
    <w:rsid w:val="005B3EBD"/>
    <w:rsid w:val="005B3F0C"/>
    <w:rsid w:val="005B43A8"/>
    <w:rsid w:val="005B48E8"/>
    <w:rsid w:val="005B4A25"/>
    <w:rsid w:val="005B4FFF"/>
    <w:rsid w:val="005B5093"/>
    <w:rsid w:val="005B564F"/>
    <w:rsid w:val="005B56D9"/>
    <w:rsid w:val="005B56EA"/>
    <w:rsid w:val="005B5BA3"/>
    <w:rsid w:val="005B5E62"/>
    <w:rsid w:val="005B6A8B"/>
    <w:rsid w:val="005B7230"/>
    <w:rsid w:val="005B78CE"/>
    <w:rsid w:val="005B7D76"/>
    <w:rsid w:val="005B7E97"/>
    <w:rsid w:val="005B7F46"/>
    <w:rsid w:val="005C07D2"/>
    <w:rsid w:val="005C09A7"/>
    <w:rsid w:val="005C102D"/>
    <w:rsid w:val="005C132C"/>
    <w:rsid w:val="005C17E7"/>
    <w:rsid w:val="005C17FB"/>
    <w:rsid w:val="005C1833"/>
    <w:rsid w:val="005C1838"/>
    <w:rsid w:val="005C18C2"/>
    <w:rsid w:val="005C1ACE"/>
    <w:rsid w:val="005C2063"/>
    <w:rsid w:val="005C244F"/>
    <w:rsid w:val="005C26AC"/>
    <w:rsid w:val="005C2767"/>
    <w:rsid w:val="005C2922"/>
    <w:rsid w:val="005C2988"/>
    <w:rsid w:val="005C2C01"/>
    <w:rsid w:val="005C2F60"/>
    <w:rsid w:val="005C30A7"/>
    <w:rsid w:val="005C323D"/>
    <w:rsid w:val="005C3772"/>
    <w:rsid w:val="005C39C3"/>
    <w:rsid w:val="005C3D2B"/>
    <w:rsid w:val="005C41F4"/>
    <w:rsid w:val="005C4229"/>
    <w:rsid w:val="005C4580"/>
    <w:rsid w:val="005C49BB"/>
    <w:rsid w:val="005C5065"/>
    <w:rsid w:val="005C52F3"/>
    <w:rsid w:val="005C564C"/>
    <w:rsid w:val="005C56EA"/>
    <w:rsid w:val="005C5803"/>
    <w:rsid w:val="005C6234"/>
    <w:rsid w:val="005C64DC"/>
    <w:rsid w:val="005C6605"/>
    <w:rsid w:val="005C6703"/>
    <w:rsid w:val="005C71A0"/>
    <w:rsid w:val="005C71F5"/>
    <w:rsid w:val="005C75B8"/>
    <w:rsid w:val="005C7802"/>
    <w:rsid w:val="005C7B50"/>
    <w:rsid w:val="005C7C30"/>
    <w:rsid w:val="005D029E"/>
    <w:rsid w:val="005D0427"/>
    <w:rsid w:val="005D0776"/>
    <w:rsid w:val="005D07AE"/>
    <w:rsid w:val="005D0A0B"/>
    <w:rsid w:val="005D0C83"/>
    <w:rsid w:val="005D0F22"/>
    <w:rsid w:val="005D113B"/>
    <w:rsid w:val="005D135F"/>
    <w:rsid w:val="005D1497"/>
    <w:rsid w:val="005D1732"/>
    <w:rsid w:val="005D1AB2"/>
    <w:rsid w:val="005D205F"/>
    <w:rsid w:val="005D2D9A"/>
    <w:rsid w:val="005D2FDD"/>
    <w:rsid w:val="005D35C0"/>
    <w:rsid w:val="005D3A6E"/>
    <w:rsid w:val="005D3B21"/>
    <w:rsid w:val="005D4019"/>
    <w:rsid w:val="005D41DC"/>
    <w:rsid w:val="005D460F"/>
    <w:rsid w:val="005D4DC5"/>
    <w:rsid w:val="005D51B6"/>
    <w:rsid w:val="005D522A"/>
    <w:rsid w:val="005D5442"/>
    <w:rsid w:val="005D5BA4"/>
    <w:rsid w:val="005D5C22"/>
    <w:rsid w:val="005D5E6C"/>
    <w:rsid w:val="005D63A9"/>
    <w:rsid w:val="005D6558"/>
    <w:rsid w:val="005D65D5"/>
    <w:rsid w:val="005D6C56"/>
    <w:rsid w:val="005D6F49"/>
    <w:rsid w:val="005D74FC"/>
    <w:rsid w:val="005D7A66"/>
    <w:rsid w:val="005D7BD5"/>
    <w:rsid w:val="005D7E8A"/>
    <w:rsid w:val="005E06FA"/>
    <w:rsid w:val="005E0C6E"/>
    <w:rsid w:val="005E11A5"/>
    <w:rsid w:val="005E13D4"/>
    <w:rsid w:val="005E1435"/>
    <w:rsid w:val="005E17E9"/>
    <w:rsid w:val="005E1CC7"/>
    <w:rsid w:val="005E21F3"/>
    <w:rsid w:val="005E235C"/>
    <w:rsid w:val="005E3078"/>
    <w:rsid w:val="005E34C0"/>
    <w:rsid w:val="005E392E"/>
    <w:rsid w:val="005E4514"/>
    <w:rsid w:val="005E4565"/>
    <w:rsid w:val="005E45F3"/>
    <w:rsid w:val="005E48EA"/>
    <w:rsid w:val="005E49CA"/>
    <w:rsid w:val="005E4ADD"/>
    <w:rsid w:val="005E5384"/>
    <w:rsid w:val="005E5427"/>
    <w:rsid w:val="005E5428"/>
    <w:rsid w:val="005E54CA"/>
    <w:rsid w:val="005E5A74"/>
    <w:rsid w:val="005E5A7C"/>
    <w:rsid w:val="005E5C33"/>
    <w:rsid w:val="005E5D8E"/>
    <w:rsid w:val="005E6319"/>
    <w:rsid w:val="005E6472"/>
    <w:rsid w:val="005E6976"/>
    <w:rsid w:val="005E6C7A"/>
    <w:rsid w:val="005E703B"/>
    <w:rsid w:val="005E721A"/>
    <w:rsid w:val="005E74EC"/>
    <w:rsid w:val="005E784C"/>
    <w:rsid w:val="005E7917"/>
    <w:rsid w:val="005E7AB6"/>
    <w:rsid w:val="005E7B1E"/>
    <w:rsid w:val="005E7CBC"/>
    <w:rsid w:val="005E7E4D"/>
    <w:rsid w:val="005F0854"/>
    <w:rsid w:val="005F0A62"/>
    <w:rsid w:val="005F0D33"/>
    <w:rsid w:val="005F0FA8"/>
    <w:rsid w:val="005F1C5D"/>
    <w:rsid w:val="005F2317"/>
    <w:rsid w:val="005F2550"/>
    <w:rsid w:val="005F262B"/>
    <w:rsid w:val="005F2758"/>
    <w:rsid w:val="005F28A5"/>
    <w:rsid w:val="005F2B2D"/>
    <w:rsid w:val="005F2FD5"/>
    <w:rsid w:val="005F340A"/>
    <w:rsid w:val="005F3AE8"/>
    <w:rsid w:val="005F3B09"/>
    <w:rsid w:val="005F3B47"/>
    <w:rsid w:val="005F47C1"/>
    <w:rsid w:val="005F4926"/>
    <w:rsid w:val="005F4B6F"/>
    <w:rsid w:val="005F5009"/>
    <w:rsid w:val="005F5054"/>
    <w:rsid w:val="005F530F"/>
    <w:rsid w:val="005F5C41"/>
    <w:rsid w:val="005F60BE"/>
    <w:rsid w:val="005F6591"/>
    <w:rsid w:val="005F65D9"/>
    <w:rsid w:val="005F6768"/>
    <w:rsid w:val="005F699C"/>
    <w:rsid w:val="005F69CF"/>
    <w:rsid w:val="005F6E39"/>
    <w:rsid w:val="005F6E58"/>
    <w:rsid w:val="005F7031"/>
    <w:rsid w:val="005F704C"/>
    <w:rsid w:val="005F789D"/>
    <w:rsid w:val="005F7A22"/>
    <w:rsid w:val="005F7B9D"/>
    <w:rsid w:val="005F7CF0"/>
    <w:rsid w:val="00600501"/>
    <w:rsid w:val="006009D5"/>
    <w:rsid w:val="00600B0C"/>
    <w:rsid w:val="00600B99"/>
    <w:rsid w:val="00600D1A"/>
    <w:rsid w:val="00601038"/>
    <w:rsid w:val="00601E52"/>
    <w:rsid w:val="00602C4B"/>
    <w:rsid w:val="00602DFA"/>
    <w:rsid w:val="006031D1"/>
    <w:rsid w:val="006033BF"/>
    <w:rsid w:val="00603589"/>
    <w:rsid w:val="00603702"/>
    <w:rsid w:val="00603B4B"/>
    <w:rsid w:val="00603F20"/>
    <w:rsid w:val="006046B5"/>
    <w:rsid w:val="00604F37"/>
    <w:rsid w:val="0060508A"/>
    <w:rsid w:val="006055AF"/>
    <w:rsid w:val="00605942"/>
    <w:rsid w:val="00605C9F"/>
    <w:rsid w:val="00606366"/>
    <w:rsid w:val="006068E8"/>
    <w:rsid w:val="00606ADB"/>
    <w:rsid w:val="00606C07"/>
    <w:rsid w:val="006072DE"/>
    <w:rsid w:val="006075F4"/>
    <w:rsid w:val="006078A8"/>
    <w:rsid w:val="00607BAD"/>
    <w:rsid w:val="00607EC7"/>
    <w:rsid w:val="0061048A"/>
    <w:rsid w:val="00610959"/>
    <w:rsid w:val="006109B7"/>
    <w:rsid w:val="00610AE7"/>
    <w:rsid w:val="00610EC7"/>
    <w:rsid w:val="00611178"/>
    <w:rsid w:val="0061148D"/>
    <w:rsid w:val="00611A29"/>
    <w:rsid w:val="00611D01"/>
    <w:rsid w:val="00611F1E"/>
    <w:rsid w:val="00612010"/>
    <w:rsid w:val="006122EC"/>
    <w:rsid w:val="006124B3"/>
    <w:rsid w:val="00612611"/>
    <w:rsid w:val="00612622"/>
    <w:rsid w:val="0061279A"/>
    <w:rsid w:val="00612C60"/>
    <w:rsid w:val="00613009"/>
    <w:rsid w:val="006132EA"/>
    <w:rsid w:val="00613CA5"/>
    <w:rsid w:val="00613E24"/>
    <w:rsid w:val="0061401C"/>
    <w:rsid w:val="0061420B"/>
    <w:rsid w:val="00614287"/>
    <w:rsid w:val="00614BD4"/>
    <w:rsid w:val="00614D33"/>
    <w:rsid w:val="0061537D"/>
    <w:rsid w:val="0061537F"/>
    <w:rsid w:val="006156D7"/>
    <w:rsid w:val="00615CF1"/>
    <w:rsid w:val="00615DEA"/>
    <w:rsid w:val="00615E26"/>
    <w:rsid w:val="00616675"/>
    <w:rsid w:val="006166CD"/>
    <w:rsid w:val="00616A60"/>
    <w:rsid w:val="00616D0C"/>
    <w:rsid w:val="00616EE6"/>
    <w:rsid w:val="006171FB"/>
    <w:rsid w:val="00617283"/>
    <w:rsid w:val="006175AE"/>
    <w:rsid w:val="006177B0"/>
    <w:rsid w:val="00617A2A"/>
    <w:rsid w:val="00617B5B"/>
    <w:rsid w:val="00617F10"/>
    <w:rsid w:val="0062036B"/>
    <w:rsid w:val="006207F4"/>
    <w:rsid w:val="006209F4"/>
    <w:rsid w:val="00620C67"/>
    <w:rsid w:val="00621407"/>
    <w:rsid w:val="00621479"/>
    <w:rsid w:val="006214D7"/>
    <w:rsid w:val="00621646"/>
    <w:rsid w:val="00621711"/>
    <w:rsid w:val="00621803"/>
    <w:rsid w:val="00621A34"/>
    <w:rsid w:val="006220F1"/>
    <w:rsid w:val="0062269A"/>
    <w:rsid w:val="00623099"/>
    <w:rsid w:val="006237F5"/>
    <w:rsid w:val="00623C54"/>
    <w:rsid w:val="00623E46"/>
    <w:rsid w:val="00623E5A"/>
    <w:rsid w:val="00623E5E"/>
    <w:rsid w:val="00624104"/>
    <w:rsid w:val="00624604"/>
    <w:rsid w:val="00624A17"/>
    <w:rsid w:val="00624BA2"/>
    <w:rsid w:val="00624D2C"/>
    <w:rsid w:val="00624DD0"/>
    <w:rsid w:val="00624F7F"/>
    <w:rsid w:val="00625145"/>
    <w:rsid w:val="00625367"/>
    <w:rsid w:val="00625447"/>
    <w:rsid w:val="00625EB0"/>
    <w:rsid w:val="00625ED6"/>
    <w:rsid w:val="006262EE"/>
    <w:rsid w:val="006266AC"/>
    <w:rsid w:val="00626768"/>
    <w:rsid w:val="0062677B"/>
    <w:rsid w:val="00626DE4"/>
    <w:rsid w:val="00627402"/>
    <w:rsid w:val="00627474"/>
    <w:rsid w:val="006274D8"/>
    <w:rsid w:val="006278D2"/>
    <w:rsid w:val="006279F9"/>
    <w:rsid w:val="00627A1B"/>
    <w:rsid w:val="00627CEA"/>
    <w:rsid w:val="00627E37"/>
    <w:rsid w:val="00630480"/>
    <w:rsid w:val="0063058E"/>
    <w:rsid w:val="006305F8"/>
    <w:rsid w:val="00630E44"/>
    <w:rsid w:val="006313F7"/>
    <w:rsid w:val="006315CB"/>
    <w:rsid w:val="0063197B"/>
    <w:rsid w:val="00631DA7"/>
    <w:rsid w:val="00632200"/>
    <w:rsid w:val="006327BB"/>
    <w:rsid w:val="00632B9C"/>
    <w:rsid w:val="00632F18"/>
    <w:rsid w:val="006332D7"/>
    <w:rsid w:val="0063333D"/>
    <w:rsid w:val="00633C7B"/>
    <w:rsid w:val="00633E38"/>
    <w:rsid w:val="00634225"/>
    <w:rsid w:val="0063436D"/>
    <w:rsid w:val="00635003"/>
    <w:rsid w:val="006351CE"/>
    <w:rsid w:val="006352FD"/>
    <w:rsid w:val="00635B15"/>
    <w:rsid w:val="00635D02"/>
    <w:rsid w:val="00635D76"/>
    <w:rsid w:val="00636037"/>
    <w:rsid w:val="006362E1"/>
    <w:rsid w:val="006367DA"/>
    <w:rsid w:val="00636B49"/>
    <w:rsid w:val="00637053"/>
    <w:rsid w:val="006370E1"/>
    <w:rsid w:val="00637382"/>
    <w:rsid w:val="006375B2"/>
    <w:rsid w:val="006375BB"/>
    <w:rsid w:val="00637865"/>
    <w:rsid w:val="0063788C"/>
    <w:rsid w:val="00640059"/>
    <w:rsid w:val="00640304"/>
    <w:rsid w:val="00640713"/>
    <w:rsid w:val="006409EE"/>
    <w:rsid w:val="00640BF7"/>
    <w:rsid w:val="00640FFF"/>
    <w:rsid w:val="00641436"/>
    <w:rsid w:val="00641761"/>
    <w:rsid w:val="00641A73"/>
    <w:rsid w:val="006420C2"/>
    <w:rsid w:val="006425FC"/>
    <w:rsid w:val="00642631"/>
    <w:rsid w:val="0064289D"/>
    <w:rsid w:val="00642DF5"/>
    <w:rsid w:val="0064304A"/>
    <w:rsid w:val="00643765"/>
    <w:rsid w:val="0064380B"/>
    <w:rsid w:val="00643A4F"/>
    <w:rsid w:val="00643AAB"/>
    <w:rsid w:val="00643FF5"/>
    <w:rsid w:val="006440D9"/>
    <w:rsid w:val="006441FD"/>
    <w:rsid w:val="006442BE"/>
    <w:rsid w:val="00644354"/>
    <w:rsid w:val="00644CB1"/>
    <w:rsid w:val="00644E5A"/>
    <w:rsid w:val="00644F2C"/>
    <w:rsid w:val="00644F8F"/>
    <w:rsid w:val="006450DD"/>
    <w:rsid w:val="00645141"/>
    <w:rsid w:val="00645349"/>
    <w:rsid w:val="00645AEE"/>
    <w:rsid w:val="00646428"/>
    <w:rsid w:val="00646677"/>
    <w:rsid w:val="00646984"/>
    <w:rsid w:val="00646AFD"/>
    <w:rsid w:val="0064707F"/>
    <w:rsid w:val="0064717F"/>
    <w:rsid w:val="006471E8"/>
    <w:rsid w:val="00647E90"/>
    <w:rsid w:val="00647FA3"/>
    <w:rsid w:val="006500F7"/>
    <w:rsid w:val="00650400"/>
    <w:rsid w:val="0065052D"/>
    <w:rsid w:val="00650732"/>
    <w:rsid w:val="00650743"/>
    <w:rsid w:val="00650769"/>
    <w:rsid w:val="00651012"/>
    <w:rsid w:val="006516B7"/>
    <w:rsid w:val="006518E4"/>
    <w:rsid w:val="00651FB8"/>
    <w:rsid w:val="006520D5"/>
    <w:rsid w:val="0065239B"/>
    <w:rsid w:val="00652BA0"/>
    <w:rsid w:val="00653045"/>
    <w:rsid w:val="0065375E"/>
    <w:rsid w:val="00653A25"/>
    <w:rsid w:val="00653D93"/>
    <w:rsid w:val="00653FDA"/>
    <w:rsid w:val="006541A0"/>
    <w:rsid w:val="006541FE"/>
    <w:rsid w:val="00654723"/>
    <w:rsid w:val="006547BF"/>
    <w:rsid w:val="00654E99"/>
    <w:rsid w:val="00654ED0"/>
    <w:rsid w:val="00655104"/>
    <w:rsid w:val="0065541B"/>
    <w:rsid w:val="0065548F"/>
    <w:rsid w:val="00655633"/>
    <w:rsid w:val="0065573C"/>
    <w:rsid w:val="006559BB"/>
    <w:rsid w:val="00655A99"/>
    <w:rsid w:val="00655D93"/>
    <w:rsid w:val="00655E86"/>
    <w:rsid w:val="00656614"/>
    <w:rsid w:val="00656C4D"/>
    <w:rsid w:val="006577CD"/>
    <w:rsid w:val="00657CCC"/>
    <w:rsid w:val="00657DB6"/>
    <w:rsid w:val="00660162"/>
    <w:rsid w:val="0066036D"/>
    <w:rsid w:val="006604FA"/>
    <w:rsid w:val="006606AA"/>
    <w:rsid w:val="00660879"/>
    <w:rsid w:val="00660B3F"/>
    <w:rsid w:val="006610B1"/>
    <w:rsid w:val="00661639"/>
    <w:rsid w:val="00661655"/>
    <w:rsid w:val="0066174D"/>
    <w:rsid w:val="00661DC2"/>
    <w:rsid w:val="00661E36"/>
    <w:rsid w:val="00661F16"/>
    <w:rsid w:val="0066318A"/>
    <w:rsid w:val="006631D3"/>
    <w:rsid w:val="00663D0F"/>
    <w:rsid w:val="006643E8"/>
    <w:rsid w:val="00664525"/>
    <w:rsid w:val="0066465B"/>
    <w:rsid w:val="006646C1"/>
    <w:rsid w:val="00664975"/>
    <w:rsid w:val="00664C81"/>
    <w:rsid w:val="0066500E"/>
    <w:rsid w:val="0066521A"/>
    <w:rsid w:val="0066540C"/>
    <w:rsid w:val="00665E70"/>
    <w:rsid w:val="00665EAE"/>
    <w:rsid w:val="00665FF1"/>
    <w:rsid w:val="0066617C"/>
    <w:rsid w:val="006661EA"/>
    <w:rsid w:val="00666749"/>
    <w:rsid w:val="00666909"/>
    <w:rsid w:val="00666EBC"/>
    <w:rsid w:val="00667189"/>
    <w:rsid w:val="006671F0"/>
    <w:rsid w:val="0066749E"/>
    <w:rsid w:val="00667C84"/>
    <w:rsid w:val="00667CC8"/>
    <w:rsid w:val="00667CCB"/>
    <w:rsid w:val="00667EFD"/>
    <w:rsid w:val="00670475"/>
    <w:rsid w:val="00670770"/>
    <w:rsid w:val="00670B8C"/>
    <w:rsid w:val="00670C4A"/>
    <w:rsid w:val="00671F3E"/>
    <w:rsid w:val="006723C0"/>
    <w:rsid w:val="00672482"/>
    <w:rsid w:val="00672947"/>
    <w:rsid w:val="00672A18"/>
    <w:rsid w:val="0067322C"/>
    <w:rsid w:val="006735D0"/>
    <w:rsid w:val="0067365C"/>
    <w:rsid w:val="006739E9"/>
    <w:rsid w:val="00673DC9"/>
    <w:rsid w:val="006741CE"/>
    <w:rsid w:val="006746BD"/>
    <w:rsid w:val="00674B90"/>
    <w:rsid w:val="00674BF2"/>
    <w:rsid w:val="00674D52"/>
    <w:rsid w:val="00674E43"/>
    <w:rsid w:val="00674F93"/>
    <w:rsid w:val="0067546F"/>
    <w:rsid w:val="00675A06"/>
    <w:rsid w:val="00675F8E"/>
    <w:rsid w:val="00676287"/>
    <w:rsid w:val="00676CE4"/>
    <w:rsid w:val="00676D4B"/>
    <w:rsid w:val="00676EC2"/>
    <w:rsid w:val="00676F61"/>
    <w:rsid w:val="00676FA5"/>
    <w:rsid w:val="006770EF"/>
    <w:rsid w:val="006771A4"/>
    <w:rsid w:val="006771AD"/>
    <w:rsid w:val="0067728F"/>
    <w:rsid w:val="006774A8"/>
    <w:rsid w:val="00677572"/>
    <w:rsid w:val="00677DC1"/>
    <w:rsid w:val="00680064"/>
    <w:rsid w:val="006802E6"/>
    <w:rsid w:val="00681229"/>
    <w:rsid w:val="00681514"/>
    <w:rsid w:val="0068185E"/>
    <w:rsid w:val="006819B3"/>
    <w:rsid w:val="00681BE5"/>
    <w:rsid w:val="00681E30"/>
    <w:rsid w:val="0068228F"/>
    <w:rsid w:val="0068329C"/>
    <w:rsid w:val="0068379B"/>
    <w:rsid w:val="00683D79"/>
    <w:rsid w:val="00683D98"/>
    <w:rsid w:val="00683D99"/>
    <w:rsid w:val="00684079"/>
    <w:rsid w:val="00684482"/>
    <w:rsid w:val="0068484C"/>
    <w:rsid w:val="0068489C"/>
    <w:rsid w:val="006848EE"/>
    <w:rsid w:val="006856AA"/>
    <w:rsid w:val="0068629B"/>
    <w:rsid w:val="00686425"/>
    <w:rsid w:val="0068645C"/>
    <w:rsid w:val="006865C2"/>
    <w:rsid w:val="00686C12"/>
    <w:rsid w:val="00686C91"/>
    <w:rsid w:val="00686D75"/>
    <w:rsid w:val="006870D6"/>
    <w:rsid w:val="006872D8"/>
    <w:rsid w:val="0068736A"/>
    <w:rsid w:val="0068749F"/>
    <w:rsid w:val="00687D17"/>
    <w:rsid w:val="00690024"/>
    <w:rsid w:val="0069024D"/>
    <w:rsid w:val="006903A4"/>
    <w:rsid w:val="00690CAA"/>
    <w:rsid w:val="00690EFB"/>
    <w:rsid w:val="0069137B"/>
    <w:rsid w:val="006913EC"/>
    <w:rsid w:val="006914B7"/>
    <w:rsid w:val="00691742"/>
    <w:rsid w:val="00691A66"/>
    <w:rsid w:val="00691DEE"/>
    <w:rsid w:val="00692242"/>
    <w:rsid w:val="0069236E"/>
    <w:rsid w:val="0069256F"/>
    <w:rsid w:val="0069263F"/>
    <w:rsid w:val="00692704"/>
    <w:rsid w:val="00692A9C"/>
    <w:rsid w:val="00692D88"/>
    <w:rsid w:val="00692E67"/>
    <w:rsid w:val="00692F9E"/>
    <w:rsid w:val="00693ACF"/>
    <w:rsid w:val="00693EE5"/>
    <w:rsid w:val="00694081"/>
    <w:rsid w:val="006944C5"/>
    <w:rsid w:val="00694B8D"/>
    <w:rsid w:val="006951DB"/>
    <w:rsid w:val="0069561C"/>
    <w:rsid w:val="00695634"/>
    <w:rsid w:val="00695CA9"/>
    <w:rsid w:val="0069600D"/>
    <w:rsid w:val="006963AE"/>
    <w:rsid w:val="00697053"/>
    <w:rsid w:val="0069732F"/>
    <w:rsid w:val="00697912"/>
    <w:rsid w:val="006A02DC"/>
    <w:rsid w:val="006A0402"/>
    <w:rsid w:val="006A066A"/>
    <w:rsid w:val="006A06CA"/>
    <w:rsid w:val="006A083E"/>
    <w:rsid w:val="006A0D86"/>
    <w:rsid w:val="006A0FFD"/>
    <w:rsid w:val="006A1170"/>
    <w:rsid w:val="006A14A3"/>
    <w:rsid w:val="006A159D"/>
    <w:rsid w:val="006A18BF"/>
    <w:rsid w:val="006A1AD3"/>
    <w:rsid w:val="006A1D3E"/>
    <w:rsid w:val="006A1F58"/>
    <w:rsid w:val="006A242E"/>
    <w:rsid w:val="006A26AB"/>
    <w:rsid w:val="006A298D"/>
    <w:rsid w:val="006A2BB4"/>
    <w:rsid w:val="006A2F80"/>
    <w:rsid w:val="006A3CD3"/>
    <w:rsid w:val="006A3F19"/>
    <w:rsid w:val="006A3FD6"/>
    <w:rsid w:val="006A4076"/>
    <w:rsid w:val="006A436F"/>
    <w:rsid w:val="006A4E5B"/>
    <w:rsid w:val="006A4FA5"/>
    <w:rsid w:val="006A59D8"/>
    <w:rsid w:val="006A5A4B"/>
    <w:rsid w:val="006A62F1"/>
    <w:rsid w:val="006A673F"/>
    <w:rsid w:val="006A6B7B"/>
    <w:rsid w:val="006A6BD1"/>
    <w:rsid w:val="006A7279"/>
    <w:rsid w:val="006A77B1"/>
    <w:rsid w:val="006A7855"/>
    <w:rsid w:val="006A78F8"/>
    <w:rsid w:val="006A7A03"/>
    <w:rsid w:val="006A7C26"/>
    <w:rsid w:val="006A7CD2"/>
    <w:rsid w:val="006A7E27"/>
    <w:rsid w:val="006B010E"/>
    <w:rsid w:val="006B03CA"/>
    <w:rsid w:val="006B0494"/>
    <w:rsid w:val="006B091F"/>
    <w:rsid w:val="006B0B1E"/>
    <w:rsid w:val="006B0CAF"/>
    <w:rsid w:val="006B0ED0"/>
    <w:rsid w:val="006B0EED"/>
    <w:rsid w:val="006B147E"/>
    <w:rsid w:val="006B14F8"/>
    <w:rsid w:val="006B1DF6"/>
    <w:rsid w:val="006B233F"/>
    <w:rsid w:val="006B275E"/>
    <w:rsid w:val="006B28EA"/>
    <w:rsid w:val="006B2B2C"/>
    <w:rsid w:val="006B2DA3"/>
    <w:rsid w:val="006B2FBB"/>
    <w:rsid w:val="006B378A"/>
    <w:rsid w:val="006B3BD5"/>
    <w:rsid w:val="006B4185"/>
    <w:rsid w:val="006B4224"/>
    <w:rsid w:val="006B4493"/>
    <w:rsid w:val="006B453E"/>
    <w:rsid w:val="006B4772"/>
    <w:rsid w:val="006B4B62"/>
    <w:rsid w:val="006B53DC"/>
    <w:rsid w:val="006B5423"/>
    <w:rsid w:val="006B5855"/>
    <w:rsid w:val="006B5AB2"/>
    <w:rsid w:val="006B5BB6"/>
    <w:rsid w:val="006B5BC7"/>
    <w:rsid w:val="006B5C67"/>
    <w:rsid w:val="006B6B5D"/>
    <w:rsid w:val="006B6BF6"/>
    <w:rsid w:val="006B6C0D"/>
    <w:rsid w:val="006B7652"/>
    <w:rsid w:val="006B7A88"/>
    <w:rsid w:val="006C031D"/>
    <w:rsid w:val="006C08D5"/>
    <w:rsid w:val="006C166D"/>
    <w:rsid w:val="006C1818"/>
    <w:rsid w:val="006C1BA7"/>
    <w:rsid w:val="006C1D7E"/>
    <w:rsid w:val="006C1F8B"/>
    <w:rsid w:val="006C2721"/>
    <w:rsid w:val="006C2B18"/>
    <w:rsid w:val="006C2BE5"/>
    <w:rsid w:val="006C316A"/>
    <w:rsid w:val="006C3674"/>
    <w:rsid w:val="006C3868"/>
    <w:rsid w:val="006C38FF"/>
    <w:rsid w:val="006C3E6E"/>
    <w:rsid w:val="006C3EC0"/>
    <w:rsid w:val="006C3EEA"/>
    <w:rsid w:val="006C3F92"/>
    <w:rsid w:val="006C42FA"/>
    <w:rsid w:val="006C43A6"/>
    <w:rsid w:val="006C4694"/>
    <w:rsid w:val="006C4A4A"/>
    <w:rsid w:val="006C4E89"/>
    <w:rsid w:val="006C53EB"/>
    <w:rsid w:val="006C5434"/>
    <w:rsid w:val="006C5D29"/>
    <w:rsid w:val="006C6277"/>
    <w:rsid w:val="006C650D"/>
    <w:rsid w:val="006C69A5"/>
    <w:rsid w:val="006C6F7E"/>
    <w:rsid w:val="006C6FA0"/>
    <w:rsid w:val="006C702F"/>
    <w:rsid w:val="006C7740"/>
    <w:rsid w:val="006D0389"/>
    <w:rsid w:val="006D03CD"/>
    <w:rsid w:val="006D07E5"/>
    <w:rsid w:val="006D0848"/>
    <w:rsid w:val="006D0BA5"/>
    <w:rsid w:val="006D0C15"/>
    <w:rsid w:val="006D0D8B"/>
    <w:rsid w:val="006D0FBF"/>
    <w:rsid w:val="006D10DC"/>
    <w:rsid w:val="006D10F2"/>
    <w:rsid w:val="006D11C4"/>
    <w:rsid w:val="006D1586"/>
    <w:rsid w:val="006D19C1"/>
    <w:rsid w:val="006D258E"/>
    <w:rsid w:val="006D2785"/>
    <w:rsid w:val="006D2827"/>
    <w:rsid w:val="006D2848"/>
    <w:rsid w:val="006D2B19"/>
    <w:rsid w:val="006D2EC9"/>
    <w:rsid w:val="006D336E"/>
    <w:rsid w:val="006D3592"/>
    <w:rsid w:val="006D3A05"/>
    <w:rsid w:val="006D3B62"/>
    <w:rsid w:val="006D3EF8"/>
    <w:rsid w:val="006D3FDF"/>
    <w:rsid w:val="006D4527"/>
    <w:rsid w:val="006D4A72"/>
    <w:rsid w:val="006D4B05"/>
    <w:rsid w:val="006D4F86"/>
    <w:rsid w:val="006D5B35"/>
    <w:rsid w:val="006D5F98"/>
    <w:rsid w:val="006D6237"/>
    <w:rsid w:val="006D6665"/>
    <w:rsid w:val="006D7098"/>
    <w:rsid w:val="006D740E"/>
    <w:rsid w:val="006D779A"/>
    <w:rsid w:val="006D7F72"/>
    <w:rsid w:val="006E00B7"/>
    <w:rsid w:val="006E0E29"/>
    <w:rsid w:val="006E0E5B"/>
    <w:rsid w:val="006E12A0"/>
    <w:rsid w:val="006E154E"/>
    <w:rsid w:val="006E17DD"/>
    <w:rsid w:val="006E1AF3"/>
    <w:rsid w:val="006E2F03"/>
    <w:rsid w:val="006E3023"/>
    <w:rsid w:val="006E3369"/>
    <w:rsid w:val="006E3525"/>
    <w:rsid w:val="006E3D12"/>
    <w:rsid w:val="006E4234"/>
    <w:rsid w:val="006E449C"/>
    <w:rsid w:val="006E4713"/>
    <w:rsid w:val="006E4726"/>
    <w:rsid w:val="006E4A1C"/>
    <w:rsid w:val="006E4E72"/>
    <w:rsid w:val="006E4E82"/>
    <w:rsid w:val="006E50D0"/>
    <w:rsid w:val="006E56FE"/>
    <w:rsid w:val="006E5F41"/>
    <w:rsid w:val="006E643E"/>
    <w:rsid w:val="006E64BD"/>
    <w:rsid w:val="006E663E"/>
    <w:rsid w:val="006E6EDF"/>
    <w:rsid w:val="006E6FEA"/>
    <w:rsid w:val="006E7BA5"/>
    <w:rsid w:val="006E7E8C"/>
    <w:rsid w:val="006F01B0"/>
    <w:rsid w:val="006F01E8"/>
    <w:rsid w:val="006F02D7"/>
    <w:rsid w:val="006F0864"/>
    <w:rsid w:val="006F0EBB"/>
    <w:rsid w:val="006F0FCF"/>
    <w:rsid w:val="006F1177"/>
    <w:rsid w:val="006F174D"/>
    <w:rsid w:val="006F1A6A"/>
    <w:rsid w:val="006F1C00"/>
    <w:rsid w:val="006F1E96"/>
    <w:rsid w:val="006F21C0"/>
    <w:rsid w:val="006F2706"/>
    <w:rsid w:val="006F2990"/>
    <w:rsid w:val="006F2B33"/>
    <w:rsid w:val="006F2D24"/>
    <w:rsid w:val="006F2F8E"/>
    <w:rsid w:val="006F34BB"/>
    <w:rsid w:val="006F352A"/>
    <w:rsid w:val="006F37F7"/>
    <w:rsid w:val="006F3909"/>
    <w:rsid w:val="006F4036"/>
    <w:rsid w:val="006F41CC"/>
    <w:rsid w:val="006F4284"/>
    <w:rsid w:val="006F428E"/>
    <w:rsid w:val="006F48E1"/>
    <w:rsid w:val="006F4B9B"/>
    <w:rsid w:val="006F4CCE"/>
    <w:rsid w:val="006F4FA0"/>
    <w:rsid w:val="006F5096"/>
    <w:rsid w:val="006F5160"/>
    <w:rsid w:val="006F5374"/>
    <w:rsid w:val="006F60DF"/>
    <w:rsid w:val="006F64DE"/>
    <w:rsid w:val="006F6766"/>
    <w:rsid w:val="006F68C1"/>
    <w:rsid w:val="006F6CE2"/>
    <w:rsid w:val="006F6E10"/>
    <w:rsid w:val="006F7A2E"/>
    <w:rsid w:val="006F7A80"/>
    <w:rsid w:val="007004E2"/>
    <w:rsid w:val="00700F4A"/>
    <w:rsid w:val="00700F57"/>
    <w:rsid w:val="007014F8"/>
    <w:rsid w:val="0070150D"/>
    <w:rsid w:val="007016D2"/>
    <w:rsid w:val="007018D8"/>
    <w:rsid w:val="00701979"/>
    <w:rsid w:val="00701C6E"/>
    <w:rsid w:val="007029E8"/>
    <w:rsid w:val="00703107"/>
    <w:rsid w:val="00703138"/>
    <w:rsid w:val="0070315D"/>
    <w:rsid w:val="00703277"/>
    <w:rsid w:val="0070356D"/>
    <w:rsid w:val="007038A6"/>
    <w:rsid w:val="00703981"/>
    <w:rsid w:val="007039A6"/>
    <w:rsid w:val="00703B92"/>
    <w:rsid w:val="00703CD7"/>
    <w:rsid w:val="00703CDF"/>
    <w:rsid w:val="00703D7E"/>
    <w:rsid w:val="00703E73"/>
    <w:rsid w:val="0070495F"/>
    <w:rsid w:val="00704A08"/>
    <w:rsid w:val="00704B6E"/>
    <w:rsid w:val="00704F10"/>
    <w:rsid w:val="00704F73"/>
    <w:rsid w:val="0070508D"/>
    <w:rsid w:val="007052F5"/>
    <w:rsid w:val="0070542E"/>
    <w:rsid w:val="00705849"/>
    <w:rsid w:val="00705949"/>
    <w:rsid w:val="00705A8B"/>
    <w:rsid w:val="00705E33"/>
    <w:rsid w:val="0070604A"/>
    <w:rsid w:val="007060D4"/>
    <w:rsid w:val="0070624C"/>
    <w:rsid w:val="00706451"/>
    <w:rsid w:val="00707724"/>
    <w:rsid w:val="00707E0F"/>
    <w:rsid w:val="007104D4"/>
    <w:rsid w:val="0071068A"/>
    <w:rsid w:val="007106CE"/>
    <w:rsid w:val="00710E19"/>
    <w:rsid w:val="00710E52"/>
    <w:rsid w:val="007114C9"/>
    <w:rsid w:val="0071154B"/>
    <w:rsid w:val="0071174F"/>
    <w:rsid w:val="0071196A"/>
    <w:rsid w:val="007120FD"/>
    <w:rsid w:val="0071243C"/>
    <w:rsid w:val="007129A4"/>
    <w:rsid w:val="007130CA"/>
    <w:rsid w:val="007131CF"/>
    <w:rsid w:val="007133C0"/>
    <w:rsid w:val="00713613"/>
    <w:rsid w:val="007137C6"/>
    <w:rsid w:val="007138FC"/>
    <w:rsid w:val="0071393D"/>
    <w:rsid w:val="00713BEF"/>
    <w:rsid w:val="00713E79"/>
    <w:rsid w:val="00714073"/>
    <w:rsid w:val="00714245"/>
    <w:rsid w:val="00715441"/>
    <w:rsid w:val="00715739"/>
    <w:rsid w:val="0071576C"/>
    <w:rsid w:val="00715C94"/>
    <w:rsid w:val="007165F0"/>
    <w:rsid w:val="0071671B"/>
    <w:rsid w:val="00716759"/>
    <w:rsid w:val="00716A09"/>
    <w:rsid w:val="007170DB"/>
    <w:rsid w:val="00717847"/>
    <w:rsid w:val="00717880"/>
    <w:rsid w:val="00717CA8"/>
    <w:rsid w:val="007205E7"/>
    <w:rsid w:val="007209C4"/>
    <w:rsid w:val="00721E9E"/>
    <w:rsid w:val="00722246"/>
    <w:rsid w:val="0072247D"/>
    <w:rsid w:val="007227FE"/>
    <w:rsid w:val="007233C3"/>
    <w:rsid w:val="007238D7"/>
    <w:rsid w:val="00723C95"/>
    <w:rsid w:val="007244E7"/>
    <w:rsid w:val="0072505F"/>
    <w:rsid w:val="00725261"/>
    <w:rsid w:val="00725B00"/>
    <w:rsid w:val="00725E9F"/>
    <w:rsid w:val="00726012"/>
    <w:rsid w:val="0072680C"/>
    <w:rsid w:val="00726B3D"/>
    <w:rsid w:val="00726C64"/>
    <w:rsid w:val="00727FCC"/>
    <w:rsid w:val="007302C6"/>
    <w:rsid w:val="007307FA"/>
    <w:rsid w:val="007310B7"/>
    <w:rsid w:val="00731237"/>
    <w:rsid w:val="00731245"/>
    <w:rsid w:val="00731A22"/>
    <w:rsid w:val="0073207E"/>
    <w:rsid w:val="00732523"/>
    <w:rsid w:val="00732664"/>
    <w:rsid w:val="007328B9"/>
    <w:rsid w:val="00732BA7"/>
    <w:rsid w:val="007333EA"/>
    <w:rsid w:val="00733601"/>
    <w:rsid w:val="00733A57"/>
    <w:rsid w:val="00733F36"/>
    <w:rsid w:val="00733F6F"/>
    <w:rsid w:val="007340CE"/>
    <w:rsid w:val="00734781"/>
    <w:rsid w:val="007349FC"/>
    <w:rsid w:val="00734B6F"/>
    <w:rsid w:val="00734DFD"/>
    <w:rsid w:val="00734FF5"/>
    <w:rsid w:val="007351A5"/>
    <w:rsid w:val="00735293"/>
    <w:rsid w:val="00735376"/>
    <w:rsid w:val="0073558F"/>
    <w:rsid w:val="007363EA"/>
    <w:rsid w:val="00736A02"/>
    <w:rsid w:val="00736E06"/>
    <w:rsid w:val="00736E37"/>
    <w:rsid w:val="00737286"/>
    <w:rsid w:val="007373DB"/>
    <w:rsid w:val="00737847"/>
    <w:rsid w:val="00737F27"/>
    <w:rsid w:val="00737FD3"/>
    <w:rsid w:val="00740240"/>
    <w:rsid w:val="007403D5"/>
    <w:rsid w:val="007407DB"/>
    <w:rsid w:val="00740AF0"/>
    <w:rsid w:val="00740BFC"/>
    <w:rsid w:val="00740E4A"/>
    <w:rsid w:val="00740F76"/>
    <w:rsid w:val="00741037"/>
    <w:rsid w:val="00741D4D"/>
    <w:rsid w:val="00742088"/>
    <w:rsid w:val="007422B3"/>
    <w:rsid w:val="00742402"/>
    <w:rsid w:val="007424BF"/>
    <w:rsid w:val="00742997"/>
    <w:rsid w:val="00743442"/>
    <w:rsid w:val="007435F1"/>
    <w:rsid w:val="00743DDD"/>
    <w:rsid w:val="00744620"/>
    <w:rsid w:val="00744625"/>
    <w:rsid w:val="007446BB"/>
    <w:rsid w:val="00744AF1"/>
    <w:rsid w:val="00744C06"/>
    <w:rsid w:val="007455BB"/>
    <w:rsid w:val="00745882"/>
    <w:rsid w:val="00745A04"/>
    <w:rsid w:val="00745A0F"/>
    <w:rsid w:val="00745C91"/>
    <w:rsid w:val="00745DFD"/>
    <w:rsid w:val="00746048"/>
    <w:rsid w:val="00746197"/>
    <w:rsid w:val="0074689C"/>
    <w:rsid w:val="00746B3F"/>
    <w:rsid w:val="00747117"/>
    <w:rsid w:val="00747314"/>
    <w:rsid w:val="007473A9"/>
    <w:rsid w:val="007479C2"/>
    <w:rsid w:val="00747B0D"/>
    <w:rsid w:val="00747BB8"/>
    <w:rsid w:val="007501EC"/>
    <w:rsid w:val="007503EA"/>
    <w:rsid w:val="00750C74"/>
    <w:rsid w:val="00751452"/>
    <w:rsid w:val="007521A5"/>
    <w:rsid w:val="00752488"/>
    <w:rsid w:val="00753566"/>
    <w:rsid w:val="00753704"/>
    <w:rsid w:val="00753959"/>
    <w:rsid w:val="00753A39"/>
    <w:rsid w:val="00753DD6"/>
    <w:rsid w:val="00754A4A"/>
    <w:rsid w:val="00754FC1"/>
    <w:rsid w:val="00755466"/>
    <w:rsid w:val="007566FB"/>
    <w:rsid w:val="007567A8"/>
    <w:rsid w:val="00756D6A"/>
    <w:rsid w:val="0075728B"/>
    <w:rsid w:val="007575F6"/>
    <w:rsid w:val="0075761B"/>
    <w:rsid w:val="00760141"/>
    <w:rsid w:val="0076043F"/>
    <w:rsid w:val="00760D17"/>
    <w:rsid w:val="00760E3D"/>
    <w:rsid w:val="00760F66"/>
    <w:rsid w:val="00761150"/>
    <w:rsid w:val="007611F8"/>
    <w:rsid w:val="00761200"/>
    <w:rsid w:val="00761931"/>
    <w:rsid w:val="00761BD1"/>
    <w:rsid w:val="007627BA"/>
    <w:rsid w:val="0076291E"/>
    <w:rsid w:val="00762B16"/>
    <w:rsid w:val="00762C76"/>
    <w:rsid w:val="00762D81"/>
    <w:rsid w:val="0076317B"/>
    <w:rsid w:val="007634D0"/>
    <w:rsid w:val="00763541"/>
    <w:rsid w:val="007643D5"/>
    <w:rsid w:val="0076473C"/>
    <w:rsid w:val="00765366"/>
    <w:rsid w:val="00765914"/>
    <w:rsid w:val="00765F7A"/>
    <w:rsid w:val="0076614D"/>
    <w:rsid w:val="0076624C"/>
    <w:rsid w:val="0076627D"/>
    <w:rsid w:val="00766304"/>
    <w:rsid w:val="007668D4"/>
    <w:rsid w:val="00766AAD"/>
    <w:rsid w:val="00767A28"/>
    <w:rsid w:val="00767DD2"/>
    <w:rsid w:val="00770264"/>
    <w:rsid w:val="0077082B"/>
    <w:rsid w:val="00770E60"/>
    <w:rsid w:val="007710D0"/>
    <w:rsid w:val="00771C8F"/>
    <w:rsid w:val="0077266E"/>
    <w:rsid w:val="0077292E"/>
    <w:rsid w:val="00772A5F"/>
    <w:rsid w:val="00772FED"/>
    <w:rsid w:val="007737D4"/>
    <w:rsid w:val="007737D8"/>
    <w:rsid w:val="0077391C"/>
    <w:rsid w:val="00773D24"/>
    <w:rsid w:val="00774375"/>
    <w:rsid w:val="00774576"/>
    <w:rsid w:val="007745DA"/>
    <w:rsid w:val="007746C2"/>
    <w:rsid w:val="0077508A"/>
    <w:rsid w:val="00775475"/>
    <w:rsid w:val="00775567"/>
    <w:rsid w:val="00775E0D"/>
    <w:rsid w:val="00776343"/>
    <w:rsid w:val="00776416"/>
    <w:rsid w:val="00776C7B"/>
    <w:rsid w:val="00776CEF"/>
    <w:rsid w:val="00777423"/>
    <w:rsid w:val="00777DA3"/>
    <w:rsid w:val="00777E7E"/>
    <w:rsid w:val="00777EFA"/>
    <w:rsid w:val="007804DD"/>
    <w:rsid w:val="00780663"/>
    <w:rsid w:val="00780C09"/>
    <w:rsid w:val="00780EC1"/>
    <w:rsid w:val="00780F3B"/>
    <w:rsid w:val="0078115B"/>
    <w:rsid w:val="007816EE"/>
    <w:rsid w:val="00781C50"/>
    <w:rsid w:val="00781E77"/>
    <w:rsid w:val="00782071"/>
    <w:rsid w:val="00782432"/>
    <w:rsid w:val="00782783"/>
    <w:rsid w:val="00782946"/>
    <w:rsid w:val="00782ECD"/>
    <w:rsid w:val="0078324C"/>
    <w:rsid w:val="007835E1"/>
    <w:rsid w:val="0078363B"/>
    <w:rsid w:val="00783CCF"/>
    <w:rsid w:val="00783F5B"/>
    <w:rsid w:val="00784609"/>
    <w:rsid w:val="00784720"/>
    <w:rsid w:val="0078481D"/>
    <w:rsid w:val="00784D91"/>
    <w:rsid w:val="007855E1"/>
    <w:rsid w:val="007859FC"/>
    <w:rsid w:val="00785B55"/>
    <w:rsid w:val="00785F1E"/>
    <w:rsid w:val="00785F4C"/>
    <w:rsid w:val="0078609C"/>
    <w:rsid w:val="00786355"/>
    <w:rsid w:val="0078678B"/>
    <w:rsid w:val="007867D3"/>
    <w:rsid w:val="00787370"/>
    <w:rsid w:val="007874AE"/>
    <w:rsid w:val="0078750B"/>
    <w:rsid w:val="00787A31"/>
    <w:rsid w:val="00787F5E"/>
    <w:rsid w:val="0079024D"/>
    <w:rsid w:val="00791069"/>
    <w:rsid w:val="007911B8"/>
    <w:rsid w:val="00791DAE"/>
    <w:rsid w:val="007926AF"/>
    <w:rsid w:val="00792872"/>
    <w:rsid w:val="007930E8"/>
    <w:rsid w:val="00793747"/>
    <w:rsid w:val="00793759"/>
    <w:rsid w:val="00793A57"/>
    <w:rsid w:val="00793A9C"/>
    <w:rsid w:val="00793D67"/>
    <w:rsid w:val="00793EF6"/>
    <w:rsid w:val="00793F28"/>
    <w:rsid w:val="007944D2"/>
    <w:rsid w:val="0079457A"/>
    <w:rsid w:val="007945A9"/>
    <w:rsid w:val="00794AC7"/>
    <w:rsid w:val="00794B19"/>
    <w:rsid w:val="00794B83"/>
    <w:rsid w:val="00794FFA"/>
    <w:rsid w:val="00795B8D"/>
    <w:rsid w:val="00795E34"/>
    <w:rsid w:val="00795F0E"/>
    <w:rsid w:val="007961D5"/>
    <w:rsid w:val="00796B21"/>
    <w:rsid w:val="007973B9"/>
    <w:rsid w:val="0079798B"/>
    <w:rsid w:val="00797D8F"/>
    <w:rsid w:val="007A0501"/>
    <w:rsid w:val="007A0C00"/>
    <w:rsid w:val="007A0E15"/>
    <w:rsid w:val="007A137F"/>
    <w:rsid w:val="007A176E"/>
    <w:rsid w:val="007A18A2"/>
    <w:rsid w:val="007A19BF"/>
    <w:rsid w:val="007A1D59"/>
    <w:rsid w:val="007A211D"/>
    <w:rsid w:val="007A23CE"/>
    <w:rsid w:val="007A2A69"/>
    <w:rsid w:val="007A2CF1"/>
    <w:rsid w:val="007A3290"/>
    <w:rsid w:val="007A349D"/>
    <w:rsid w:val="007A3579"/>
    <w:rsid w:val="007A384E"/>
    <w:rsid w:val="007A3DA8"/>
    <w:rsid w:val="007A3EDF"/>
    <w:rsid w:val="007A41B5"/>
    <w:rsid w:val="007A41E2"/>
    <w:rsid w:val="007A4486"/>
    <w:rsid w:val="007A4682"/>
    <w:rsid w:val="007A4DDF"/>
    <w:rsid w:val="007A5879"/>
    <w:rsid w:val="007A58A8"/>
    <w:rsid w:val="007A5B3D"/>
    <w:rsid w:val="007A5BDC"/>
    <w:rsid w:val="007A6194"/>
    <w:rsid w:val="007A6276"/>
    <w:rsid w:val="007A629D"/>
    <w:rsid w:val="007A64DF"/>
    <w:rsid w:val="007A6610"/>
    <w:rsid w:val="007A69FA"/>
    <w:rsid w:val="007A6D51"/>
    <w:rsid w:val="007A6DD3"/>
    <w:rsid w:val="007A6FF3"/>
    <w:rsid w:val="007A70BB"/>
    <w:rsid w:val="007A714F"/>
    <w:rsid w:val="007A7169"/>
    <w:rsid w:val="007A71DC"/>
    <w:rsid w:val="007A76B8"/>
    <w:rsid w:val="007A7963"/>
    <w:rsid w:val="007A7A04"/>
    <w:rsid w:val="007B0043"/>
    <w:rsid w:val="007B04FF"/>
    <w:rsid w:val="007B0976"/>
    <w:rsid w:val="007B0CAC"/>
    <w:rsid w:val="007B149B"/>
    <w:rsid w:val="007B15F3"/>
    <w:rsid w:val="007B1701"/>
    <w:rsid w:val="007B1B5F"/>
    <w:rsid w:val="007B1C32"/>
    <w:rsid w:val="007B1DBB"/>
    <w:rsid w:val="007B1E0F"/>
    <w:rsid w:val="007B2319"/>
    <w:rsid w:val="007B2DBF"/>
    <w:rsid w:val="007B2FBF"/>
    <w:rsid w:val="007B3BCD"/>
    <w:rsid w:val="007B3E13"/>
    <w:rsid w:val="007B4044"/>
    <w:rsid w:val="007B4046"/>
    <w:rsid w:val="007B4300"/>
    <w:rsid w:val="007B4DF0"/>
    <w:rsid w:val="007B4FCE"/>
    <w:rsid w:val="007B520F"/>
    <w:rsid w:val="007B55D5"/>
    <w:rsid w:val="007B5602"/>
    <w:rsid w:val="007B565C"/>
    <w:rsid w:val="007B595F"/>
    <w:rsid w:val="007B5D75"/>
    <w:rsid w:val="007B5E97"/>
    <w:rsid w:val="007B6177"/>
    <w:rsid w:val="007B63C4"/>
    <w:rsid w:val="007B6D5E"/>
    <w:rsid w:val="007B7115"/>
    <w:rsid w:val="007B736B"/>
    <w:rsid w:val="007B7851"/>
    <w:rsid w:val="007C012E"/>
    <w:rsid w:val="007C055A"/>
    <w:rsid w:val="007C0853"/>
    <w:rsid w:val="007C0C90"/>
    <w:rsid w:val="007C0E07"/>
    <w:rsid w:val="007C0E86"/>
    <w:rsid w:val="007C1CD7"/>
    <w:rsid w:val="007C1D04"/>
    <w:rsid w:val="007C21CD"/>
    <w:rsid w:val="007C249E"/>
    <w:rsid w:val="007C26CF"/>
    <w:rsid w:val="007C271B"/>
    <w:rsid w:val="007C2C14"/>
    <w:rsid w:val="007C2D63"/>
    <w:rsid w:val="007C2ECF"/>
    <w:rsid w:val="007C3A55"/>
    <w:rsid w:val="007C3D67"/>
    <w:rsid w:val="007C404B"/>
    <w:rsid w:val="007C4166"/>
    <w:rsid w:val="007C44E1"/>
    <w:rsid w:val="007C479E"/>
    <w:rsid w:val="007C48DD"/>
    <w:rsid w:val="007C4A05"/>
    <w:rsid w:val="007C5711"/>
    <w:rsid w:val="007C57B9"/>
    <w:rsid w:val="007C5969"/>
    <w:rsid w:val="007C5DCA"/>
    <w:rsid w:val="007C6325"/>
    <w:rsid w:val="007C6CAD"/>
    <w:rsid w:val="007C73A3"/>
    <w:rsid w:val="007C7669"/>
    <w:rsid w:val="007C7975"/>
    <w:rsid w:val="007C7CC3"/>
    <w:rsid w:val="007C7EF5"/>
    <w:rsid w:val="007D003E"/>
    <w:rsid w:val="007D0227"/>
    <w:rsid w:val="007D0500"/>
    <w:rsid w:val="007D061F"/>
    <w:rsid w:val="007D06AC"/>
    <w:rsid w:val="007D0741"/>
    <w:rsid w:val="007D09C6"/>
    <w:rsid w:val="007D0A53"/>
    <w:rsid w:val="007D0FFC"/>
    <w:rsid w:val="007D1013"/>
    <w:rsid w:val="007D140E"/>
    <w:rsid w:val="007D1618"/>
    <w:rsid w:val="007D1794"/>
    <w:rsid w:val="007D19AD"/>
    <w:rsid w:val="007D19EC"/>
    <w:rsid w:val="007D1B28"/>
    <w:rsid w:val="007D2608"/>
    <w:rsid w:val="007D30C3"/>
    <w:rsid w:val="007D315E"/>
    <w:rsid w:val="007D3351"/>
    <w:rsid w:val="007D35AC"/>
    <w:rsid w:val="007D36B1"/>
    <w:rsid w:val="007D36D7"/>
    <w:rsid w:val="007D3796"/>
    <w:rsid w:val="007D3BA1"/>
    <w:rsid w:val="007D3EC8"/>
    <w:rsid w:val="007D3FAA"/>
    <w:rsid w:val="007D4074"/>
    <w:rsid w:val="007D40AC"/>
    <w:rsid w:val="007D4317"/>
    <w:rsid w:val="007D45D6"/>
    <w:rsid w:val="007D4C12"/>
    <w:rsid w:val="007D4E34"/>
    <w:rsid w:val="007D57E0"/>
    <w:rsid w:val="007D5962"/>
    <w:rsid w:val="007D5A2B"/>
    <w:rsid w:val="007D6213"/>
    <w:rsid w:val="007D63B2"/>
    <w:rsid w:val="007D651D"/>
    <w:rsid w:val="007D6FEE"/>
    <w:rsid w:val="007D71B7"/>
    <w:rsid w:val="007D73D5"/>
    <w:rsid w:val="007D7C66"/>
    <w:rsid w:val="007D7CF3"/>
    <w:rsid w:val="007D7DC0"/>
    <w:rsid w:val="007E0274"/>
    <w:rsid w:val="007E02A7"/>
    <w:rsid w:val="007E0358"/>
    <w:rsid w:val="007E0415"/>
    <w:rsid w:val="007E0991"/>
    <w:rsid w:val="007E0B2C"/>
    <w:rsid w:val="007E0BD1"/>
    <w:rsid w:val="007E0F93"/>
    <w:rsid w:val="007E107F"/>
    <w:rsid w:val="007E22C2"/>
    <w:rsid w:val="007E2463"/>
    <w:rsid w:val="007E264C"/>
    <w:rsid w:val="007E2FD7"/>
    <w:rsid w:val="007E310B"/>
    <w:rsid w:val="007E3275"/>
    <w:rsid w:val="007E38DA"/>
    <w:rsid w:val="007E3D65"/>
    <w:rsid w:val="007E3EE2"/>
    <w:rsid w:val="007E47E7"/>
    <w:rsid w:val="007E4A98"/>
    <w:rsid w:val="007E4EB6"/>
    <w:rsid w:val="007E5DD7"/>
    <w:rsid w:val="007E6228"/>
    <w:rsid w:val="007E6636"/>
    <w:rsid w:val="007E6A2D"/>
    <w:rsid w:val="007E6FB9"/>
    <w:rsid w:val="007E709D"/>
    <w:rsid w:val="007E7139"/>
    <w:rsid w:val="007E7366"/>
    <w:rsid w:val="007E7499"/>
    <w:rsid w:val="007E7805"/>
    <w:rsid w:val="007E7EA1"/>
    <w:rsid w:val="007E7EA4"/>
    <w:rsid w:val="007E7FC5"/>
    <w:rsid w:val="007F03CE"/>
    <w:rsid w:val="007F04D3"/>
    <w:rsid w:val="007F0F0B"/>
    <w:rsid w:val="007F113C"/>
    <w:rsid w:val="007F137D"/>
    <w:rsid w:val="007F17B5"/>
    <w:rsid w:val="007F182A"/>
    <w:rsid w:val="007F234A"/>
    <w:rsid w:val="007F25BA"/>
    <w:rsid w:val="007F2D8D"/>
    <w:rsid w:val="007F2EBF"/>
    <w:rsid w:val="007F3044"/>
    <w:rsid w:val="007F3249"/>
    <w:rsid w:val="007F36DC"/>
    <w:rsid w:val="007F3704"/>
    <w:rsid w:val="007F4657"/>
    <w:rsid w:val="007F4A02"/>
    <w:rsid w:val="007F532F"/>
    <w:rsid w:val="007F5609"/>
    <w:rsid w:val="007F5625"/>
    <w:rsid w:val="007F568A"/>
    <w:rsid w:val="007F59F7"/>
    <w:rsid w:val="007F5E21"/>
    <w:rsid w:val="007F6413"/>
    <w:rsid w:val="007F676E"/>
    <w:rsid w:val="007F6B11"/>
    <w:rsid w:val="007F6E2B"/>
    <w:rsid w:val="007F7D12"/>
    <w:rsid w:val="007F7F02"/>
    <w:rsid w:val="0080005F"/>
    <w:rsid w:val="00800258"/>
    <w:rsid w:val="00800C97"/>
    <w:rsid w:val="00801C16"/>
    <w:rsid w:val="0080220F"/>
    <w:rsid w:val="008022B6"/>
    <w:rsid w:val="008026A7"/>
    <w:rsid w:val="00802735"/>
    <w:rsid w:val="00802770"/>
    <w:rsid w:val="008028C2"/>
    <w:rsid w:val="00802DDB"/>
    <w:rsid w:val="00802FC1"/>
    <w:rsid w:val="00803445"/>
    <w:rsid w:val="008037D8"/>
    <w:rsid w:val="00803B7E"/>
    <w:rsid w:val="00803DA6"/>
    <w:rsid w:val="00803FB9"/>
    <w:rsid w:val="008040D9"/>
    <w:rsid w:val="0080436E"/>
    <w:rsid w:val="0080473B"/>
    <w:rsid w:val="00804937"/>
    <w:rsid w:val="00804C02"/>
    <w:rsid w:val="00804C07"/>
    <w:rsid w:val="00804E1E"/>
    <w:rsid w:val="00804E43"/>
    <w:rsid w:val="008050F5"/>
    <w:rsid w:val="0080519C"/>
    <w:rsid w:val="0080553F"/>
    <w:rsid w:val="0080571C"/>
    <w:rsid w:val="0080582F"/>
    <w:rsid w:val="00805B7A"/>
    <w:rsid w:val="00805C55"/>
    <w:rsid w:val="00805E3C"/>
    <w:rsid w:val="00805E48"/>
    <w:rsid w:val="00806036"/>
    <w:rsid w:val="00806397"/>
    <w:rsid w:val="00806552"/>
    <w:rsid w:val="008070C1"/>
    <w:rsid w:val="00807ADD"/>
    <w:rsid w:val="008108E5"/>
    <w:rsid w:val="00810BC2"/>
    <w:rsid w:val="00810C1E"/>
    <w:rsid w:val="00811647"/>
    <w:rsid w:val="00811683"/>
    <w:rsid w:val="008116CC"/>
    <w:rsid w:val="00811AFF"/>
    <w:rsid w:val="00812373"/>
    <w:rsid w:val="00812C7C"/>
    <w:rsid w:val="00812D30"/>
    <w:rsid w:val="00813394"/>
    <w:rsid w:val="00813677"/>
    <w:rsid w:val="00813CAF"/>
    <w:rsid w:val="00813F3A"/>
    <w:rsid w:val="008140E8"/>
    <w:rsid w:val="008148D4"/>
    <w:rsid w:val="0081491F"/>
    <w:rsid w:val="00814941"/>
    <w:rsid w:val="00814A65"/>
    <w:rsid w:val="00814BD9"/>
    <w:rsid w:val="008158AC"/>
    <w:rsid w:val="00815BEC"/>
    <w:rsid w:val="00815F76"/>
    <w:rsid w:val="008161B8"/>
    <w:rsid w:val="00816805"/>
    <w:rsid w:val="00816BE8"/>
    <w:rsid w:val="00816CD5"/>
    <w:rsid w:val="00816DBD"/>
    <w:rsid w:val="00816FE2"/>
    <w:rsid w:val="00817062"/>
    <w:rsid w:val="0081739E"/>
    <w:rsid w:val="0081785D"/>
    <w:rsid w:val="00817991"/>
    <w:rsid w:val="00817F58"/>
    <w:rsid w:val="008203C5"/>
    <w:rsid w:val="00820684"/>
    <w:rsid w:val="00820B84"/>
    <w:rsid w:val="00821748"/>
    <w:rsid w:val="0082199B"/>
    <w:rsid w:val="00821C2A"/>
    <w:rsid w:val="00821C61"/>
    <w:rsid w:val="00822350"/>
    <w:rsid w:val="008227B7"/>
    <w:rsid w:val="008230E9"/>
    <w:rsid w:val="008238E7"/>
    <w:rsid w:val="00823915"/>
    <w:rsid w:val="008243A8"/>
    <w:rsid w:val="00824925"/>
    <w:rsid w:val="00824C8B"/>
    <w:rsid w:val="008252E8"/>
    <w:rsid w:val="00825BA8"/>
    <w:rsid w:val="00825C14"/>
    <w:rsid w:val="00826313"/>
    <w:rsid w:val="0082641D"/>
    <w:rsid w:val="008267CA"/>
    <w:rsid w:val="0082691A"/>
    <w:rsid w:val="00826ADE"/>
    <w:rsid w:val="00826E45"/>
    <w:rsid w:val="008270EE"/>
    <w:rsid w:val="0082722B"/>
    <w:rsid w:val="0082745B"/>
    <w:rsid w:val="00827C1B"/>
    <w:rsid w:val="00827F76"/>
    <w:rsid w:val="00827FF9"/>
    <w:rsid w:val="00830048"/>
    <w:rsid w:val="0083016B"/>
    <w:rsid w:val="008301F1"/>
    <w:rsid w:val="00830235"/>
    <w:rsid w:val="008303F1"/>
    <w:rsid w:val="008306AB"/>
    <w:rsid w:val="00830C0E"/>
    <w:rsid w:val="00830DD6"/>
    <w:rsid w:val="008313E0"/>
    <w:rsid w:val="008317EC"/>
    <w:rsid w:val="0083195D"/>
    <w:rsid w:val="00831B7B"/>
    <w:rsid w:val="00831D90"/>
    <w:rsid w:val="00832485"/>
    <w:rsid w:val="008324F3"/>
    <w:rsid w:val="00832691"/>
    <w:rsid w:val="008327F2"/>
    <w:rsid w:val="0083296B"/>
    <w:rsid w:val="00832B8A"/>
    <w:rsid w:val="00833547"/>
    <w:rsid w:val="00833852"/>
    <w:rsid w:val="00833967"/>
    <w:rsid w:val="00833AB9"/>
    <w:rsid w:val="00833B62"/>
    <w:rsid w:val="0083407C"/>
    <w:rsid w:val="0083436A"/>
    <w:rsid w:val="00834820"/>
    <w:rsid w:val="00834A6D"/>
    <w:rsid w:val="00834C82"/>
    <w:rsid w:val="00834DB6"/>
    <w:rsid w:val="00834F93"/>
    <w:rsid w:val="00835063"/>
    <w:rsid w:val="00835F72"/>
    <w:rsid w:val="00840C4A"/>
    <w:rsid w:val="00841029"/>
    <w:rsid w:val="00841133"/>
    <w:rsid w:val="008411B9"/>
    <w:rsid w:val="0084122F"/>
    <w:rsid w:val="00841573"/>
    <w:rsid w:val="00841D08"/>
    <w:rsid w:val="00842A0F"/>
    <w:rsid w:val="00842CB6"/>
    <w:rsid w:val="00842D43"/>
    <w:rsid w:val="0084323E"/>
    <w:rsid w:val="00843D50"/>
    <w:rsid w:val="008441D9"/>
    <w:rsid w:val="0084464E"/>
    <w:rsid w:val="008458BF"/>
    <w:rsid w:val="008461BA"/>
    <w:rsid w:val="00846262"/>
    <w:rsid w:val="00846370"/>
    <w:rsid w:val="008463E8"/>
    <w:rsid w:val="00847665"/>
    <w:rsid w:val="008478B7"/>
    <w:rsid w:val="00847925"/>
    <w:rsid w:val="00847BC5"/>
    <w:rsid w:val="00847F11"/>
    <w:rsid w:val="00850010"/>
    <w:rsid w:val="008503F4"/>
    <w:rsid w:val="008504A0"/>
    <w:rsid w:val="00850996"/>
    <w:rsid w:val="00850AC1"/>
    <w:rsid w:val="00850C2A"/>
    <w:rsid w:val="00850DFA"/>
    <w:rsid w:val="00851331"/>
    <w:rsid w:val="008516D1"/>
    <w:rsid w:val="00851CC8"/>
    <w:rsid w:val="00852003"/>
    <w:rsid w:val="0085212C"/>
    <w:rsid w:val="0085223F"/>
    <w:rsid w:val="008525FE"/>
    <w:rsid w:val="00852708"/>
    <w:rsid w:val="008529FD"/>
    <w:rsid w:val="00852F9E"/>
    <w:rsid w:val="00854053"/>
    <w:rsid w:val="008543AC"/>
    <w:rsid w:val="008548B8"/>
    <w:rsid w:val="00854965"/>
    <w:rsid w:val="008554D1"/>
    <w:rsid w:val="00855897"/>
    <w:rsid w:val="008558E0"/>
    <w:rsid w:val="00856456"/>
    <w:rsid w:val="00856570"/>
    <w:rsid w:val="008568BD"/>
    <w:rsid w:val="008569E0"/>
    <w:rsid w:val="008570C0"/>
    <w:rsid w:val="0085745B"/>
    <w:rsid w:val="00857AF7"/>
    <w:rsid w:val="00857BE5"/>
    <w:rsid w:val="00860109"/>
    <w:rsid w:val="008601BD"/>
    <w:rsid w:val="00860324"/>
    <w:rsid w:val="00860359"/>
    <w:rsid w:val="00860942"/>
    <w:rsid w:val="00860C5B"/>
    <w:rsid w:val="00860E43"/>
    <w:rsid w:val="00861252"/>
    <w:rsid w:val="008612CB"/>
    <w:rsid w:val="0086171A"/>
    <w:rsid w:val="0086226C"/>
    <w:rsid w:val="008629A1"/>
    <w:rsid w:val="008637E1"/>
    <w:rsid w:val="00863AA8"/>
    <w:rsid w:val="00863B23"/>
    <w:rsid w:val="00863C07"/>
    <w:rsid w:val="00863DD4"/>
    <w:rsid w:val="008640B7"/>
    <w:rsid w:val="00864379"/>
    <w:rsid w:val="008644A4"/>
    <w:rsid w:val="0086476A"/>
    <w:rsid w:val="00864A6C"/>
    <w:rsid w:val="00864B5C"/>
    <w:rsid w:val="00864BB1"/>
    <w:rsid w:val="00864DF7"/>
    <w:rsid w:val="00865278"/>
    <w:rsid w:val="008654F9"/>
    <w:rsid w:val="008658C0"/>
    <w:rsid w:val="00865DB2"/>
    <w:rsid w:val="00866388"/>
    <w:rsid w:val="008666E8"/>
    <w:rsid w:val="0086676C"/>
    <w:rsid w:val="00866FE3"/>
    <w:rsid w:val="0086716F"/>
    <w:rsid w:val="0086722D"/>
    <w:rsid w:val="00867459"/>
    <w:rsid w:val="00867D56"/>
    <w:rsid w:val="00867D70"/>
    <w:rsid w:val="0087018F"/>
    <w:rsid w:val="0087051D"/>
    <w:rsid w:val="00870646"/>
    <w:rsid w:val="008706C3"/>
    <w:rsid w:val="00870BAA"/>
    <w:rsid w:val="00870D91"/>
    <w:rsid w:val="008710C1"/>
    <w:rsid w:val="008716D1"/>
    <w:rsid w:val="008716ED"/>
    <w:rsid w:val="008718AD"/>
    <w:rsid w:val="0087193F"/>
    <w:rsid w:val="008724E6"/>
    <w:rsid w:val="008728C8"/>
    <w:rsid w:val="0087317F"/>
    <w:rsid w:val="00873205"/>
    <w:rsid w:val="008735E8"/>
    <w:rsid w:val="00873662"/>
    <w:rsid w:val="0087377E"/>
    <w:rsid w:val="00873A1D"/>
    <w:rsid w:val="008741EE"/>
    <w:rsid w:val="008742F7"/>
    <w:rsid w:val="00874594"/>
    <w:rsid w:val="00874776"/>
    <w:rsid w:val="0087487C"/>
    <w:rsid w:val="00874A07"/>
    <w:rsid w:val="00874B75"/>
    <w:rsid w:val="00874DCF"/>
    <w:rsid w:val="00874F2B"/>
    <w:rsid w:val="00875007"/>
    <w:rsid w:val="008750DB"/>
    <w:rsid w:val="008751B4"/>
    <w:rsid w:val="0087527F"/>
    <w:rsid w:val="008754B5"/>
    <w:rsid w:val="00875AF3"/>
    <w:rsid w:val="008765E9"/>
    <w:rsid w:val="00876605"/>
    <w:rsid w:val="00876B13"/>
    <w:rsid w:val="00876E47"/>
    <w:rsid w:val="00877940"/>
    <w:rsid w:val="00877A52"/>
    <w:rsid w:val="00877B67"/>
    <w:rsid w:val="00880017"/>
    <w:rsid w:val="00880305"/>
    <w:rsid w:val="0088088A"/>
    <w:rsid w:val="00880A3F"/>
    <w:rsid w:val="00880EE2"/>
    <w:rsid w:val="00881155"/>
    <w:rsid w:val="008813BC"/>
    <w:rsid w:val="00881604"/>
    <w:rsid w:val="008816EE"/>
    <w:rsid w:val="00881732"/>
    <w:rsid w:val="008818A2"/>
    <w:rsid w:val="008818AC"/>
    <w:rsid w:val="00881B6D"/>
    <w:rsid w:val="00881FF9"/>
    <w:rsid w:val="0088213D"/>
    <w:rsid w:val="008821C6"/>
    <w:rsid w:val="0088243D"/>
    <w:rsid w:val="0088251A"/>
    <w:rsid w:val="00882530"/>
    <w:rsid w:val="00882D28"/>
    <w:rsid w:val="008836B1"/>
    <w:rsid w:val="00883A35"/>
    <w:rsid w:val="00883A67"/>
    <w:rsid w:val="00883E35"/>
    <w:rsid w:val="00884319"/>
    <w:rsid w:val="008848E9"/>
    <w:rsid w:val="00884B74"/>
    <w:rsid w:val="00884FD8"/>
    <w:rsid w:val="00885244"/>
    <w:rsid w:val="008857C7"/>
    <w:rsid w:val="008858B3"/>
    <w:rsid w:val="00885BF6"/>
    <w:rsid w:val="00885EAD"/>
    <w:rsid w:val="008866CF"/>
    <w:rsid w:val="00886782"/>
    <w:rsid w:val="008867F7"/>
    <w:rsid w:val="008869A1"/>
    <w:rsid w:val="00886B3F"/>
    <w:rsid w:val="00887756"/>
    <w:rsid w:val="008878B9"/>
    <w:rsid w:val="0089015D"/>
    <w:rsid w:val="0089021A"/>
    <w:rsid w:val="0089022E"/>
    <w:rsid w:val="00890475"/>
    <w:rsid w:val="00890A7C"/>
    <w:rsid w:val="00890CE5"/>
    <w:rsid w:val="00890D11"/>
    <w:rsid w:val="00891095"/>
    <w:rsid w:val="008910EE"/>
    <w:rsid w:val="00891A26"/>
    <w:rsid w:val="00891BCE"/>
    <w:rsid w:val="008921A8"/>
    <w:rsid w:val="008923F8"/>
    <w:rsid w:val="008928F1"/>
    <w:rsid w:val="00892BBF"/>
    <w:rsid w:val="00892DB5"/>
    <w:rsid w:val="0089314F"/>
    <w:rsid w:val="0089387F"/>
    <w:rsid w:val="00893F27"/>
    <w:rsid w:val="00893F8F"/>
    <w:rsid w:val="008942BD"/>
    <w:rsid w:val="008945D8"/>
    <w:rsid w:val="00894654"/>
    <w:rsid w:val="0089478A"/>
    <w:rsid w:val="0089480A"/>
    <w:rsid w:val="00894B91"/>
    <w:rsid w:val="00894D46"/>
    <w:rsid w:val="00894EF0"/>
    <w:rsid w:val="00894FE5"/>
    <w:rsid w:val="00895658"/>
    <w:rsid w:val="008956DA"/>
    <w:rsid w:val="00895BA9"/>
    <w:rsid w:val="00895D44"/>
    <w:rsid w:val="00895D79"/>
    <w:rsid w:val="0089601B"/>
    <w:rsid w:val="0089655D"/>
    <w:rsid w:val="00896784"/>
    <w:rsid w:val="00896C56"/>
    <w:rsid w:val="00897051"/>
    <w:rsid w:val="00897824"/>
    <w:rsid w:val="00897BCB"/>
    <w:rsid w:val="00897C07"/>
    <w:rsid w:val="00897DBA"/>
    <w:rsid w:val="008A02FA"/>
    <w:rsid w:val="008A06A8"/>
    <w:rsid w:val="008A0BCE"/>
    <w:rsid w:val="008A0E6C"/>
    <w:rsid w:val="008A1187"/>
    <w:rsid w:val="008A1AAC"/>
    <w:rsid w:val="008A204E"/>
    <w:rsid w:val="008A2081"/>
    <w:rsid w:val="008A20CA"/>
    <w:rsid w:val="008A21A9"/>
    <w:rsid w:val="008A239B"/>
    <w:rsid w:val="008A25DA"/>
    <w:rsid w:val="008A28B6"/>
    <w:rsid w:val="008A2956"/>
    <w:rsid w:val="008A2B59"/>
    <w:rsid w:val="008A2B69"/>
    <w:rsid w:val="008A2BE6"/>
    <w:rsid w:val="008A2EA1"/>
    <w:rsid w:val="008A2EF6"/>
    <w:rsid w:val="008A325B"/>
    <w:rsid w:val="008A332F"/>
    <w:rsid w:val="008A3480"/>
    <w:rsid w:val="008A3642"/>
    <w:rsid w:val="008A3C36"/>
    <w:rsid w:val="008A4F3C"/>
    <w:rsid w:val="008A51AD"/>
    <w:rsid w:val="008A53BA"/>
    <w:rsid w:val="008A551D"/>
    <w:rsid w:val="008A56BA"/>
    <w:rsid w:val="008A570A"/>
    <w:rsid w:val="008A58E4"/>
    <w:rsid w:val="008A58E7"/>
    <w:rsid w:val="008A5945"/>
    <w:rsid w:val="008A595E"/>
    <w:rsid w:val="008A5C1D"/>
    <w:rsid w:val="008A5C9E"/>
    <w:rsid w:val="008A5E85"/>
    <w:rsid w:val="008A615A"/>
    <w:rsid w:val="008A6255"/>
    <w:rsid w:val="008A6357"/>
    <w:rsid w:val="008A64AA"/>
    <w:rsid w:val="008A650C"/>
    <w:rsid w:val="008A659A"/>
    <w:rsid w:val="008A66E1"/>
    <w:rsid w:val="008A66E8"/>
    <w:rsid w:val="008A6A36"/>
    <w:rsid w:val="008A6CB9"/>
    <w:rsid w:val="008A6DC1"/>
    <w:rsid w:val="008A6DD4"/>
    <w:rsid w:val="008A7083"/>
    <w:rsid w:val="008A7100"/>
    <w:rsid w:val="008A7139"/>
    <w:rsid w:val="008A7387"/>
    <w:rsid w:val="008A776D"/>
    <w:rsid w:val="008A7BE8"/>
    <w:rsid w:val="008A7C74"/>
    <w:rsid w:val="008B003F"/>
    <w:rsid w:val="008B03BD"/>
    <w:rsid w:val="008B04C0"/>
    <w:rsid w:val="008B04FC"/>
    <w:rsid w:val="008B09E1"/>
    <w:rsid w:val="008B0A83"/>
    <w:rsid w:val="008B0DCF"/>
    <w:rsid w:val="008B0E93"/>
    <w:rsid w:val="008B0F7E"/>
    <w:rsid w:val="008B0F8D"/>
    <w:rsid w:val="008B198D"/>
    <w:rsid w:val="008B1FC5"/>
    <w:rsid w:val="008B23A8"/>
    <w:rsid w:val="008B24AB"/>
    <w:rsid w:val="008B2645"/>
    <w:rsid w:val="008B29A4"/>
    <w:rsid w:val="008B2BB4"/>
    <w:rsid w:val="008B2C30"/>
    <w:rsid w:val="008B320E"/>
    <w:rsid w:val="008B36FB"/>
    <w:rsid w:val="008B3C2B"/>
    <w:rsid w:val="008B4679"/>
    <w:rsid w:val="008B494B"/>
    <w:rsid w:val="008B4D00"/>
    <w:rsid w:val="008B4D13"/>
    <w:rsid w:val="008B4E78"/>
    <w:rsid w:val="008B4FE2"/>
    <w:rsid w:val="008B53A1"/>
    <w:rsid w:val="008B5C7B"/>
    <w:rsid w:val="008B61A1"/>
    <w:rsid w:val="008B66EE"/>
    <w:rsid w:val="008B6793"/>
    <w:rsid w:val="008B6E87"/>
    <w:rsid w:val="008B7588"/>
    <w:rsid w:val="008B75C2"/>
    <w:rsid w:val="008B787A"/>
    <w:rsid w:val="008B7921"/>
    <w:rsid w:val="008C077D"/>
    <w:rsid w:val="008C09DB"/>
    <w:rsid w:val="008C0A89"/>
    <w:rsid w:val="008C0CBD"/>
    <w:rsid w:val="008C0E71"/>
    <w:rsid w:val="008C17D1"/>
    <w:rsid w:val="008C1852"/>
    <w:rsid w:val="008C29AF"/>
    <w:rsid w:val="008C2AF0"/>
    <w:rsid w:val="008C2CFF"/>
    <w:rsid w:val="008C2E1E"/>
    <w:rsid w:val="008C2E22"/>
    <w:rsid w:val="008C2E93"/>
    <w:rsid w:val="008C2ED2"/>
    <w:rsid w:val="008C2EE2"/>
    <w:rsid w:val="008C3BD8"/>
    <w:rsid w:val="008C3D4D"/>
    <w:rsid w:val="008C4026"/>
    <w:rsid w:val="008C417E"/>
    <w:rsid w:val="008C5B51"/>
    <w:rsid w:val="008C5F0A"/>
    <w:rsid w:val="008C6105"/>
    <w:rsid w:val="008C6124"/>
    <w:rsid w:val="008C6334"/>
    <w:rsid w:val="008C66BD"/>
    <w:rsid w:val="008C6968"/>
    <w:rsid w:val="008C6DA1"/>
    <w:rsid w:val="008C742A"/>
    <w:rsid w:val="008C74C7"/>
    <w:rsid w:val="008C7648"/>
    <w:rsid w:val="008C76A5"/>
    <w:rsid w:val="008C76D5"/>
    <w:rsid w:val="008C7714"/>
    <w:rsid w:val="008C7F4F"/>
    <w:rsid w:val="008D007F"/>
    <w:rsid w:val="008D00F3"/>
    <w:rsid w:val="008D03C3"/>
    <w:rsid w:val="008D07D7"/>
    <w:rsid w:val="008D0F27"/>
    <w:rsid w:val="008D11F0"/>
    <w:rsid w:val="008D15A2"/>
    <w:rsid w:val="008D1839"/>
    <w:rsid w:val="008D18CD"/>
    <w:rsid w:val="008D1C12"/>
    <w:rsid w:val="008D1F4E"/>
    <w:rsid w:val="008D1F86"/>
    <w:rsid w:val="008D20E0"/>
    <w:rsid w:val="008D2126"/>
    <w:rsid w:val="008D2B6E"/>
    <w:rsid w:val="008D335C"/>
    <w:rsid w:val="008D341F"/>
    <w:rsid w:val="008D35B7"/>
    <w:rsid w:val="008D3D10"/>
    <w:rsid w:val="008D4007"/>
    <w:rsid w:val="008D436A"/>
    <w:rsid w:val="008D46D3"/>
    <w:rsid w:val="008D4C72"/>
    <w:rsid w:val="008D4CF8"/>
    <w:rsid w:val="008D5291"/>
    <w:rsid w:val="008D5368"/>
    <w:rsid w:val="008D561B"/>
    <w:rsid w:val="008D582B"/>
    <w:rsid w:val="008D5CF9"/>
    <w:rsid w:val="008D5D0A"/>
    <w:rsid w:val="008D6794"/>
    <w:rsid w:val="008D6F61"/>
    <w:rsid w:val="008D7282"/>
    <w:rsid w:val="008D77AE"/>
    <w:rsid w:val="008D7F65"/>
    <w:rsid w:val="008E004A"/>
    <w:rsid w:val="008E0178"/>
    <w:rsid w:val="008E02F8"/>
    <w:rsid w:val="008E089B"/>
    <w:rsid w:val="008E12AF"/>
    <w:rsid w:val="008E1342"/>
    <w:rsid w:val="008E17F3"/>
    <w:rsid w:val="008E1DC9"/>
    <w:rsid w:val="008E1F11"/>
    <w:rsid w:val="008E211C"/>
    <w:rsid w:val="008E24E4"/>
    <w:rsid w:val="008E25C5"/>
    <w:rsid w:val="008E26AB"/>
    <w:rsid w:val="008E28EC"/>
    <w:rsid w:val="008E2BB3"/>
    <w:rsid w:val="008E2BC5"/>
    <w:rsid w:val="008E2C79"/>
    <w:rsid w:val="008E3176"/>
    <w:rsid w:val="008E3564"/>
    <w:rsid w:val="008E3A0B"/>
    <w:rsid w:val="008E3A90"/>
    <w:rsid w:val="008E3AAB"/>
    <w:rsid w:val="008E4043"/>
    <w:rsid w:val="008E42BF"/>
    <w:rsid w:val="008E4520"/>
    <w:rsid w:val="008E4F0F"/>
    <w:rsid w:val="008E54E8"/>
    <w:rsid w:val="008E5740"/>
    <w:rsid w:val="008E5868"/>
    <w:rsid w:val="008E5ADB"/>
    <w:rsid w:val="008E5DC8"/>
    <w:rsid w:val="008E5F70"/>
    <w:rsid w:val="008E6465"/>
    <w:rsid w:val="008E6C57"/>
    <w:rsid w:val="008E6FEF"/>
    <w:rsid w:val="008E7082"/>
    <w:rsid w:val="008E725B"/>
    <w:rsid w:val="008E72AF"/>
    <w:rsid w:val="008F0062"/>
    <w:rsid w:val="008F069E"/>
    <w:rsid w:val="008F0952"/>
    <w:rsid w:val="008F1154"/>
    <w:rsid w:val="008F1B84"/>
    <w:rsid w:val="008F1B9D"/>
    <w:rsid w:val="008F1DB6"/>
    <w:rsid w:val="008F337C"/>
    <w:rsid w:val="008F33A8"/>
    <w:rsid w:val="008F3563"/>
    <w:rsid w:val="008F39C0"/>
    <w:rsid w:val="008F39E4"/>
    <w:rsid w:val="008F408D"/>
    <w:rsid w:val="008F4E63"/>
    <w:rsid w:val="008F57CD"/>
    <w:rsid w:val="008F5960"/>
    <w:rsid w:val="008F5CD0"/>
    <w:rsid w:val="008F629A"/>
    <w:rsid w:val="008F6422"/>
    <w:rsid w:val="008F648A"/>
    <w:rsid w:val="008F6A9B"/>
    <w:rsid w:val="008F6AC5"/>
    <w:rsid w:val="008F6AFD"/>
    <w:rsid w:val="008F6D66"/>
    <w:rsid w:val="008F6F03"/>
    <w:rsid w:val="008F7603"/>
    <w:rsid w:val="008F769D"/>
    <w:rsid w:val="008F76B7"/>
    <w:rsid w:val="008F76D4"/>
    <w:rsid w:val="008F76DC"/>
    <w:rsid w:val="008F7AC2"/>
    <w:rsid w:val="008F7D2F"/>
    <w:rsid w:val="009001BF"/>
    <w:rsid w:val="00900201"/>
    <w:rsid w:val="00900274"/>
    <w:rsid w:val="0090066C"/>
    <w:rsid w:val="00900DF7"/>
    <w:rsid w:val="009013C5"/>
    <w:rsid w:val="0090147B"/>
    <w:rsid w:val="00901499"/>
    <w:rsid w:val="00901649"/>
    <w:rsid w:val="009019D7"/>
    <w:rsid w:val="00901AB6"/>
    <w:rsid w:val="00901CBA"/>
    <w:rsid w:val="00901CBF"/>
    <w:rsid w:val="00901DC6"/>
    <w:rsid w:val="009021DC"/>
    <w:rsid w:val="0090254E"/>
    <w:rsid w:val="00903026"/>
    <w:rsid w:val="009030A8"/>
    <w:rsid w:val="0090313D"/>
    <w:rsid w:val="0090357B"/>
    <w:rsid w:val="009036DC"/>
    <w:rsid w:val="00903832"/>
    <w:rsid w:val="00903A97"/>
    <w:rsid w:val="009042D0"/>
    <w:rsid w:val="009044BE"/>
    <w:rsid w:val="009046B1"/>
    <w:rsid w:val="009048EB"/>
    <w:rsid w:val="00904913"/>
    <w:rsid w:val="009049AC"/>
    <w:rsid w:val="00904B73"/>
    <w:rsid w:val="00904B8A"/>
    <w:rsid w:val="00904C15"/>
    <w:rsid w:val="009050B3"/>
    <w:rsid w:val="00905298"/>
    <w:rsid w:val="00905593"/>
    <w:rsid w:val="00905945"/>
    <w:rsid w:val="00905FEB"/>
    <w:rsid w:val="00906164"/>
    <w:rsid w:val="00906252"/>
    <w:rsid w:val="0090672E"/>
    <w:rsid w:val="009067F3"/>
    <w:rsid w:val="009068C6"/>
    <w:rsid w:val="00906A4F"/>
    <w:rsid w:val="00906BD6"/>
    <w:rsid w:val="00906EFF"/>
    <w:rsid w:val="00907074"/>
    <w:rsid w:val="009073C7"/>
    <w:rsid w:val="009078B7"/>
    <w:rsid w:val="009078BA"/>
    <w:rsid w:val="009079C7"/>
    <w:rsid w:val="009079F7"/>
    <w:rsid w:val="00907B44"/>
    <w:rsid w:val="00907B56"/>
    <w:rsid w:val="00907C33"/>
    <w:rsid w:val="009108D2"/>
    <w:rsid w:val="00910C20"/>
    <w:rsid w:val="00910FE1"/>
    <w:rsid w:val="00910FE6"/>
    <w:rsid w:val="0091106A"/>
    <w:rsid w:val="00911C09"/>
    <w:rsid w:val="00911D1C"/>
    <w:rsid w:val="00912BFF"/>
    <w:rsid w:val="00912F38"/>
    <w:rsid w:val="00912F45"/>
    <w:rsid w:val="00912F55"/>
    <w:rsid w:val="0091340D"/>
    <w:rsid w:val="00913C58"/>
    <w:rsid w:val="009140B4"/>
    <w:rsid w:val="00914174"/>
    <w:rsid w:val="0091428A"/>
    <w:rsid w:val="00914733"/>
    <w:rsid w:val="0091495E"/>
    <w:rsid w:val="00914AA5"/>
    <w:rsid w:val="0091574C"/>
    <w:rsid w:val="009162DD"/>
    <w:rsid w:val="009163E7"/>
    <w:rsid w:val="0091640E"/>
    <w:rsid w:val="00916431"/>
    <w:rsid w:val="009166F2"/>
    <w:rsid w:val="0091671A"/>
    <w:rsid w:val="009169F6"/>
    <w:rsid w:val="00916C33"/>
    <w:rsid w:val="0091719D"/>
    <w:rsid w:val="009175AB"/>
    <w:rsid w:val="00917903"/>
    <w:rsid w:val="00917B9D"/>
    <w:rsid w:val="00917BEA"/>
    <w:rsid w:val="00917C12"/>
    <w:rsid w:val="00917CB0"/>
    <w:rsid w:val="00920189"/>
    <w:rsid w:val="00920203"/>
    <w:rsid w:val="009203A2"/>
    <w:rsid w:val="00920410"/>
    <w:rsid w:val="0092041E"/>
    <w:rsid w:val="009204EC"/>
    <w:rsid w:val="00920666"/>
    <w:rsid w:val="00920997"/>
    <w:rsid w:val="00920B1E"/>
    <w:rsid w:val="00920DD5"/>
    <w:rsid w:val="00921161"/>
    <w:rsid w:val="00921577"/>
    <w:rsid w:val="00922077"/>
    <w:rsid w:val="0092236D"/>
    <w:rsid w:val="00922492"/>
    <w:rsid w:val="009224EB"/>
    <w:rsid w:val="009225DD"/>
    <w:rsid w:val="00922621"/>
    <w:rsid w:val="0092270B"/>
    <w:rsid w:val="0092272F"/>
    <w:rsid w:val="00922BE2"/>
    <w:rsid w:val="00922EDE"/>
    <w:rsid w:val="009237D9"/>
    <w:rsid w:val="00923A17"/>
    <w:rsid w:val="00923D1C"/>
    <w:rsid w:val="00923EB9"/>
    <w:rsid w:val="0092406C"/>
    <w:rsid w:val="00924096"/>
    <w:rsid w:val="009240D8"/>
    <w:rsid w:val="009243BC"/>
    <w:rsid w:val="009244D5"/>
    <w:rsid w:val="0092523A"/>
    <w:rsid w:val="009252F1"/>
    <w:rsid w:val="00925366"/>
    <w:rsid w:val="00925588"/>
    <w:rsid w:val="00925A0E"/>
    <w:rsid w:val="00925AF5"/>
    <w:rsid w:val="00925C4F"/>
    <w:rsid w:val="00925EA0"/>
    <w:rsid w:val="009261C1"/>
    <w:rsid w:val="009261FC"/>
    <w:rsid w:val="00926268"/>
    <w:rsid w:val="00926416"/>
    <w:rsid w:val="009264A2"/>
    <w:rsid w:val="00926DF4"/>
    <w:rsid w:val="0092715D"/>
    <w:rsid w:val="00927299"/>
    <w:rsid w:val="00927585"/>
    <w:rsid w:val="00927E88"/>
    <w:rsid w:val="00930632"/>
    <w:rsid w:val="009310BC"/>
    <w:rsid w:val="0093163A"/>
    <w:rsid w:val="00931D3F"/>
    <w:rsid w:val="00932398"/>
    <w:rsid w:val="009324C4"/>
    <w:rsid w:val="00932671"/>
    <w:rsid w:val="00932928"/>
    <w:rsid w:val="00932A7A"/>
    <w:rsid w:val="00932D12"/>
    <w:rsid w:val="00932D26"/>
    <w:rsid w:val="00932D49"/>
    <w:rsid w:val="009330BF"/>
    <w:rsid w:val="00933817"/>
    <w:rsid w:val="00933C87"/>
    <w:rsid w:val="00933EE7"/>
    <w:rsid w:val="00934510"/>
    <w:rsid w:val="0093476C"/>
    <w:rsid w:val="00935640"/>
    <w:rsid w:val="00935A1E"/>
    <w:rsid w:val="00935AA3"/>
    <w:rsid w:val="00935B7C"/>
    <w:rsid w:val="00935BC9"/>
    <w:rsid w:val="00935E3A"/>
    <w:rsid w:val="00936005"/>
    <w:rsid w:val="0093607C"/>
    <w:rsid w:val="009363E8"/>
    <w:rsid w:val="00936939"/>
    <w:rsid w:val="00936C5C"/>
    <w:rsid w:val="00936DE8"/>
    <w:rsid w:val="00937F4A"/>
    <w:rsid w:val="00940008"/>
    <w:rsid w:val="0094088F"/>
    <w:rsid w:val="00940FFA"/>
    <w:rsid w:val="00941503"/>
    <w:rsid w:val="0094187D"/>
    <w:rsid w:val="00941937"/>
    <w:rsid w:val="00941A4A"/>
    <w:rsid w:val="00942134"/>
    <w:rsid w:val="009423ED"/>
    <w:rsid w:val="00942C90"/>
    <w:rsid w:val="00942F29"/>
    <w:rsid w:val="00942FB6"/>
    <w:rsid w:val="00942FEB"/>
    <w:rsid w:val="009430E1"/>
    <w:rsid w:val="009434EB"/>
    <w:rsid w:val="00943EA6"/>
    <w:rsid w:val="00944089"/>
    <w:rsid w:val="009443F2"/>
    <w:rsid w:val="00944510"/>
    <w:rsid w:val="009448F2"/>
    <w:rsid w:val="009451E0"/>
    <w:rsid w:val="0094524B"/>
    <w:rsid w:val="009456E3"/>
    <w:rsid w:val="00945759"/>
    <w:rsid w:val="00945925"/>
    <w:rsid w:val="00945949"/>
    <w:rsid w:val="00945FEB"/>
    <w:rsid w:val="009466E9"/>
    <w:rsid w:val="00946C02"/>
    <w:rsid w:val="00946CB3"/>
    <w:rsid w:val="00946D20"/>
    <w:rsid w:val="00946E51"/>
    <w:rsid w:val="009470FE"/>
    <w:rsid w:val="009473F4"/>
    <w:rsid w:val="0094767D"/>
    <w:rsid w:val="009478DA"/>
    <w:rsid w:val="00947930"/>
    <w:rsid w:val="009479B2"/>
    <w:rsid w:val="00947C9D"/>
    <w:rsid w:val="00947D89"/>
    <w:rsid w:val="00947EB9"/>
    <w:rsid w:val="00950231"/>
    <w:rsid w:val="00950794"/>
    <w:rsid w:val="009507AA"/>
    <w:rsid w:val="009509EF"/>
    <w:rsid w:val="009515CA"/>
    <w:rsid w:val="00951691"/>
    <w:rsid w:val="00951FCE"/>
    <w:rsid w:val="0095200F"/>
    <w:rsid w:val="009521CC"/>
    <w:rsid w:val="0095226C"/>
    <w:rsid w:val="0095251C"/>
    <w:rsid w:val="0095269B"/>
    <w:rsid w:val="00952C05"/>
    <w:rsid w:val="00952D52"/>
    <w:rsid w:val="00952D88"/>
    <w:rsid w:val="0095382B"/>
    <w:rsid w:val="009540B7"/>
    <w:rsid w:val="009543D0"/>
    <w:rsid w:val="00954405"/>
    <w:rsid w:val="0095448C"/>
    <w:rsid w:val="00954AF9"/>
    <w:rsid w:val="00954DAE"/>
    <w:rsid w:val="00954E43"/>
    <w:rsid w:val="00955410"/>
    <w:rsid w:val="009558EE"/>
    <w:rsid w:val="009559D5"/>
    <w:rsid w:val="00955C17"/>
    <w:rsid w:val="00955EC5"/>
    <w:rsid w:val="00955FFA"/>
    <w:rsid w:val="00956170"/>
    <w:rsid w:val="00956BA1"/>
    <w:rsid w:val="00956D42"/>
    <w:rsid w:val="00956F0F"/>
    <w:rsid w:val="0095727F"/>
    <w:rsid w:val="009572AF"/>
    <w:rsid w:val="00957BAF"/>
    <w:rsid w:val="00957E41"/>
    <w:rsid w:val="0096016E"/>
    <w:rsid w:val="0096023A"/>
    <w:rsid w:val="009607AB"/>
    <w:rsid w:val="00960AA1"/>
    <w:rsid w:val="00961154"/>
    <w:rsid w:val="00961243"/>
    <w:rsid w:val="009615DB"/>
    <w:rsid w:val="00961B2E"/>
    <w:rsid w:val="009625E6"/>
    <w:rsid w:val="00962683"/>
    <w:rsid w:val="00962760"/>
    <w:rsid w:val="00962E23"/>
    <w:rsid w:val="009633ED"/>
    <w:rsid w:val="00964622"/>
    <w:rsid w:val="0096487C"/>
    <w:rsid w:val="00964B45"/>
    <w:rsid w:val="00964BC2"/>
    <w:rsid w:val="00964D4A"/>
    <w:rsid w:val="00964EAE"/>
    <w:rsid w:val="00965023"/>
    <w:rsid w:val="009650B7"/>
    <w:rsid w:val="0096515D"/>
    <w:rsid w:val="00965841"/>
    <w:rsid w:val="00966623"/>
    <w:rsid w:val="00967195"/>
    <w:rsid w:val="009678DB"/>
    <w:rsid w:val="00967F25"/>
    <w:rsid w:val="00970728"/>
    <w:rsid w:val="009707C9"/>
    <w:rsid w:val="00971303"/>
    <w:rsid w:val="00971615"/>
    <w:rsid w:val="00971E0B"/>
    <w:rsid w:val="00972101"/>
    <w:rsid w:val="00972285"/>
    <w:rsid w:val="009723CC"/>
    <w:rsid w:val="0097288E"/>
    <w:rsid w:val="00972947"/>
    <w:rsid w:val="00972FB5"/>
    <w:rsid w:val="00973607"/>
    <w:rsid w:val="009736FE"/>
    <w:rsid w:val="00973B96"/>
    <w:rsid w:val="00973E3C"/>
    <w:rsid w:val="009742EA"/>
    <w:rsid w:val="00974763"/>
    <w:rsid w:val="009757CA"/>
    <w:rsid w:val="00976E76"/>
    <w:rsid w:val="00977A14"/>
    <w:rsid w:val="00977E58"/>
    <w:rsid w:val="00977E9B"/>
    <w:rsid w:val="009807BF"/>
    <w:rsid w:val="00980848"/>
    <w:rsid w:val="009809CE"/>
    <w:rsid w:val="0098131F"/>
    <w:rsid w:val="00981479"/>
    <w:rsid w:val="009814DA"/>
    <w:rsid w:val="00981614"/>
    <w:rsid w:val="00981A85"/>
    <w:rsid w:val="00981C0B"/>
    <w:rsid w:val="00981CF0"/>
    <w:rsid w:val="00981E05"/>
    <w:rsid w:val="00981F74"/>
    <w:rsid w:val="0098237C"/>
    <w:rsid w:val="009829B3"/>
    <w:rsid w:val="00982C31"/>
    <w:rsid w:val="00982D45"/>
    <w:rsid w:val="00983131"/>
    <w:rsid w:val="00983165"/>
    <w:rsid w:val="00983343"/>
    <w:rsid w:val="009833C4"/>
    <w:rsid w:val="009833C6"/>
    <w:rsid w:val="009834E0"/>
    <w:rsid w:val="009838FF"/>
    <w:rsid w:val="0098410C"/>
    <w:rsid w:val="00984149"/>
    <w:rsid w:val="009843F8"/>
    <w:rsid w:val="00984788"/>
    <w:rsid w:val="00984909"/>
    <w:rsid w:val="00984AC9"/>
    <w:rsid w:val="00984FF3"/>
    <w:rsid w:val="00984FF9"/>
    <w:rsid w:val="009850C5"/>
    <w:rsid w:val="009851A6"/>
    <w:rsid w:val="0098581A"/>
    <w:rsid w:val="00985AED"/>
    <w:rsid w:val="00985DAD"/>
    <w:rsid w:val="00986326"/>
    <w:rsid w:val="00986849"/>
    <w:rsid w:val="00986852"/>
    <w:rsid w:val="00986BB7"/>
    <w:rsid w:val="00986D32"/>
    <w:rsid w:val="00986D4B"/>
    <w:rsid w:val="00986F6D"/>
    <w:rsid w:val="0098727C"/>
    <w:rsid w:val="00987708"/>
    <w:rsid w:val="00987944"/>
    <w:rsid w:val="00987DF0"/>
    <w:rsid w:val="00987E2E"/>
    <w:rsid w:val="0099008B"/>
    <w:rsid w:val="00990101"/>
    <w:rsid w:val="0099031D"/>
    <w:rsid w:val="00990AD3"/>
    <w:rsid w:val="0099177B"/>
    <w:rsid w:val="00991B8C"/>
    <w:rsid w:val="00991C48"/>
    <w:rsid w:val="00991DED"/>
    <w:rsid w:val="00991FAA"/>
    <w:rsid w:val="00993060"/>
    <w:rsid w:val="0099367E"/>
    <w:rsid w:val="00993E67"/>
    <w:rsid w:val="00993FE4"/>
    <w:rsid w:val="0099425E"/>
    <w:rsid w:val="0099439D"/>
    <w:rsid w:val="00994592"/>
    <w:rsid w:val="00994942"/>
    <w:rsid w:val="00994A58"/>
    <w:rsid w:val="00994CDC"/>
    <w:rsid w:val="0099510E"/>
    <w:rsid w:val="00995AB4"/>
    <w:rsid w:val="00995AC3"/>
    <w:rsid w:val="0099687C"/>
    <w:rsid w:val="009969CD"/>
    <w:rsid w:val="009974EA"/>
    <w:rsid w:val="0099770A"/>
    <w:rsid w:val="00997769"/>
    <w:rsid w:val="00997A2E"/>
    <w:rsid w:val="009A02E8"/>
    <w:rsid w:val="009A048E"/>
    <w:rsid w:val="009A0CDA"/>
    <w:rsid w:val="009A107E"/>
    <w:rsid w:val="009A119F"/>
    <w:rsid w:val="009A1609"/>
    <w:rsid w:val="009A16A3"/>
    <w:rsid w:val="009A1702"/>
    <w:rsid w:val="009A1A7E"/>
    <w:rsid w:val="009A297F"/>
    <w:rsid w:val="009A2F4C"/>
    <w:rsid w:val="009A3480"/>
    <w:rsid w:val="009A3DB8"/>
    <w:rsid w:val="009A41B4"/>
    <w:rsid w:val="009A43B3"/>
    <w:rsid w:val="009A464D"/>
    <w:rsid w:val="009A496F"/>
    <w:rsid w:val="009A4B78"/>
    <w:rsid w:val="009A4C02"/>
    <w:rsid w:val="009A4D73"/>
    <w:rsid w:val="009A4E41"/>
    <w:rsid w:val="009A5297"/>
    <w:rsid w:val="009A5851"/>
    <w:rsid w:val="009A58E0"/>
    <w:rsid w:val="009A5D40"/>
    <w:rsid w:val="009A5E10"/>
    <w:rsid w:val="009A5E40"/>
    <w:rsid w:val="009A5EF4"/>
    <w:rsid w:val="009A6273"/>
    <w:rsid w:val="009A6665"/>
    <w:rsid w:val="009A72AC"/>
    <w:rsid w:val="009A743F"/>
    <w:rsid w:val="009A74F7"/>
    <w:rsid w:val="009A7D55"/>
    <w:rsid w:val="009A7FF0"/>
    <w:rsid w:val="009B00F2"/>
    <w:rsid w:val="009B0602"/>
    <w:rsid w:val="009B0FB2"/>
    <w:rsid w:val="009B1113"/>
    <w:rsid w:val="009B17CB"/>
    <w:rsid w:val="009B19C0"/>
    <w:rsid w:val="009B1C34"/>
    <w:rsid w:val="009B1D22"/>
    <w:rsid w:val="009B1E86"/>
    <w:rsid w:val="009B1EA3"/>
    <w:rsid w:val="009B24B1"/>
    <w:rsid w:val="009B27C4"/>
    <w:rsid w:val="009B2BE6"/>
    <w:rsid w:val="009B2CAF"/>
    <w:rsid w:val="009B2D92"/>
    <w:rsid w:val="009B31DE"/>
    <w:rsid w:val="009B3250"/>
    <w:rsid w:val="009B333D"/>
    <w:rsid w:val="009B33C3"/>
    <w:rsid w:val="009B3CB5"/>
    <w:rsid w:val="009B3D24"/>
    <w:rsid w:val="009B42D2"/>
    <w:rsid w:val="009B4A06"/>
    <w:rsid w:val="009B60EA"/>
    <w:rsid w:val="009B6B3C"/>
    <w:rsid w:val="009B6DAB"/>
    <w:rsid w:val="009B70C8"/>
    <w:rsid w:val="009B737C"/>
    <w:rsid w:val="009B73E7"/>
    <w:rsid w:val="009B742E"/>
    <w:rsid w:val="009B7AA2"/>
    <w:rsid w:val="009C0AC6"/>
    <w:rsid w:val="009C0D5F"/>
    <w:rsid w:val="009C11B2"/>
    <w:rsid w:val="009C1456"/>
    <w:rsid w:val="009C164F"/>
    <w:rsid w:val="009C1C30"/>
    <w:rsid w:val="009C1F38"/>
    <w:rsid w:val="009C1F6E"/>
    <w:rsid w:val="009C22DD"/>
    <w:rsid w:val="009C26AB"/>
    <w:rsid w:val="009C29D5"/>
    <w:rsid w:val="009C30A0"/>
    <w:rsid w:val="009C359E"/>
    <w:rsid w:val="009C37FE"/>
    <w:rsid w:val="009C3D5F"/>
    <w:rsid w:val="009C3F1E"/>
    <w:rsid w:val="009C4082"/>
    <w:rsid w:val="009C48F7"/>
    <w:rsid w:val="009C4A38"/>
    <w:rsid w:val="009C4A72"/>
    <w:rsid w:val="009C4AD8"/>
    <w:rsid w:val="009C4D3D"/>
    <w:rsid w:val="009C5303"/>
    <w:rsid w:val="009C55E2"/>
    <w:rsid w:val="009C5A4E"/>
    <w:rsid w:val="009C5EE5"/>
    <w:rsid w:val="009C61E3"/>
    <w:rsid w:val="009C6B56"/>
    <w:rsid w:val="009C7018"/>
    <w:rsid w:val="009C7335"/>
    <w:rsid w:val="009C774B"/>
    <w:rsid w:val="009C79D9"/>
    <w:rsid w:val="009C7DB8"/>
    <w:rsid w:val="009C7E6D"/>
    <w:rsid w:val="009C7FF0"/>
    <w:rsid w:val="009D010D"/>
    <w:rsid w:val="009D0130"/>
    <w:rsid w:val="009D0244"/>
    <w:rsid w:val="009D0AAD"/>
    <w:rsid w:val="009D0F71"/>
    <w:rsid w:val="009D111C"/>
    <w:rsid w:val="009D13FB"/>
    <w:rsid w:val="009D16CA"/>
    <w:rsid w:val="009D17A0"/>
    <w:rsid w:val="009D1903"/>
    <w:rsid w:val="009D1F7A"/>
    <w:rsid w:val="009D2873"/>
    <w:rsid w:val="009D2942"/>
    <w:rsid w:val="009D2BE9"/>
    <w:rsid w:val="009D31E4"/>
    <w:rsid w:val="009D3A1A"/>
    <w:rsid w:val="009D426A"/>
    <w:rsid w:val="009D4275"/>
    <w:rsid w:val="009D493E"/>
    <w:rsid w:val="009D51C2"/>
    <w:rsid w:val="009D5BDB"/>
    <w:rsid w:val="009D6B03"/>
    <w:rsid w:val="009D6B3D"/>
    <w:rsid w:val="009D72F7"/>
    <w:rsid w:val="009D7422"/>
    <w:rsid w:val="009D78E7"/>
    <w:rsid w:val="009D7979"/>
    <w:rsid w:val="009D7E96"/>
    <w:rsid w:val="009E0742"/>
    <w:rsid w:val="009E0B29"/>
    <w:rsid w:val="009E0B97"/>
    <w:rsid w:val="009E1291"/>
    <w:rsid w:val="009E12BC"/>
    <w:rsid w:val="009E139D"/>
    <w:rsid w:val="009E1BE9"/>
    <w:rsid w:val="009E224D"/>
    <w:rsid w:val="009E26D5"/>
    <w:rsid w:val="009E2A07"/>
    <w:rsid w:val="009E2B4F"/>
    <w:rsid w:val="009E3398"/>
    <w:rsid w:val="009E3577"/>
    <w:rsid w:val="009E37A5"/>
    <w:rsid w:val="009E395B"/>
    <w:rsid w:val="009E3D2B"/>
    <w:rsid w:val="009E3E84"/>
    <w:rsid w:val="009E4097"/>
    <w:rsid w:val="009E44B3"/>
    <w:rsid w:val="009E4664"/>
    <w:rsid w:val="009E4D8E"/>
    <w:rsid w:val="009E4E90"/>
    <w:rsid w:val="009E4EB7"/>
    <w:rsid w:val="009E57C1"/>
    <w:rsid w:val="009E624A"/>
    <w:rsid w:val="009E640E"/>
    <w:rsid w:val="009E6566"/>
    <w:rsid w:val="009E6B32"/>
    <w:rsid w:val="009E7039"/>
    <w:rsid w:val="009E70F3"/>
    <w:rsid w:val="009E7308"/>
    <w:rsid w:val="009E750E"/>
    <w:rsid w:val="009E7B71"/>
    <w:rsid w:val="009E7E98"/>
    <w:rsid w:val="009E7FFE"/>
    <w:rsid w:val="009F00EE"/>
    <w:rsid w:val="009F0827"/>
    <w:rsid w:val="009F0A07"/>
    <w:rsid w:val="009F0BED"/>
    <w:rsid w:val="009F0F55"/>
    <w:rsid w:val="009F1673"/>
    <w:rsid w:val="009F21E0"/>
    <w:rsid w:val="009F25D5"/>
    <w:rsid w:val="009F263A"/>
    <w:rsid w:val="009F2A4E"/>
    <w:rsid w:val="009F3255"/>
    <w:rsid w:val="009F34AA"/>
    <w:rsid w:val="009F3A19"/>
    <w:rsid w:val="009F3C63"/>
    <w:rsid w:val="009F3DCE"/>
    <w:rsid w:val="009F3F29"/>
    <w:rsid w:val="009F4298"/>
    <w:rsid w:val="009F44FF"/>
    <w:rsid w:val="009F45E2"/>
    <w:rsid w:val="009F46E8"/>
    <w:rsid w:val="009F472D"/>
    <w:rsid w:val="009F4CF0"/>
    <w:rsid w:val="009F4E88"/>
    <w:rsid w:val="009F50D1"/>
    <w:rsid w:val="009F539C"/>
    <w:rsid w:val="009F573B"/>
    <w:rsid w:val="009F5918"/>
    <w:rsid w:val="009F596D"/>
    <w:rsid w:val="009F6A91"/>
    <w:rsid w:val="009F6AA9"/>
    <w:rsid w:val="009F6C72"/>
    <w:rsid w:val="009F71A6"/>
    <w:rsid w:val="009F71AA"/>
    <w:rsid w:val="009F754A"/>
    <w:rsid w:val="009F791F"/>
    <w:rsid w:val="009F7A7E"/>
    <w:rsid w:val="009F7F86"/>
    <w:rsid w:val="00A00164"/>
    <w:rsid w:val="00A0034D"/>
    <w:rsid w:val="00A00970"/>
    <w:rsid w:val="00A00BFB"/>
    <w:rsid w:val="00A00DCF"/>
    <w:rsid w:val="00A01105"/>
    <w:rsid w:val="00A0126C"/>
    <w:rsid w:val="00A012DA"/>
    <w:rsid w:val="00A0187E"/>
    <w:rsid w:val="00A0193F"/>
    <w:rsid w:val="00A023A6"/>
    <w:rsid w:val="00A026F0"/>
    <w:rsid w:val="00A02F2D"/>
    <w:rsid w:val="00A02F61"/>
    <w:rsid w:val="00A03E0E"/>
    <w:rsid w:val="00A040D1"/>
    <w:rsid w:val="00A0441D"/>
    <w:rsid w:val="00A044B7"/>
    <w:rsid w:val="00A04A0A"/>
    <w:rsid w:val="00A04EB8"/>
    <w:rsid w:val="00A050A8"/>
    <w:rsid w:val="00A0537E"/>
    <w:rsid w:val="00A054F5"/>
    <w:rsid w:val="00A056A3"/>
    <w:rsid w:val="00A059AF"/>
    <w:rsid w:val="00A05B51"/>
    <w:rsid w:val="00A05B6F"/>
    <w:rsid w:val="00A05FF0"/>
    <w:rsid w:val="00A06089"/>
    <w:rsid w:val="00A06286"/>
    <w:rsid w:val="00A06318"/>
    <w:rsid w:val="00A063BC"/>
    <w:rsid w:val="00A067D7"/>
    <w:rsid w:val="00A068E1"/>
    <w:rsid w:val="00A06A80"/>
    <w:rsid w:val="00A06D8A"/>
    <w:rsid w:val="00A0711F"/>
    <w:rsid w:val="00A0777B"/>
    <w:rsid w:val="00A07B0B"/>
    <w:rsid w:val="00A07E2F"/>
    <w:rsid w:val="00A102A0"/>
    <w:rsid w:val="00A10860"/>
    <w:rsid w:val="00A10B6F"/>
    <w:rsid w:val="00A114FA"/>
    <w:rsid w:val="00A11527"/>
    <w:rsid w:val="00A11AF3"/>
    <w:rsid w:val="00A122B3"/>
    <w:rsid w:val="00A122BB"/>
    <w:rsid w:val="00A12ACF"/>
    <w:rsid w:val="00A12C09"/>
    <w:rsid w:val="00A13084"/>
    <w:rsid w:val="00A1327F"/>
    <w:rsid w:val="00A13817"/>
    <w:rsid w:val="00A13859"/>
    <w:rsid w:val="00A138D3"/>
    <w:rsid w:val="00A139E1"/>
    <w:rsid w:val="00A13E0F"/>
    <w:rsid w:val="00A144B7"/>
    <w:rsid w:val="00A149B4"/>
    <w:rsid w:val="00A152A0"/>
    <w:rsid w:val="00A152D3"/>
    <w:rsid w:val="00A15F4F"/>
    <w:rsid w:val="00A160AB"/>
    <w:rsid w:val="00A16745"/>
    <w:rsid w:val="00A16747"/>
    <w:rsid w:val="00A16B03"/>
    <w:rsid w:val="00A1739C"/>
    <w:rsid w:val="00A17E24"/>
    <w:rsid w:val="00A17E93"/>
    <w:rsid w:val="00A20013"/>
    <w:rsid w:val="00A200E6"/>
    <w:rsid w:val="00A2056F"/>
    <w:rsid w:val="00A20582"/>
    <w:rsid w:val="00A20C65"/>
    <w:rsid w:val="00A2106B"/>
    <w:rsid w:val="00A21767"/>
    <w:rsid w:val="00A21FD5"/>
    <w:rsid w:val="00A22751"/>
    <w:rsid w:val="00A22940"/>
    <w:rsid w:val="00A22C96"/>
    <w:rsid w:val="00A23102"/>
    <w:rsid w:val="00A233D8"/>
    <w:rsid w:val="00A2343F"/>
    <w:rsid w:val="00A23505"/>
    <w:rsid w:val="00A236AC"/>
    <w:rsid w:val="00A236B1"/>
    <w:rsid w:val="00A237D0"/>
    <w:rsid w:val="00A23A4D"/>
    <w:rsid w:val="00A2428B"/>
    <w:rsid w:val="00A2433B"/>
    <w:rsid w:val="00A247E5"/>
    <w:rsid w:val="00A248BD"/>
    <w:rsid w:val="00A24D81"/>
    <w:rsid w:val="00A24EA5"/>
    <w:rsid w:val="00A25173"/>
    <w:rsid w:val="00A252F0"/>
    <w:rsid w:val="00A254EA"/>
    <w:rsid w:val="00A25602"/>
    <w:rsid w:val="00A259F2"/>
    <w:rsid w:val="00A2618D"/>
    <w:rsid w:val="00A263F6"/>
    <w:rsid w:val="00A26463"/>
    <w:rsid w:val="00A2660E"/>
    <w:rsid w:val="00A26916"/>
    <w:rsid w:val="00A26B47"/>
    <w:rsid w:val="00A26C56"/>
    <w:rsid w:val="00A26FF1"/>
    <w:rsid w:val="00A27547"/>
    <w:rsid w:val="00A27776"/>
    <w:rsid w:val="00A27806"/>
    <w:rsid w:val="00A27E86"/>
    <w:rsid w:val="00A3068C"/>
    <w:rsid w:val="00A30881"/>
    <w:rsid w:val="00A30D88"/>
    <w:rsid w:val="00A30EC5"/>
    <w:rsid w:val="00A31193"/>
    <w:rsid w:val="00A3127F"/>
    <w:rsid w:val="00A31922"/>
    <w:rsid w:val="00A31A00"/>
    <w:rsid w:val="00A31BCC"/>
    <w:rsid w:val="00A31C70"/>
    <w:rsid w:val="00A31C87"/>
    <w:rsid w:val="00A325BB"/>
    <w:rsid w:val="00A3297A"/>
    <w:rsid w:val="00A32A58"/>
    <w:rsid w:val="00A32EEC"/>
    <w:rsid w:val="00A336C5"/>
    <w:rsid w:val="00A339D9"/>
    <w:rsid w:val="00A33AD0"/>
    <w:rsid w:val="00A33BD6"/>
    <w:rsid w:val="00A3510A"/>
    <w:rsid w:val="00A3515F"/>
    <w:rsid w:val="00A35751"/>
    <w:rsid w:val="00A3577F"/>
    <w:rsid w:val="00A358C3"/>
    <w:rsid w:val="00A35BBC"/>
    <w:rsid w:val="00A35DAB"/>
    <w:rsid w:val="00A35EDE"/>
    <w:rsid w:val="00A35F0D"/>
    <w:rsid w:val="00A36724"/>
    <w:rsid w:val="00A367AF"/>
    <w:rsid w:val="00A36C13"/>
    <w:rsid w:val="00A371D8"/>
    <w:rsid w:val="00A377C2"/>
    <w:rsid w:val="00A378E3"/>
    <w:rsid w:val="00A37A31"/>
    <w:rsid w:val="00A37DE0"/>
    <w:rsid w:val="00A40B1F"/>
    <w:rsid w:val="00A40B31"/>
    <w:rsid w:val="00A40B4D"/>
    <w:rsid w:val="00A411E2"/>
    <w:rsid w:val="00A41373"/>
    <w:rsid w:val="00A41638"/>
    <w:rsid w:val="00A41959"/>
    <w:rsid w:val="00A41A3F"/>
    <w:rsid w:val="00A41B15"/>
    <w:rsid w:val="00A41DE9"/>
    <w:rsid w:val="00A4224E"/>
    <w:rsid w:val="00A4229F"/>
    <w:rsid w:val="00A423DC"/>
    <w:rsid w:val="00A4240E"/>
    <w:rsid w:val="00A425DA"/>
    <w:rsid w:val="00A428A9"/>
    <w:rsid w:val="00A42962"/>
    <w:rsid w:val="00A42ACA"/>
    <w:rsid w:val="00A42D5F"/>
    <w:rsid w:val="00A4327C"/>
    <w:rsid w:val="00A43A2F"/>
    <w:rsid w:val="00A43AAB"/>
    <w:rsid w:val="00A43AFE"/>
    <w:rsid w:val="00A43BF6"/>
    <w:rsid w:val="00A44734"/>
    <w:rsid w:val="00A447E3"/>
    <w:rsid w:val="00A448CD"/>
    <w:rsid w:val="00A44AAD"/>
    <w:rsid w:val="00A44D3B"/>
    <w:rsid w:val="00A4513A"/>
    <w:rsid w:val="00A45241"/>
    <w:rsid w:val="00A45280"/>
    <w:rsid w:val="00A452B8"/>
    <w:rsid w:val="00A45BF7"/>
    <w:rsid w:val="00A463B5"/>
    <w:rsid w:val="00A463BA"/>
    <w:rsid w:val="00A46675"/>
    <w:rsid w:val="00A46A5F"/>
    <w:rsid w:val="00A46C85"/>
    <w:rsid w:val="00A46ECC"/>
    <w:rsid w:val="00A471A3"/>
    <w:rsid w:val="00A4731A"/>
    <w:rsid w:val="00A474D7"/>
    <w:rsid w:val="00A47597"/>
    <w:rsid w:val="00A477AC"/>
    <w:rsid w:val="00A47E44"/>
    <w:rsid w:val="00A47F91"/>
    <w:rsid w:val="00A507D7"/>
    <w:rsid w:val="00A50A5C"/>
    <w:rsid w:val="00A50BE2"/>
    <w:rsid w:val="00A50C1A"/>
    <w:rsid w:val="00A50CC6"/>
    <w:rsid w:val="00A50DF3"/>
    <w:rsid w:val="00A50E40"/>
    <w:rsid w:val="00A51462"/>
    <w:rsid w:val="00A51946"/>
    <w:rsid w:val="00A51FF7"/>
    <w:rsid w:val="00A52079"/>
    <w:rsid w:val="00A52143"/>
    <w:rsid w:val="00A521E9"/>
    <w:rsid w:val="00A5298E"/>
    <w:rsid w:val="00A52B3E"/>
    <w:rsid w:val="00A5313B"/>
    <w:rsid w:val="00A5320E"/>
    <w:rsid w:val="00A5366D"/>
    <w:rsid w:val="00A53F7B"/>
    <w:rsid w:val="00A54090"/>
    <w:rsid w:val="00A54282"/>
    <w:rsid w:val="00A54373"/>
    <w:rsid w:val="00A5442A"/>
    <w:rsid w:val="00A546F1"/>
    <w:rsid w:val="00A549D3"/>
    <w:rsid w:val="00A54DF0"/>
    <w:rsid w:val="00A55691"/>
    <w:rsid w:val="00A567CB"/>
    <w:rsid w:val="00A57E98"/>
    <w:rsid w:val="00A60017"/>
    <w:rsid w:val="00A60849"/>
    <w:rsid w:val="00A60E46"/>
    <w:rsid w:val="00A6105B"/>
    <w:rsid w:val="00A61355"/>
    <w:rsid w:val="00A61668"/>
    <w:rsid w:val="00A621D3"/>
    <w:rsid w:val="00A6287C"/>
    <w:rsid w:val="00A628F8"/>
    <w:rsid w:val="00A62B7A"/>
    <w:rsid w:val="00A62C7E"/>
    <w:rsid w:val="00A62D09"/>
    <w:rsid w:val="00A631A1"/>
    <w:rsid w:val="00A632EA"/>
    <w:rsid w:val="00A6339D"/>
    <w:rsid w:val="00A634BE"/>
    <w:rsid w:val="00A63836"/>
    <w:rsid w:val="00A63847"/>
    <w:rsid w:val="00A6386B"/>
    <w:rsid w:val="00A63AD7"/>
    <w:rsid w:val="00A63BFD"/>
    <w:rsid w:val="00A63D5D"/>
    <w:rsid w:val="00A6491F"/>
    <w:rsid w:val="00A64C72"/>
    <w:rsid w:val="00A64D1A"/>
    <w:rsid w:val="00A65320"/>
    <w:rsid w:val="00A65615"/>
    <w:rsid w:val="00A65BA5"/>
    <w:rsid w:val="00A66354"/>
    <w:rsid w:val="00A66DC5"/>
    <w:rsid w:val="00A66E37"/>
    <w:rsid w:val="00A66ECF"/>
    <w:rsid w:val="00A66FB5"/>
    <w:rsid w:val="00A67736"/>
    <w:rsid w:val="00A67769"/>
    <w:rsid w:val="00A67E38"/>
    <w:rsid w:val="00A703E4"/>
    <w:rsid w:val="00A704C9"/>
    <w:rsid w:val="00A70B7C"/>
    <w:rsid w:val="00A70DC6"/>
    <w:rsid w:val="00A71080"/>
    <w:rsid w:val="00A71986"/>
    <w:rsid w:val="00A71E3D"/>
    <w:rsid w:val="00A71E73"/>
    <w:rsid w:val="00A71FBA"/>
    <w:rsid w:val="00A72410"/>
    <w:rsid w:val="00A72740"/>
    <w:rsid w:val="00A7289A"/>
    <w:rsid w:val="00A73109"/>
    <w:rsid w:val="00A739A8"/>
    <w:rsid w:val="00A73A64"/>
    <w:rsid w:val="00A73E93"/>
    <w:rsid w:val="00A742AD"/>
    <w:rsid w:val="00A746D7"/>
    <w:rsid w:val="00A74AB2"/>
    <w:rsid w:val="00A758DC"/>
    <w:rsid w:val="00A75A27"/>
    <w:rsid w:val="00A75A46"/>
    <w:rsid w:val="00A75B36"/>
    <w:rsid w:val="00A7663A"/>
    <w:rsid w:val="00A7696B"/>
    <w:rsid w:val="00A769D4"/>
    <w:rsid w:val="00A77207"/>
    <w:rsid w:val="00A7773C"/>
    <w:rsid w:val="00A77D80"/>
    <w:rsid w:val="00A77EFF"/>
    <w:rsid w:val="00A8008F"/>
    <w:rsid w:val="00A800AF"/>
    <w:rsid w:val="00A804C7"/>
    <w:rsid w:val="00A80625"/>
    <w:rsid w:val="00A80857"/>
    <w:rsid w:val="00A80A39"/>
    <w:rsid w:val="00A80D41"/>
    <w:rsid w:val="00A80DF0"/>
    <w:rsid w:val="00A80E64"/>
    <w:rsid w:val="00A8193F"/>
    <w:rsid w:val="00A81A16"/>
    <w:rsid w:val="00A823A7"/>
    <w:rsid w:val="00A824D4"/>
    <w:rsid w:val="00A825C8"/>
    <w:rsid w:val="00A82742"/>
    <w:rsid w:val="00A82954"/>
    <w:rsid w:val="00A82A29"/>
    <w:rsid w:val="00A83984"/>
    <w:rsid w:val="00A83A1E"/>
    <w:rsid w:val="00A84198"/>
    <w:rsid w:val="00A841AB"/>
    <w:rsid w:val="00A84347"/>
    <w:rsid w:val="00A84A93"/>
    <w:rsid w:val="00A84FFD"/>
    <w:rsid w:val="00A85056"/>
    <w:rsid w:val="00A85172"/>
    <w:rsid w:val="00A854AF"/>
    <w:rsid w:val="00A85B06"/>
    <w:rsid w:val="00A86104"/>
    <w:rsid w:val="00A86266"/>
    <w:rsid w:val="00A8655A"/>
    <w:rsid w:val="00A87203"/>
    <w:rsid w:val="00A87432"/>
    <w:rsid w:val="00A87744"/>
    <w:rsid w:val="00A87AE6"/>
    <w:rsid w:val="00A87B09"/>
    <w:rsid w:val="00A87C22"/>
    <w:rsid w:val="00A87F74"/>
    <w:rsid w:val="00A90590"/>
    <w:rsid w:val="00A90A97"/>
    <w:rsid w:val="00A90CB4"/>
    <w:rsid w:val="00A910DA"/>
    <w:rsid w:val="00A914FC"/>
    <w:rsid w:val="00A920E1"/>
    <w:rsid w:val="00A92667"/>
    <w:rsid w:val="00A92859"/>
    <w:rsid w:val="00A92AFD"/>
    <w:rsid w:val="00A92DC4"/>
    <w:rsid w:val="00A933AE"/>
    <w:rsid w:val="00A933B2"/>
    <w:rsid w:val="00A93863"/>
    <w:rsid w:val="00A93928"/>
    <w:rsid w:val="00A93D80"/>
    <w:rsid w:val="00A9415E"/>
    <w:rsid w:val="00A9423F"/>
    <w:rsid w:val="00A94EBD"/>
    <w:rsid w:val="00A9510A"/>
    <w:rsid w:val="00A9510D"/>
    <w:rsid w:val="00A95580"/>
    <w:rsid w:val="00A95673"/>
    <w:rsid w:val="00A956AC"/>
    <w:rsid w:val="00A95D2A"/>
    <w:rsid w:val="00A96214"/>
    <w:rsid w:val="00A967E8"/>
    <w:rsid w:val="00A978D3"/>
    <w:rsid w:val="00A97F4B"/>
    <w:rsid w:val="00AA04C5"/>
    <w:rsid w:val="00AA10B1"/>
    <w:rsid w:val="00AA1104"/>
    <w:rsid w:val="00AA1F11"/>
    <w:rsid w:val="00AA2803"/>
    <w:rsid w:val="00AA29AF"/>
    <w:rsid w:val="00AA2AB3"/>
    <w:rsid w:val="00AA2BF2"/>
    <w:rsid w:val="00AA2D68"/>
    <w:rsid w:val="00AA2D6F"/>
    <w:rsid w:val="00AA3351"/>
    <w:rsid w:val="00AA3709"/>
    <w:rsid w:val="00AA3987"/>
    <w:rsid w:val="00AA3B68"/>
    <w:rsid w:val="00AA3E79"/>
    <w:rsid w:val="00AA3F06"/>
    <w:rsid w:val="00AA42D3"/>
    <w:rsid w:val="00AA4ABB"/>
    <w:rsid w:val="00AA4F2C"/>
    <w:rsid w:val="00AA4FB4"/>
    <w:rsid w:val="00AA4FE5"/>
    <w:rsid w:val="00AA5C0B"/>
    <w:rsid w:val="00AA5E3B"/>
    <w:rsid w:val="00AA63AD"/>
    <w:rsid w:val="00AA65B4"/>
    <w:rsid w:val="00AA6A75"/>
    <w:rsid w:val="00AA6CB9"/>
    <w:rsid w:val="00AA745E"/>
    <w:rsid w:val="00AA7D4D"/>
    <w:rsid w:val="00AB04AB"/>
    <w:rsid w:val="00AB05A4"/>
    <w:rsid w:val="00AB0733"/>
    <w:rsid w:val="00AB0743"/>
    <w:rsid w:val="00AB09D2"/>
    <w:rsid w:val="00AB0B64"/>
    <w:rsid w:val="00AB0C30"/>
    <w:rsid w:val="00AB0E97"/>
    <w:rsid w:val="00AB156E"/>
    <w:rsid w:val="00AB157A"/>
    <w:rsid w:val="00AB176B"/>
    <w:rsid w:val="00AB1F2D"/>
    <w:rsid w:val="00AB32A5"/>
    <w:rsid w:val="00AB3661"/>
    <w:rsid w:val="00AB37E6"/>
    <w:rsid w:val="00AB3DBA"/>
    <w:rsid w:val="00AB4136"/>
    <w:rsid w:val="00AB431C"/>
    <w:rsid w:val="00AB470E"/>
    <w:rsid w:val="00AB51E1"/>
    <w:rsid w:val="00AB5467"/>
    <w:rsid w:val="00AB5514"/>
    <w:rsid w:val="00AB5A7E"/>
    <w:rsid w:val="00AB6979"/>
    <w:rsid w:val="00AB7538"/>
    <w:rsid w:val="00AB75A3"/>
    <w:rsid w:val="00AB77F3"/>
    <w:rsid w:val="00AC0256"/>
    <w:rsid w:val="00AC0334"/>
    <w:rsid w:val="00AC04B9"/>
    <w:rsid w:val="00AC0AAD"/>
    <w:rsid w:val="00AC0C9D"/>
    <w:rsid w:val="00AC1231"/>
    <w:rsid w:val="00AC1992"/>
    <w:rsid w:val="00AC1E14"/>
    <w:rsid w:val="00AC2CFA"/>
    <w:rsid w:val="00AC3263"/>
    <w:rsid w:val="00AC337E"/>
    <w:rsid w:val="00AC3E12"/>
    <w:rsid w:val="00AC406E"/>
    <w:rsid w:val="00AC4087"/>
    <w:rsid w:val="00AC430C"/>
    <w:rsid w:val="00AC4951"/>
    <w:rsid w:val="00AC4A6B"/>
    <w:rsid w:val="00AC51EA"/>
    <w:rsid w:val="00AC579B"/>
    <w:rsid w:val="00AC5C19"/>
    <w:rsid w:val="00AC60F0"/>
    <w:rsid w:val="00AC6385"/>
    <w:rsid w:val="00AC6657"/>
    <w:rsid w:val="00AC6D7A"/>
    <w:rsid w:val="00AC6E9A"/>
    <w:rsid w:val="00AC717E"/>
    <w:rsid w:val="00AC7363"/>
    <w:rsid w:val="00AC7401"/>
    <w:rsid w:val="00AC750C"/>
    <w:rsid w:val="00AC7901"/>
    <w:rsid w:val="00AC79F3"/>
    <w:rsid w:val="00AC7A6A"/>
    <w:rsid w:val="00AC7FDD"/>
    <w:rsid w:val="00AD0949"/>
    <w:rsid w:val="00AD0A20"/>
    <w:rsid w:val="00AD0D5F"/>
    <w:rsid w:val="00AD0F1D"/>
    <w:rsid w:val="00AD0F60"/>
    <w:rsid w:val="00AD1179"/>
    <w:rsid w:val="00AD1359"/>
    <w:rsid w:val="00AD192F"/>
    <w:rsid w:val="00AD19F0"/>
    <w:rsid w:val="00AD1C25"/>
    <w:rsid w:val="00AD1FCE"/>
    <w:rsid w:val="00AD24D1"/>
    <w:rsid w:val="00AD26E1"/>
    <w:rsid w:val="00AD29CC"/>
    <w:rsid w:val="00AD2D18"/>
    <w:rsid w:val="00AD3268"/>
    <w:rsid w:val="00AD3652"/>
    <w:rsid w:val="00AD3DE2"/>
    <w:rsid w:val="00AD4135"/>
    <w:rsid w:val="00AD4261"/>
    <w:rsid w:val="00AD46F5"/>
    <w:rsid w:val="00AD4C64"/>
    <w:rsid w:val="00AD4CB1"/>
    <w:rsid w:val="00AD51A3"/>
    <w:rsid w:val="00AD598B"/>
    <w:rsid w:val="00AD7154"/>
    <w:rsid w:val="00AD797D"/>
    <w:rsid w:val="00AD7E02"/>
    <w:rsid w:val="00AE0034"/>
    <w:rsid w:val="00AE0483"/>
    <w:rsid w:val="00AE08DD"/>
    <w:rsid w:val="00AE1310"/>
    <w:rsid w:val="00AE13BD"/>
    <w:rsid w:val="00AE156F"/>
    <w:rsid w:val="00AE1A0B"/>
    <w:rsid w:val="00AE1ABF"/>
    <w:rsid w:val="00AE1AF9"/>
    <w:rsid w:val="00AE1E60"/>
    <w:rsid w:val="00AE1EAC"/>
    <w:rsid w:val="00AE2068"/>
    <w:rsid w:val="00AE2258"/>
    <w:rsid w:val="00AE277E"/>
    <w:rsid w:val="00AE2A36"/>
    <w:rsid w:val="00AE2BC6"/>
    <w:rsid w:val="00AE2CCC"/>
    <w:rsid w:val="00AE2FDC"/>
    <w:rsid w:val="00AE3251"/>
    <w:rsid w:val="00AE33DA"/>
    <w:rsid w:val="00AE38E9"/>
    <w:rsid w:val="00AE3B0A"/>
    <w:rsid w:val="00AE3FE0"/>
    <w:rsid w:val="00AE491C"/>
    <w:rsid w:val="00AE4D5C"/>
    <w:rsid w:val="00AE4FE1"/>
    <w:rsid w:val="00AE5058"/>
    <w:rsid w:val="00AE51CD"/>
    <w:rsid w:val="00AE5471"/>
    <w:rsid w:val="00AE54AA"/>
    <w:rsid w:val="00AE57AE"/>
    <w:rsid w:val="00AE59A3"/>
    <w:rsid w:val="00AE5F18"/>
    <w:rsid w:val="00AE60E4"/>
    <w:rsid w:val="00AE6872"/>
    <w:rsid w:val="00AE6C58"/>
    <w:rsid w:val="00AE72C4"/>
    <w:rsid w:val="00AE7F05"/>
    <w:rsid w:val="00AE7F38"/>
    <w:rsid w:val="00AF054D"/>
    <w:rsid w:val="00AF0870"/>
    <w:rsid w:val="00AF0939"/>
    <w:rsid w:val="00AF0981"/>
    <w:rsid w:val="00AF0A84"/>
    <w:rsid w:val="00AF0ED8"/>
    <w:rsid w:val="00AF0F9C"/>
    <w:rsid w:val="00AF10F0"/>
    <w:rsid w:val="00AF193F"/>
    <w:rsid w:val="00AF24E7"/>
    <w:rsid w:val="00AF272B"/>
    <w:rsid w:val="00AF291B"/>
    <w:rsid w:val="00AF2C74"/>
    <w:rsid w:val="00AF2DAA"/>
    <w:rsid w:val="00AF2EBD"/>
    <w:rsid w:val="00AF2FF1"/>
    <w:rsid w:val="00AF33AE"/>
    <w:rsid w:val="00AF34C9"/>
    <w:rsid w:val="00AF35DF"/>
    <w:rsid w:val="00AF37AF"/>
    <w:rsid w:val="00AF3C7B"/>
    <w:rsid w:val="00AF3CDC"/>
    <w:rsid w:val="00AF44B1"/>
    <w:rsid w:val="00AF5189"/>
    <w:rsid w:val="00AF51D4"/>
    <w:rsid w:val="00AF5800"/>
    <w:rsid w:val="00AF6986"/>
    <w:rsid w:val="00AF69FE"/>
    <w:rsid w:val="00AF6A77"/>
    <w:rsid w:val="00AF6AD6"/>
    <w:rsid w:val="00AF6BC7"/>
    <w:rsid w:val="00AF6D1B"/>
    <w:rsid w:val="00AF6F4B"/>
    <w:rsid w:val="00AF73ED"/>
    <w:rsid w:val="00AF768E"/>
    <w:rsid w:val="00AF7B5B"/>
    <w:rsid w:val="00AF7D69"/>
    <w:rsid w:val="00AF7ED2"/>
    <w:rsid w:val="00B003BD"/>
    <w:rsid w:val="00B004D8"/>
    <w:rsid w:val="00B00830"/>
    <w:rsid w:val="00B00B72"/>
    <w:rsid w:val="00B00CC5"/>
    <w:rsid w:val="00B016D2"/>
    <w:rsid w:val="00B017BC"/>
    <w:rsid w:val="00B01EEE"/>
    <w:rsid w:val="00B02091"/>
    <w:rsid w:val="00B02B43"/>
    <w:rsid w:val="00B02B73"/>
    <w:rsid w:val="00B03D36"/>
    <w:rsid w:val="00B04540"/>
    <w:rsid w:val="00B046F1"/>
    <w:rsid w:val="00B05116"/>
    <w:rsid w:val="00B051A7"/>
    <w:rsid w:val="00B05D46"/>
    <w:rsid w:val="00B05F1A"/>
    <w:rsid w:val="00B06DF8"/>
    <w:rsid w:val="00B07B33"/>
    <w:rsid w:val="00B07B78"/>
    <w:rsid w:val="00B07FA2"/>
    <w:rsid w:val="00B07FCE"/>
    <w:rsid w:val="00B1005E"/>
    <w:rsid w:val="00B100CF"/>
    <w:rsid w:val="00B10262"/>
    <w:rsid w:val="00B1074F"/>
    <w:rsid w:val="00B10C14"/>
    <w:rsid w:val="00B10E82"/>
    <w:rsid w:val="00B110A3"/>
    <w:rsid w:val="00B111A6"/>
    <w:rsid w:val="00B115E5"/>
    <w:rsid w:val="00B118EE"/>
    <w:rsid w:val="00B11B03"/>
    <w:rsid w:val="00B11B79"/>
    <w:rsid w:val="00B11C5B"/>
    <w:rsid w:val="00B11C91"/>
    <w:rsid w:val="00B121CD"/>
    <w:rsid w:val="00B12343"/>
    <w:rsid w:val="00B12529"/>
    <w:rsid w:val="00B12675"/>
    <w:rsid w:val="00B128C5"/>
    <w:rsid w:val="00B12B11"/>
    <w:rsid w:val="00B12C94"/>
    <w:rsid w:val="00B12D5B"/>
    <w:rsid w:val="00B135AB"/>
    <w:rsid w:val="00B135D7"/>
    <w:rsid w:val="00B13797"/>
    <w:rsid w:val="00B137BF"/>
    <w:rsid w:val="00B137C2"/>
    <w:rsid w:val="00B13A1B"/>
    <w:rsid w:val="00B13A76"/>
    <w:rsid w:val="00B13DC3"/>
    <w:rsid w:val="00B142D9"/>
    <w:rsid w:val="00B148DD"/>
    <w:rsid w:val="00B14B3E"/>
    <w:rsid w:val="00B14BC4"/>
    <w:rsid w:val="00B158A3"/>
    <w:rsid w:val="00B15B25"/>
    <w:rsid w:val="00B15C36"/>
    <w:rsid w:val="00B15EA0"/>
    <w:rsid w:val="00B16028"/>
    <w:rsid w:val="00B16069"/>
    <w:rsid w:val="00B17A4E"/>
    <w:rsid w:val="00B17B30"/>
    <w:rsid w:val="00B17C2F"/>
    <w:rsid w:val="00B17C6E"/>
    <w:rsid w:val="00B20A9E"/>
    <w:rsid w:val="00B21048"/>
    <w:rsid w:val="00B213A7"/>
    <w:rsid w:val="00B2153E"/>
    <w:rsid w:val="00B21C64"/>
    <w:rsid w:val="00B21F72"/>
    <w:rsid w:val="00B21FA7"/>
    <w:rsid w:val="00B22022"/>
    <w:rsid w:val="00B225E4"/>
    <w:rsid w:val="00B231C5"/>
    <w:rsid w:val="00B23803"/>
    <w:rsid w:val="00B23F7A"/>
    <w:rsid w:val="00B240B1"/>
    <w:rsid w:val="00B24208"/>
    <w:rsid w:val="00B24374"/>
    <w:rsid w:val="00B2438B"/>
    <w:rsid w:val="00B24728"/>
    <w:rsid w:val="00B248A9"/>
    <w:rsid w:val="00B2490A"/>
    <w:rsid w:val="00B24BE3"/>
    <w:rsid w:val="00B24D28"/>
    <w:rsid w:val="00B24F1C"/>
    <w:rsid w:val="00B25454"/>
    <w:rsid w:val="00B2580C"/>
    <w:rsid w:val="00B25D76"/>
    <w:rsid w:val="00B2681D"/>
    <w:rsid w:val="00B27032"/>
    <w:rsid w:val="00B27085"/>
    <w:rsid w:val="00B2775E"/>
    <w:rsid w:val="00B30003"/>
    <w:rsid w:val="00B3015C"/>
    <w:rsid w:val="00B30AD9"/>
    <w:rsid w:val="00B31201"/>
    <w:rsid w:val="00B31B00"/>
    <w:rsid w:val="00B31B4B"/>
    <w:rsid w:val="00B31E36"/>
    <w:rsid w:val="00B32697"/>
    <w:rsid w:val="00B32E26"/>
    <w:rsid w:val="00B338B7"/>
    <w:rsid w:val="00B34061"/>
    <w:rsid w:val="00B34376"/>
    <w:rsid w:val="00B3440A"/>
    <w:rsid w:val="00B34441"/>
    <w:rsid w:val="00B34608"/>
    <w:rsid w:val="00B34B0E"/>
    <w:rsid w:val="00B350F3"/>
    <w:rsid w:val="00B35338"/>
    <w:rsid w:val="00B35533"/>
    <w:rsid w:val="00B35534"/>
    <w:rsid w:val="00B35A87"/>
    <w:rsid w:val="00B35AFD"/>
    <w:rsid w:val="00B35DB3"/>
    <w:rsid w:val="00B35F9A"/>
    <w:rsid w:val="00B3609C"/>
    <w:rsid w:val="00B36236"/>
    <w:rsid w:val="00B3632F"/>
    <w:rsid w:val="00B3662E"/>
    <w:rsid w:val="00B366D2"/>
    <w:rsid w:val="00B366FA"/>
    <w:rsid w:val="00B36E86"/>
    <w:rsid w:val="00B3796A"/>
    <w:rsid w:val="00B379BA"/>
    <w:rsid w:val="00B412FD"/>
    <w:rsid w:val="00B41B15"/>
    <w:rsid w:val="00B41D87"/>
    <w:rsid w:val="00B421EC"/>
    <w:rsid w:val="00B422BE"/>
    <w:rsid w:val="00B4241D"/>
    <w:rsid w:val="00B426BB"/>
    <w:rsid w:val="00B427AF"/>
    <w:rsid w:val="00B42EB9"/>
    <w:rsid w:val="00B435BD"/>
    <w:rsid w:val="00B436F0"/>
    <w:rsid w:val="00B43A03"/>
    <w:rsid w:val="00B440B8"/>
    <w:rsid w:val="00B441FE"/>
    <w:rsid w:val="00B44317"/>
    <w:rsid w:val="00B44821"/>
    <w:rsid w:val="00B44AD3"/>
    <w:rsid w:val="00B450EB"/>
    <w:rsid w:val="00B45152"/>
    <w:rsid w:val="00B451AC"/>
    <w:rsid w:val="00B455D2"/>
    <w:rsid w:val="00B45E54"/>
    <w:rsid w:val="00B45E9C"/>
    <w:rsid w:val="00B464E4"/>
    <w:rsid w:val="00B4689A"/>
    <w:rsid w:val="00B46D5F"/>
    <w:rsid w:val="00B46E7B"/>
    <w:rsid w:val="00B47DC5"/>
    <w:rsid w:val="00B47E1B"/>
    <w:rsid w:val="00B505B3"/>
    <w:rsid w:val="00B50882"/>
    <w:rsid w:val="00B50A74"/>
    <w:rsid w:val="00B520A0"/>
    <w:rsid w:val="00B5220F"/>
    <w:rsid w:val="00B5257E"/>
    <w:rsid w:val="00B525CE"/>
    <w:rsid w:val="00B52795"/>
    <w:rsid w:val="00B52809"/>
    <w:rsid w:val="00B52CFD"/>
    <w:rsid w:val="00B52EED"/>
    <w:rsid w:val="00B53103"/>
    <w:rsid w:val="00B53507"/>
    <w:rsid w:val="00B5353D"/>
    <w:rsid w:val="00B53E64"/>
    <w:rsid w:val="00B54057"/>
    <w:rsid w:val="00B545A8"/>
    <w:rsid w:val="00B54C1A"/>
    <w:rsid w:val="00B55006"/>
    <w:rsid w:val="00B55F22"/>
    <w:rsid w:val="00B56312"/>
    <w:rsid w:val="00B56527"/>
    <w:rsid w:val="00B56B97"/>
    <w:rsid w:val="00B57019"/>
    <w:rsid w:val="00B576DA"/>
    <w:rsid w:val="00B57710"/>
    <w:rsid w:val="00B57B1A"/>
    <w:rsid w:val="00B57DF5"/>
    <w:rsid w:val="00B601C9"/>
    <w:rsid w:val="00B60D04"/>
    <w:rsid w:val="00B6158F"/>
    <w:rsid w:val="00B61D5D"/>
    <w:rsid w:val="00B61EE8"/>
    <w:rsid w:val="00B628C3"/>
    <w:rsid w:val="00B633A3"/>
    <w:rsid w:val="00B63533"/>
    <w:rsid w:val="00B6394E"/>
    <w:rsid w:val="00B63BDB"/>
    <w:rsid w:val="00B64009"/>
    <w:rsid w:val="00B64106"/>
    <w:rsid w:val="00B645A7"/>
    <w:rsid w:val="00B64A0E"/>
    <w:rsid w:val="00B64DDF"/>
    <w:rsid w:val="00B64F40"/>
    <w:rsid w:val="00B6601E"/>
    <w:rsid w:val="00B663AA"/>
    <w:rsid w:val="00B66816"/>
    <w:rsid w:val="00B66909"/>
    <w:rsid w:val="00B66DD5"/>
    <w:rsid w:val="00B672B4"/>
    <w:rsid w:val="00B67722"/>
    <w:rsid w:val="00B67783"/>
    <w:rsid w:val="00B67B97"/>
    <w:rsid w:val="00B67F01"/>
    <w:rsid w:val="00B70329"/>
    <w:rsid w:val="00B70764"/>
    <w:rsid w:val="00B70C9E"/>
    <w:rsid w:val="00B711AB"/>
    <w:rsid w:val="00B714F0"/>
    <w:rsid w:val="00B71A40"/>
    <w:rsid w:val="00B71C52"/>
    <w:rsid w:val="00B71C8C"/>
    <w:rsid w:val="00B71CB4"/>
    <w:rsid w:val="00B71FD7"/>
    <w:rsid w:val="00B725E7"/>
    <w:rsid w:val="00B727DA"/>
    <w:rsid w:val="00B72C07"/>
    <w:rsid w:val="00B72DF7"/>
    <w:rsid w:val="00B72F42"/>
    <w:rsid w:val="00B733FB"/>
    <w:rsid w:val="00B738C0"/>
    <w:rsid w:val="00B73E44"/>
    <w:rsid w:val="00B74290"/>
    <w:rsid w:val="00B74510"/>
    <w:rsid w:val="00B74BD4"/>
    <w:rsid w:val="00B74BF7"/>
    <w:rsid w:val="00B75B72"/>
    <w:rsid w:val="00B76185"/>
    <w:rsid w:val="00B761BB"/>
    <w:rsid w:val="00B76BCD"/>
    <w:rsid w:val="00B77080"/>
    <w:rsid w:val="00B7786D"/>
    <w:rsid w:val="00B779E6"/>
    <w:rsid w:val="00B77A85"/>
    <w:rsid w:val="00B804E2"/>
    <w:rsid w:val="00B80E8E"/>
    <w:rsid w:val="00B80F9D"/>
    <w:rsid w:val="00B811B2"/>
    <w:rsid w:val="00B8130C"/>
    <w:rsid w:val="00B81BA3"/>
    <w:rsid w:val="00B81BBB"/>
    <w:rsid w:val="00B820D7"/>
    <w:rsid w:val="00B82213"/>
    <w:rsid w:val="00B8239F"/>
    <w:rsid w:val="00B8276E"/>
    <w:rsid w:val="00B82A5D"/>
    <w:rsid w:val="00B834BD"/>
    <w:rsid w:val="00B83A62"/>
    <w:rsid w:val="00B83AC4"/>
    <w:rsid w:val="00B83B59"/>
    <w:rsid w:val="00B83D1B"/>
    <w:rsid w:val="00B83E91"/>
    <w:rsid w:val="00B84252"/>
    <w:rsid w:val="00B8468F"/>
    <w:rsid w:val="00B849F1"/>
    <w:rsid w:val="00B84FC6"/>
    <w:rsid w:val="00B857F5"/>
    <w:rsid w:val="00B86AEC"/>
    <w:rsid w:val="00B86D6C"/>
    <w:rsid w:val="00B86EB5"/>
    <w:rsid w:val="00B86F47"/>
    <w:rsid w:val="00B871F7"/>
    <w:rsid w:val="00B874B4"/>
    <w:rsid w:val="00B876C1"/>
    <w:rsid w:val="00B8787A"/>
    <w:rsid w:val="00B87887"/>
    <w:rsid w:val="00B90123"/>
    <w:rsid w:val="00B90196"/>
    <w:rsid w:val="00B902F5"/>
    <w:rsid w:val="00B90518"/>
    <w:rsid w:val="00B90845"/>
    <w:rsid w:val="00B90F83"/>
    <w:rsid w:val="00B911C1"/>
    <w:rsid w:val="00B91374"/>
    <w:rsid w:val="00B91AC1"/>
    <w:rsid w:val="00B91B7F"/>
    <w:rsid w:val="00B921B2"/>
    <w:rsid w:val="00B922C3"/>
    <w:rsid w:val="00B9272A"/>
    <w:rsid w:val="00B9272E"/>
    <w:rsid w:val="00B927A7"/>
    <w:rsid w:val="00B92B9E"/>
    <w:rsid w:val="00B93315"/>
    <w:rsid w:val="00B93457"/>
    <w:rsid w:val="00B93519"/>
    <w:rsid w:val="00B9372A"/>
    <w:rsid w:val="00B9425C"/>
    <w:rsid w:val="00B94AAF"/>
    <w:rsid w:val="00B953FF"/>
    <w:rsid w:val="00B9565B"/>
    <w:rsid w:val="00B95DB7"/>
    <w:rsid w:val="00B9622D"/>
    <w:rsid w:val="00B96263"/>
    <w:rsid w:val="00B968A5"/>
    <w:rsid w:val="00B972CD"/>
    <w:rsid w:val="00B97D02"/>
    <w:rsid w:val="00B97DDD"/>
    <w:rsid w:val="00BA0304"/>
    <w:rsid w:val="00BA0557"/>
    <w:rsid w:val="00BA08B0"/>
    <w:rsid w:val="00BA0DFD"/>
    <w:rsid w:val="00BA19C4"/>
    <w:rsid w:val="00BA2C59"/>
    <w:rsid w:val="00BA3038"/>
    <w:rsid w:val="00BA360A"/>
    <w:rsid w:val="00BA370A"/>
    <w:rsid w:val="00BA37FD"/>
    <w:rsid w:val="00BA4032"/>
    <w:rsid w:val="00BA4268"/>
    <w:rsid w:val="00BA435D"/>
    <w:rsid w:val="00BA48BC"/>
    <w:rsid w:val="00BA4A29"/>
    <w:rsid w:val="00BA4A43"/>
    <w:rsid w:val="00BA4BE7"/>
    <w:rsid w:val="00BA5242"/>
    <w:rsid w:val="00BA5982"/>
    <w:rsid w:val="00BA5F20"/>
    <w:rsid w:val="00BA5F44"/>
    <w:rsid w:val="00BA68D9"/>
    <w:rsid w:val="00BA6FD8"/>
    <w:rsid w:val="00BA712E"/>
    <w:rsid w:val="00BA7172"/>
    <w:rsid w:val="00BA72CF"/>
    <w:rsid w:val="00BA781E"/>
    <w:rsid w:val="00BA7830"/>
    <w:rsid w:val="00BA79A1"/>
    <w:rsid w:val="00BA7B01"/>
    <w:rsid w:val="00BB02D7"/>
    <w:rsid w:val="00BB0D9F"/>
    <w:rsid w:val="00BB0DEE"/>
    <w:rsid w:val="00BB0F06"/>
    <w:rsid w:val="00BB0F93"/>
    <w:rsid w:val="00BB1031"/>
    <w:rsid w:val="00BB16A7"/>
    <w:rsid w:val="00BB1B33"/>
    <w:rsid w:val="00BB1D1F"/>
    <w:rsid w:val="00BB2073"/>
    <w:rsid w:val="00BB2350"/>
    <w:rsid w:val="00BB2480"/>
    <w:rsid w:val="00BB27FD"/>
    <w:rsid w:val="00BB2C4E"/>
    <w:rsid w:val="00BB2E29"/>
    <w:rsid w:val="00BB2F74"/>
    <w:rsid w:val="00BB3206"/>
    <w:rsid w:val="00BB32C2"/>
    <w:rsid w:val="00BB3B0D"/>
    <w:rsid w:val="00BB41FB"/>
    <w:rsid w:val="00BB4369"/>
    <w:rsid w:val="00BB524C"/>
    <w:rsid w:val="00BB5DAB"/>
    <w:rsid w:val="00BB5F1E"/>
    <w:rsid w:val="00BB6076"/>
    <w:rsid w:val="00BB6195"/>
    <w:rsid w:val="00BB61A3"/>
    <w:rsid w:val="00BB67CE"/>
    <w:rsid w:val="00BB67EA"/>
    <w:rsid w:val="00BB707E"/>
    <w:rsid w:val="00BB7568"/>
    <w:rsid w:val="00BC007C"/>
    <w:rsid w:val="00BC0157"/>
    <w:rsid w:val="00BC0247"/>
    <w:rsid w:val="00BC0497"/>
    <w:rsid w:val="00BC0900"/>
    <w:rsid w:val="00BC0986"/>
    <w:rsid w:val="00BC0AB2"/>
    <w:rsid w:val="00BC1308"/>
    <w:rsid w:val="00BC19A5"/>
    <w:rsid w:val="00BC1BF4"/>
    <w:rsid w:val="00BC2012"/>
    <w:rsid w:val="00BC2600"/>
    <w:rsid w:val="00BC2F24"/>
    <w:rsid w:val="00BC3063"/>
    <w:rsid w:val="00BC3254"/>
    <w:rsid w:val="00BC33BE"/>
    <w:rsid w:val="00BC3A47"/>
    <w:rsid w:val="00BC3EEB"/>
    <w:rsid w:val="00BC4780"/>
    <w:rsid w:val="00BC505B"/>
    <w:rsid w:val="00BC52C8"/>
    <w:rsid w:val="00BC5485"/>
    <w:rsid w:val="00BC549C"/>
    <w:rsid w:val="00BC570E"/>
    <w:rsid w:val="00BC5A6C"/>
    <w:rsid w:val="00BC5AF6"/>
    <w:rsid w:val="00BC5B4B"/>
    <w:rsid w:val="00BC5EDB"/>
    <w:rsid w:val="00BC69A2"/>
    <w:rsid w:val="00BC6ED6"/>
    <w:rsid w:val="00BC6F03"/>
    <w:rsid w:val="00BC6FA1"/>
    <w:rsid w:val="00BC70CE"/>
    <w:rsid w:val="00BC7487"/>
    <w:rsid w:val="00BD03F5"/>
    <w:rsid w:val="00BD0570"/>
    <w:rsid w:val="00BD06F9"/>
    <w:rsid w:val="00BD0853"/>
    <w:rsid w:val="00BD0EE1"/>
    <w:rsid w:val="00BD10FE"/>
    <w:rsid w:val="00BD112D"/>
    <w:rsid w:val="00BD1267"/>
    <w:rsid w:val="00BD214E"/>
    <w:rsid w:val="00BD2199"/>
    <w:rsid w:val="00BD2395"/>
    <w:rsid w:val="00BD25B8"/>
    <w:rsid w:val="00BD2827"/>
    <w:rsid w:val="00BD2842"/>
    <w:rsid w:val="00BD29E9"/>
    <w:rsid w:val="00BD3120"/>
    <w:rsid w:val="00BD3354"/>
    <w:rsid w:val="00BD378D"/>
    <w:rsid w:val="00BD384E"/>
    <w:rsid w:val="00BD3E76"/>
    <w:rsid w:val="00BD3EE2"/>
    <w:rsid w:val="00BD3FCF"/>
    <w:rsid w:val="00BD42D2"/>
    <w:rsid w:val="00BD44F0"/>
    <w:rsid w:val="00BD451B"/>
    <w:rsid w:val="00BD47D7"/>
    <w:rsid w:val="00BD4EFB"/>
    <w:rsid w:val="00BD5076"/>
    <w:rsid w:val="00BD5551"/>
    <w:rsid w:val="00BD5984"/>
    <w:rsid w:val="00BD60EB"/>
    <w:rsid w:val="00BD6474"/>
    <w:rsid w:val="00BD6D43"/>
    <w:rsid w:val="00BD6F81"/>
    <w:rsid w:val="00BD7090"/>
    <w:rsid w:val="00BD7490"/>
    <w:rsid w:val="00BD767F"/>
    <w:rsid w:val="00BD7979"/>
    <w:rsid w:val="00BD7DA0"/>
    <w:rsid w:val="00BE05DB"/>
    <w:rsid w:val="00BE096B"/>
    <w:rsid w:val="00BE09C3"/>
    <w:rsid w:val="00BE0B10"/>
    <w:rsid w:val="00BE0BB8"/>
    <w:rsid w:val="00BE0C27"/>
    <w:rsid w:val="00BE15BB"/>
    <w:rsid w:val="00BE198F"/>
    <w:rsid w:val="00BE316D"/>
    <w:rsid w:val="00BE38FB"/>
    <w:rsid w:val="00BE3FA4"/>
    <w:rsid w:val="00BE4BE9"/>
    <w:rsid w:val="00BE4CCF"/>
    <w:rsid w:val="00BE5964"/>
    <w:rsid w:val="00BE5D68"/>
    <w:rsid w:val="00BE617C"/>
    <w:rsid w:val="00BE660B"/>
    <w:rsid w:val="00BE6A40"/>
    <w:rsid w:val="00BE6AFE"/>
    <w:rsid w:val="00BE6BBE"/>
    <w:rsid w:val="00BE6C12"/>
    <w:rsid w:val="00BE7021"/>
    <w:rsid w:val="00BE7300"/>
    <w:rsid w:val="00BE76F7"/>
    <w:rsid w:val="00BE784F"/>
    <w:rsid w:val="00BE79C6"/>
    <w:rsid w:val="00BE7E37"/>
    <w:rsid w:val="00BF0238"/>
    <w:rsid w:val="00BF04AF"/>
    <w:rsid w:val="00BF0717"/>
    <w:rsid w:val="00BF0749"/>
    <w:rsid w:val="00BF09F0"/>
    <w:rsid w:val="00BF1750"/>
    <w:rsid w:val="00BF178E"/>
    <w:rsid w:val="00BF189F"/>
    <w:rsid w:val="00BF18F2"/>
    <w:rsid w:val="00BF1B44"/>
    <w:rsid w:val="00BF1CBF"/>
    <w:rsid w:val="00BF1F01"/>
    <w:rsid w:val="00BF1FC2"/>
    <w:rsid w:val="00BF23CC"/>
    <w:rsid w:val="00BF243F"/>
    <w:rsid w:val="00BF2708"/>
    <w:rsid w:val="00BF4C2B"/>
    <w:rsid w:val="00BF507A"/>
    <w:rsid w:val="00BF5217"/>
    <w:rsid w:val="00BF53F1"/>
    <w:rsid w:val="00BF5717"/>
    <w:rsid w:val="00BF585E"/>
    <w:rsid w:val="00BF5893"/>
    <w:rsid w:val="00BF58AA"/>
    <w:rsid w:val="00BF5B9D"/>
    <w:rsid w:val="00BF5C45"/>
    <w:rsid w:val="00BF5FA3"/>
    <w:rsid w:val="00BF62F2"/>
    <w:rsid w:val="00BF63A5"/>
    <w:rsid w:val="00BF69C0"/>
    <w:rsid w:val="00BF6E34"/>
    <w:rsid w:val="00BF72A7"/>
    <w:rsid w:val="00BF7558"/>
    <w:rsid w:val="00BF7DD2"/>
    <w:rsid w:val="00C00A7C"/>
    <w:rsid w:val="00C0111E"/>
    <w:rsid w:val="00C021FD"/>
    <w:rsid w:val="00C02376"/>
    <w:rsid w:val="00C02676"/>
    <w:rsid w:val="00C029AB"/>
    <w:rsid w:val="00C029B7"/>
    <w:rsid w:val="00C02BAF"/>
    <w:rsid w:val="00C02D74"/>
    <w:rsid w:val="00C033ED"/>
    <w:rsid w:val="00C035AD"/>
    <w:rsid w:val="00C03BD5"/>
    <w:rsid w:val="00C03C8B"/>
    <w:rsid w:val="00C03F3C"/>
    <w:rsid w:val="00C0425C"/>
    <w:rsid w:val="00C049BE"/>
    <w:rsid w:val="00C04A71"/>
    <w:rsid w:val="00C04DD4"/>
    <w:rsid w:val="00C04DF0"/>
    <w:rsid w:val="00C050BB"/>
    <w:rsid w:val="00C055B3"/>
    <w:rsid w:val="00C05A4C"/>
    <w:rsid w:val="00C05A67"/>
    <w:rsid w:val="00C05BDA"/>
    <w:rsid w:val="00C05E30"/>
    <w:rsid w:val="00C0641F"/>
    <w:rsid w:val="00C065AC"/>
    <w:rsid w:val="00C06E6F"/>
    <w:rsid w:val="00C07371"/>
    <w:rsid w:val="00C075DB"/>
    <w:rsid w:val="00C07EBA"/>
    <w:rsid w:val="00C07FBC"/>
    <w:rsid w:val="00C100E7"/>
    <w:rsid w:val="00C10BFB"/>
    <w:rsid w:val="00C10D84"/>
    <w:rsid w:val="00C1106B"/>
    <w:rsid w:val="00C11113"/>
    <w:rsid w:val="00C11687"/>
    <w:rsid w:val="00C11E28"/>
    <w:rsid w:val="00C11F66"/>
    <w:rsid w:val="00C1225B"/>
    <w:rsid w:val="00C122F9"/>
    <w:rsid w:val="00C1253A"/>
    <w:rsid w:val="00C128C9"/>
    <w:rsid w:val="00C12CF3"/>
    <w:rsid w:val="00C12F88"/>
    <w:rsid w:val="00C131A8"/>
    <w:rsid w:val="00C1322D"/>
    <w:rsid w:val="00C135A3"/>
    <w:rsid w:val="00C146E8"/>
    <w:rsid w:val="00C1477A"/>
    <w:rsid w:val="00C14A62"/>
    <w:rsid w:val="00C150EE"/>
    <w:rsid w:val="00C150EF"/>
    <w:rsid w:val="00C151F5"/>
    <w:rsid w:val="00C157F2"/>
    <w:rsid w:val="00C158EB"/>
    <w:rsid w:val="00C159B1"/>
    <w:rsid w:val="00C15D51"/>
    <w:rsid w:val="00C161F5"/>
    <w:rsid w:val="00C16BE6"/>
    <w:rsid w:val="00C16C92"/>
    <w:rsid w:val="00C1706B"/>
    <w:rsid w:val="00C1749D"/>
    <w:rsid w:val="00C17BB2"/>
    <w:rsid w:val="00C17DB7"/>
    <w:rsid w:val="00C17E48"/>
    <w:rsid w:val="00C17F0B"/>
    <w:rsid w:val="00C201E7"/>
    <w:rsid w:val="00C20374"/>
    <w:rsid w:val="00C20506"/>
    <w:rsid w:val="00C2054A"/>
    <w:rsid w:val="00C20AA2"/>
    <w:rsid w:val="00C20B91"/>
    <w:rsid w:val="00C20C36"/>
    <w:rsid w:val="00C20F8D"/>
    <w:rsid w:val="00C21155"/>
    <w:rsid w:val="00C21468"/>
    <w:rsid w:val="00C2146C"/>
    <w:rsid w:val="00C214D7"/>
    <w:rsid w:val="00C21561"/>
    <w:rsid w:val="00C217EE"/>
    <w:rsid w:val="00C2184D"/>
    <w:rsid w:val="00C2210F"/>
    <w:rsid w:val="00C22487"/>
    <w:rsid w:val="00C22784"/>
    <w:rsid w:val="00C23843"/>
    <w:rsid w:val="00C23A4C"/>
    <w:rsid w:val="00C240D3"/>
    <w:rsid w:val="00C2419D"/>
    <w:rsid w:val="00C243A4"/>
    <w:rsid w:val="00C24416"/>
    <w:rsid w:val="00C248DB"/>
    <w:rsid w:val="00C24E56"/>
    <w:rsid w:val="00C25070"/>
    <w:rsid w:val="00C25B4E"/>
    <w:rsid w:val="00C26170"/>
    <w:rsid w:val="00C26B5A"/>
    <w:rsid w:val="00C26D52"/>
    <w:rsid w:val="00C26D81"/>
    <w:rsid w:val="00C30084"/>
    <w:rsid w:val="00C303E4"/>
    <w:rsid w:val="00C30775"/>
    <w:rsid w:val="00C30B8D"/>
    <w:rsid w:val="00C3104F"/>
    <w:rsid w:val="00C3134E"/>
    <w:rsid w:val="00C315D8"/>
    <w:rsid w:val="00C31C4A"/>
    <w:rsid w:val="00C31D2D"/>
    <w:rsid w:val="00C31FCD"/>
    <w:rsid w:val="00C32062"/>
    <w:rsid w:val="00C3209A"/>
    <w:rsid w:val="00C323D7"/>
    <w:rsid w:val="00C32638"/>
    <w:rsid w:val="00C32639"/>
    <w:rsid w:val="00C32808"/>
    <w:rsid w:val="00C32AD2"/>
    <w:rsid w:val="00C32DE8"/>
    <w:rsid w:val="00C32E33"/>
    <w:rsid w:val="00C33114"/>
    <w:rsid w:val="00C34193"/>
    <w:rsid w:val="00C347FD"/>
    <w:rsid w:val="00C34C1E"/>
    <w:rsid w:val="00C34DAE"/>
    <w:rsid w:val="00C34E1E"/>
    <w:rsid w:val="00C34E5A"/>
    <w:rsid w:val="00C353D2"/>
    <w:rsid w:val="00C35797"/>
    <w:rsid w:val="00C35D9C"/>
    <w:rsid w:val="00C36219"/>
    <w:rsid w:val="00C3698E"/>
    <w:rsid w:val="00C36CCA"/>
    <w:rsid w:val="00C36E1C"/>
    <w:rsid w:val="00C36F42"/>
    <w:rsid w:val="00C3718A"/>
    <w:rsid w:val="00C371A8"/>
    <w:rsid w:val="00C3728D"/>
    <w:rsid w:val="00C377C6"/>
    <w:rsid w:val="00C379C5"/>
    <w:rsid w:val="00C37EC9"/>
    <w:rsid w:val="00C37EEE"/>
    <w:rsid w:val="00C40453"/>
    <w:rsid w:val="00C40E71"/>
    <w:rsid w:val="00C40FBC"/>
    <w:rsid w:val="00C4141D"/>
    <w:rsid w:val="00C41879"/>
    <w:rsid w:val="00C419E6"/>
    <w:rsid w:val="00C41A7C"/>
    <w:rsid w:val="00C41D64"/>
    <w:rsid w:val="00C4204C"/>
    <w:rsid w:val="00C42CEF"/>
    <w:rsid w:val="00C42D55"/>
    <w:rsid w:val="00C43080"/>
    <w:rsid w:val="00C4370E"/>
    <w:rsid w:val="00C43823"/>
    <w:rsid w:val="00C4384B"/>
    <w:rsid w:val="00C4393C"/>
    <w:rsid w:val="00C43A22"/>
    <w:rsid w:val="00C43F2D"/>
    <w:rsid w:val="00C44068"/>
    <w:rsid w:val="00C442AE"/>
    <w:rsid w:val="00C44B32"/>
    <w:rsid w:val="00C44DCD"/>
    <w:rsid w:val="00C4518B"/>
    <w:rsid w:val="00C45780"/>
    <w:rsid w:val="00C458D6"/>
    <w:rsid w:val="00C45919"/>
    <w:rsid w:val="00C45C79"/>
    <w:rsid w:val="00C4655A"/>
    <w:rsid w:val="00C466BF"/>
    <w:rsid w:val="00C46968"/>
    <w:rsid w:val="00C46BF1"/>
    <w:rsid w:val="00C46F14"/>
    <w:rsid w:val="00C47385"/>
    <w:rsid w:val="00C47555"/>
    <w:rsid w:val="00C476AC"/>
    <w:rsid w:val="00C47E67"/>
    <w:rsid w:val="00C47F68"/>
    <w:rsid w:val="00C47FD9"/>
    <w:rsid w:val="00C504C1"/>
    <w:rsid w:val="00C509CE"/>
    <w:rsid w:val="00C50A5C"/>
    <w:rsid w:val="00C50C1A"/>
    <w:rsid w:val="00C50E1E"/>
    <w:rsid w:val="00C50FB8"/>
    <w:rsid w:val="00C51508"/>
    <w:rsid w:val="00C51D73"/>
    <w:rsid w:val="00C52A05"/>
    <w:rsid w:val="00C52E97"/>
    <w:rsid w:val="00C52EAF"/>
    <w:rsid w:val="00C53189"/>
    <w:rsid w:val="00C534E5"/>
    <w:rsid w:val="00C534F4"/>
    <w:rsid w:val="00C5375B"/>
    <w:rsid w:val="00C53B15"/>
    <w:rsid w:val="00C53DA9"/>
    <w:rsid w:val="00C53EF7"/>
    <w:rsid w:val="00C54280"/>
    <w:rsid w:val="00C54490"/>
    <w:rsid w:val="00C54616"/>
    <w:rsid w:val="00C54929"/>
    <w:rsid w:val="00C550B6"/>
    <w:rsid w:val="00C55373"/>
    <w:rsid w:val="00C556B1"/>
    <w:rsid w:val="00C557BE"/>
    <w:rsid w:val="00C55A05"/>
    <w:rsid w:val="00C56101"/>
    <w:rsid w:val="00C565F2"/>
    <w:rsid w:val="00C567A8"/>
    <w:rsid w:val="00C567E3"/>
    <w:rsid w:val="00C56979"/>
    <w:rsid w:val="00C5698C"/>
    <w:rsid w:val="00C56C45"/>
    <w:rsid w:val="00C573CC"/>
    <w:rsid w:val="00C575BE"/>
    <w:rsid w:val="00C5783B"/>
    <w:rsid w:val="00C57AD5"/>
    <w:rsid w:val="00C57B81"/>
    <w:rsid w:val="00C57FB9"/>
    <w:rsid w:val="00C6077B"/>
    <w:rsid w:val="00C60950"/>
    <w:rsid w:val="00C609C2"/>
    <w:rsid w:val="00C60D8A"/>
    <w:rsid w:val="00C60DD1"/>
    <w:rsid w:val="00C6151E"/>
    <w:rsid w:val="00C61565"/>
    <w:rsid w:val="00C61574"/>
    <w:rsid w:val="00C615B4"/>
    <w:rsid w:val="00C616CA"/>
    <w:rsid w:val="00C61AC6"/>
    <w:rsid w:val="00C61ACF"/>
    <w:rsid w:val="00C61F5C"/>
    <w:rsid w:val="00C6211D"/>
    <w:rsid w:val="00C622D1"/>
    <w:rsid w:val="00C62537"/>
    <w:rsid w:val="00C62AAC"/>
    <w:rsid w:val="00C62AE0"/>
    <w:rsid w:val="00C62B32"/>
    <w:rsid w:val="00C632E7"/>
    <w:rsid w:val="00C63796"/>
    <w:rsid w:val="00C63DED"/>
    <w:rsid w:val="00C63E88"/>
    <w:rsid w:val="00C6436D"/>
    <w:rsid w:val="00C64F97"/>
    <w:rsid w:val="00C651E4"/>
    <w:rsid w:val="00C65585"/>
    <w:rsid w:val="00C656EB"/>
    <w:rsid w:val="00C65DF4"/>
    <w:rsid w:val="00C661C6"/>
    <w:rsid w:val="00C673D9"/>
    <w:rsid w:val="00C674A0"/>
    <w:rsid w:val="00C6773B"/>
    <w:rsid w:val="00C67B49"/>
    <w:rsid w:val="00C703D1"/>
    <w:rsid w:val="00C70AB9"/>
    <w:rsid w:val="00C710E1"/>
    <w:rsid w:val="00C711F5"/>
    <w:rsid w:val="00C71326"/>
    <w:rsid w:val="00C713A1"/>
    <w:rsid w:val="00C71828"/>
    <w:rsid w:val="00C72030"/>
    <w:rsid w:val="00C72105"/>
    <w:rsid w:val="00C726B9"/>
    <w:rsid w:val="00C73B6E"/>
    <w:rsid w:val="00C73E08"/>
    <w:rsid w:val="00C74503"/>
    <w:rsid w:val="00C74520"/>
    <w:rsid w:val="00C74954"/>
    <w:rsid w:val="00C76028"/>
    <w:rsid w:val="00C76184"/>
    <w:rsid w:val="00C76462"/>
    <w:rsid w:val="00C7673D"/>
    <w:rsid w:val="00C76A80"/>
    <w:rsid w:val="00C76C27"/>
    <w:rsid w:val="00C76F07"/>
    <w:rsid w:val="00C77602"/>
    <w:rsid w:val="00C77960"/>
    <w:rsid w:val="00C77A13"/>
    <w:rsid w:val="00C77EF6"/>
    <w:rsid w:val="00C809E5"/>
    <w:rsid w:val="00C80A20"/>
    <w:rsid w:val="00C80A4A"/>
    <w:rsid w:val="00C80B4B"/>
    <w:rsid w:val="00C80D63"/>
    <w:rsid w:val="00C812D5"/>
    <w:rsid w:val="00C81BEA"/>
    <w:rsid w:val="00C81DF5"/>
    <w:rsid w:val="00C82188"/>
    <w:rsid w:val="00C8242B"/>
    <w:rsid w:val="00C82A50"/>
    <w:rsid w:val="00C83240"/>
    <w:rsid w:val="00C83381"/>
    <w:rsid w:val="00C834A0"/>
    <w:rsid w:val="00C83607"/>
    <w:rsid w:val="00C83768"/>
    <w:rsid w:val="00C83B18"/>
    <w:rsid w:val="00C840C3"/>
    <w:rsid w:val="00C841B4"/>
    <w:rsid w:val="00C84266"/>
    <w:rsid w:val="00C844DA"/>
    <w:rsid w:val="00C8466F"/>
    <w:rsid w:val="00C8493B"/>
    <w:rsid w:val="00C849E0"/>
    <w:rsid w:val="00C84B74"/>
    <w:rsid w:val="00C8512A"/>
    <w:rsid w:val="00C85342"/>
    <w:rsid w:val="00C85378"/>
    <w:rsid w:val="00C85856"/>
    <w:rsid w:val="00C85970"/>
    <w:rsid w:val="00C85E42"/>
    <w:rsid w:val="00C85E9B"/>
    <w:rsid w:val="00C8645C"/>
    <w:rsid w:val="00C867C8"/>
    <w:rsid w:val="00C86D71"/>
    <w:rsid w:val="00C874C8"/>
    <w:rsid w:val="00C90165"/>
    <w:rsid w:val="00C901AC"/>
    <w:rsid w:val="00C902DA"/>
    <w:rsid w:val="00C90733"/>
    <w:rsid w:val="00C910FA"/>
    <w:rsid w:val="00C91177"/>
    <w:rsid w:val="00C91E7B"/>
    <w:rsid w:val="00C921C4"/>
    <w:rsid w:val="00C9235F"/>
    <w:rsid w:val="00C9257F"/>
    <w:rsid w:val="00C9319C"/>
    <w:rsid w:val="00C934F6"/>
    <w:rsid w:val="00C93874"/>
    <w:rsid w:val="00C93A4C"/>
    <w:rsid w:val="00C944EB"/>
    <w:rsid w:val="00C94FD2"/>
    <w:rsid w:val="00C95341"/>
    <w:rsid w:val="00C95B76"/>
    <w:rsid w:val="00C964C3"/>
    <w:rsid w:val="00C96635"/>
    <w:rsid w:val="00C966B7"/>
    <w:rsid w:val="00C9672E"/>
    <w:rsid w:val="00C969DB"/>
    <w:rsid w:val="00C96A6E"/>
    <w:rsid w:val="00C96E7F"/>
    <w:rsid w:val="00C97751"/>
    <w:rsid w:val="00C97A4A"/>
    <w:rsid w:val="00C97DC9"/>
    <w:rsid w:val="00C97EE3"/>
    <w:rsid w:val="00CA00ED"/>
    <w:rsid w:val="00CA042A"/>
    <w:rsid w:val="00CA072E"/>
    <w:rsid w:val="00CA1098"/>
    <w:rsid w:val="00CA12BA"/>
    <w:rsid w:val="00CA12E4"/>
    <w:rsid w:val="00CA165C"/>
    <w:rsid w:val="00CA1913"/>
    <w:rsid w:val="00CA1C0D"/>
    <w:rsid w:val="00CA1DAE"/>
    <w:rsid w:val="00CA1E62"/>
    <w:rsid w:val="00CA2267"/>
    <w:rsid w:val="00CA3726"/>
    <w:rsid w:val="00CA38AD"/>
    <w:rsid w:val="00CA3E41"/>
    <w:rsid w:val="00CA3EEE"/>
    <w:rsid w:val="00CA4527"/>
    <w:rsid w:val="00CA4668"/>
    <w:rsid w:val="00CA4682"/>
    <w:rsid w:val="00CA4D68"/>
    <w:rsid w:val="00CA5098"/>
    <w:rsid w:val="00CA5503"/>
    <w:rsid w:val="00CA5E99"/>
    <w:rsid w:val="00CA642A"/>
    <w:rsid w:val="00CA664A"/>
    <w:rsid w:val="00CA66C3"/>
    <w:rsid w:val="00CA6CAD"/>
    <w:rsid w:val="00CA70A8"/>
    <w:rsid w:val="00CA70D0"/>
    <w:rsid w:val="00CA74A4"/>
    <w:rsid w:val="00CA7683"/>
    <w:rsid w:val="00CA7D87"/>
    <w:rsid w:val="00CA7E74"/>
    <w:rsid w:val="00CA7EA1"/>
    <w:rsid w:val="00CA7EEB"/>
    <w:rsid w:val="00CB009B"/>
    <w:rsid w:val="00CB0231"/>
    <w:rsid w:val="00CB0838"/>
    <w:rsid w:val="00CB092E"/>
    <w:rsid w:val="00CB0D7F"/>
    <w:rsid w:val="00CB11DB"/>
    <w:rsid w:val="00CB145F"/>
    <w:rsid w:val="00CB1697"/>
    <w:rsid w:val="00CB1803"/>
    <w:rsid w:val="00CB1AFD"/>
    <w:rsid w:val="00CB1EB3"/>
    <w:rsid w:val="00CB2126"/>
    <w:rsid w:val="00CB2308"/>
    <w:rsid w:val="00CB24AD"/>
    <w:rsid w:val="00CB2828"/>
    <w:rsid w:val="00CB2C59"/>
    <w:rsid w:val="00CB2D9C"/>
    <w:rsid w:val="00CB2FD3"/>
    <w:rsid w:val="00CB3135"/>
    <w:rsid w:val="00CB322A"/>
    <w:rsid w:val="00CB3384"/>
    <w:rsid w:val="00CB33CC"/>
    <w:rsid w:val="00CB34AB"/>
    <w:rsid w:val="00CB3529"/>
    <w:rsid w:val="00CB38A9"/>
    <w:rsid w:val="00CB3A45"/>
    <w:rsid w:val="00CB4183"/>
    <w:rsid w:val="00CB4728"/>
    <w:rsid w:val="00CB58FB"/>
    <w:rsid w:val="00CB59E7"/>
    <w:rsid w:val="00CB5D27"/>
    <w:rsid w:val="00CB5E4A"/>
    <w:rsid w:val="00CB6FCA"/>
    <w:rsid w:val="00CB724D"/>
    <w:rsid w:val="00CB73EA"/>
    <w:rsid w:val="00CB76E3"/>
    <w:rsid w:val="00CB7BAC"/>
    <w:rsid w:val="00CB7D4E"/>
    <w:rsid w:val="00CB7F1F"/>
    <w:rsid w:val="00CB7F2A"/>
    <w:rsid w:val="00CC002B"/>
    <w:rsid w:val="00CC07E5"/>
    <w:rsid w:val="00CC09F0"/>
    <w:rsid w:val="00CC0AB5"/>
    <w:rsid w:val="00CC0C11"/>
    <w:rsid w:val="00CC1F52"/>
    <w:rsid w:val="00CC1FB7"/>
    <w:rsid w:val="00CC1FEE"/>
    <w:rsid w:val="00CC233F"/>
    <w:rsid w:val="00CC26B5"/>
    <w:rsid w:val="00CC27FD"/>
    <w:rsid w:val="00CC29A4"/>
    <w:rsid w:val="00CC2EC7"/>
    <w:rsid w:val="00CC2FC2"/>
    <w:rsid w:val="00CC3180"/>
    <w:rsid w:val="00CC31E8"/>
    <w:rsid w:val="00CC351B"/>
    <w:rsid w:val="00CC3AB9"/>
    <w:rsid w:val="00CC3C9E"/>
    <w:rsid w:val="00CC3FDB"/>
    <w:rsid w:val="00CC442F"/>
    <w:rsid w:val="00CC457D"/>
    <w:rsid w:val="00CC45E0"/>
    <w:rsid w:val="00CC4BBE"/>
    <w:rsid w:val="00CC4BC3"/>
    <w:rsid w:val="00CC4C4B"/>
    <w:rsid w:val="00CC50C7"/>
    <w:rsid w:val="00CC55AC"/>
    <w:rsid w:val="00CC5859"/>
    <w:rsid w:val="00CC5C91"/>
    <w:rsid w:val="00CC6D1C"/>
    <w:rsid w:val="00CC6DCA"/>
    <w:rsid w:val="00CC71DD"/>
    <w:rsid w:val="00CC71F3"/>
    <w:rsid w:val="00CC72C0"/>
    <w:rsid w:val="00CC7502"/>
    <w:rsid w:val="00CC757D"/>
    <w:rsid w:val="00CC798D"/>
    <w:rsid w:val="00CC7C74"/>
    <w:rsid w:val="00CD00DB"/>
    <w:rsid w:val="00CD0119"/>
    <w:rsid w:val="00CD07FD"/>
    <w:rsid w:val="00CD0866"/>
    <w:rsid w:val="00CD0DEA"/>
    <w:rsid w:val="00CD1169"/>
    <w:rsid w:val="00CD15F1"/>
    <w:rsid w:val="00CD16C7"/>
    <w:rsid w:val="00CD1A40"/>
    <w:rsid w:val="00CD1B33"/>
    <w:rsid w:val="00CD1C47"/>
    <w:rsid w:val="00CD22C2"/>
    <w:rsid w:val="00CD23E3"/>
    <w:rsid w:val="00CD25F3"/>
    <w:rsid w:val="00CD27FF"/>
    <w:rsid w:val="00CD2875"/>
    <w:rsid w:val="00CD2DF3"/>
    <w:rsid w:val="00CD305C"/>
    <w:rsid w:val="00CD3218"/>
    <w:rsid w:val="00CD3263"/>
    <w:rsid w:val="00CD356C"/>
    <w:rsid w:val="00CD3A6D"/>
    <w:rsid w:val="00CD3E5A"/>
    <w:rsid w:val="00CD3E63"/>
    <w:rsid w:val="00CD4073"/>
    <w:rsid w:val="00CD40A3"/>
    <w:rsid w:val="00CD425B"/>
    <w:rsid w:val="00CD4461"/>
    <w:rsid w:val="00CD47EC"/>
    <w:rsid w:val="00CD4CD3"/>
    <w:rsid w:val="00CD5249"/>
    <w:rsid w:val="00CD5854"/>
    <w:rsid w:val="00CD589F"/>
    <w:rsid w:val="00CD5CAE"/>
    <w:rsid w:val="00CD5E82"/>
    <w:rsid w:val="00CD5FE2"/>
    <w:rsid w:val="00CD60C9"/>
    <w:rsid w:val="00CD6345"/>
    <w:rsid w:val="00CD6596"/>
    <w:rsid w:val="00CD6BBB"/>
    <w:rsid w:val="00CD6EC2"/>
    <w:rsid w:val="00CD70BF"/>
    <w:rsid w:val="00CD7319"/>
    <w:rsid w:val="00CD7482"/>
    <w:rsid w:val="00CE02FE"/>
    <w:rsid w:val="00CE03CB"/>
    <w:rsid w:val="00CE07C1"/>
    <w:rsid w:val="00CE0A2C"/>
    <w:rsid w:val="00CE1171"/>
    <w:rsid w:val="00CE1303"/>
    <w:rsid w:val="00CE1567"/>
    <w:rsid w:val="00CE15E9"/>
    <w:rsid w:val="00CE1859"/>
    <w:rsid w:val="00CE186F"/>
    <w:rsid w:val="00CE20E3"/>
    <w:rsid w:val="00CE273A"/>
    <w:rsid w:val="00CE321C"/>
    <w:rsid w:val="00CE32E8"/>
    <w:rsid w:val="00CE353C"/>
    <w:rsid w:val="00CE3700"/>
    <w:rsid w:val="00CE38E9"/>
    <w:rsid w:val="00CE3B69"/>
    <w:rsid w:val="00CE4559"/>
    <w:rsid w:val="00CE4CE5"/>
    <w:rsid w:val="00CE5118"/>
    <w:rsid w:val="00CE5487"/>
    <w:rsid w:val="00CE54D8"/>
    <w:rsid w:val="00CE59B5"/>
    <w:rsid w:val="00CE59DB"/>
    <w:rsid w:val="00CE5B6A"/>
    <w:rsid w:val="00CE5D3A"/>
    <w:rsid w:val="00CE67D8"/>
    <w:rsid w:val="00CE68EA"/>
    <w:rsid w:val="00CE6AF8"/>
    <w:rsid w:val="00CE7381"/>
    <w:rsid w:val="00CE7447"/>
    <w:rsid w:val="00CE74CE"/>
    <w:rsid w:val="00CE7B94"/>
    <w:rsid w:val="00CE7C74"/>
    <w:rsid w:val="00CE7E05"/>
    <w:rsid w:val="00CF0464"/>
    <w:rsid w:val="00CF0829"/>
    <w:rsid w:val="00CF0B67"/>
    <w:rsid w:val="00CF0BF9"/>
    <w:rsid w:val="00CF0E74"/>
    <w:rsid w:val="00CF1156"/>
    <w:rsid w:val="00CF1833"/>
    <w:rsid w:val="00CF1853"/>
    <w:rsid w:val="00CF1AA1"/>
    <w:rsid w:val="00CF1AEA"/>
    <w:rsid w:val="00CF1AEE"/>
    <w:rsid w:val="00CF2091"/>
    <w:rsid w:val="00CF2191"/>
    <w:rsid w:val="00CF21F6"/>
    <w:rsid w:val="00CF2278"/>
    <w:rsid w:val="00CF2B55"/>
    <w:rsid w:val="00CF2C62"/>
    <w:rsid w:val="00CF2F66"/>
    <w:rsid w:val="00CF337B"/>
    <w:rsid w:val="00CF3FE7"/>
    <w:rsid w:val="00CF4416"/>
    <w:rsid w:val="00CF485B"/>
    <w:rsid w:val="00CF4F87"/>
    <w:rsid w:val="00CF4FF3"/>
    <w:rsid w:val="00CF56B3"/>
    <w:rsid w:val="00CF5762"/>
    <w:rsid w:val="00CF64EF"/>
    <w:rsid w:val="00CF65B4"/>
    <w:rsid w:val="00CF69B0"/>
    <w:rsid w:val="00CF6C05"/>
    <w:rsid w:val="00CF7285"/>
    <w:rsid w:val="00CF7485"/>
    <w:rsid w:val="00CF764E"/>
    <w:rsid w:val="00CF7E56"/>
    <w:rsid w:val="00D000B5"/>
    <w:rsid w:val="00D01502"/>
    <w:rsid w:val="00D01744"/>
    <w:rsid w:val="00D01984"/>
    <w:rsid w:val="00D019CB"/>
    <w:rsid w:val="00D01AEB"/>
    <w:rsid w:val="00D01C03"/>
    <w:rsid w:val="00D025CE"/>
    <w:rsid w:val="00D02A0F"/>
    <w:rsid w:val="00D02CA6"/>
    <w:rsid w:val="00D02DF3"/>
    <w:rsid w:val="00D02F5A"/>
    <w:rsid w:val="00D03181"/>
    <w:rsid w:val="00D0343C"/>
    <w:rsid w:val="00D037DC"/>
    <w:rsid w:val="00D0383B"/>
    <w:rsid w:val="00D03A8A"/>
    <w:rsid w:val="00D03DA5"/>
    <w:rsid w:val="00D03F27"/>
    <w:rsid w:val="00D043EE"/>
    <w:rsid w:val="00D0470D"/>
    <w:rsid w:val="00D05249"/>
    <w:rsid w:val="00D055A8"/>
    <w:rsid w:val="00D055CA"/>
    <w:rsid w:val="00D057A1"/>
    <w:rsid w:val="00D059FC"/>
    <w:rsid w:val="00D05DEF"/>
    <w:rsid w:val="00D062A6"/>
    <w:rsid w:val="00D0630D"/>
    <w:rsid w:val="00D06861"/>
    <w:rsid w:val="00D0688A"/>
    <w:rsid w:val="00D06BBB"/>
    <w:rsid w:val="00D06F22"/>
    <w:rsid w:val="00D07A9C"/>
    <w:rsid w:val="00D07C8C"/>
    <w:rsid w:val="00D1000D"/>
    <w:rsid w:val="00D10076"/>
    <w:rsid w:val="00D1033B"/>
    <w:rsid w:val="00D10360"/>
    <w:rsid w:val="00D10477"/>
    <w:rsid w:val="00D107E2"/>
    <w:rsid w:val="00D11A41"/>
    <w:rsid w:val="00D11D76"/>
    <w:rsid w:val="00D11F5E"/>
    <w:rsid w:val="00D121F5"/>
    <w:rsid w:val="00D126E4"/>
    <w:rsid w:val="00D12D1B"/>
    <w:rsid w:val="00D12D44"/>
    <w:rsid w:val="00D12E6B"/>
    <w:rsid w:val="00D130E2"/>
    <w:rsid w:val="00D131BF"/>
    <w:rsid w:val="00D13A90"/>
    <w:rsid w:val="00D13DCD"/>
    <w:rsid w:val="00D13DFF"/>
    <w:rsid w:val="00D140E6"/>
    <w:rsid w:val="00D141A3"/>
    <w:rsid w:val="00D147C9"/>
    <w:rsid w:val="00D14DD4"/>
    <w:rsid w:val="00D1540A"/>
    <w:rsid w:val="00D158EF"/>
    <w:rsid w:val="00D15C14"/>
    <w:rsid w:val="00D15E74"/>
    <w:rsid w:val="00D15FAA"/>
    <w:rsid w:val="00D1629A"/>
    <w:rsid w:val="00D16B7C"/>
    <w:rsid w:val="00D16ECB"/>
    <w:rsid w:val="00D16EEE"/>
    <w:rsid w:val="00D17167"/>
    <w:rsid w:val="00D17BA5"/>
    <w:rsid w:val="00D17CBF"/>
    <w:rsid w:val="00D17E2E"/>
    <w:rsid w:val="00D2058D"/>
    <w:rsid w:val="00D206A3"/>
    <w:rsid w:val="00D20D95"/>
    <w:rsid w:val="00D20DEF"/>
    <w:rsid w:val="00D20F35"/>
    <w:rsid w:val="00D2176E"/>
    <w:rsid w:val="00D2182A"/>
    <w:rsid w:val="00D2193D"/>
    <w:rsid w:val="00D21BCD"/>
    <w:rsid w:val="00D21F79"/>
    <w:rsid w:val="00D22105"/>
    <w:rsid w:val="00D2211C"/>
    <w:rsid w:val="00D22259"/>
    <w:rsid w:val="00D2263F"/>
    <w:rsid w:val="00D22996"/>
    <w:rsid w:val="00D22B55"/>
    <w:rsid w:val="00D22C81"/>
    <w:rsid w:val="00D22CE5"/>
    <w:rsid w:val="00D23055"/>
    <w:rsid w:val="00D230AD"/>
    <w:rsid w:val="00D2316A"/>
    <w:rsid w:val="00D2320E"/>
    <w:rsid w:val="00D2327A"/>
    <w:rsid w:val="00D237D2"/>
    <w:rsid w:val="00D23C7C"/>
    <w:rsid w:val="00D24790"/>
    <w:rsid w:val="00D24C7B"/>
    <w:rsid w:val="00D25000"/>
    <w:rsid w:val="00D2518E"/>
    <w:rsid w:val="00D251A1"/>
    <w:rsid w:val="00D251AB"/>
    <w:rsid w:val="00D25240"/>
    <w:rsid w:val="00D25AC6"/>
    <w:rsid w:val="00D26025"/>
    <w:rsid w:val="00D261D3"/>
    <w:rsid w:val="00D2684B"/>
    <w:rsid w:val="00D30109"/>
    <w:rsid w:val="00D30463"/>
    <w:rsid w:val="00D307B9"/>
    <w:rsid w:val="00D30952"/>
    <w:rsid w:val="00D319DF"/>
    <w:rsid w:val="00D31C02"/>
    <w:rsid w:val="00D3225E"/>
    <w:rsid w:val="00D324BC"/>
    <w:rsid w:val="00D32B9F"/>
    <w:rsid w:val="00D33565"/>
    <w:rsid w:val="00D336D4"/>
    <w:rsid w:val="00D33761"/>
    <w:rsid w:val="00D33762"/>
    <w:rsid w:val="00D341C7"/>
    <w:rsid w:val="00D344B7"/>
    <w:rsid w:val="00D344EB"/>
    <w:rsid w:val="00D34BD1"/>
    <w:rsid w:val="00D35177"/>
    <w:rsid w:val="00D35699"/>
    <w:rsid w:val="00D356CB"/>
    <w:rsid w:val="00D356E1"/>
    <w:rsid w:val="00D3573E"/>
    <w:rsid w:val="00D36EF3"/>
    <w:rsid w:val="00D373AA"/>
    <w:rsid w:val="00D37C2F"/>
    <w:rsid w:val="00D40340"/>
    <w:rsid w:val="00D403B0"/>
    <w:rsid w:val="00D40609"/>
    <w:rsid w:val="00D40983"/>
    <w:rsid w:val="00D41188"/>
    <w:rsid w:val="00D417D3"/>
    <w:rsid w:val="00D418D5"/>
    <w:rsid w:val="00D41940"/>
    <w:rsid w:val="00D41DB1"/>
    <w:rsid w:val="00D4249C"/>
    <w:rsid w:val="00D4276D"/>
    <w:rsid w:val="00D42798"/>
    <w:rsid w:val="00D42963"/>
    <w:rsid w:val="00D42970"/>
    <w:rsid w:val="00D43AED"/>
    <w:rsid w:val="00D44916"/>
    <w:rsid w:val="00D44AA9"/>
    <w:rsid w:val="00D450C7"/>
    <w:rsid w:val="00D451EF"/>
    <w:rsid w:val="00D45526"/>
    <w:rsid w:val="00D45999"/>
    <w:rsid w:val="00D45AE4"/>
    <w:rsid w:val="00D45CA4"/>
    <w:rsid w:val="00D45EA7"/>
    <w:rsid w:val="00D45EE7"/>
    <w:rsid w:val="00D45F22"/>
    <w:rsid w:val="00D46109"/>
    <w:rsid w:val="00D466E8"/>
    <w:rsid w:val="00D469C6"/>
    <w:rsid w:val="00D46AB9"/>
    <w:rsid w:val="00D47178"/>
    <w:rsid w:val="00D4730F"/>
    <w:rsid w:val="00D4752E"/>
    <w:rsid w:val="00D47842"/>
    <w:rsid w:val="00D47BEF"/>
    <w:rsid w:val="00D47D55"/>
    <w:rsid w:val="00D50323"/>
    <w:rsid w:val="00D50826"/>
    <w:rsid w:val="00D50BEB"/>
    <w:rsid w:val="00D50C9B"/>
    <w:rsid w:val="00D51675"/>
    <w:rsid w:val="00D51F73"/>
    <w:rsid w:val="00D522D6"/>
    <w:rsid w:val="00D52827"/>
    <w:rsid w:val="00D529BE"/>
    <w:rsid w:val="00D52CF6"/>
    <w:rsid w:val="00D5332D"/>
    <w:rsid w:val="00D5339B"/>
    <w:rsid w:val="00D53A68"/>
    <w:rsid w:val="00D53D3E"/>
    <w:rsid w:val="00D5410C"/>
    <w:rsid w:val="00D5455E"/>
    <w:rsid w:val="00D547E0"/>
    <w:rsid w:val="00D54901"/>
    <w:rsid w:val="00D54992"/>
    <w:rsid w:val="00D55291"/>
    <w:rsid w:val="00D55C48"/>
    <w:rsid w:val="00D55D65"/>
    <w:rsid w:val="00D55E47"/>
    <w:rsid w:val="00D56392"/>
    <w:rsid w:val="00D56997"/>
    <w:rsid w:val="00D570E6"/>
    <w:rsid w:val="00D5730F"/>
    <w:rsid w:val="00D5774F"/>
    <w:rsid w:val="00D60809"/>
    <w:rsid w:val="00D60D7F"/>
    <w:rsid w:val="00D6152D"/>
    <w:rsid w:val="00D6164F"/>
    <w:rsid w:val="00D61C9C"/>
    <w:rsid w:val="00D61FC2"/>
    <w:rsid w:val="00D62111"/>
    <w:rsid w:val="00D62229"/>
    <w:rsid w:val="00D62354"/>
    <w:rsid w:val="00D625B8"/>
    <w:rsid w:val="00D626F8"/>
    <w:rsid w:val="00D62A03"/>
    <w:rsid w:val="00D632D9"/>
    <w:rsid w:val="00D63444"/>
    <w:rsid w:val="00D636DC"/>
    <w:rsid w:val="00D63F14"/>
    <w:rsid w:val="00D63F4C"/>
    <w:rsid w:val="00D64613"/>
    <w:rsid w:val="00D6467E"/>
    <w:rsid w:val="00D64702"/>
    <w:rsid w:val="00D66BFD"/>
    <w:rsid w:val="00D66C91"/>
    <w:rsid w:val="00D674EE"/>
    <w:rsid w:val="00D67535"/>
    <w:rsid w:val="00D67A4D"/>
    <w:rsid w:val="00D67BC9"/>
    <w:rsid w:val="00D67DBC"/>
    <w:rsid w:val="00D704D9"/>
    <w:rsid w:val="00D70806"/>
    <w:rsid w:val="00D70934"/>
    <w:rsid w:val="00D70BD2"/>
    <w:rsid w:val="00D70DAB"/>
    <w:rsid w:val="00D713F2"/>
    <w:rsid w:val="00D721B1"/>
    <w:rsid w:val="00D7226B"/>
    <w:rsid w:val="00D72370"/>
    <w:rsid w:val="00D72705"/>
    <w:rsid w:val="00D72F93"/>
    <w:rsid w:val="00D730EE"/>
    <w:rsid w:val="00D738BF"/>
    <w:rsid w:val="00D73B93"/>
    <w:rsid w:val="00D73C95"/>
    <w:rsid w:val="00D7400F"/>
    <w:rsid w:val="00D745C1"/>
    <w:rsid w:val="00D74784"/>
    <w:rsid w:val="00D756F6"/>
    <w:rsid w:val="00D75731"/>
    <w:rsid w:val="00D75B45"/>
    <w:rsid w:val="00D75B5C"/>
    <w:rsid w:val="00D75E2C"/>
    <w:rsid w:val="00D75F30"/>
    <w:rsid w:val="00D75F8C"/>
    <w:rsid w:val="00D76050"/>
    <w:rsid w:val="00D761DD"/>
    <w:rsid w:val="00D76309"/>
    <w:rsid w:val="00D76423"/>
    <w:rsid w:val="00D766DD"/>
    <w:rsid w:val="00D767BF"/>
    <w:rsid w:val="00D768D9"/>
    <w:rsid w:val="00D76990"/>
    <w:rsid w:val="00D76D88"/>
    <w:rsid w:val="00D77278"/>
    <w:rsid w:val="00D7749B"/>
    <w:rsid w:val="00D775B5"/>
    <w:rsid w:val="00D77961"/>
    <w:rsid w:val="00D77A47"/>
    <w:rsid w:val="00D77B20"/>
    <w:rsid w:val="00D77B3B"/>
    <w:rsid w:val="00D77C5A"/>
    <w:rsid w:val="00D8007C"/>
    <w:rsid w:val="00D800BF"/>
    <w:rsid w:val="00D800D8"/>
    <w:rsid w:val="00D8032D"/>
    <w:rsid w:val="00D8079F"/>
    <w:rsid w:val="00D80C00"/>
    <w:rsid w:val="00D80D0D"/>
    <w:rsid w:val="00D8103B"/>
    <w:rsid w:val="00D8111B"/>
    <w:rsid w:val="00D81242"/>
    <w:rsid w:val="00D812D2"/>
    <w:rsid w:val="00D81764"/>
    <w:rsid w:val="00D81D10"/>
    <w:rsid w:val="00D82C80"/>
    <w:rsid w:val="00D82D02"/>
    <w:rsid w:val="00D82D0F"/>
    <w:rsid w:val="00D82E41"/>
    <w:rsid w:val="00D83A5A"/>
    <w:rsid w:val="00D83E9B"/>
    <w:rsid w:val="00D84157"/>
    <w:rsid w:val="00D84641"/>
    <w:rsid w:val="00D848ED"/>
    <w:rsid w:val="00D84BD7"/>
    <w:rsid w:val="00D84DCA"/>
    <w:rsid w:val="00D85114"/>
    <w:rsid w:val="00D857BC"/>
    <w:rsid w:val="00D85CC6"/>
    <w:rsid w:val="00D861E5"/>
    <w:rsid w:val="00D86A92"/>
    <w:rsid w:val="00D871B6"/>
    <w:rsid w:val="00D875E1"/>
    <w:rsid w:val="00D876AE"/>
    <w:rsid w:val="00D87ACE"/>
    <w:rsid w:val="00D87D2E"/>
    <w:rsid w:val="00D87F1E"/>
    <w:rsid w:val="00D90275"/>
    <w:rsid w:val="00D902F5"/>
    <w:rsid w:val="00D9075D"/>
    <w:rsid w:val="00D90959"/>
    <w:rsid w:val="00D91410"/>
    <w:rsid w:val="00D91438"/>
    <w:rsid w:val="00D91594"/>
    <w:rsid w:val="00D91ABE"/>
    <w:rsid w:val="00D91DFB"/>
    <w:rsid w:val="00D921DA"/>
    <w:rsid w:val="00D92C2F"/>
    <w:rsid w:val="00D92CBF"/>
    <w:rsid w:val="00D92F7F"/>
    <w:rsid w:val="00D930AC"/>
    <w:rsid w:val="00D932BC"/>
    <w:rsid w:val="00D9385C"/>
    <w:rsid w:val="00D9459D"/>
    <w:rsid w:val="00D94730"/>
    <w:rsid w:val="00D94858"/>
    <w:rsid w:val="00D94972"/>
    <w:rsid w:val="00D954A1"/>
    <w:rsid w:val="00D95519"/>
    <w:rsid w:val="00D95744"/>
    <w:rsid w:val="00D958FC"/>
    <w:rsid w:val="00D959AE"/>
    <w:rsid w:val="00D95DC2"/>
    <w:rsid w:val="00D96678"/>
    <w:rsid w:val="00D9673A"/>
    <w:rsid w:val="00D96C73"/>
    <w:rsid w:val="00D96D46"/>
    <w:rsid w:val="00D96DCC"/>
    <w:rsid w:val="00D974B1"/>
    <w:rsid w:val="00D97C27"/>
    <w:rsid w:val="00D97F9C"/>
    <w:rsid w:val="00DA032C"/>
    <w:rsid w:val="00DA0526"/>
    <w:rsid w:val="00DA0639"/>
    <w:rsid w:val="00DA0812"/>
    <w:rsid w:val="00DA0B8C"/>
    <w:rsid w:val="00DA0CF7"/>
    <w:rsid w:val="00DA0E96"/>
    <w:rsid w:val="00DA1203"/>
    <w:rsid w:val="00DA14A0"/>
    <w:rsid w:val="00DA18DA"/>
    <w:rsid w:val="00DA1C31"/>
    <w:rsid w:val="00DA1F0C"/>
    <w:rsid w:val="00DA1FE8"/>
    <w:rsid w:val="00DA20D8"/>
    <w:rsid w:val="00DA21D9"/>
    <w:rsid w:val="00DA3565"/>
    <w:rsid w:val="00DA3A5B"/>
    <w:rsid w:val="00DA3D0B"/>
    <w:rsid w:val="00DA3F51"/>
    <w:rsid w:val="00DA45DB"/>
    <w:rsid w:val="00DA48D9"/>
    <w:rsid w:val="00DA49F8"/>
    <w:rsid w:val="00DA4AAE"/>
    <w:rsid w:val="00DA5572"/>
    <w:rsid w:val="00DA5682"/>
    <w:rsid w:val="00DA5D5D"/>
    <w:rsid w:val="00DA6588"/>
    <w:rsid w:val="00DA6906"/>
    <w:rsid w:val="00DA6A15"/>
    <w:rsid w:val="00DA6CC2"/>
    <w:rsid w:val="00DA6FEC"/>
    <w:rsid w:val="00DA7029"/>
    <w:rsid w:val="00DA726C"/>
    <w:rsid w:val="00DA77A0"/>
    <w:rsid w:val="00DB09A2"/>
    <w:rsid w:val="00DB0DEB"/>
    <w:rsid w:val="00DB103D"/>
    <w:rsid w:val="00DB1060"/>
    <w:rsid w:val="00DB1448"/>
    <w:rsid w:val="00DB1907"/>
    <w:rsid w:val="00DB1998"/>
    <w:rsid w:val="00DB1F20"/>
    <w:rsid w:val="00DB1FC4"/>
    <w:rsid w:val="00DB21F0"/>
    <w:rsid w:val="00DB2C5F"/>
    <w:rsid w:val="00DB2C97"/>
    <w:rsid w:val="00DB3A58"/>
    <w:rsid w:val="00DB3BDF"/>
    <w:rsid w:val="00DB3C58"/>
    <w:rsid w:val="00DB3D46"/>
    <w:rsid w:val="00DB401C"/>
    <w:rsid w:val="00DB46C8"/>
    <w:rsid w:val="00DB540E"/>
    <w:rsid w:val="00DB58EB"/>
    <w:rsid w:val="00DB5A63"/>
    <w:rsid w:val="00DB6166"/>
    <w:rsid w:val="00DB656B"/>
    <w:rsid w:val="00DB691E"/>
    <w:rsid w:val="00DB6C99"/>
    <w:rsid w:val="00DB75A3"/>
    <w:rsid w:val="00DB7F04"/>
    <w:rsid w:val="00DB7FF9"/>
    <w:rsid w:val="00DC0574"/>
    <w:rsid w:val="00DC0C65"/>
    <w:rsid w:val="00DC0EF0"/>
    <w:rsid w:val="00DC1169"/>
    <w:rsid w:val="00DC1237"/>
    <w:rsid w:val="00DC1275"/>
    <w:rsid w:val="00DC13A8"/>
    <w:rsid w:val="00DC14BA"/>
    <w:rsid w:val="00DC16BF"/>
    <w:rsid w:val="00DC16E1"/>
    <w:rsid w:val="00DC16FC"/>
    <w:rsid w:val="00DC1881"/>
    <w:rsid w:val="00DC1ED7"/>
    <w:rsid w:val="00DC2ADA"/>
    <w:rsid w:val="00DC3993"/>
    <w:rsid w:val="00DC3A6F"/>
    <w:rsid w:val="00DC3D1C"/>
    <w:rsid w:val="00DC43CF"/>
    <w:rsid w:val="00DC43E1"/>
    <w:rsid w:val="00DC50CB"/>
    <w:rsid w:val="00DC5199"/>
    <w:rsid w:val="00DC52BA"/>
    <w:rsid w:val="00DC5A32"/>
    <w:rsid w:val="00DC5BA8"/>
    <w:rsid w:val="00DC5DDC"/>
    <w:rsid w:val="00DC5E2C"/>
    <w:rsid w:val="00DC5E4E"/>
    <w:rsid w:val="00DC5F75"/>
    <w:rsid w:val="00DC6281"/>
    <w:rsid w:val="00DC63E6"/>
    <w:rsid w:val="00DC651B"/>
    <w:rsid w:val="00DC662F"/>
    <w:rsid w:val="00DC6E78"/>
    <w:rsid w:val="00DC729A"/>
    <w:rsid w:val="00DC73B1"/>
    <w:rsid w:val="00DC74A4"/>
    <w:rsid w:val="00DC7519"/>
    <w:rsid w:val="00DC7584"/>
    <w:rsid w:val="00DC7630"/>
    <w:rsid w:val="00DC7E73"/>
    <w:rsid w:val="00DC7EB5"/>
    <w:rsid w:val="00DD02AB"/>
    <w:rsid w:val="00DD04AC"/>
    <w:rsid w:val="00DD04DD"/>
    <w:rsid w:val="00DD0891"/>
    <w:rsid w:val="00DD0B35"/>
    <w:rsid w:val="00DD0C4D"/>
    <w:rsid w:val="00DD0F9F"/>
    <w:rsid w:val="00DD11A7"/>
    <w:rsid w:val="00DD1298"/>
    <w:rsid w:val="00DD1900"/>
    <w:rsid w:val="00DD1A9F"/>
    <w:rsid w:val="00DD2300"/>
    <w:rsid w:val="00DD2309"/>
    <w:rsid w:val="00DD28B3"/>
    <w:rsid w:val="00DD28D1"/>
    <w:rsid w:val="00DD2DE3"/>
    <w:rsid w:val="00DD2DE8"/>
    <w:rsid w:val="00DD316F"/>
    <w:rsid w:val="00DD3268"/>
    <w:rsid w:val="00DD357C"/>
    <w:rsid w:val="00DD37CA"/>
    <w:rsid w:val="00DD3D55"/>
    <w:rsid w:val="00DD3DF7"/>
    <w:rsid w:val="00DD453F"/>
    <w:rsid w:val="00DD4792"/>
    <w:rsid w:val="00DD4AE2"/>
    <w:rsid w:val="00DD4BFA"/>
    <w:rsid w:val="00DD4D84"/>
    <w:rsid w:val="00DD5165"/>
    <w:rsid w:val="00DD51F8"/>
    <w:rsid w:val="00DD54A2"/>
    <w:rsid w:val="00DD5E72"/>
    <w:rsid w:val="00DD5FB6"/>
    <w:rsid w:val="00DD6388"/>
    <w:rsid w:val="00DD6C53"/>
    <w:rsid w:val="00DD7198"/>
    <w:rsid w:val="00DD7B21"/>
    <w:rsid w:val="00DD7CB6"/>
    <w:rsid w:val="00DE0077"/>
    <w:rsid w:val="00DE0137"/>
    <w:rsid w:val="00DE01BA"/>
    <w:rsid w:val="00DE0DCF"/>
    <w:rsid w:val="00DE137B"/>
    <w:rsid w:val="00DE19D9"/>
    <w:rsid w:val="00DE1DC6"/>
    <w:rsid w:val="00DE1F77"/>
    <w:rsid w:val="00DE21C6"/>
    <w:rsid w:val="00DE22AA"/>
    <w:rsid w:val="00DE288F"/>
    <w:rsid w:val="00DE2C45"/>
    <w:rsid w:val="00DE2D49"/>
    <w:rsid w:val="00DE2D83"/>
    <w:rsid w:val="00DE2F4E"/>
    <w:rsid w:val="00DE33CD"/>
    <w:rsid w:val="00DE3849"/>
    <w:rsid w:val="00DE3E48"/>
    <w:rsid w:val="00DE3E66"/>
    <w:rsid w:val="00DE3F75"/>
    <w:rsid w:val="00DE41FC"/>
    <w:rsid w:val="00DE45F5"/>
    <w:rsid w:val="00DE49BE"/>
    <w:rsid w:val="00DE4AAD"/>
    <w:rsid w:val="00DE4C0C"/>
    <w:rsid w:val="00DE4FC8"/>
    <w:rsid w:val="00DE53B5"/>
    <w:rsid w:val="00DE5A50"/>
    <w:rsid w:val="00DE60C5"/>
    <w:rsid w:val="00DE64A9"/>
    <w:rsid w:val="00DE65F4"/>
    <w:rsid w:val="00DE6CAD"/>
    <w:rsid w:val="00DE6D0C"/>
    <w:rsid w:val="00DE7323"/>
    <w:rsid w:val="00DE75F0"/>
    <w:rsid w:val="00DE77CB"/>
    <w:rsid w:val="00DE795A"/>
    <w:rsid w:val="00DE7A6B"/>
    <w:rsid w:val="00DE7EBA"/>
    <w:rsid w:val="00DF00F9"/>
    <w:rsid w:val="00DF04BD"/>
    <w:rsid w:val="00DF068D"/>
    <w:rsid w:val="00DF0D3A"/>
    <w:rsid w:val="00DF140A"/>
    <w:rsid w:val="00DF1A9A"/>
    <w:rsid w:val="00DF1C2D"/>
    <w:rsid w:val="00DF1DE9"/>
    <w:rsid w:val="00DF1F8A"/>
    <w:rsid w:val="00DF2209"/>
    <w:rsid w:val="00DF248E"/>
    <w:rsid w:val="00DF3577"/>
    <w:rsid w:val="00DF377E"/>
    <w:rsid w:val="00DF3F39"/>
    <w:rsid w:val="00DF4063"/>
    <w:rsid w:val="00DF41AD"/>
    <w:rsid w:val="00DF4B0D"/>
    <w:rsid w:val="00DF5487"/>
    <w:rsid w:val="00DF5F13"/>
    <w:rsid w:val="00DF624D"/>
    <w:rsid w:val="00DF63DD"/>
    <w:rsid w:val="00DF6B62"/>
    <w:rsid w:val="00DF7583"/>
    <w:rsid w:val="00DF7BD0"/>
    <w:rsid w:val="00DF7BDF"/>
    <w:rsid w:val="00E00303"/>
    <w:rsid w:val="00E00836"/>
    <w:rsid w:val="00E00983"/>
    <w:rsid w:val="00E00A62"/>
    <w:rsid w:val="00E00CC1"/>
    <w:rsid w:val="00E010A0"/>
    <w:rsid w:val="00E0125E"/>
    <w:rsid w:val="00E01668"/>
    <w:rsid w:val="00E0173A"/>
    <w:rsid w:val="00E01849"/>
    <w:rsid w:val="00E019E0"/>
    <w:rsid w:val="00E01C90"/>
    <w:rsid w:val="00E02010"/>
    <w:rsid w:val="00E020D1"/>
    <w:rsid w:val="00E0252A"/>
    <w:rsid w:val="00E02B64"/>
    <w:rsid w:val="00E02EAD"/>
    <w:rsid w:val="00E03D3F"/>
    <w:rsid w:val="00E03DED"/>
    <w:rsid w:val="00E0437C"/>
    <w:rsid w:val="00E044FC"/>
    <w:rsid w:val="00E0452C"/>
    <w:rsid w:val="00E04600"/>
    <w:rsid w:val="00E04D61"/>
    <w:rsid w:val="00E0504C"/>
    <w:rsid w:val="00E05074"/>
    <w:rsid w:val="00E05489"/>
    <w:rsid w:val="00E055EE"/>
    <w:rsid w:val="00E05741"/>
    <w:rsid w:val="00E05F7F"/>
    <w:rsid w:val="00E0630B"/>
    <w:rsid w:val="00E06549"/>
    <w:rsid w:val="00E06886"/>
    <w:rsid w:val="00E06930"/>
    <w:rsid w:val="00E06971"/>
    <w:rsid w:val="00E069E1"/>
    <w:rsid w:val="00E06C41"/>
    <w:rsid w:val="00E07181"/>
    <w:rsid w:val="00E10183"/>
    <w:rsid w:val="00E105B3"/>
    <w:rsid w:val="00E10846"/>
    <w:rsid w:val="00E10883"/>
    <w:rsid w:val="00E108F4"/>
    <w:rsid w:val="00E10B75"/>
    <w:rsid w:val="00E10D4E"/>
    <w:rsid w:val="00E1100C"/>
    <w:rsid w:val="00E11489"/>
    <w:rsid w:val="00E11711"/>
    <w:rsid w:val="00E11E63"/>
    <w:rsid w:val="00E11F94"/>
    <w:rsid w:val="00E12696"/>
    <w:rsid w:val="00E129E1"/>
    <w:rsid w:val="00E12B8C"/>
    <w:rsid w:val="00E1310D"/>
    <w:rsid w:val="00E13133"/>
    <w:rsid w:val="00E13359"/>
    <w:rsid w:val="00E1345D"/>
    <w:rsid w:val="00E138BF"/>
    <w:rsid w:val="00E142FF"/>
    <w:rsid w:val="00E14874"/>
    <w:rsid w:val="00E14EC9"/>
    <w:rsid w:val="00E14EFA"/>
    <w:rsid w:val="00E1519D"/>
    <w:rsid w:val="00E151B9"/>
    <w:rsid w:val="00E152A7"/>
    <w:rsid w:val="00E15430"/>
    <w:rsid w:val="00E158C4"/>
    <w:rsid w:val="00E15F2E"/>
    <w:rsid w:val="00E161E6"/>
    <w:rsid w:val="00E167C9"/>
    <w:rsid w:val="00E1698C"/>
    <w:rsid w:val="00E16AA0"/>
    <w:rsid w:val="00E16B7E"/>
    <w:rsid w:val="00E16BDB"/>
    <w:rsid w:val="00E16C91"/>
    <w:rsid w:val="00E172BE"/>
    <w:rsid w:val="00E1762A"/>
    <w:rsid w:val="00E17991"/>
    <w:rsid w:val="00E17CF7"/>
    <w:rsid w:val="00E205D6"/>
    <w:rsid w:val="00E209AB"/>
    <w:rsid w:val="00E20B25"/>
    <w:rsid w:val="00E216EC"/>
    <w:rsid w:val="00E2189A"/>
    <w:rsid w:val="00E21A60"/>
    <w:rsid w:val="00E21CE8"/>
    <w:rsid w:val="00E22356"/>
    <w:rsid w:val="00E223C2"/>
    <w:rsid w:val="00E22B5A"/>
    <w:rsid w:val="00E22B68"/>
    <w:rsid w:val="00E231C9"/>
    <w:rsid w:val="00E23EBF"/>
    <w:rsid w:val="00E23FD5"/>
    <w:rsid w:val="00E2422A"/>
    <w:rsid w:val="00E24669"/>
    <w:rsid w:val="00E24836"/>
    <w:rsid w:val="00E24C48"/>
    <w:rsid w:val="00E24EE4"/>
    <w:rsid w:val="00E255D7"/>
    <w:rsid w:val="00E25981"/>
    <w:rsid w:val="00E25996"/>
    <w:rsid w:val="00E26141"/>
    <w:rsid w:val="00E26534"/>
    <w:rsid w:val="00E266F5"/>
    <w:rsid w:val="00E26CCC"/>
    <w:rsid w:val="00E270D3"/>
    <w:rsid w:val="00E27222"/>
    <w:rsid w:val="00E27971"/>
    <w:rsid w:val="00E27FC7"/>
    <w:rsid w:val="00E3050B"/>
    <w:rsid w:val="00E30700"/>
    <w:rsid w:val="00E31360"/>
    <w:rsid w:val="00E31A4F"/>
    <w:rsid w:val="00E31D28"/>
    <w:rsid w:val="00E321F6"/>
    <w:rsid w:val="00E32425"/>
    <w:rsid w:val="00E32506"/>
    <w:rsid w:val="00E3252C"/>
    <w:rsid w:val="00E325FF"/>
    <w:rsid w:val="00E32938"/>
    <w:rsid w:val="00E32CB8"/>
    <w:rsid w:val="00E32EB7"/>
    <w:rsid w:val="00E33367"/>
    <w:rsid w:val="00E3391C"/>
    <w:rsid w:val="00E3440F"/>
    <w:rsid w:val="00E344F2"/>
    <w:rsid w:val="00E34F3A"/>
    <w:rsid w:val="00E35F99"/>
    <w:rsid w:val="00E35F9A"/>
    <w:rsid w:val="00E3637F"/>
    <w:rsid w:val="00E364B6"/>
    <w:rsid w:val="00E36723"/>
    <w:rsid w:val="00E37102"/>
    <w:rsid w:val="00E3713C"/>
    <w:rsid w:val="00E37470"/>
    <w:rsid w:val="00E3767B"/>
    <w:rsid w:val="00E37704"/>
    <w:rsid w:val="00E37E1C"/>
    <w:rsid w:val="00E40126"/>
    <w:rsid w:val="00E4013B"/>
    <w:rsid w:val="00E402D3"/>
    <w:rsid w:val="00E40BC3"/>
    <w:rsid w:val="00E40C85"/>
    <w:rsid w:val="00E40CBF"/>
    <w:rsid w:val="00E40E7D"/>
    <w:rsid w:val="00E40EE4"/>
    <w:rsid w:val="00E413C6"/>
    <w:rsid w:val="00E4141C"/>
    <w:rsid w:val="00E420D5"/>
    <w:rsid w:val="00E42517"/>
    <w:rsid w:val="00E42600"/>
    <w:rsid w:val="00E42948"/>
    <w:rsid w:val="00E42BA3"/>
    <w:rsid w:val="00E42D55"/>
    <w:rsid w:val="00E42D70"/>
    <w:rsid w:val="00E42FFE"/>
    <w:rsid w:val="00E4316E"/>
    <w:rsid w:val="00E435AB"/>
    <w:rsid w:val="00E43ADC"/>
    <w:rsid w:val="00E44275"/>
    <w:rsid w:val="00E44705"/>
    <w:rsid w:val="00E44777"/>
    <w:rsid w:val="00E44F67"/>
    <w:rsid w:val="00E4535F"/>
    <w:rsid w:val="00E4546F"/>
    <w:rsid w:val="00E455E3"/>
    <w:rsid w:val="00E45657"/>
    <w:rsid w:val="00E46370"/>
    <w:rsid w:val="00E466BC"/>
    <w:rsid w:val="00E4686A"/>
    <w:rsid w:val="00E469F2"/>
    <w:rsid w:val="00E46EE9"/>
    <w:rsid w:val="00E46FA1"/>
    <w:rsid w:val="00E472F0"/>
    <w:rsid w:val="00E477DF"/>
    <w:rsid w:val="00E479FD"/>
    <w:rsid w:val="00E47A09"/>
    <w:rsid w:val="00E47F1A"/>
    <w:rsid w:val="00E504D6"/>
    <w:rsid w:val="00E509FF"/>
    <w:rsid w:val="00E50B6F"/>
    <w:rsid w:val="00E50D06"/>
    <w:rsid w:val="00E50EBE"/>
    <w:rsid w:val="00E50F69"/>
    <w:rsid w:val="00E50FC6"/>
    <w:rsid w:val="00E51709"/>
    <w:rsid w:val="00E51D89"/>
    <w:rsid w:val="00E5227B"/>
    <w:rsid w:val="00E52372"/>
    <w:rsid w:val="00E5255A"/>
    <w:rsid w:val="00E52786"/>
    <w:rsid w:val="00E52D79"/>
    <w:rsid w:val="00E52F05"/>
    <w:rsid w:val="00E53579"/>
    <w:rsid w:val="00E53EA2"/>
    <w:rsid w:val="00E53F5F"/>
    <w:rsid w:val="00E540A9"/>
    <w:rsid w:val="00E540CA"/>
    <w:rsid w:val="00E545FD"/>
    <w:rsid w:val="00E54F07"/>
    <w:rsid w:val="00E54F3A"/>
    <w:rsid w:val="00E55560"/>
    <w:rsid w:val="00E55712"/>
    <w:rsid w:val="00E55B28"/>
    <w:rsid w:val="00E55F77"/>
    <w:rsid w:val="00E56079"/>
    <w:rsid w:val="00E56251"/>
    <w:rsid w:val="00E5642F"/>
    <w:rsid w:val="00E56AED"/>
    <w:rsid w:val="00E56B41"/>
    <w:rsid w:val="00E56D4A"/>
    <w:rsid w:val="00E57119"/>
    <w:rsid w:val="00E5719E"/>
    <w:rsid w:val="00E573BA"/>
    <w:rsid w:val="00E57708"/>
    <w:rsid w:val="00E57D7B"/>
    <w:rsid w:val="00E57F4B"/>
    <w:rsid w:val="00E60109"/>
    <w:rsid w:val="00E602E5"/>
    <w:rsid w:val="00E602F8"/>
    <w:rsid w:val="00E6085B"/>
    <w:rsid w:val="00E60D01"/>
    <w:rsid w:val="00E60FBA"/>
    <w:rsid w:val="00E60FBF"/>
    <w:rsid w:val="00E611AE"/>
    <w:rsid w:val="00E616F9"/>
    <w:rsid w:val="00E61852"/>
    <w:rsid w:val="00E61A0C"/>
    <w:rsid w:val="00E61B5C"/>
    <w:rsid w:val="00E61D22"/>
    <w:rsid w:val="00E61D96"/>
    <w:rsid w:val="00E61E4B"/>
    <w:rsid w:val="00E622FE"/>
    <w:rsid w:val="00E63DA2"/>
    <w:rsid w:val="00E641E8"/>
    <w:rsid w:val="00E642AF"/>
    <w:rsid w:val="00E644C6"/>
    <w:rsid w:val="00E64555"/>
    <w:rsid w:val="00E64595"/>
    <w:rsid w:val="00E646BB"/>
    <w:rsid w:val="00E64D24"/>
    <w:rsid w:val="00E64FAF"/>
    <w:rsid w:val="00E653A6"/>
    <w:rsid w:val="00E6540C"/>
    <w:rsid w:val="00E6549C"/>
    <w:rsid w:val="00E654B9"/>
    <w:rsid w:val="00E655D4"/>
    <w:rsid w:val="00E6563A"/>
    <w:rsid w:val="00E6583F"/>
    <w:rsid w:val="00E6589D"/>
    <w:rsid w:val="00E6595B"/>
    <w:rsid w:val="00E65DBD"/>
    <w:rsid w:val="00E65E8C"/>
    <w:rsid w:val="00E665E7"/>
    <w:rsid w:val="00E66C96"/>
    <w:rsid w:val="00E66D89"/>
    <w:rsid w:val="00E675A3"/>
    <w:rsid w:val="00E67D87"/>
    <w:rsid w:val="00E70130"/>
    <w:rsid w:val="00E70684"/>
    <w:rsid w:val="00E70D73"/>
    <w:rsid w:val="00E70F63"/>
    <w:rsid w:val="00E71063"/>
    <w:rsid w:val="00E710E2"/>
    <w:rsid w:val="00E715FC"/>
    <w:rsid w:val="00E71A45"/>
    <w:rsid w:val="00E71B55"/>
    <w:rsid w:val="00E71C21"/>
    <w:rsid w:val="00E72230"/>
    <w:rsid w:val="00E729F7"/>
    <w:rsid w:val="00E72BB7"/>
    <w:rsid w:val="00E72F23"/>
    <w:rsid w:val="00E730FC"/>
    <w:rsid w:val="00E73481"/>
    <w:rsid w:val="00E737D1"/>
    <w:rsid w:val="00E7385A"/>
    <w:rsid w:val="00E7391F"/>
    <w:rsid w:val="00E73CE6"/>
    <w:rsid w:val="00E74780"/>
    <w:rsid w:val="00E74956"/>
    <w:rsid w:val="00E74E39"/>
    <w:rsid w:val="00E752F7"/>
    <w:rsid w:val="00E7572F"/>
    <w:rsid w:val="00E75848"/>
    <w:rsid w:val="00E759D4"/>
    <w:rsid w:val="00E7631B"/>
    <w:rsid w:val="00E76336"/>
    <w:rsid w:val="00E76348"/>
    <w:rsid w:val="00E7660E"/>
    <w:rsid w:val="00E76696"/>
    <w:rsid w:val="00E769DA"/>
    <w:rsid w:val="00E76A3C"/>
    <w:rsid w:val="00E76F9B"/>
    <w:rsid w:val="00E771FC"/>
    <w:rsid w:val="00E773E5"/>
    <w:rsid w:val="00E77BDD"/>
    <w:rsid w:val="00E806D3"/>
    <w:rsid w:val="00E80D3C"/>
    <w:rsid w:val="00E81223"/>
    <w:rsid w:val="00E81C34"/>
    <w:rsid w:val="00E81D83"/>
    <w:rsid w:val="00E821BB"/>
    <w:rsid w:val="00E821CC"/>
    <w:rsid w:val="00E822E9"/>
    <w:rsid w:val="00E826FE"/>
    <w:rsid w:val="00E8275E"/>
    <w:rsid w:val="00E827AF"/>
    <w:rsid w:val="00E82843"/>
    <w:rsid w:val="00E829D3"/>
    <w:rsid w:val="00E82CA6"/>
    <w:rsid w:val="00E82DE9"/>
    <w:rsid w:val="00E83253"/>
    <w:rsid w:val="00E83714"/>
    <w:rsid w:val="00E83831"/>
    <w:rsid w:val="00E84053"/>
    <w:rsid w:val="00E844AB"/>
    <w:rsid w:val="00E84C97"/>
    <w:rsid w:val="00E85005"/>
    <w:rsid w:val="00E85296"/>
    <w:rsid w:val="00E8533B"/>
    <w:rsid w:val="00E85E4E"/>
    <w:rsid w:val="00E85FE5"/>
    <w:rsid w:val="00E86327"/>
    <w:rsid w:val="00E86A7A"/>
    <w:rsid w:val="00E86AC8"/>
    <w:rsid w:val="00E86DF0"/>
    <w:rsid w:val="00E8788A"/>
    <w:rsid w:val="00E87BD2"/>
    <w:rsid w:val="00E87CDC"/>
    <w:rsid w:val="00E87FFB"/>
    <w:rsid w:val="00E902B1"/>
    <w:rsid w:val="00E902C7"/>
    <w:rsid w:val="00E902E1"/>
    <w:rsid w:val="00E90B33"/>
    <w:rsid w:val="00E90DAF"/>
    <w:rsid w:val="00E911E0"/>
    <w:rsid w:val="00E91863"/>
    <w:rsid w:val="00E9237C"/>
    <w:rsid w:val="00E9250D"/>
    <w:rsid w:val="00E9262F"/>
    <w:rsid w:val="00E92A1F"/>
    <w:rsid w:val="00E93407"/>
    <w:rsid w:val="00E936E9"/>
    <w:rsid w:val="00E93F9D"/>
    <w:rsid w:val="00E940A8"/>
    <w:rsid w:val="00E947E8"/>
    <w:rsid w:val="00E94AB3"/>
    <w:rsid w:val="00E94B0F"/>
    <w:rsid w:val="00E94C6B"/>
    <w:rsid w:val="00E95016"/>
    <w:rsid w:val="00E9503F"/>
    <w:rsid w:val="00E9534E"/>
    <w:rsid w:val="00E953E0"/>
    <w:rsid w:val="00E956F3"/>
    <w:rsid w:val="00E958AA"/>
    <w:rsid w:val="00E96E21"/>
    <w:rsid w:val="00E96E68"/>
    <w:rsid w:val="00E97013"/>
    <w:rsid w:val="00E9782F"/>
    <w:rsid w:val="00E97D34"/>
    <w:rsid w:val="00E97EA1"/>
    <w:rsid w:val="00EA0BBE"/>
    <w:rsid w:val="00EA1650"/>
    <w:rsid w:val="00EA1AF4"/>
    <w:rsid w:val="00EA1FBC"/>
    <w:rsid w:val="00EA20A1"/>
    <w:rsid w:val="00EA212B"/>
    <w:rsid w:val="00EA2185"/>
    <w:rsid w:val="00EA24B5"/>
    <w:rsid w:val="00EA2D44"/>
    <w:rsid w:val="00EA3382"/>
    <w:rsid w:val="00EA3A1D"/>
    <w:rsid w:val="00EA3CD7"/>
    <w:rsid w:val="00EA3E2D"/>
    <w:rsid w:val="00EA4010"/>
    <w:rsid w:val="00EA429D"/>
    <w:rsid w:val="00EA43AF"/>
    <w:rsid w:val="00EA44DC"/>
    <w:rsid w:val="00EA4676"/>
    <w:rsid w:val="00EA47FB"/>
    <w:rsid w:val="00EA4C7C"/>
    <w:rsid w:val="00EA4D4C"/>
    <w:rsid w:val="00EA504D"/>
    <w:rsid w:val="00EA554F"/>
    <w:rsid w:val="00EA593B"/>
    <w:rsid w:val="00EA621C"/>
    <w:rsid w:val="00EA6250"/>
    <w:rsid w:val="00EA66A4"/>
    <w:rsid w:val="00EA6819"/>
    <w:rsid w:val="00EA6A1E"/>
    <w:rsid w:val="00EA70B8"/>
    <w:rsid w:val="00EA75BD"/>
    <w:rsid w:val="00EA7C47"/>
    <w:rsid w:val="00EB0F0F"/>
    <w:rsid w:val="00EB12A5"/>
    <w:rsid w:val="00EB166D"/>
    <w:rsid w:val="00EB1AB2"/>
    <w:rsid w:val="00EB1CC9"/>
    <w:rsid w:val="00EB1DEF"/>
    <w:rsid w:val="00EB217D"/>
    <w:rsid w:val="00EB2418"/>
    <w:rsid w:val="00EB24D8"/>
    <w:rsid w:val="00EB277B"/>
    <w:rsid w:val="00EB2994"/>
    <w:rsid w:val="00EB2BE0"/>
    <w:rsid w:val="00EB2F20"/>
    <w:rsid w:val="00EB2F35"/>
    <w:rsid w:val="00EB31DB"/>
    <w:rsid w:val="00EB3422"/>
    <w:rsid w:val="00EB37B3"/>
    <w:rsid w:val="00EB3A31"/>
    <w:rsid w:val="00EB3F0C"/>
    <w:rsid w:val="00EB43B8"/>
    <w:rsid w:val="00EB4EAF"/>
    <w:rsid w:val="00EB5424"/>
    <w:rsid w:val="00EB548E"/>
    <w:rsid w:val="00EB5767"/>
    <w:rsid w:val="00EB5C41"/>
    <w:rsid w:val="00EB5F5A"/>
    <w:rsid w:val="00EB656C"/>
    <w:rsid w:val="00EB657E"/>
    <w:rsid w:val="00EB695E"/>
    <w:rsid w:val="00EB69D1"/>
    <w:rsid w:val="00EB69D4"/>
    <w:rsid w:val="00EB6FE9"/>
    <w:rsid w:val="00EB72FF"/>
    <w:rsid w:val="00EB73B2"/>
    <w:rsid w:val="00EB7403"/>
    <w:rsid w:val="00EB756F"/>
    <w:rsid w:val="00EB79C8"/>
    <w:rsid w:val="00EB7A24"/>
    <w:rsid w:val="00EB7E78"/>
    <w:rsid w:val="00EC0301"/>
    <w:rsid w:val="00EC08B5"/>
    <w:rsid w:val="00EC09C6"/>
    <w:rsid w:val="00EC0AC1"/>
    <w:rsid w:val="00EC0EA5"/>
    <w:rsid w:val="00EC1056"/>
    <w:rsid w:val="00EC1419"/>
    <w:rsid w:val="00EC1470"/>
    <w:rsid w:val="00EC1AA6"/>
    <w:rsid w:val="00EC20E8"/>
    <w:rsid w:val="00EC222E"/>
    <w:rsid w:val="00EC230E"/>
    <w:rsid w:val="00EC2716"/>
    <w:rsid w:val="00EC2BDC"/>
    <w:rsid w:val="00EC2D11"/>
    <w:rsid w:val="00EC2DBB"/>
    <w:rsid w:val="00EC358E"/>
    <w:rsid w:val="00EC3FD2"/>
    <w:rsid w:val="00EC3FF3"/>
    <w:rsid w:val="00EC4095"/>
    <w:rsid w:val="00EC43B5"/>
    <w:rsid w:val="00EC4537"/>
    <w:rsid w:val="00EC459B"/>
    <w:rsid w:val="00EC4960"/>
    <w:rsid w:val="00EC4AE3"/>
    <w:rsid w:val="00EC5414"/>
    <w:rsid w:val="00EC54EE"/>
    <w:rsid w:val="00EC59B2"/>
    <w:rsid w:val="00EC5A3B"/>
    <w:rsid w:val="00EC5BC0"/>
    <w:rsid w:val="00EC6424"/>
    <w:rsid w:val="00EC6820"/>
    <w:rsid w:val="00EC786C"/>
    <w:rsid w:val="00EC7ADD"/>
    <w:rsid w:val="00EC7C26"/>
    <w:rsid w:val="00ED04FE"/>
    <w:rsid w:val="00ED0721"/>
    <w:rsid w:val="00ED0C1D"/>
    <w:rsid w:val="00ED0DD0"/>
    <w:rsid w:val="00ED1122"/>
    <w:rsid w:val="00ED1645"/>
    <w:rsid w:val="00ED1989"/>
    <w:rsid w:val="00ED2130"/>
    <w:rsid w:val="00ED21A9"/>
    <w:rsid w:val="00ED2232"/>
    <w:rsid w:val="00ED25DA"/>
    <w:rsid w:val="00ED28F2"/>
    <w:rsid w:val="00ED2EF1"/>
    <w:rsid w:val="00ED3145"/>
    <w:rsid w:val="00ED3309"/>
    <w:rsid w:val="00ED33DC"/>
    <w:rsid w:val="00ED356E"/>
    <w:rsid w:val="00ED3792"/>
    <w:rsid w:val="00ED3BDA"/>
    <w:rsid w:val="00ED458F"/>
    <w:rsid w:val="00ED4818"/>
    <w:rsid w:val="00ED4A94"/>
    <w:rsid w:val="00ED506C"/>
    <w:rsid w:val="00ED5A3B"/>
    <w:rsid w:val="00ED5C1F"/>
    <w:rsid w:val="00ED5C30"/>
    <w:rsid w:val="00ED5C52"/>
    <w:rsid w:val="00ED5C54"/>
    <w:rsid w:val="00ED5E02"/>
    <w:rsid w:val="00ED5EED"/>
    <w:rsid w:val="00ED6057"/>
    <w:rsid w:val="00ED6062"/>
    <w:rsid w:val="00ED612A"/>
    <w:rsid w:val="00ED6846"/>
    <w:rsid w:val="00ED68D4"/>
    <w:rsid w:val="00ED6B1C"/>
    <w:rsid w:val="00ED6CF7"/>
    <w:rsid w:val="00ED6F33"/>
    <w:rsid w:val="00ED7716"/>
    <w:rsid w:val="00ED7737"/>
    <w:rsid w:val="00ED7747"/>
    <w:rsid w:val="00ED77D8"/>
    <w:rsid w:val="00ED7ABC"/>
    <w:rsid w:val="00ED7C05"/>
    <w:rsid w:val="00ED7CF4"/>
    <w:rsid w:val="00ED7E99"/>
    <w:rsid w:val="00ED7FA2"/>
    <w:rsid w:val="00EE0786"/>
    <w:rsid w:val="00EE0A85"/>
    <w:rsid w:val="00EE18CC"/>
    <w:rsid w:val="00EE1B0E"/>
    <w:rsid w:val="00EE1C30"/>
    <w:rsid w:val="00EE22FB"/>
    <w:rsid w:val="00EE23D6"/>
    <w:rsid w:val="00EE2407"/>
    <w:rsid w:val="00EE26AE"/>
    <w:rsid w:val="00EE29C8"/>
    <w:rsid w:val="00EE2A54"/>
    <w:rsid w:val="00EE2FC2"/>
    <w:rsid w:val="00EE3B6B"/>
    <w:rsid w:val="00EE3B88"/>
    <w:rsid w:val="00EE4742"/>
    <w:rsid w:val="00EE4B75"/>
    <w:rsid w:val="00EE4D34"/>
    <w:rsid w:val="00EE4DBD"/>
    <w:rsid w:val="00EE4F6F"/>
    <w:rsid w:val="00EE5670"/>
    <w:rsid w:val="00EE5E1D"/>
    <w:rsid w:val="00EE5E84"/>
    <w:rsid w:val="00EE6AC6"/>
    <w:rsid w:val="00EE6C2C"/>
    <w:rsid w:val="00EE6E26"/>
    <w:rsid w:val="00EE6EC1"/>
    <w:rsid w:val="00EE75EE"/>
    <w:rsid w:val="00EE784F"/>
    <w:rsid w:val="00EE7A1D"/>
    <w:rsid w:val="00EE7DBD"/>
    <w:rsid w:val="00EE7E4D"/>
    <w:rsid w:val="00EF0500"/>
    <w:rsid w:val="00EF0553"/>
    <w:rsid w:val="00EF0808"/>
    <w:rsid w:val="00EF1002"/>
    <w:rsid w:val="00EF143F"/>
    <w:rsid w:val="00EF1D3B"/>
    <w:rsid w:val="00EF1D95"/>
    <w:rsid w:val="00EF1FE8"/>
    <w:rsid w:val="00EF236B"/>
    <w:rsid w:val="00EF23D8"/>
    <w:rsid w:val="00EF2678"/>
    <w:rsid w:val="00EF2A5A"/>
    <w:rsid w:val="00EF2A87"/>
    <w:rsid w:val="00EF344D"/>
    <w:rsid w:val="00EF3A74"/>
    <w:rsid w:val="00EF3AE9"/>
    <w:rsid w:val="00EF3EA5"/>
    <w:rsid w:val="00EF4567"/>
    <w:rsid w:val="00EF49FB"/>
    <w:rsid w:val="00EF527A"/>
    <w:rsid w:val="00EF55D6"/>
    <w:rsid w:val="00EF644D"/>
    <w:rsid w:val="00EF6502"/>
    <w:rsid w:val="00EF686E"/>
    <w:rsid w:val="00EF6BAD"/>
    <w:rsid w:val="00EF6C05"/>
    <w:rsid w:val="00EF6D29"/>
    <w:rsid w:val="00EF7138"/>
    <w:rsid w:val="00EF7856"/>
    <w:rsid w:val="00EF7A65"/>
    <w:rsid w:val="00EF7E0B"/>
    <w:rsid w:val="00F00165"/>
    <w:rsid w:val="00F00881"/>
    <w:rsid w:val="00F00917"/>
    <w:rsid w:val="00F00B65"/>
    <w:rsid w:val="00F00B7D"/>
    <w:rsid w:val="00F00EB5"/>
    <w:rsid w:val="00F01044"/>
    <w:rsid w:val="00F010BB"/>
    <w:rsid w:val="00F01275"/>
    <w:rsid w:val="00F012C1"/>
    <w:rsid w:val="00F0175F"/>
    <w:rsid w:val="00F01A41"/>
    <w:rsid w:val="00F01B39"/>
    <w:rsid w:val="00F01B5A"/>
    <w:rsid w:val="00F0276D"/>
    <w:rsid w:val="00F0314D"/>
    <w:rsid w:val="00F03280"/>
    <w:rsid w:val="00F0362A"/>
    <w:rsid w:val="00F0385C"/>
    <w:rsid w:val="00F03894"/>
    <w:rsid w:val="00F03ABE"/>
    <w:rsid w:val="00F03B69"/>
    <w:rsid w:val="00F04345"/>
    <w:rsid w:val="00F047A4"/>
    <w:rsid w:val="00F04F52"/>
    <w:rsid w:val="00F0510F"/>
    <w:rsid w:val="00F0563F"/>
    <w:rsid w:val="00F05B61"/>
    <w:rsid w:val="00F064EF"/>
    <w:rsid w:val="00F06558"/>
    <w:rsid w:val="00F069A0"/>
    <w:rsid w:val="00F06F42"/>
    <w:rsid w:val="00F07122"/>
    <w:rsid w:val="00F074C9"/>
    <w:rsid w:val="00F07B54"/>
    <w:rsid w:val="00F07C82"/>
    <w:rsid w:val="00F07F5E"/>
    <w:rsid w:val="00F07FA6"/>
    <w:rsid w:val="00F1001E"/>
    <w:rsid w:val="00F103F7"/>
    <w:rsid w:val="00F1055F"/>
    <w:rsid w:val="00F106BB"/>
    <w:rsid w:val="00F11027"/>
    <w:rsid w:val="00F111BA"/>
    <w:rsid w:val="00F116DD"/>
    <w:rsid w:val="00F11D9F"/>
    <w:rsid w:val="00F11E31"/>
    <w:rsid w:val="00F11E80"/>
    <w:rsid w:val="00F12C53"/>
    <w:rsid w:val="00F12DED"/>
    <w:rsid w:val="00F1360C"/>
    <w:rsid w:val="00F13AA1"/>
    <w:rsid w:val="00F13AD0"/>
    <w:rsid w:val="00F13E15"/>
    <w:rsid w:val="00F13F2A"/>
    <w:rsid w:val="00F1498D"/>
    <w:rsid w:val="00F14CC6"/>
    <w:rsid w:val="00F14D42"/>
    <w:rsid w:val="00F14D9E"/>
    <w:rsid w:val="00F15097"/>
    <w:rsid w:val="00F153F8"/>
    <w:rsid w:val="00F15586"/>
    <w:rsid w:val="00F15671"/>
    <w:rsid w:val="00F1593B"/>
    <w:rsid w:val="00F1643E"/>
    <w:rsid w:val="00F16695"/>
    <w:rsid w:val="00F16811"/>
    <w:rsid w:val="00F16901"/>
    <w:rsid w:val="00F16FB6"/>
    <w:rsid w:val="00F1733F"/>
    <w:rsid w:val="00F1745F"/>
    <w:rsid w:val="00F17519"/>
    <w:rsid w:val="00F17749"/>
    <w:rsid w:val="00F179C0"/>
    <w:rsid w:val="00F202E3"/>
    <w:rsid w:val="00F20890"/>
    <w:rsid w:val="00F20C6E"/>
    <w:rsid w:val="00F20D6C"/>
    <w:rsid w:val="00F20E2B"/>
    <w:rsid w:val="00F20F03"/>
    <w:rsid w:val="00F21789"/>
    <w:rsid w:val="00F21D7D"/>
    <w:rsid w:val="00F21F27"/>
    <w:rsid w:val="00F2255F"/>
    <w:rsid w:val="00F225CF"/>
    <w:rsid w:val="00F22882"/>
    <w:rsid w:val="00F22985"/>
    <w:rsid w:val="00F22AAA"/>
    <w:rsid w:val="00F22AEF"/>
    <w:rsid w:val="00F22C54"/>
    <w:rsid w:val="00F22F7A"/>
    <w:rsid w:val="00F2343C"/>
    <w:rsid w:val="00F23CFC"/>
    <w:rsid w:val="00F24076"/>
    <w:rsid w:val="00F240CB"/>
    <w:rsid w:val="00F24115"/>
    <w:rsid w:val="00F2492F"/>
    <w:rsid w:val="00F24B74"/>
    <w:rsid w:val="00F24D47"/>
    <w:rsid w:val="00F2500D"/>
    <w:rsid w:val="00F253C3"/>
    <w:rsid w:val="00F256AF"/>
    <w:rsid w:val="00F2596D"/>
    <w:rsid w:val="00F25CAA"/>
    <w:rsid w:val="00F26463"/>
    <w:rsid w:val="00F26AD6"/>
    <w:rsid w:val="00F26F54"/>
    <w:rsid w:val="00F2711C"/>
    <w:rsid w:val="00F27253"/>
    <w:rsid w:val="00F277E8"/>
    <w:rsid w:val="00F27B04"/>
    <w:rsid w:val="00F27E3D"/>
    <w:rsid w:val="00F27EB2"/>
    <w:rsid w:val="00F301D0"/>
    <w:rsid w:val="00F30202"/>
    <w:rsid w:val="00F3069F"/>
    <w:rsid w:val="00F3081C"/>
    <w:rsid w:val="00F30927"/>
    <w:rsid w:val="00F30ADF"/>
    <w:rsid w:val="00F30BD0"/>
    <w:rsid w:val="00F30C3F"/>
    <w:rsid w:val="00F30C60"/>
    <w:rsid w:val="00F30F38"/>
    <w:rsid w:val="00F311D1"/>
    <w:rsid w:val="00F3158A"/>
    <w:rsid w:val="00F315CF"/>
    <w:rsid w:val="00F318DB"/>
    <w:rsid w:val="00F3199C"/>
    <w:rsid w:val="00F319C4"/>
    <w:rsid w:val="00F31F7D"/>
    <w:rsid w:val="00F31FB9"/>
    <w:rsid w:val="00F326F6"/>
    <w:rsid w:val="00F32735"/>
    <w:rsid w:val="00F32AFF"/>
    <w:rsid w:val="00F32D9A"/>
    <w:rsid w:val="00F33825"/>
    <w:rsid w:val="00F33A8B"/>
    <w:rsid w:val="00F33D3B"/>
    <w:rsid w:val="00F34A96"/>
    <w:rsid w:val="00F34EBF"/>
    <w:rsid w:val="00F34F05"/>
    <w:rsid w:val="00F356D5"/>
    <w:rsid w:val="00F359A5"/>
    <w:rsid w:val="00F361AE"/>
    <w:rsid w:val="00F36240"/>
    <w:rsid w:val="00F363EB"/>
    <w:rsid w:val="00F365BA"/>
    <w:rsid w:val="00F365DE"/>
    <w:rsid w:val="00F366DA"/>
    <w:rsid w:val="00F367CF"/>
    <w:rsid w:val="00F368A0"/>
    <w:rsid w:val="00F36D37"/>
    <w:rsid w:val="00F3719A"/>
    <w:rsid w:val="00F3735F"/>
    <w:rsid w:val="00F379BF"/>
    <w:rsid w:val="00F37EA7"/>
    <w:rsid w:val="00F40259"/>
    <w:rsid w:val="00F40505"/>
    <w:rsid w:val="00F40805"/>
    <w:rsid w:val="00F40B93"/>
    <w:rsid w:val="00F40C5E"/>
    <w:rsid w:val="00F40E3E"/>
    <w:rsid w:val="00F4163A"/>
    <w:rsid w:val="00F41873"/>
    <w:rsid w:val="00F419C3"/>
    <w:rsid w:val="00F41B12"/>
    <w:rsid w:val="00F41D91"/>
    <w:rsid w:val="00F41DAD"/>
    <w:rsid w:val="00F41E2B"/>
    <w:rsid w:val="00F423BE"/>
    <w:rsid w:val="00F424A5"/>
    <w:rsid w:val="00F425EF"/>
    <w:rsid w:val="00F42693"/>
    <w:rsid w:val="00F42868"/>
    <w:rsid w:val="00F428AC"/>
    <w:rsid w:val="00F42EE3"/>
    <w:rsid w:val="00F4300D"/>
    <w:rsid w:val="00F4304C"/>
    <w:rsid w:val="00F43149"/>
    <w:rsid w:val="00F43441"/>
    <w:rsid w:val="00F43660"/>
    <w:rsid w:val="00F4382D"/>
    <w:rsid w:val="00F43888"/>
    <w:rsid w:val="00F438BB"/>
    <w:rsid w:val="00F43B91"/>
    <w:rsid w:val="00F44542"/>
    <w:rsid w:val="00F4461A"/>
    <w:rsid w:val="00F448DD"/>
    <w:rsid w:val="00F44C9E"/>
    <w:rsid w:val="00F44D6A"/>
    <w:rsid w:val="00F44DB8"/>
    <w:rsid w:val="00F45760"/>
    <w:rsid w:val="00F45836"/>
    <w:rsid w:val="00F45925"/>
    <w:rsid w:val="00F461AA"/>
    <w:rsid w:val="00F46BA6"/>
    <w:rsid w:val="00F46C97"/>
    <w:rsid w:val="00F46E44"/>
    <w:rsid w:val="00F4703E"/>
    <w:rsid w:val="00F4775F"/>
    <w:rsid w:val="00F47C3D"/>
    <w:rsid w:val="00F47D25"/>
    <w:rsid w:val="00F50781"/>
    <w:rsid w:val="00F50CA3"/>
    <w:rsid w:val="00F51436"/>
    <w:rsid w:val="00F51689"/>
    <w:rsid w:val="00F517ED"/>
    <w:rsid w:val="00F5195A"/>
    <w:rsid w:val="00F51A7A"/>
    <w:rsid w:val="00F51F3F"/>
    <w:rsid w:val="00F5257A"/>
    <w:rsid w:val="00F528B5"/>
    <w:rsid w:val="00F528E7"/>
    <w:rsid w:val="00F52BD7"/>
    <w:rsid w:val="00F52C8A"/>
    <w:rsid w:val="00F53225"/>
    <w:rsid w:val="00F5352D"/>
    <w:rsid w:val="00F53615"/>
    <w:rsid w:val="00F53A91"/>
    <w:rsid w:val="00F54783"/>
    <w:rsid w:val="00F547E9"/>
    <w:rsid w:val="00F5494E"/>
    <w:rsid w:val="00F54ABD"/>
    <w:rsid w:val="00F54ABE"/>
    <w:rsid w:val="00F554F7"/>
    <w:rsid w:val="00F55804"/>
    <w:rsid w:val="00F55F1A"/>
    <w:rsid w:val="00F55F3E"/>
    <w:rsid w:val="00F56310"/>
    <w:rsid w:val="00F5684C"/>
    <w:rsid w:val="00F56914"/>
    <w:rsid w:val="00F56CCD"/>
    <w:rsid w:val="00F56E83"/>
    <w:rsid w:val="00F57068"/>
    <w:rsid w:val="00F57210"/>
    <w:rsid w:val="00F573C2"/>
    <w:rsid w:val="00F577FC"/>
    <w:rsid w:val="00F57BE9"/>
    <w:rsid w:val="00F602F0"/>
    <w:rsid w:val="00F60622"/>
    <w:rsid w:val="00F60C90"/>
    <w:rsid w:val="00F614BF"/>
    <w:rsid w:val="00F619B7"/>
    <w:rsid w:val="00F619EE"/>
    <w:rsid w:val="00F61CF5"/>
    <w:rsid w:val="00F61FF9"/>
    <w:rsid w:val="00F62069"/>
    <w:rsid w:val="00F62159"/>
    <w:rsid w:val="00F62A7C"/>
    <w:rsid w:val="00F62B93"/>
    <w:rsid w:val="00F633E5"/>
    <w:rsid w:val="00F63C89"/>
    <w:rsid w:val="00F647EC"/>
    <w:rsid w:val="00F64FAB"/>
    <w:rsid w:val="00F65A26"/>
    <w:rsid w:val="00F65AC8"/>
    <w:rsid w:val="00F65CEA"/>
    <w:rsid w:val="00F65EED"/>
    <w:rsid w:val="00F65F15"/>
    <w:rsid w:val="00F66027"/>
    <w:rsid w:val="00F66443"/>
    <w:rsid w:val="00F675EA"/>
    <w:rsid w:val="00F7006B"/>
    <w:rsid w:val="00F701AC"/>
    <w:rsid w:val="00F705B5"/>
    <w:rsid w:val="00F7074A"/>
    <w:rsid w:val="00F70AD6"/>
    <w:rsid w:val="00F70D93"/>
    <w:rsid w:val="00F710A5"/>
    <w:rsid w:val="00F71687"/>
    <w:rsid w:val="00F71708"/>
    <w:rsid w:val="00F717C1"/>
    <w:rsid w:val="00F71AAE"/>
    <w:rsid w:val="00F71CDB"/>
    <w:rsid w:val="00F7238A"/>
    <w:rsid w:val="00F725D3"/>
    <w:rsid w:val="00F7281E"/>
    <w:rsid w:val="00F72C1A"/>
    <w:rsid w:val="00F72C3D"/>
    <w:rsid w:val="00F737AB"/>
    <w:rsid w:val="00F73992"/>
    <w:rsid w:val="00F73A85"/>
    <w:rsid w:val="00F74216"/>
    <w:rsid w:val="00F7480A"/>
    <w:rsid w:val="00F74D1B"/>
    <w:rsid w:val="00F74F0F"/>
    <w:rsid w:val="00F754E8"/>
    <w:rsid w:val="00F75731"/>
    <w:rsid w:val="00F75841"/>
    <w:rsid w:val="00F76333"/>
    <w:rsid w:val="00F76DC0"/>
    <w:rsid w:val="00F76F09"/>
    <w:rsid w:val="00F76FAA"/>
    <w:rsid w:val="00F7704B"/>
    <w:rsid w:val="00F77100"/>
    <w:rsid w:val="00F77423"/>
    <w:rsid w:val="00F77605"/>
    <w:rsid w:val="00F77718"/>
    <w:rsid w:val="00F77B68"/>
    <w:rsid w:val="00F808A4"/>
    <w:rsid w:val="00F8090F"/>
    <w:rsid w:val="00F809D7"/>
    <w:rsid w:val="00F80B4B"/>
    <w:rsid w:val="00F811D9"/>
    <w:rsid w:val="00F8139A"/>
    <w:rsid w:val="00F817C4"/>
    <w:rsid w:val="00F81C1E"/>
    <w:rsid w:val="00F8226D"/>
    <w:rsid w:val="00F8291E"/>
    <w:rsid w:val="00F82AAE"/>
    <w:rsid w:val="00F83112"/>
    <w:rsid w:val="00F834BE"/>
    <w:rsid w:val="00F838A9"/>
    <w:rsid w:val="00F83BAD"/>
    <w:rsid w:val="00F83CCD"/>
    <w:rsid w:val="00F849E3"/>
    <w:rsid w:val="00F84B4E"/>
    <w:rsid w:val="00F84C44"/>
    <w:rsid w:val="00F85019"/>
    <w:rsid w:val="00F85053"/>
    <w:rsid w:val="00F851B7"/>
    <w:rsid w:val="00F8566C"/>
    <w:rsid w:val="00F85693"/>
    <w:rsid w:val="00F858C9"/>
    <w:rsid w:val="00F858D4"/>
    <w:rsid w:val="00F85C65"/>
    <w:rsid w:val="00F860EB"/>
    <w:rsid w:val="00F861BC"/>
    <w:rsid w:val="00F868B6"/>
    <w:rsid w:val="00F86968"/>
    <w:rsid w:val="00F86E42"/>
    <w:rsid w:val="00F87354"/>
    <w:rsid w:val="00F874F8"/>
    <w:rsid w:val="00F876E6"/>
    <w:rsid w:val="00F87825"/>
    <w:rsid w:val="00F87838"/>
    <w:rsid w:val="00F87988"/>
    <w:rsid w:val="00F879E8"/>
    <w:rsid w:val="00F87E60"/>
    <w:rsid w:val="00F87FCE"/>
    <w:rsid w:val="00F9008B"/>
    <w:rsid w:val="00F90320"/>
    <w:rsid w:val="00F90492"/>
    <w:rsid w:val="00F906C1"/>
    <w:rsid w:val="00F909C7"/>
    <w:rsid w:val="00F90C3B"/>
    <w:rsid w:val="00F91669"/>
    <w:rsid w:val="00F916DE"/>
    <w:rsid w:val="00F9184F"/>
    <w:rsid w:val="00F91943"/>
    <w:rsid w:val="00F91B6F"/>
    <w:rsid w:val="00F9204D"/>
    <w:rsid w:val="00F92165"/>
    <w:rsid w:val="00F9231D"/>
    <w:rsid w:val="00F926E7"/>
    <w:rsid w:val="00F92A66"/>
    <w:rsid w:val="00F931CF"/>
    <w:rsid w:val="00F936BE"/>
    <w:rsid w:val="00F9371D"/>
    <w:rsid w:val="00F93A31"/>
    <w:rsid w:val="00F93AFA"/>
    <w:rsid w:val="00F93D6E"/>
    <w:rsid w:val="00F9423D"/>
    <w:rsid w:val="00F943F5"/>
    <w:rsid w:val="00F94437"/>
    <w:rsid w:val="00F94609"/>
    <w:rsid w:val="00F94994"/>
    <w:rsid w:val="00F94E9B"/>
    <w:rsid w:val="00F95182"/>
    <w:rsid w:val="00F95625"/>
    <w:rsid w:val="00F9579D"/>
    <w:rsid w:val="00F957D2"/>
    <w:rsid w:val="00F9580E"/>
    <w:rsid w:val="00F95D94"/>
    <w:rsid w:val="00F96543"/>
    <w:rsid w:val="00F966AC"/>
    <w:rsid w:val="00F96717"/>
    <w:rsid w:val="00F96F86"/>
    <w:rsid w:val="00F977ED"/>
    <w:rsid w:val="00FA02B8"/>
    <w:rsid w:val="00FA0980"/>
    <w:rsid w:val="00FA1028"/>
    <w:rsid w:val="00FA1306"/>
    <w:rsid w:val="00FA133A"/>
    <w:rsid w:val="00FA157E"/>
    <w:rsid w:val="00FA164B"/>
    <w:rsid w:val="00FA16FA"/>
    <w:rsid w:val="00FA181F"/>
    <w:rsid w:val="00FA1C1F"/>
    <w:rsid w:val="00FA1E82"/>
    <w:rsid w:val="00FA2137"/>
    <w:rsid w:val="00FA272D"/>
    <w:rsid w:val="00FA338D"/>
    <w:rsid w:val="00FA34A2"/>
    <w:rsid w:val="00FA3742"/>
    <w:rsid w:val="00FA3837"/>
    <w:rsid w:val="00FA39FC"/>
    <w:rsid w:val="00FA4189"/>
    <w:rsid w:val="00FA44B4"/>
    <w:rsid w:val="00FA4538"/>
    <w:rsid w:val="00FA4998"/>
    <w:rsid w:val="00FA4DC2"/>
    <w:rsid w:val="00FA57D1"/>
    <w:rsid w:val="00FA5CC3"/>
    <w:rsid w:val="00FA621F"/>
    <w:rsid w:val="00FA67E3"/>
    <w:rsid w:val="00FA6AD2"/>
    <w:rsid w:val="00FA7157"/>
    <w:rsid w:val="00FA73A6"/>
    <w:rsid w:val="00FA7698"/>
    <w:rsid w:val="00FA78C2"/>
    <w:rsid w:val="00FA7A2D"/>
    <w:rsid w:val="00FA7B4F"/>
    <w:rsid w:val="00FA7DA6"/>
    <w:rsid w:val="00FB0071"/>
    <w:rsid w:val="00FB02F8"/>
    <w:rsid w:val="00FB031A"/>
    <w:rsid w:val="00FB06E7"/>
    <w:rsid w:val="00FB0822"/>
    <w:rsid w:val="00FB0C30"/>
    <w:rsid w:val="00FB0C65"/>
    <w:rsid w:val="00FB0CC3"/>
    <w:rsid w:val="00FB1093"/>
    <w:rsid w:val="00FB13A0"/>
    <w:rsid w:val="00FB143A"/>
    <w:rsid w:val="00FB1601"/>
    <w:rsid w:val="00FB1F98"/>
    <w:rsid w:val="00FB2016"/>
    <w:rsid w:val="00FB227E"/>
    <w:rsid w:val="00FB267D"/>
    <w:rsid w:val="00FB29E5"/>
    <w:rsid w:val="00FB2A18"/>
    <w:rsid w:val="00FB2B03"/>
    <w:rsid w:val="00FB2BAA"/>
    <w:rsid w:val="00FB2BF4"/>
    <w:rsid w:val="00FB2C8D"/>
    <w:rsid w:val="00FB2DC6"/>
    <w:rsid w:val="00FB31B5"/>
    <w:rsid w:val="00FB38CF"/>
    <w:rsid w:val="00FB4926"/>
    <w:rsid w:val="00FB4FCB"/>
    <w:rsid w:val="00FB59D4"/>
    <w:rsid w:val="00FB5E81"/>
    <w:rsid w:val="00FB6587"/>
    <w:rsid w:val="00FB6E6C"/>
    <w:rsid w:val="00FB71B0"/>
    <w:rsid w:val="00FB7ABA"/>
    <w:rsid w:val="00FB7C21"/>
    <w:rsid w:val="00FB7C46"/>
    <w:rsid w:val="00FC04E0"/>
    <w:rsid w:val="00FC0D98"/>
    <w:rsid w:val="00FC0E2F"/>
    <w:rsid w:val="00FC1042"/>
    <w:rsid w:val="00FC11C6"/>
    <w:rsid w:val="00FC11CD"/>
    <w:rsid w:val="00FC1323"/>
    <w:rsid w:val="00FC1370"/>
    <w:rsid w:val="00FC143C"/>
    <w:rsid w:val="00FC17D8"/>
    <w:rsid w:val="00FC1807"/>
    <w:rsid w:val="00FC279A"/>
    <w:rsid w:val="00FC31A2"/>
    <w:rsid w:val="00FC321A"/>
    <w:rsid w:val="00FC324D"/>
    <w:rsid w:val="00FC39A1"/>
    <w:rsid w:val="00FC3BC3"/>
    <w:rsid w:val="00FC3E47"/>
    <w:rsid w:val="00FC4361"/>
    <w:rsid w:val="00FC4B53"/>
    <w:rsid w:val="00FC4BAE"/>
    <w:rsid w:val="00FC4C6D"/>
    <w:rsid w:val="00FC4F75"/>
    <w:rsid w:val="00FC5160"/>
    <w:rsid w:val="00FC5598"/>
    <w:rsid w:val="00FC58C8"/>
    <w:rsid w:val="00FC5A36"/>
    <w:rsid w:val="00FC5B51"/>
    <w:rsid w:val="00FC6353"/>
    <w:rsid w:val="00FC671C"/>
    <w:rsid w:val="00FC6918"/>
    <w:rsid w:val="00FC69CF"/>
    <w:rsid w:val="00FC6B0B"/>
    <w:rsid w:val="00FC6C22"/>
    <w:rsid w:val="00FC713B"/>
    <w:rsid w:val="00FC7862"/>
    <w:rsid w:val="00FC79D5"/>
    <w:rsid w:val="00FC7A21"/>
    <w:rsid w:val="00FC7AFB"/>
    <w:rsid w:val="00FC7B35"/>
    <w:rsid w:val="00FC7B53"/>
    <w:rsid w:val="00FC7BD8"/>
    <w:rsid w:val="00FC7D32"/>
    <w:rsid w:val="00FD0177"/>
    <w:rsid w:val="00FD0AE7"/>
    <w:rsid w:val="00FD0B44"/>
    <w:rsid w:val="00FD0F70"/>
    <w:rsid w:val="00FD1312"/>
    <w:rsid w:val="00FD1C09"/>
    <w:rsid w:val="00FD1E48"/>
    <w:rsid w:val="00FD2315"/>
    <w:rsid w:val="00FD29A7"/>
    <w:rsid w:val="00FD29D5"/>
    <w:rsid w:val="00FD2B15"/>
    <w:rsid w:val="00FD3092"/>
    <w:rsid w:val="00FD3368"/>
    <w:rsid w:val="00FD4115"/>
    <w:rsid w:val="00FD412E"/>
    <w:rsid w:val="00FD4138"/>
    <w:rsid w:val="00FD420F"/>
    <w:rsid w:val="00FD4339"/>
    <w:rsid w:val="00FD4B0C"/>
    <w:rsid w:val="00FD4F2F"/>
    <w:rsid w:val="00FD51F7"/>
    <w:rsid w:val="00FD5258"/>
    <w:rsid w:val="00FD544D"/>
    <w:rsid w:val="00FD5602"/>
    <w:rsid w:val="00FD5661"/>
    <w:rsid w:val="00FD5A2A"/>
    <w:rsid w:val="00FD5AE2"/>
    <w:rsid w:val="00FD5F4E"/>
    <w:rsid w:val="00FD62B4"/>
    <w:rsid w:val="00FD7142"/>
    <w:rsid w:val="00FD716E"/>
    <w:rsid w:val="00FD735A"/>
    <w:rsid w:val="00FD750F"/>
    <w:rsid w:val="00FD7836"/>
    <w:rsid w:val="00FD7F7E"/>
    <w:rsid w:val="00FE011C"/>
    <w:rsid w:val="00FE040B"/>
    <w:rsid w:val="00FE07DC"/>
    <w:rsid w:val="00FE08FB"/>
    <w:rsid w:val="00FE0FE2"/>
    <w:rsid w:val="00FE1116"/>
    <w:rsid w:val="00FE16A2"/>
    <w:rsid w:val="00FE16C2"/>
    <w:rsid w:val="00FE1ED5"/>
    <w:rsid w:val="00FE2075"/>
    <w:rsid w:val="00FE2080"/>
    <w:rsid w:val="00FE2310"/>
    <w:rsid w:val="00FE27A9"/>
    <w:rsid w:val="00FE27B9"/>
    <w:rsid w:val="00FE2E37"/>
    <w:rsid w:val="00FE3640"/>
    <w:rsid w:val="00FE3780"/>
    <w:rsid w:val="00FE3954"/>
    <w:rsid w:val="00FE3CF7"/>
    <w:rsid w:val="00FE3E50"/>
    <w:rsid w:val="00FE4071"/>
    <w:rsid w:val="00FE42E3"/>
    <w:rsid w:val="00FE4784"/>
    <w:rsid w:val="00FE4ECD"/>
    <w:rsid w:val="00FE52B7"/>
    <w:rsid w:val="00FE53C5"/>
    <w:rsid w:val="00FE56A8"/>
    <w:rsid w:val="00FE5807"/>
    <w:rsid w:val="00FE5865"/>
    <w:rsid w:val="00FE5C39"/>
    <w:rsid w:val="00FE5C57"/>
    <w:rsid w:val="00FE5FC4"/>
    <w:rsid w:val="00FE624E"/>
    <w:rsid w:val="00FE6415"/>
    <w:rsid w:val="00FE6734"/>
    <w:rsid w:val="00FE69E7"/>
    <w:rsid w:val="00FE6B61"/>
    <w:rsid w:val="00FE6BB8"/>
    <w:rsid w:val="00FE6E76"/>
    <w:rsid w:val="00FE6F5A"/>
    <w:rsid w:val="00FE75A8"/>
    <w:rsid w:val="00FE7AE0"/>
    <w:rsid w:val="00FE7B4D"/>
    <w:rsid w:val="00FE7DEE"/>
    <w:rsid w:val="00FF027B"/>
    <w:rsid w:val="00FF066E"/>
    <w:rsid w:val="00FF10B4"/>
    <w:rsid w:val="00FF1174"/>
    <w:rsid w:val="00FF165A"/>
    <w:rsid w:val="00FF1B72"/>
    <w:rsid w:val="00FF1CF1"/>
    <w:rsid w:val="00FF1F4C"/>
    <w:rsid w:val="00FF222C"/>
    <w:rsid w:val="00FF228F"/>
    <w:rsid w:val="00FF2578"/>
    <w:rsid w:val="00FF324B"/>
    <w:rsid w:val="00FF35DC"/>
    <w:rsid w:val="00FF3A3D"/>
    <w:rsid w:val="00FF3A6A"/>
    <w:rsid w:val="00FF3C7A"/>
    <w:rsid w:val="00FF3E09"/>
    <w:rsid w:val="00FF3E16"/>
    <w:rsid w:val="00FF411C"/>
    <w:rsid w:val="00FF44C6"/>
    <w:rsid w:val="00FF4A20"/>
    <w:rsid w:val="00FF4B2E"/>
    <w:rsid w:val="00FF4E4B"/>
    <w:rsid w:val="00FF4E4E"/>
    <w:rsid w:val="00FF5049"/>
    <w:rsid w:val="00FF516B"/>
    <w:rsid w:val="00FF519C"/>
    <w:rsid w:val="00FF54B4"/>
    <w:rsid w:val="00FF5814"/>
    <w:rsid w:val="00FF5D1F"/>
    <w:rsid w:val="00FF5F95"/>
    <w:rsid w:val="00FF6126"/>
    <w:rsid w:val="00FF61F5"/>
    <w:rsid w:val="00FF62AA"/>
    <w:rsid w:val="00FF63F6"/>
    <w:rsid w:val="00FF64D7"/>
    <w:rsid w:val="00FF69A9"/>
    <w:rsid w:val="00FF6AB8"/>
    <w:rsid w:val="00FF6B3A"/>
    <w:rsid w:val="00FF6B6C"/>
    <w:rsid w:val="00FF6C5A"/>
    <w:rsid w:val="00FF6DD4"/>
    <w:rsid w:val="00FF7269"/>
    <w:rsid w:val="00FF7634"/>
    <w:rsid w:val="00FF76B7"/>
    <w:rsid w:val="010827C0"/>
    <w:rsid w:val="01365AF8"/>
    <w:rsid w:val="01471108"/>
    <w:rsid w:val="016A5908"/>
    <w:rsid w:val="016F3230"/>
    <w:rsid w:val="017E3F71"/>
    <w:rsid w:val="0184225B"/>
    <w:rsid w:val="01AA2C10"/>
    <w:rsid w:val="01B841E6"/>
    <w:rsid w:val="01C50E1A"/>
    <w:rsid w:val="01DD3A8D"/>
    <w:rsid w:val="01E36195"/>
    <w:rsid w:val="01F6209B"/>
    <w:rsid w:val="02184CCE"/>
    <w:rsid w:val="02A86AF6"/>
    <w:rsid w:val="02BE582C"/>
    <w:rsid w:val="02BF15A4"/>
    <w:rsid w:val="02C469DF"/>
    <w:rsid w:val="02D74B40"/>
    <w:rsid w:val="02E466FD"/>
    <w:rsid w:val="03164EA2"/>
    <w:rsid w:val="031A4AD7"/>
    <w:rsid w:val="0329463B"/>
    <w:rsid w:val="034629C7"/>
    <w:rsid w:val="035C311C"/>
    <w:rsid w:val="036822A6"/>
    <w:rsid w:val="03751355"/>
    <w:rsid w:val="037738D8"/>
    <w:rsid w:val="037E4FBC"/>
    <w:rsid w:val="03961378"/>
    <w:rsid w:val="039B791C"/>
    <w:rsid w:val="03CA2A2C"/>
    <w:rsid w:val="03E51BB2"/>
    <w:rsid w:val="04012C16"/>
    <w:rsid w:val="04437F90"/>
    <w:rsid w:val="046E4522"/>
    <w:rsid w:val="0499180B"/>
    <w:rsid w:val="0518195C"/>
    <w:rsid w:val="052325F0"/>
    <w:rsid w:val="052C4012"/>
    <w:rsid w:val="053E29BF"/>
    <w:rsid w:val="055A2489"/>
    <w:rsid w:val="059249E4"/>
    <w:rsid w:val="05C55124"/>
    <w:rsid w:val="05EC445F"/>
    <w:rsid w:val="068955F4"/>
    <w:rsid w:val="069B4D96"/>
    <w:rsid w:val="06B07B82"/>
    <w:rsid w:val="06DC2725"/>
    <w:rsid w:val="07061D34"/>
    <w:rsid w:val="072E0AA7"/>
    <w:rsid w:val="073D0CEA"/>
    <w:rsid w:val="0753050D"/>
    <w:rsid w:val="075F0692"/>
    <w:rsid w:val="07610E7C"/>
    <w:rsid w:val="07616FFE"/>
    <w:rsid w:val="07DB054A"/>
    <w:rsid w:val="08273E74"/>
    <w:rsid w:val="083D2AF4"/>
    <w:rsid w:val="08510831"/>
    <w:rsid w:val="087B120E"/>
    <w:rsid w:val="088564A0"/>
    <w:rsid w:val="08956C95"/>
    <w:rsid w:val="08C2594B"/>
    <w:rsid w:val="08F53B23"/>
    <w:rsid w:val="09113A45"/>
    <w:rsid w:val="09145BEC"/>
    <w:rsid w:val="09250213"/>
    <w:rsid w:val="092A6D05"/>
    <w:rsid w:val="097355A4"/>
    <w:rsid w:val="097C3D4B"/>
    <w:rsid w:val="09BE592D"/>
    <w:rsid w:val="0A053C89"/>
    <w:rsid w:val="0A070656"/>
    <w:rsid w:val="0A307B98"/>
    <w:rsid w:val="0A6342EE"/>
    <w:rsid w:val="0A913ED8"/>
    <w:rsid w:val="0AA51080"/>
    <w:rsid w:val="0ABF0394"/>
    <w:rsid w:val="0AEC6637"/>
    <w:rsid w:val="0AF52007"/>
    <w:rsid w:val="0B24171E"/>
    <w:rsid w:val="0B380207"/>
    <w:rsid w:val="0B380EE8"/>
    <w:rsid w:val="0B5C3243"/>
    <w:rsid w:val="0B6C372D"/>
    <w:rsid w:val="0BAD59A4"/>
    <w:rsid w:val="0BFC043E"/>
    <w:rsid w:val="0C431491"/>
    <w:rsid w:val="0C466B45"/>
    <w:rsid w:val="0CBD16CE"/>
    <w:rsid w:val="0CF462EF"/>
    <w:rsid w:val="0D584403"/>
    <w:rsid w:val="0D682F64"/>
    <w:rsid w:val="0D693057"/>
    <w:rsid w:val="0D6F6E94"/>
    <w:rsid w:val="0DAD6BC9"/>
    <w:rsid w:val="0DB10079"/>
    <w:rsid w:val="0DEA1BCB"/>
    <w:rsid w:val="0DEE7765"/>
    <w:rsid w:val="0E8F4521"/>
    <w:rsid w:val="0EA27FFE"/>
    <w:rsid w:val="0EDB5A34"/>
    <w:rsid w:val="0EFE5203"/>
    <w:rsid w:val="0F2B5D1F"/>
    <w:rsid w:val="0F2B6BB7"/>
    <w:rsid w:val="0F4378A5"/>
    <w:rsid w:val="0F5F0397"/>
    <w:rsid w:val="0F707EAE"/>
    <w:rsid w:val="0FD4386B"/>
    <w:rsid w:val="0FE64614"/>
    <w:rsid w:val="0FEE202C"/>
    <w:rsid w:val="101C0A97"/>
    <w:rsid w:val="101C3B92"/>
    <w:rsid w:val="10233BE8"/>
    <w:rsid w:val="102D0B16"/>
    <w:rsid w:val="10644BF3"/>
    <w:rsid w:val="10984E4A"/>
    <w:rsid w:val="10B6729D"/>
    <w:rsid w:val="10F67974"/>
    <w:rsid w:val="11276C93"/>
    <w:rsid w:val="113969C6"/>
    <w:rsid w:val="11A402E3"/>
    <w:rsid w:val="11C269BB"/>
    <w:rsid w:val="11E64AD9"/>
    <w:rsid w:val="12105979"/>
    <w:rsid w:val="124D097B"/>
    <w:rsid w:val="125A3098"/>
    <w:rsid w:val="12685FCD"/>
    <w:rsid w:val="1278318D"/>
    <w:rsid w:val="12E12E71"/>
    <w:rsid w:val="12E74F2D"/>
    <w:rsid w:val="13257AFF"/>
    <w:rsid w:val="132C3E30"/>
    <w:rsid w:val="133E6515"/>
    <w:rsid w:val="135B2C24"/>
    <w:rsid w:val="13C82E2A"/>
    <w:rsid w:val="13E470BD"/>
    <w:rsid w:val="13F217DA"/>
    <w:rsid w:val="145F7A9A"/>
    <w:rsid w:val="14667AD2"/>
    <w:rsid w:val="146F2C7A"/>
    <w:rsid w:val="147C72F5"/>
    <w:rsid w:val="149701A8"/>
    <w:rsid w:val="149E4992"/>
    <w:rsid w:val="14A10B0A"/>
    <w:rsid w:val="14B07619"/>
    <w:rsid w:val="14C01613"/>
    <w:rsid w:val="1509768D"/>
    <w:rsid w:val="1537372D"/>
    <w:rsid w:val="15A703A2"/>
    <w:rsid w:val="15A92E2E"/>
    <w:rsid w:val="15AC7766"/>
    <w:rsid w:val="15EE6369"/>
    <w:rsid w:val="160A4336"/>
    <w:rsid w:val="1613649B"/>
    <w:rsid w:val="168B1A72"/>
    <w:rsid w:val="169C3C7F"/>
    <w:rsid w:val="16B56AEF"/>
    <w:rsid w:val="16F455B8"/>
    <w:rsid w:val="16F7731D"/>
    <w:rsid w:val="170E5D26"/>
    <w:rsid w:val="170E758B"/>
    <w:rsid w:val="176522C3"/>
    <w:rsid w:val="178216C7"/>
    <w:rsid w:val="179A0622"/>
    <w:rsid w:val="17BE59A2"/>
    <w:rsid w:val="17D67A40"/>
    <w:rsid w:val="17D74248"/>
    <w:rsid w:val="18077515"/>
    <w:rsid w:val="18185849"/>
    <w:rsid w:val="184E2D57"/>
    <w:rsid w:val="189C0362"/>
    <w:rsid w:val="18CA5D94"/>
    <w:rsid w:val="18E611E1"/>
    <w:rsid w:val="18F953B8"/>
    <w:rsid w:val="1919211E"/>
    <w:rsid w:val="191A7C2A"/>
    <w:rsid w:val="193727B4"/>
    <w:rsid w:val="19792055"/>
    <w:rsid w:val="19A741FA"/>
    <w:rsid w:val="19D43730"/>
    <w:rsid w:val="1A2976B5"/>
    <w:rsid w:val="1A3E68F9"/>
    <w:rsid w:val="1A442DE9"/>
    <w:rsid w:val="1A520692"/>
    <w:rsid w:val="1AC6751C"/>
    <w:rsid w:val="1AD002D5"/>
    <w:rsid w:val="1AD96558"/>
    <w:rsid w:val="1AF00867"/>
    <w:rsid w:val="1B377A27"/>
    <w:rsid w:val="1B9629C7"/>
    <w:rsid w:val="1BA17641"/>
    <w:rsid w:val="1BC305D3"/>
    <w:rsid w:val="1BDF69A1"/>
    <w:rsid w:val="1C4A3EC0"/>
    <w:rsid w:val="1C9F0025"/>
    <w:rsid w:val="1CCB0D8C"/>
    <w:rsid w:val="1CD55680"/>
    <w:rsid w:val="1D156539"/>
    <w:rsid w:val="1D2400E1"/>
    <w:rsid w:val="1D2A7CA5"/>
    <w:rsid w:val="1D321E13"/>
    <w:rsid w:val="1D601534"/>
    <w:rsid w:val="1D990F18"/>
    <w:rsid w:val="1DBC044E"/>
    <w:rsid w:val="1E2843E8"/>
    <w:rsid w:val="1E676C05"/>
    <w:rsid w:val="1E7F3055"/>
    <w:rsid w:val="1EA638ED"/>
    <w:rsid w:val="1ED11916"/>
    <w:rsid w:val="1EE00B31"/>
    <w:rsid w:val="1F396481"/>
    <w:rsid w:val="1F4153C3"/>
    <w:rsid w:val="1F4849CA"/>
    <w:rsid w:val="1F494278"/>
    <w:rsid w:val="1F5844BB"/>
    <w:rsid w:val="1F72557D"/>
    <w:rsid w:val="1F873477"/>
    <w:rsid w:val="1FA058F2"/>
    <w:rsid w:val="1FD91AA0"/>
    <w:rsid w:val="204C4020"/>
    <w:rsid w:val="20742014"/>
    <w:rsid w:val="208E4638"/>
    <w:rsid w:val="20916FFC"/>
    <w:rsid w:val="209B180C"/>
    <w:rsid w:val="20C63A2A"/>
    <w:rsid w:val="20CD24E9"/>
    <w:rsid w:val="20F85F56"/>
    <w:rsid w:val="20F91D0C"/>
    <w:rsid w:val="20FF72E4"/>
    <w:rsid w:val="21224E39"/>
    <w:rsid w:val="21455F84"/>
    <w:rsid w:val="21F60778"/>
    <w:rsid w:val="21FF07BC"/>
    <w:rsid w:val="220A14E7"/>
    <w:rsid w:val="222C3A8C"/>
    <w:rsid w:val="225B2729"/>
    <w:rsid w:val="226F0499"/>
    <w:rsid w:val="22C5455D"/>
    <w:rsid w:val="23137077"/>
    <w:rsid w:val="23203542"/>
    <w:rsid w:val="235356C5"/>
    <w:rsid w:val="235E13F2"/>
    <w:rsid w:val="23694EE9"/>
    <w:rsid w:val="237671DA"/>
    <w:rsid w:val="237D0994"/>
    <w:rsid w:val="24977600"/>
    <w:rsid w:val="249917FE"/>
    <w:rsid w:val="24B831E2"/>
    <w:rsid w:val="24CF6FCD"/>
    <w:rsid w:val="24DE1906"/>
    <w:rsid w:val="24F17BED"/>
    <w:rsid w:val="250B120F"/>
    <w:rsid w:val="252C7220"/>
    <w:rsid w:val="25320915"/>
    <w:rsid w:val="257F09F3"/>
    <w:rsid w:val="259B1FAD"/>
    <w:rsid w:val="26071ED5"/>
    <w:rsid w:val="26226B65"/>
    <w:rsid w:val="264A7253"/>
    <w:rsid w:val="26597496"/>
    <w:rsid w:val="26A50560"/>
    <w:rsid w:val="26B71FDC"/>
    <w:rsid w:val="26EE73D4"/>
    <w:rsid w:val="270F55EE"/>
    <w:rsid w:val="272F1A96"/>
    <w:rsid w:val="276C4BF8"/>
    <w:rsid w:val="27F52753"/>
    <w:rsid w:val="282553AD"/>
    <w:rsid w:val="2868542F"/>
    <w:rsid w:val="286B34B1"/>
    <w:rsid w:val="288C0732"/>
    <w:rsid w:val="28AA63AA"/>
    <w:rsid w:val="28AB4A44"/>
    <w:rsid w:val="28E626BF"/>
    <w:rsid w:val="28EF5E29"/>
    <w:rsid w:val="28F33BD2"/>
    <w:rsid w:val="292A2C02"/>
    <w:rsid w:val="29622675"/>
    <w:rsid w:val="29796396"/>
    <w:rsid w:val="297B0CF7"/>
    <w:rsid w:val="299C6F76"/>
    <w:rsid w:val="29F114EF"/>
    <w:rsid w:val="2A1D389A"/>
    <w:rsid w:val="2A3C5105"/>
    <w:rsid w:val="2A5A37DD"/>
    <w:rsid w:val="2A5C3468"/>
    <w:rsid w:val="2A7D11F4"/>
    <w:rsid w:val="2AF7335B"/>
    <w:rsid w:val="2B0D2427"/>
    <w:rsid w:val="2B2142FB"/>
    <w:rsid w:val="2B51698E"/>
    <w:rsid w:val="2B715282"/>
    <w:rsid w:val="2B822DA1"/>
    <w:rsid w:val="2B907A05"/>
    <w:rsid w:val="2BB807BB"/>
    <w:rsid w:val="2C0D44FF"/>
    <w:rsid w:val="2C1C696A"/>
    <w:rsid w:val="2C541884"/>
    <w:rsid w:val="2C6C05ED"/>
    <w:rsid w:val="2C90798A"/>
    <w:rsid w:val="2D821066"/>
    <w:rsid w:val="2E346A78"/>
    <w:rsid w:val="2E424CB4"/>
    <w:rsid w:val="2E681189"/>
    <w:rsid w:val="2EA133AF"/>
    <w:rsid w:val="2EC422C0"/>
    <w:rsid w:val="2EDD2DD9"/>
    <w:rsid w:val="2EE47B19"/>
    <w:rsid w:val="2EE916ED"/>
    <w:rsid w:val="2F206CFF"/>
    <w:rsid w:val="2F723467"/>
    <w:rsid w:val="2F8530AA"/>
    <w:rsid w:val="2F8D01B1"/>
    <w:rsid w:val="2F8E6B70"/>
    <w:rsid w:val="2FB120F1"/>
    <w:rsid w:val="2FDC0A66"/>
    <w:rsid w:val="2FF3270A"/>
    <w:rsid w:val="30226B4B"/>
    <w:rsid w:val="302C0625"/>
    <w:rsid w:val="30534F57"/>
    <w:rsid w:val="3054751F"/>
    <w:rsid w:val="306835D0"/>
    <w:rsid w:val="307F73DA"/>
    <w:rsid w:val="309F7B49"/>
    <w:rsid w:val="30B91060"/>
    <w:rsid w:val="30BA3228"/>
    <w:rsid w:val="310426F5"/>
    <w:rsid w:val="31140B8A"/>
    <w:rsid w:val="31155497"/>
    <w:rsid w:val="31432060"/>
    <w:rsid w:val="31434FCB"/>
    <w:rsid w:val="31AC3D25"/>
    <w:rsid w:val="31B26B04"/>
    <w:rsid w:val="31E00A6C"/>
    <w:rsid w:val="31E91A7B"/>
    <w:rsid w:val="320A65B1"/>
    <w:rsid w:val="328A6C2A"/>
    <w:rsid w:val="32974E9E"/>
    <w:rsid w:val="32A0292F"/>
    <w:rsid w:val="32A02B99"/>
    <w:rsid w:val="32BB2F99"/>
    <w:rsid w:val="32D4602A"/>
    <w:rsid w:val="32DC56D7"/>
    <w:rsid w:val="32EF2268"/>
    <w:rsid w:val="332B2F23"/>
    <w:rsid w:val="334E5EA9"/>
    <w:rsid w:val="337714DF"/>
    <w:rsid w:val="337D5F7B"/>
    <w:rsid w:val="33D414D0"/>
    <w:rsid w:val="341B2B8A"/>
    <w:rsid w:val="3439368F"/>
    <w:rsid w:val="344F39A7"/>
    <w:rsid w:val="34572B3B"/>
    <w:rsid w:val="34603E67"/>
    <w:rsid w:val="348D63C4"/>
    <w:rsid w:val="34C63D63"/>
    <w:rsid w:val="350031D3"/>
    <w:rsid w:val="3502693D"/>
    <w:rsid w:val="35252BA6"/>
    <w:rsid w:val="35662F1B"/>
    <w:rsid w:val="359F79FB"/>
    <w:rsid w:val="35A16764"/>
    <w:rsid w:val="35A7668C"/>
    <w:rsid w:val="35CD358A"/>
    <w:rsid w:val="35EA1EB9"/>
    <w:rsid w:val="361F5D9D"/>
    <w:rsid w:val="36232DB0"/>
    <w:rsid w:val="36394BEF"/>
    <w:rsid w:val="36527A69"/>
    <w:rsid w:val="3660217B"/>
    <w:rsid w:val="368D21C2"/>
    <w:rsid w:val="36A24542"/>
    <w:rsid w:val="371116C7"/>
    <w:rsid w:val="372B7EA9"/>
    <w:rsid w:val="37C91FA2"/>
    <w:rsid w:val="37D22C05"/>
    <w:rsid w:val="37D74554"/>
    <w:rsid w:val="385F359C"/>
    <w:rsid w:val="38745CC3"/>
    <w:rsid w:val="38B56509"/>
    <w:rsid w:val="38F7790E"/>
    <w:rsid w:val="390A63CE"/>
    <w:rsid w:val="39C0702B"/>
    <w:rsid w:val="39DA61CD"/>
    <w:rsid w:val="39FA6443"/>
    <w:rsid w:val="3A2B5B58"/>
    <w:rsid w:val="3A514476"/>
    <w:rsid w:val="3A98378C"/>
    <w:rsid w:val="3AAA7E69"/>
    <w:rsid w:val="3ACB30EC"/>
    <w:rsid w:val="3B084B8F"/>
    <w:rsid w:val="3B3B4F65"/>
    <w:rsid w:val="3B653D90"/>
    <w:rsid w:val="3B941125"/>
    <w:rsid w:val="3BA80B19"/>
    <w:rsid w:val="3C233468"/>
    <w:rsid w:val="3C4240EC"/>
    <w:rsid w:val="3C6D54E8"/>
    <w:rsid w:val="3C9B0CDC"/>
    <w:rsid w:val="3D127F47"/>
    <w:rsid w:val="3D6764E5"/>
    <w:rsid w:val="3D711B40"/>
    <w:rsid w:val="3DD96CF1"/>
    <w:rsid w:val="3E0055CC"/>
    <w:rsid w:val="3E0E070F"/>
    <w:rsid w:val="3E800AA6"/>
    <w:rsid w:val="3EBC31BD"/>
    <w:rsid w:val="3ECF1AD7"/>
    <w:rsid w:val="3EDB342A"/>
    <w:rsid w:val="3EF018CA"/>
    <w:rsid w:val="3F010273"/>
    <w:rsid w:val="3F3A1FEB"/>
    <w:rsid w:val="3F536D21"/>
    <w:rsid w:val="3F7F15CC"/>
    <w:rsid w:val="3FBE6766"/>
    <w:rsid w:val="3FCB2D5B"/>
    <w:rsid w:val="3FD6525C"/>
    <w:rsid w:val="3FD93A56"/>
    <w:rsid w:val="40026BCD"/>
    <w:rsid w:val="401E398A"/>
    <w:rsid w:val="402E6E09"/>
    <w:rsid w:val="404339FD"/>
    <w:rsid w:val="406E741E"/>
    <w:rsid w:val="408E7697"/>
    <w:rsid w:val="40A67243"/>
    <w:rsid w:val="40C5625C"/>
    <w:rsid w:val="41197AF6"/>
    <w:rsid w:val="414C1049"/>
    <w:rsid w:val="41880131"/>
    <w:rsid w:val="41A03D74"/>
    <w:rsid w:val="41C602F5"/>
    <w:rsid w:val="42253D73"/>
    <w:rsid w:val="425E44D2"/>
    <w:rsid w:val="427C23A2"/>
    <w:rsid w:val="42977FCE"/>
    <w:rsid w:val="42A46591"/>
    <w:rsid w:val="430801C3"/>
    <w:rsid w:val="432A7D99"/>
    <w:rsid w:val="432E4362"/>
    <w:rsid w:val="433F52D0"/>
    <w:rsid w:val="435621E3"/>
    <w:rsid w:val="436D25BB"/>
    <w:rsid w:val="43A7589E"/>
    <w:rsid w:val="43D1446D"/>
    <w:rsid w:val="44184187"/>
    <w:rsid w:val="441C7C47"/>
    <w:rsid w:val="442629E5"/>
    <w:rsid w:val="44592171"/>
    <w:rsid w:val="449F0313"/>
    <w:rsid w:val="44B44FAB"/>
    <w:rsid w:val="44CF42FD"/>
    <w:rsid w:val="44D02BC2"/>
    <w:rsid w:val="44DD0E3B"/>
    <w:rsid w:val="44E328F5"/>
    <w:rsid w:val="44E4602A"/>
    <w:rsid w:val="452652F1"/>
    <w:rsid w:val="452F5B3A"/>
    <w:rsid w:val="45344EFF"/>
    <w:rsid w:val="45AA4BA1"/>
    <w:rsid w:val="45B80788"/>
    <w:rsid w:val="4663765C"/>
    <w:rsid w:val="46A936CA"/>
    <w:rsid w:val="46CB3641"/>
    <w:rsid w:val="46DF24CF"/>
    <w:rsid w:val="46F32B98"/>
    <w:rsid w:val="470078CF"/>
    <w:rsid w:val="47080919"/>
    <w:rsid w:val="470B7EE1"/>
    <w:rsid w:val="474F48B0"/>
    <w:rsid w:val="47571E5D"/>
    <w:rsid w:val="476F5963"/>
    <w:rsid w:val="47722B21"/>
    <w:rsid w:val="477E4B57"/>
    <w:rsid w:val="47B642F1"/>
    <w:rsid w:val="47E9061B"/>
    <w:rsid w:val="484245C7"/>
    <w:rsid w:val="48587156"/>
    <w:rsid w:val="48895562"/>
    <w:rsid w:val="488D7CFE"/>
    <w:rsid w:val="48A92682"/>
    <w:rsid w:val="48CC3E16"/>
    <w:rsid w:val="48DE24DE"/>
    <w:rsid w:val="48F867EE"/>
    <w:rsid w:val="49323FD7"/>
    <w:rsid w:val="495F62C2"/>
    <w:rsid w:val="49AE2723"/>
    <w:rsid w:val="4A062C17"/>
    <w:rsid w:val="4A2D63C1"/>
    <w:rsid w:val="4A566BAB"/>
    <w:rsid w:val="4A7B15EF"/>
    <w:rsid w:val="4AAE28E2"/>
    <w:rsid w:val="4AC74B58"/>
    <w:rsid w:val="4B0B0E99"/>
    <w:rsid w:val="4B0B29AA"/>
    <w:rsid w:val="4B1355B6"/>
    <w:rsid w:val="4B95193F"/>
    <w:rsid w:val="4BE12CCA"/>
    <w:rsid w:val="4BE95365"/>
    <w:rsid w:val="4BEB03BD"/>
    <w:rsid w:val="4C12409B"/>
    <w:rsid w:val="4C40062D"/>
    <w:rsid w:val="4C505A34"/>
    <w:rsid w:val="4C7D7030"/>
    <w:rsid w:val="4C983BAF"/>
    <w:rsid w:val="4CE31BE4"/>
    <w:rsid w:val="4CF8319A"/>
    <w:rsid w:val="4D382687"/>
    <w:rsid w:val="4D3F2693"/>
    <w:rsid w:val="4D6247EC"/>
    <w:rsid w:val="4D910683"/>
    <w:rsid w:val="4D970CD9"/>
    <w:rsid w:val="4D9B7742"/>
    <w:rsid w:val="4DAF7B7B"/>
    <w:rsid w:val="4DF6457C"/>
    <w:rsid w:val="4E045D2B"/>
    <w:rsid w:val="4E08517B"/>
    <w:rsid w:val="4E45017D"/>
    <w:rsid w:val="4E562E19"/>
    <w:rsid w:val="4E854A1D"/>
    <w:rsid w:val="4E9B14FE"/>
    <w:rsid w:val="4EAC5711"/>
    <w:rsid w:val="4F1961FD"/>
    <w:rsid w:val="4F2B4ED4"/>
    <w:rsid w:val="4F3431D9"/>
    <w:rsid w:val="4F7E2A75"/>
    <w:rsid w:val="4FB1539E"/>
    <w:rsid w:val="503E1327"/>
    <w:rsid w:val="50C90F52"/>
    <w:rsid w:val="50D67CED"/>
    <w:rsid w:val="50F73284"/>
    <w:rsid w:val="50FA43C8"/>
    <w:rsid w:val="519E1114"/>
    <w:rsid w:val="51B2004B"/>
    <w:rsid w:val="51C63383"/>
    <w:rsid w:val="51DD3369"/>
    <w:rsid w:val="51E41A5B"/>
    <w:rsid w:val="52215D62"/>
    <w:rsid w:val="523A167B"/>
    <w:rsid w:val="5253273C"/>
    <w:rsid w:val="528F6987"/>
    <w:rsid w:val="52904232"/>
    <w:rsid w:val="52A03B0F"/>
    <w:rsid w:val="52D61DC6"/>
    <w:rsid w:val="5312244A"/>
    <w:rsid w:val="534B0057"/>
    <w:rsid w:val="535D1AC5"/>
    <w:rsid w:val="537F32CF"/>
    <w:rsid w:val="53836593"/>
    <w:rsid w:val="53D60B0D"/>
    <w:rsid w:val="53D71EC0"/>
    <w:rsid w:val="53DB1AFB"/>
    <w:rsid w:val="54457AB8"/>
    <w:rsid w:val="54556AEA"/>
    <w:rsid w:val="54B80E9D"/>
    <w:rsid w:val="55126061"/>
    <w:rsid w:val="55131A57"/>
    <w:rsid w:val="55326F81"/>
    <w:rsid w:val="55622629"/>
    <w:rsid w:val="55B347D2"/>
    <w:rsid w:val="55FB62CA"/>
    <w:rsid w:val="56402DEE"/>
    <w:rsid w:val="56C43C09"/>
    <w:rsid w:val="56DC1604"/>
    <w:rsid w:val="56FC7846"/>
    <w:rsid w:val="57090250"/>
    <w:rsid w:val="572D17AE"/>
    <w:rsid w:val="575B6EAC"/>
    <w:rsid w:val="576158FB"/>
    <w:rsid w:val="577D71D5"/>
    <w:rsid w:val="578141E6"/>
    <w:rsid w:val="57825F9E"/>
    <w:rsid w:val="57AC4DC9"/>
    <w:rsid w:val="57E148BE"/>
    <w:rsid w:val="57FA1FD8"/>
    <w:rsid w:val="58767185"/>
    <w:rsid w:val="589B369A"/>
    <w:rsid w:val="58BF1DA3"/>
    <w:rsid w:val="58F45FE0"/>
    <w:rsid w:val="591075D9"/>
    <w:rsid w:val="5915699E"/>
    <w:rsid w:val="59542BD7"/>
    <w:rsid w:val="596A6CE9"/>
    <w:rsid w:val="59A75796"/>
    <w:rsid w:val="59C12681"/>
    <w:rsid w:val="59D9433B"/>
    <w:rsid w:val="5A3A2DDD"/>
    <w:rsid w:val="5B861692"/>
    <w:rsid w:val="5BF449CD"/>
    <w:rsid w:val="5BF918A2"/>
    <w:rsid w:val="5C161E71"/>
    <w:rsid w:val="5C36103E"/>
    <w:rsid w:val="5C763BF7"/>
    <w:rsid w:val="5CA6628A"/>
    <w:rsid w:val="5CBB785C"/>
    <w:rsid w:val="5CDF2E5D"/>
    <w:rsid w:val="5D0511A4"/>
    <w:rsid w:val="5D0C00B7"/>
    <w:rsid w:val="5D1E1826"/>
    <w:rsid w:val="5D403B43"/>
    <w:rsid w:val="5D6677C8"/>
    <w:rsid w:val="5D6F1310"/>
    <w:rsid w:val="5D7F6ADB"/>
    <w:rsid w:val="5DA90C31"/>
    <w:rsid w:val="5DD87487"/>
    <w:rsid w:val="5E1436C8"/>
    <w:rsid w:val="5E2A4C99"/>
    <w:rsid w:val="5E451AD3"/>
    <w:rsid w:val="5E7F4FE5"/>
    <w:rsid w:val="5E9640DD"/>
    <w:rsid w:val="5ECB022A"/>
    <w:rsid w:val="5EFA28BD"/>
    <w:rsid w:val="5FC8476A"/>
    <w:rsid w:val="6005776C"/>
    <w:rsid w:val="6045400C"/>
    <w:rsid w:val="605B4873"/>
    <w:rsid w:val="611834CF"/>
    <w:rsid w:val="61203FF3"/>
    <w:rsid w:val="61384D4A"/>
    <w:rsid w:val="61AD1896"/>
    <w:rsid w:val="61B468FE"/>
    <w:rsid w:val="61EB473F"/>
    <w:rsid w:val="62093465"/>
    <w:rsid w:val="622B607F"/>
    <w:rsid w:val="625B18C5"/>
    <w:rsid w:val="626B762E"/>
    <w:rsid w:val="628800F3"/>
    <w:rsid w:val="628D3A49"/>
    <w:rsid w:val="62B8336A"/>
    <w:rsid w:val="62C531E2"/>
    <w:rsid w:val="62D84CC4"/>
    <w:rsid w:val="635546F4"/>
    <w:rsid w:val="635F5CFB"/>
    <w:rsid w:val="63C33BC6"/>
    <w:rsid w:val="63E340FD"/>
    <w:rsid w:val="63E37DC4"/>
    <w:rsid w:val="63F737D3"/>
    <w:rsid w:val="641461CF"/>
    <w:rsid w:val="64337579"/>
    <w:rsid w:val="64441196"/>
    <w:rsid w:val="64465512"/>
    <w:rsid w:val="648B53C8"/>
    <w:rsid w:val="649C61C5"/>
    <w:rsid w:val="64EF2799"/>
    <w:rsid w:val="65091B75"/>
    <w:rsid w:val="651144BD"/>
    <w:rsid w:val="6568774A"/>
    <w:rsid w:val="6598441E"/>
    <w:rsid w:val="65A77EFE"/>
    <w:rsid w:val="65A8085C"/>
    <w:rsid w:val="65BC6440"/>
    <w:rsid w:val="65C36E7F"/>
    <w:rsid w:val="65D21A26"/>
    <w:rsid w:val="65DE78AD"/>
    <w:rsid w:val="65EB50C3"/>
    <w:rsid w:val="66043A15"/>
    <w:rsid w:val="661F4C5F"/>
    <w:rsid w:val="663B7430"/>
    <w:rsid w:val="671A60A5"/>
    <w:rsid w:val="671E1CA4"/>
    <w:rsid w:val="672A0BC3"/>
    <w:rsid w:val="67325309"/>
    <w:rsid w:val="67696832"/>
    <w:rsid w:val="67AD16CE"/>
    <w:rsid w:val="67D02B8A"/>
    <w:rsid w:val="67FE399D"/>
    <w:rsid w:val="68182006"/>
    <w:rsid w:val="687775B2"/>
    <w:rsid w:val="688D6550"/>
    <w:rsid w:val="68A26A45"/>
    <w:rsid w:val="68B25FB7"/>
    <w:rsid w:val="68BF2482"/>
    <w:rsid w:val="691E286D"/>
    <w:rsid w:val="69373C17"/>
    <w:rsid w:val="693A44D1"/>
    <w:rsid w:val="69431305"/>
    <w:rsid w:val="69AC6C7A"/>
    <w:rsid w:val="6A040A94"/>
    <w:rsid w:val="6A125484"/>
    <w:rsid w:val="6A1B14A7"/>
    <w:rsid w:val="6A5C2468"/>
    <w:rsid w:val="6A865004"/>
    <w:rsid w:val="6AC101E8"/>
    <w:rsid w:val="6ACF10A2"/>
    <w:rsid w:val="6AF503DD"/>
    <w:rsid w:val="6B241A17"/>
    <w:rsid w:val="6BDC12E2"/>
    <w:rsid w:val="6BE144B4"/>
    <w:rsid w:val="6BFE572C"/>
    <w:rsid w:val="6C0B35D0"/>
    <w:rsid w:val="6C1C1946"/>
    <w:rsid w:val="6C2C7E2E"/>
    <w:rsid w:val="6C3B14B2"/>
    <w:rsid w:val="6C5F0204"/>
    <w:rsid w:val="6C670ECB"/>
    <w:rsid w:val="6D250900"/>
    <w:rsid w:val="6D446C02"/>
    <w:rsid w:val="6D54763D"/>
    <w:rsid w:val="6E1148C4"/>
    <w:rsid w:val="6E1D2124"/>
    <w:rsid w:val="6E761835"/>
    <w:rsid w:val="6E914282"/>
    <w:rsid w:val="6E9C0F6F"/>
    <w:rsid w:val="6EB344CD"/>
    <w:rsid w:val="6EBA1571"/>
    <w:rsid w:val="6ECD664C"/>
    <w:rsid w:val="6EE521F8"/>
    <w:rsid w:val="6F0E4EC3"/>
    <w:rsid w:val="6F5778B8"/>
    <w:rsid w:val="6F6A573F"/>
    <w:rsid w:val="6FC7059A"/>
    <w:rsid w:val="6FF46241"/>
    <w:rsid w:val="70467BAB"/>
    <w:rsid w:val="70557737"/>
    <w:rsid w:val="706D27E8"/>
    <w:rsid w:val="709541F4"/>
    <w:rsid w:val="70C1323B"/>
    <w:rsid w:val="70C31FB8"/>
    <w:rsid w:val="70C44AD9"/>
    <w:rsid w:val="70DC3DAB"/>
    <w:rsid w:val="71070F5D"/>
    <w:rsid w:val="711A0B9D"/>
    <w:rsid w:val="7173757D"/>
    <w:rsid w:val="717F43F3"/>
    <w:rsid w:val="71900E5F"/>
    <w:rsid w:val="71AD7318"/>
    <w:rsid w:val="7219651D"/>
    <w:rsid w:val="72311466"/>
    <w:rsid w:val="726227FC"/>
    <w:rsid w:val="72690B75"/>
    <w:rsid w:val="726D70E7"/>
    <w:rsid w:val="72A63D8F"/>
    <w:rsid w:val="737A3B75"/>
    <w:rsid w:val="73B52288"/>
    <w:rsid w:val="73FE6554"/>
    <w:rsid w:val="74130252"/>
    <w:rsid w:val="743957DE"/>
    <w:rsid w:val="744F6DB0"/>
    <w:rsid w:val="747D74F0"/>
    <w:rsid w:val="748D409F"/>
    <w:rsid w:val="7497194B"/>
    <w:rsid w:val="74BA691F"/>
    <w:rsid w:val="74C31ECB"/>
    <w:rsid w:val="74C92B86"/>
    <w:rsid w:val="74D0561D"/>
    <w:rsid w:val="75120509"/>
    <w:rsid w:val="752C70F1"/>
    <w:rsid w:val="75942919"/>
    <w:rsid w:val="75A92F9A"/>
    <w:rsid w:val="75B01AD0"/>
    <w:rsid w:val="75B23472"/>
    <w:rsid w:val="761A46D3"/>
    <w:rsid w:val="768337BA"/>
    <w:rsid w:val="76D161A2"/>
    <w:rsid w:val="76D849B8"/>
    <w:rsid w:val="772953A5"/>
    <w:rsid w:val="77500D09"/>
    <w:rsid w:val="78557881"/>
    <w:rsid w:val="787C21CD"/>
    <w:rsid w:val="78952508"/>
    <w:rsid w:val="78B24F5D"/>
    <w:rsid w:val="792D0C52"/>
    <w:rsid w:val="796E4346"/>
    <w:rsid w:val="79AC1C21"/>
    <w:rsid w:val="79DB1BD2"/>
    <w:rsid w:val="79F53E07"/>
    <w:rsid w:val="7A722DC0"/>
    <w:rsid w:val="7A8F2E85"/>
    <w:rsid w:val="7A9D4EF2"/>
    <w:rsid w:val="7AAA36FF"/>
    <w:rsid w:val="7AB40202"/>
    <w:rsid w:val="7AE70780"/>
    <w:rsid w:val="7B237486"/>
    <w:rsid w:val="7B5C605A"/>
    <w:rsid w:val="7B9559F0"/>
    <w:rsid w:val="7BA94FF8"/>
    <w:rsid w:val="7BB147B2"/>
    <w:rsid w:val="7BBB4C21"/>
    <w:rsid w:val="7BC12EAC"/>
    <w:rsid w:val="7BC24B9B"/>
    <w:rsid w:val="7BC92AB2"/>
    <w:rsid w:val="7BD34993"/>
    <w:rsid w:val="7BDF6C6B"/>
    <w:rsid w:val="7C3672A3"/>
    <w:rsid w:val="7C370186"/>
    <w:rsid w:val="7C6D6CEE"/>
    <w:rsid w:val="7C9C4E59"/>
    <w:rsid w:val="7CB972E1"/>
    <w:rsid w:val="7CDB38D7"/>
    <w:rsid w:val="7CFD384D"/>
    <w:rsid w:val="7D0A41BC"/>
    <w:rsid w:val="7D140B97"/>
    <w:rsid w:val="7D245774"/>
    <w:rsid w:val="7D9E6B5B"/>
    <w:rsid w:val="7DAF266D"/>
    <w:rsid w:val="7DC45757"/>
    <w:rsid w:val="7DDB3462"/>
    <w:rsid w:val="7E092C14"/>
    <w:rsid w:val="7E14796C"/>
    <w:rsid w:val="7E2F1D63"/>
    <w:rsid w:val="7E437985"/>
    <w:rsid w:val="7EC9775F"/>
    <w:rsid w:val="7F1C1F84"/>
    <w:rsid w:val="7F284918"/>
    <w:rsid w:val="7F4339B5"/>
    <w:rsid w:val="7F482401"/>
    <w:rsid w:val="7F585020"/>
    <w:rsid w:val="7F9B0DB6"/>
    <w:rsid w:val="7F9F7CB1"/>
    <w:rsid w:val="7FBE4DEA"/>
    <w:rsid w:val="DBFD87A5"/>
    <w:rsid w:val="FDF33ACD"/>
    <w:rsid w:val="FE39C1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qFormat="1" w:uiPriority="99" w:semiHidden="0"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9"/>
    <w:qFormat/>
    <w:uiPriority w:val="0"/>
    <w:pPr>
      <w:keepNext/>
      <w:keepLines/>
      <w:spacing w:before="240" w:after="240" w:line="480" w:lineRule="auto"/>
      <w:jc w:val="center"/>
      <w:outlineLvl w:val="0"/>
    </w:pPr>
    <w:rPr>
      <w:b/>
      <w:bCs/>
      <w:kern w:val="44"/>
      <w:sz w:val="36"/>
      <w:szCs w:val="44"/>
    </w:rPr>
  </w:style>
  <w:style w:type="paragraph" w:styleId="3">
    <w:name w:val="heading 2"/>
    <w:basedOn w:val="1"/>
    <w:next w:val="1"/>
    <w:link w:val="70"/>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71"/>
    <w:qFormat/>
    <w:uiPriority w:val="0"/>
    <w:pPr>
      <w:keepNext/>
      <w:keepLines/>
      <w:spacing w:before="260" w:after="260" w:line="416" w:lineRule="auto"/>
      <w:outlineLvl w:val="2"/>
    </w:pPr>
    <w:rPr>
      <w:b/>
      <w:bCs/>
      <w:kern w:val="0"/>
      <w:sz w:val="32"/>
      <w:szCs w:val="32"/>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7"/>
    <w:link w:val="72"/>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73"/>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74"/>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75"/>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76"/>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77"/>
    <w:unhideWhenUsed/>
    <w:qFormat/>
    <w:uiPriority w:val="0"/>
    <w:pPr>
      <w:shd w:val="clear" w:color="auto" w:fill="000080"/>
    </w:pPr>
    <w:rPr>
      <w:rFonts w:hint="eastAsia" w:ascii="宋体" w:hAnsi="宋体"/>
      <w:kern w:val="0"/>
      <w:sz w:val="20"/>
      <w:szCs w:val="20"/>
    </w:rPr>
  </w:style>
  <w:style w:type="paragraph" w:styleId="16">
    <w:name w:val="toa heading"/>
    <w:basedOn w:val="1"/>
    <w:next w:val="1"/>
    <w:unhideWhenUsed/>
    <w:qFormat/>
    <w:uiPriority w:val="99"/>
    <w:pPr>
      <w:spacing w:before="120"/>
    </w:pPr>
    <w:rPr>
      <w:rFonts w:ascii="Arial" w:hAnsi="Arial" w:cs="Arial"/>
      <w:sz w:val="24"/>
    </w:rPr>
  </w:style>
  <w:style w:type="paragraph" w:styleId="17">
    <w:name w:val="annotation text"/>
    <w:basedOn w:val="1"/>
    <w:link w:val="78"/>
    <w:unhideWhenUsed/>
    <w:qFormat/>
    <w:uiPriority w:val="0"/>
    <w:pPr>
      <w:jc w:val="left"/>
    </w:pPr>
  </w:style>
  <w:style w:type="paragraph" w:styleId="18">
    <w:name w:val="Body Text 3"/>
    <w:basedOn w:val="1"/>
    <w:link w:val="79"/>
    <w:qFormat/>
    <w:uiPriority w:val="0"/>
    <w:pPr>
      <w:spacing w:line="500" w:lineRule="exact"/>
    </w:pPr>
    <w:rPr>
      <w:b/>
      <w:bCs/>
      <w:kern w:val="0"/>
      <w:sz w:val="24"/>
    </w:rPr>
  </w:style>
  <w:style w:type="paragraph" w:styleId="19">
    <w:name w:val="Body Text"/>
    <w:basedOn w:val="1"/>
    <w:link w:val="68"/>
    <w:qFormat/>
    <w:uiPriority w:val="0"/>
    <w:pPr>
      <w:spacing w:line="380" w:lineRule="exact"/>
    </w:pPr>
    <w:rPr>
      <w:kern w:val="0"/>
      <w:sz w:val="24"/>
    </w:rPr>
  </w:style>
  <w:style w:type="paragraph" w:styleId="20">
    <w:name w:val="Body Text Indent"/>
    <w:basedOn w:val="1"/>
    <w:link w:val="80"/>
    <w:qFormat/>
    <w:uiPriority w:val="0"/>
    <w:pPr>
      <w:ind w:firstLine="830" w:firstLineChars="352"/>
    </w:pPr>
    <w:rPr>
      <w:rFonts w:ascii="仿宋_GB2312" w:eastAsia="仿宋_GB2312"/>
      <w:kern w:val="0"/>
      <w:sz w:val="32"/>
      <w:szCs w:val="20"/>
    </w:rPr>
  </w:style>
  <w:style w:type="paragraph" w:styleId="21">
    <w:name w:val="List Number 3"/>
    <w:basedOn w:val="1"/>
    <w:qFormat/>
    <w:uiPriority w:val="0"/>
    <w:pPr>
      <w:numPr>
        <w:ilvl w:val="0"/>
        <w:numId w:val="2"/>
      </w:numPr>
    </w:pPr>
  </w:style>
  <w:style w:type="paragraph" w:styleId="22">
    <w:name w:val="List 2"/>
    <w:basedOn w:val="1"/>
    <w:qFormat/>
    <w:uiPriority w:val="0"/>
    <w:pPr>
      <w:ind w:left="100" w:leftChars="200" w:hanging="200" w:hangingChars="200"/>
    </w:pPr>
    <w:rPr>
      <w:sz w:val="28"/>
    </w:rPr>
  </w:style>
  <w:style w:type="paragraph" w:styleId="23">
    <w:name w:val="toc 5"/>
    <w:basedOn w:val="1"/>
    <w:next w:val="1"/>
    <w:unhideWhenUsed/>
    <w:qFormat/>
    <w:uiPriority w:val="39"/>
    <w:pPr>
      <w:ind w:left="1680" w:leftChars="800"/>
    </w:pPr>
    <w:rPr>
      <w:rFonts w:ascii="Calibri" w:hAnsi="Calibri"/>
      <w:szCs w:val="22"/>
    </w:rPr>
  </w:style>
  <w:style w:type="paragraph" w:styleId="24">
    <w:name w:val="toc 3"/>
    <w:basedOn w:val="1"/>
    <w:next w:val="1"/>
    <w:unhideWhenUsed/>
    <w:qFormat/>
    <w:uiPriority w:val="39"/>
    <w:pPr>
      <w:ind w:left="840" w:leftChars="400"/>
    </w:pPr>
    <w:rPr>
      <w:rFonts w:ascii="Calibri" w:hAnsi="Calibri"/>
      <w:szCs w:val="22"/>
    </w:rPr>
  </w:style>
  <w:style w:type="paragraph" w:styleId="25">
    <w:name w:val="Plain Text"/>
    <w:basedOn w:val="1"/>
    <w:next w:val="1"/>
    <w:link w:val="81"/>
    <w:qFormat/>
    <w:uiPriority w:val="99"/>
    <w:rPr>
      <w:rFonts w:ascii="宋体" w:hAnsi="Courier New"/>
      <w:kern w:val="0"/>
      <w:sz w:val="20"/>
      <w:szCs w:val="21"/>
    </w:rPr>
  </w:style>
  <w:style w:type="paragraph" w:styleId="26">
    <w:name w:val="toc 8"/>
    <w:basedOn w:val="1"/>
    <w:next w:val="1"/>
    <w:unhideWhenUsed/>
    <w:qFormat/>
    <w:uiPriority w:val="39"/>
    <w:pPr>
      <w:ind w:left="2940" w:leftChars="1400"/>
    </w:pPr>
    <w:rPr>
      <w:rFonts w:ascii="Calibri" w:hAnsi="Calibri"/>
      <w:szCs w:val="22"/>
    </w:rPr>
  </w:style>
  <w:style w:type="paragraph" w:styleId="27">
    <w:name w:val="Date"/>
    <w:basedOn w:val="1"/>
    <w:next w:val="1"/>
    <w:link w:val="82"/>
    <w:qFormat/>
    <w:uiPriority w:val="0"/>
    <w:pPr>
      <w:ind w:left="100" w:leftChars="2500"/>
    </w:pPr>
    <w:rPr>
      <w:rFonts w:ascii="宋体" w:hAnsi="Courier New"/>
      <w:kern w:val="0"/>
      <w:sz w:val="20"/>
      <w:szCs w:val="21"/>
    </w:rPr>
  </w:style>
  <w:style w:type="paragraph" w:styleId="28">
    <w:name w:val="Body Text Indent 2"/>
    <w:basedOn w:val="1"/>
    <w:link w:val="83"/>
    <w:qFormat/>
    <w:uiPriority w:val="0"/>
    <w:pPr>
      <w:ind w:firstLine="630"/>
    </w:pPr>
    <w:rPr>
      <w:kern w:val="0"/>
      <w:sz w:val="32"/>
      <w:szCs w:val="20"/>
    </w:rPr>
  </w:style>
  <w:style w:type="paragraph" w:styleId="29">
    <w:name w:val="endnote text"/>
    <w:basedOn w:val="1"/>
    <w:link w:val="84"/>
    <w:unhideWhenUsed/>
    <w:qFormat/>
    <w:uiPriority w:val="99"/>
    <w:pPr>
      <w:snapToGrid w:val="0"/>
      <w:jc w:val="left"/>
    </w:pPr>
  </w:style>
  <w:style w:type="paragraph" w:styleId="30">
    <w:name w:val="Balloon Text"/>
    <w:basedOn w:val="1"/>
    <w:link w:val="85"/>
    <w:semiHidden/>
    <w:qFormat/>
    <w:uiPriority w:val="0"/>
    <w:rPr>
      <w:kern w:val="0"/>
      <w:sz w:val="18"/>
      <w:szCs w:val="18"/>
    </w:rPr>
  </w:style>
  <w:style w:type="paragraph" w:styleId="31">
    <w:name w:val="footer"/>
    <w:basedOn w:val="1"/>
    <w:link w:val="86"/>
    <w:unhideWhenUsed/>
    <w:qFormat/>
    <w:uiPriority w:val="99"/>
    <w:pPr>
      <w:tabs>
        <w:tab w:val="center" w:pos="4153"/>
        <w:tab w:val="right" w:pos="8306"/>
      </w:tabs>
      <w:snapToGrid w:val="0"/>
      <w:jc w:val="left"/>
    </w:pPr>
    <w:rPr>
      <w:kern w:val="0"/>
      <w:sz w:val="18"/>
      <w:szCs w:val="18"/>
    </w:rPr>
  </w:style>
  <w:style w:type="paragraph" w:styleId="32">
    <w:name w:val="header"/>
    <w:basedOn w:val="1"/>
    <w:link w:val="87"/>
    <w:unhideWhenUsed/>
    <w:qFormat/>
    <w:uiPriority w:val="99"/>
    <w:pPr>
      <w:pBdr>
        <w:bottom w:val="single" w:color="auto" w:sz="6" w:space="1"/>
      </w:pBdr>
      <w:tabs>
        <w:tab w:val="center" w:pos="0"/>
        <w:tab w:val="left" w:pos="8306"/>
      </w:tabs>
      <w:snapToGrid w:val="0"/>
      <w:jc w:val="center"/>
    </w:pPr>
    <w:rPr>
      <w:sz w:val="18"/>
      <w:szCs w:val="18"/>
    </w:rPr>
  </w:style>
  <w:style w:type="paragraph" w:styleId="33">
    <w:name w:val="toc 1"/>
    <w:basedOn w:val="1"/>
    <w:next w:val="1"/>
    <w:qFormat/>
    <w:uiPriority w:val="39"/>
    <w:pPr>
      <w:tabs>
        <w:tab w:val="right" w:leader="dot" w:pos="8398"/>
      </w:tabs>
      <w:spacing w:before="120" w:after="120" w:line="360" w:lineRule="auto"/>
      <w:ind w:firstLine="100" w:firstLineChars="100"/>
      <w:jc w:val="left"/>
    </w:pPr>
    <w:rPr>
      <w:rFonts w:ascii="宋体" w:hAnsi="宋体"/>
      <w:b/>
      <w:bCs/>
      <w:caps/>
      <w:sz w:val="30"/>
    </w:rPr>
  </w:style>
  <w:style w:type="paragraph" w:styleId="34">
    <w:name w:val="toc 4"/>
    <w:basedOn w:val="1"/>
    <w:next w:val="1"/>
    <w:unhideWhenUsed/>
    <w:qFormat/>
    <w:uiPriority w:val="39"/>
    <w:pPr>
      <w:ind w:left="1260" w:leftChars="600"/>
    </w:pPr>
    <w:rPr>
      <w:rFonts w:ascii="Calibri" w:hAnsi="Calibri"/>
      <w:szCs w:val="22"/>
    </w:rPr>
  </w:style>
  <w:style w:type="paragraph" w:styleId="35">
    <w:name w:val="List"/>
    <w:basedOn w:val="1"/>
    <w:qFormat/>
    <w:uiPriority w:val="0"/>
    <w:pPr>
      <w:ind w:left="200" w:hanging="200" w:hangingChars="200"/>
    </w:pPr>
    <w:rPr>
      <w:sz w:val="28"/>
    </w:rPr>
  </w:style>
  <w:style w:type="paragraph" w:styleId="36">
    <w:name w:val="footnote text"/>
    <w:basedOn w:val="1"/>
    <w:link w:val="88"/>
    <w:unhideWhenUsed/>
    <w:qFormat/>
    <w:uiPriority w:val="99"/>
    <w:pPr>
      <w:snapToGrid w:val="0"/>
      <w:jc w:val="left"/>
    </w:pPr>
    <w:rPr>
      <w:sz w:val="18"/>
      <w:szCs w:val="18"/>
    </w:rPr>
  </w:style>
  <w:style w:type="paragraph" w:styleId="37">
    <w:name w:val="toc 6"/>
    <w:basedOn w:val="1"/>
    <w:next w:val="1"/>
    <w:unhideWhenUsed/>
    <w:qFormat/>
    <w:uiPriority w:val="39"/>
    <w:pPr>
      <w:ind w:left="2100" w:leftChars="1000"/>
    </w:pPr>
    <w:rPr>
      <w:rFonts w:ascii="Calibri" w:hAnsi="Calibri"/>
      <w:szCs w:val="22"/>
    </w:rPr>
  </w:style>
  <w:style w:type="paragraph" w:styleId="38">
    <w:name w:val="Body Text Indent 3"/>
    <w:basedOn w:val="1"/>
    <w:link w:val="89"/>
    <w:qFormat/>
    <w:uiPriority w:val="0"/>
    <w:pPr>
      <w:spacing w:after="120"/>
      <w:ind w:left="420" w:leftChars="200"/>
    </w:pPr>
    <w:rPr>
      <w:kern w:val="0"/>
      <w:sz w:val="16"/>
      <w:szCs w:val="16"/>
    </w:rPr>
  </w:style>
  <w:style w:type="paragraph" w:styleId="39">
    <w:name w:val="toc 2"/>
    <w:basedOn w:val="1"/>
    <w:next w:val="1"/>
    <w:unhideWhenUsed/>
    <w:qFormat/>
    <w:uiPriority w:val="39"/>
    <w:pPr>
      <w:ind w:left="420" w:leftChars="200"/>
    </w:pPr>
  </w:style>
  <w:style w:type="paragraph" w:styleId="40">
    <w:name w:val="toc 9"/>
    <w:basedOn w:val="1"/>
    <w:next w:val="1"/>
    <w:unhideWhenUsed/>
    <w:qFormat/>
    <w:uiPriority w:val="39"/>
    <w:pPr>
      <w:ind w:left="3360" w:leftChars="1600"/>
    </w:pPr>
    <w:rPr>
      <w:rFonts w:ascii="Calibri" w:hAnsi="Calibri"/>
      <w:szCs w:val="22"/>
    </w:rPr>
  </w:style>
  <w:style w:type="paragraph" w:styleId="41">
    <w:name w:val="Body Text 2"/>
    <w:basedOn w:val="1"/>
    <w:link w:val="90"/>
    <w:qFormat/>
    <w:uiPriority w:val="0"/>
    <w:pPr>
      <w:spacing w:after="120" w:line="480" w:lineRule="auto"/>
    </w:pPr>
    <w:rPr>
      <w:kern w:val="0"/>
      <w:sz w:val="20"/>
    </w:rPr>
  </w:style>
  <w:style w:type="paragraph" w:styleId="42">
    <w:name w:val="Normal (Web)"/>
    <w:basedOn w:val="1"/>
    <w:qFormat/>
    <w:uiPriority w:val="99"/>
    <w:pPr>
      <w:widowControl/>
      <w:spacing w:before="100" w:beforeAutospacing="1" w:after="100" w:afterAutospacing="1"/>
      <w:jc w:val="left"/>
    </w:pPr>
    <w:rPr>
      <w:rFonts w:ascii="宋体" w:hAnsi="宋体"/>
      <w:kern w:val="0"/>
      <w:sz w:val="24"/>
    </w:rPr>
  </w:style>
  <w:style w:type="paragraph" w:styleId="43">
    <w:name w:val="index 1"/>
    <w:basedOn w:val="1"/>
    <w:next w:val="1"/>
    <w:semiHidden/>
    <w:qFormat/>
    <w:uiPriority w:val="0"/>
    <w:pPr>
      <w:spacing w:line="400" w:lineRule="exact"/>
      <w:ind w:firstLine="420" w:firstLineChars="200"/>
    </w:pPr>
    <w:rPr>
      <w:rFonts w:ascii="宋体" w:hAnsi="Courier New"/>
      <w:b/>
      <w:szCs w:val="20"/>
    </w:rPr>
  </w:style>
  <w:style w:type="paragraph" w:styleId="44">
    <w:name w:val="Title"/>
    <w:basedOn w:val="1"/>
    <w:next w:val="1"/>
    <w:link w:val="91"/>
    <w:qFormat/>
    <w:uiPriority w:val="10"/>
    <w:pPr>
      <w:spacing w:before="240" w:after="60"/>
      <w:jc w:val="center"/>
      <w:outlineLvl w:val="0"/>
    </w:pPr>
    <w:rPr>
      <w:rFonts w:ascii="Cambria" w:hAnsi="Cambria"/>
      <w:b/>
      <w:bCs/>
      <w:sz w:val="32"/>
      <w:szCs w:val="32"/>
    </w:rPr>
  </w:style>
  <w:style w:type="paragraph" w:styleId="45">
    <w:name w:val="annotation subject"/>
    <w:basedOn w:val="17"/>
    <w:next w:val="17"/>
    <w:link w:val="92"/>
    <w:unhideWhenUsed/>
    <w:qFormat/>
    <w:uiPriority w:val="99"/>
    <w:rPr>
      <w:b/>
      <w:bCs/>
    </w:rPr>
  </w:style>
  <w:style w:type="paragraph" w:styleId="46">
    <w:name w:val="Body Text First Indent"/>
    <w:basedOn w:val="19"/>
    <w:qFormat/>
    <w:uiPriority w:val="0"/>
    <w:pPr>
      <w:spacing w:after="120"/>
      <w:ind w:firstLine="420" w:firstLineChars="100"/>
    </w:pPr>
    <w:rPr>
      <w:sz w:val="21"/>
    </w:rPr>
  </w:style>
  <w:style w:type="paragraph" w:styleId="47">
    <w:name w:val="Body Text First Indent 2"/>
    <w:basedOn w:val="20"/>
    <w:next w:val="1"/>
    <w:unhideWhenUsed/>
    <w:qFormat/>
    <w:uiPriority w:val="99"/>
    <w:pPr>
      <w:spacing w:after="120"/>
      <w:ind w:left="420" w:leftChars="200" w:firstLine="420" w:firstLineChars="200"/>
    </w:pPr>
    <w:rPr>
      <w:rFonts w:ascii="Times New Roman" w:eastAsia="宋体"/>
      <w:kern w:val="2"/>
      <w:sz w:val="21"/>
      <w:szCs w:val="24"/>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qFormat/>
    <w:uiPriority w:val="22"/>
    <w:rPr>
      <w:b/>
      <w:bCs/>
    </w:rPr>
  </w:style>
  <w:style w:type="character" w:styleId="52">
    <w:name w:val="endnote reference"/>
    <w:unhideWhenUsed/>
    <w:qFormat/>
    <w:uiPriority w:val="99"/>
    <w:rPr>
      <w:vertAlign w:val="superscript"/>
    </w:rPr>
  </w:style>
  <w:style w:type="character" w:styleId="53">
    <w:name w:val="page number"/>
    <w:qFormat/>
    <w:uiPriority w:val="0"/>
  </w:style>
  <w:style w:type="character" w:styleId="54">
    <w:name w:val="FollowedHyperlink"/>
    <w:qFormat/>
    <w:uiPriority w:val="0"/>
    <w:rPr>
      <w:color w:val="800080"/>
      <w:u w:val="single"/>
    </w:rPr>
  </w:style>
  <w:style w:type="character" w:styleId="55">
    <w:name w:val="Emphasis"/>
    <w:qFormat/>
    <w:uiPriority w:val="20"/>
    <w:rPr>
      <w:i/>
    </w:rPr>
  </w:style>
  <w:style w:type="character" w:styleId="56">
    <w:name w:val="HTML Definition"/>
    <w:basedOn w:val="50"/>
    <w:semiHidden/>
    <w:unhideWhenUsed/>
    <w:qFormat/>
    <w:uiPriority w:val="99"/>
    <w:rPr>
      <w:i/>
      <w:iCs/>
    </w:rPr>
  </w:style>
  <w:style w:type="character" w:styleId="57">
    <w:name w:val="Hyperlink"/>
    <w:qFormat/>
    <w:uiPriority w:val="99"/>
    <w:rPr>
      <w:color w:val="0000FF"/>
      <w:u w:val="single"/>
    </w:rPr>
  </w:style>
  <w:style w:type="character" w:styleId="58">
    <w:name w:val="HTML Code"/>
    <w:basedOn w:val="50"/>
    <w:semiHidden/>
    <w:unhideWhenUsed/>
    <w:qFormat/>
    <w:uiPriority w:val="99"/>
    <w:rPr>
      <w:rFonts w:hint="default" w:ascii="Consolas" w:hAnsi="Consolas" w:eastAsia="Consolas" w:cs="Consolas"/>
      <w:sz w:val="21"/>
      <w:szCs w:val="21"/>
    </w:rPr>
  </w:style>
  <w:style w:type="character" w:styleId="59">
    <w:name w:val="annotation reference"/>
    <w:unhideWhenUsed/>
    <w:qFormat/>
    <w:uiPriority w:val="0"/>
    <w:rPr>
      <w:sz w:val="21"/>
      <w:szCs w:val="21"/>
    </w:rPr>
  </w:style>
  <w:style w:type="character" w:styleId="60">
    <w:name w:val="footnote reference"/>
    <w:unhideWhenUsed/>
    <w:qFormat/>
    <w:uiPriority w:val="99"/>
    <w:rPr>
      <w:vertAlign w:val="superscript"/>
    </w:rPr>
  </w:style>
  <w:style w:type="character" w:styleId="61">
    <w:name w:val="HTML Keyboard"/>
    <w:basedOn w:val="50"/>
    <w:semiHidden/>
    <w:unhideWhenUsed/>
    <w:qFormat/>
    <w:uiPriority w:val="99"/>
    <w:rPr>
      <w:rFonts w:hint="default" w:ascii="Consolas" w:hAnsi="Consolas" w:eastAsia="Consolas" w:cs="Consolas"/>
      <w:sz w:val="21"/>
      <w:szCs w:val="21"/>
    </w:rPr>
  </w:style>
  <w:style w:type="character" w:styleId="62">
    <w:name w:val="HTML Sample"/>
    <w:basedOn w:val="50"/>
    <w:semiHidden/>
    <w:unhideWhenUsed/>
    <w:qFormat/>
    <w:uiPriority w:val="99"/>
    <w:rPr>
      <w:rFonts w:ascii="Consolas" w:hAnsi="Consolas" w:eastAsia="Consolas" w:cs="Consolas"/>
      <w:sz w:val="21"/>
      <w:szCs w:val="21"/>
    </w:rPr>
  </w:style>
  <w:style w:type="paragraph" w:customStyle="1" w:styleId="63">
    <w:name w:val="引言二级条标题"/>
    <w:basedOn w:val="64"/>
    <w:next w:val="65"/>
    <w:qFormat/>
    <w:uiPriority w:val="0"/>
    <w:pPr>
      <w:numPr>
        <w:ilvl w:val="1"/>
        <w:numId w:val="0"/>
      </w:numPr>
      <w:tabs>
        <w:tab w:val="left" w:pos="360"/>
        <w:tab w:val="left" w:pos="1200"/>
      </w:tabs>
    </w:pPr>
    <w:rPr>
      <w:rFonts w:ascii="宋体" w:hAnsi="宋体"/>
      <w:b w:val="0"/>
      <w:szCs w:val="20"/>
    </w:rPr>
  </w:style>
  <w:style w:type="paragraph" w:customStyle="1" w:styleId="64">
    <w:name w:val="引言一级条标题"/>
    <w:basedOn w:val="1"/>
    <w:next w:val="65"/>
    <w:qFormat/>
    <w:uiPriority w:val="0"/>
    <w:pPr>
      <w:widowControl/>
      <w:numPr>
        <w:ilvl w:val="0"/>
        <w:numId w:val="3"/>
      </w:numPr>
    </w:pPr>
    <w:rPr>
      <w:rFonts w:eastAsia="黑体"/>
      <w:b/>
    </w:rPr>
  </w:style>
  <w:style w:type="paragraph" w:customStyle="1" w:styleId="65">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66">
    <w:name w:val="01 正文-首行缩进2字符"/>
    <w:basedOn w:val="1"/>
    <w:qFormat/>
    <w:uiPriority w:val="0"/>
    <w:pPr>
      <w:widowControl/>
      <w:spacing w:beforeLines="50" w:afterLines="50"/>
      <w:ind w:firstLine="964" w:firstLineChars="200"/>
    </w:pPr>
    <w:rPr>
      <w:rFonts w:ascii="Arial" w:hAnsi="Arial"/>
      <w:color w:val="000000"/>
      <w:sz w:val="28"/>
      <w:szCs w:val="22"/>
    </w:rPr>
  </w:style>
  <w:style w:type="paragraph" w:customStyle="1" w:styleId="67">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68">
    <w:name w:val="正文文本 字符"/>
    <w:link w:val="19"/>
    <w:qFormat/>
    <w:uiPriority w:val="0"/>
    <w:rPr>
      <w:rFonts w:ascii="Times New Roman" w:hAnsi="Times New Roman" w:eastAsia="宋体" w:cs="Times New Roman"/>
      <w:sz w:val="24"/>
      <w:szCs w:val="24"/>
    </w:rPr>
  </w:style>
  <w:style w:type="character" w:customStyle="1" w:styleId="69">
    <w:name w:val="标题 1 字符1"/>
    <w:link w:val="2"/>
    <w:qFormat/>
    <w:uiPriority w:val="0"/>
    <w:rPr>
      <w:b/>
      <w:bCs/>
      <w:kern w:val="44"/>
      <w:sz w:val="36"/>
      <w:szCs w:val="44"/>
    </w:rPr>
  </w:style>
  <w:style w:type="character" w:customStyle="1" w:styleId="70">
    <w:name w:val="标题 2 字符"/>
    <w:link w:val="3"/>
    <w:qFormat/>
    <w:uiPriority w:val="0"/>
    <w:rPr>
      <w:rFonts w:ascii="Arial" w:hAnsi="Arial" w:eastAsia="黑体" w:cs="Times New Roman"/>
      <w:b/>
      <w:bCs/>
      <w:sz w:val="32"/>
      <w:szCs w:val="32"/>
    </w:rPr>
  </w:style>
  <w:style w:type="character" w:customStyle="1" w:styleId="71">
    <w:name w:val="标题 3 字符"/>
    <w:link w:val="4"/>
    <w:qFormat/>
    <w:uiPriority w:val="0"/>
    <w:rPr>
      <w:rFonts w:ascii="Times New Roman" w:hAnsi="Times New Roman" w:eastAsia="宋体" w:cs="Times New Roman"/>
      <w:b/>
      <w:bCs/>
      <w:sz w:val="32"/>
      <w:szCs w:val="32"/>
    </w:rPr>
  </w:style>
  <w:style w:type="character" w:customStyle="1" w:styleId="72">
    <w:name w:val="标题 5 字符"/>
    <w:link w:val="6"/>
    <w:qFormat/>
    <w:uiPriority w:val="0"/>
    <w:rPr>
      <w:b/>
      <w:kern w:val="2"/>
      <w:sz w:val="28"/>
      <w:szCs w:val="24"/>
    </w:rPr>
  </w:style>
  <w:style w:type="character" w:customStyle="1" w:styleId="73">
    <w:name w:val="标题 6 字符"/>
    <w:link w:val="8"/>
    <w:qFormat/>
    <w:uiPriority w:val="0"/>
    <w:rPr>
      <w:rFonts w:ascii="Arial" w:hAnsi="Arial" w:eastAsia="黑体"/>
      <w:b/>
      <w:kern w:val="2"/>
      <w:sz w:val="24"/>
      <w:szCs w:val="24"/>
    </w:rPr>
  </w:style>
  <w:style w:type="character" w:customStyle="1" w:styleId="74">
    <w:name w:val="标题 7 字符"/>
    <w:link w:val="9"/>
    <w:qFormat/>
    <w:uiPriority w:val="0"/>
    <w:rPr>
      <w:rFonts w:ascii="Times New Roman" w:hAnsi="Times New Roman"/>
      <w:b/>
      <w:kern w:val="2"/>
      <w:sz w:val="24"/>
      <w:szCs w:val="24"/>
    </w:rPr>
  </w:style>
  <w:style w:type="character" w:customStyle="1" w:styleId="75">
    <w:name w:val="标题 8 字符"/>
    <w:link w:val="10"/>
    <w:qFormat/>
    <w:uiPriority w:val="9"/>
    <w:rPr>
      <w:rFonts w:ascii="Arial" w:hAnsi="Arial" w:eastAsia="黑体"/>
      <w:kern w:val="2"/>
      <w:sz w:val="24"/>
      <w:szCs w:val="24"/>
    </w:rPr>
  </w:style>
  <w:style w:type="character" w:customStyle="1" w:styleId="76">
    <w:name w:val="标题 9 字符"/>
    <w:link w:val="11"/>
    <w:qFormat/>
    <w:uiPriority w:val="0"/>
    <w:rPr>
      <w:rFonts w:ascii="Arial" w:hAnsi="Arial" w:eastAsia="黑体"/>
      <w:kern w:val="2"/>
      <w:sz w:val="21"/>
      <w:szCs w:val="24"/>
    </w:rPr>
  </w:style>
  <w:style w:type="character" w:customStyle="1" w:styleId="77">
    <w:name w:val="文档结构图 字符"/>
    <w:link w:val="15"/>
    <w:qFormat/>
    <w:uiPriority w:val="0"/>
    <w:rPr>
      <w:rFonts w:hint="eastAsia" w:ascii="宋体" w:hAnsi="宋体" w:eastAsia="宋体" w:cs="宋体"/>
    </w:rPr>
  </w:style>
  <w:style w:type="character" w:customStyle="1" w:styleId="78">
    <w:name w:val="批注文字 字符3"/>
    <w:link w:val="17"/>
    <w:qFormat/>
    <w:uiPriority w:val="0"/>
    <w:rPr>
      <w:rFonts w:ascii="Times New Roman" w:hAnsi="Times New Roman"/>
      <w:kern w:val="2"/>
      <w:sz w:val="21"/>
      <w:szCs w:val="24"/>
    </w:rPr>
  </w:style>
  <w:style w:type="character" w:customStyle="1" w:styleId="79">
    <w:name w:val="正文文本 3 字符"/>
    <w:link w:val="18"/>
    <w:qFormat/>
    <w:uiPriority w:val="0"/>
    <w:rPr>
      <w:rFonts w:ascii="Times New Roman" w:hAnsi="Times New Roman" w:eastAsia="宋体" w:cs="Times New Roman"/>
      <w:b/>
      <w:bCs/>
      <w:sz w:val="24"/>
      <w:szCs w:val="24"/>
    </w:rPr>
  </w:style>
  <w:style w:type="character" w:customStyle="1" w:styleId="80">
    <w:name w:val="正文文本缩进 字符1"/>
    <w:link w:val="20"/>
    <w:qFormat/>
    <w:uiPriority w:val="0"/>
    <w:rPr>
      <w:rFonts w:ascii="仿宋_GB2312" w:hAnsi="Times New Roman" w:eastAsia="仿宋_GB2312" w:cs="Times New Roman"/>
      <w:sz w:val="32"/>
      <w:szCs w:val="20"/>
    </w:rPr>
  </w:style>
  <w:style w:type="character" w:customStyle="1" w:styleId="81">
    <w:name w:val="纯文本 字符2"/>
    <w:link w:val="25"/>
    <w:qFormat/>
    <w:uiPriority w:val="99"/>
    <w:rPr>
      <w:rFonts w:ascii="宋体" w:hAnsi="Courier New" w:eastAsia="宋体" w:cs="Courier New"/>
      <w:szCs w:val="21"/>
    </w:rPr>
  </w:style>
  <w:style w:type="character" w:customStyle="1" w:styleId="82">
    <w:name w:val="日期 字符"/>
    <w:link w:val="27"/>
    <w:qFormat/>
    <w:uiPriority w:val="0"/>
    <w:rPr>
      <w:rFonts w:ascii="宋体" w:hAnsi="Courier New" w:eastAsia="宋体" w:cs="Courier New"/>
      <w:szCs w:val="21"/>
    </w:rPr>
  </w:style>
  <w:style w:type="character" w:customStyle="1" w:styleId="83">
    <w:name w:val="正文文本缩进 2 字符"/>
    <w:link w:val="28"/>
    <w:qFormat/>
    <w:uiPriority w:val="0"/>
    <w:rPr>
      <w:rFonts w:ascii="Times New Roman" w:hAnsi="Times New Roman" w:eastAsia="宋体" w:cs="Times New Roman"/>
      <w:sz w:val="32"/>
      <w:szCs w:val="20"/>
    </w:rPr>
  </w:style>
  <w:style w:type="character" w:customStyle="1" w:styleId="84">
    <w:name w:val="尾注文本 字符"/>
    <w:link w:val="29"/>
    <w:qFormat/>
    <w:uiPriority w:val="99"/>
    <w:rPr>
      <w:rFonts w:ascii="Times New Roman" w:hAnsi="Times New Roman"/>
      <w:kern w:val="2"/>
      <w:sz w:val="21"/>
      <w:szCs w:val="24"/>
    </w:rPr>
  </w:style>
  <w:style w:type="character" w:customStyle="1" w:styleId="85">
    <w:name w:val="批注框文本 字符"/>
    <w:link w:val="30"/>
    <w:semiHidden/>
    <w:qFormat/>
    <w:uiPriority w:val="0"/>
    <w:rPr>
      <w:rFonts w:ascii="Times New Roman" w:hAnsi="Times New Roman" w:eastAsia="宋体" w:cs="Times New Roman"/>
      <w:sz w:val="18"/>
      <w:szCs w:val="18"/>
    </w:rPr>
  </w:style>
  <w:style w:type="character" w:customStyle="1" w:styleId="86">
    <w:name w:val="页脚 字符1"/>
    <w:link w:val="31"/>
    <w:qFormat/>
    <w:uiPriority w:val="99"/>
    <w:rPr>
      <w:sz w:val="18"/>
      <w:szCs w:val="18"/>
    </w:rPr>
  </w:style>
  <w:style w:type="character" w:customStyle="1" w:styleId="87">
    <w:name w:val="页眉 字符"/>
    <w:link w:val="32"/>
    <w:qFormat/>
    <w:uiPriority w:val="99"/>
    <w:rPr>
      <w:rFonts w:ascii="Times New Roman" w:hAnsi="Times New Roman"/>
      <w:kern w:val="2"/>
      <w:sz w:val="18"/>
      <w:szCs w:val="18"/>
    </w:rPr>
  </w:style>
  <w:style w:type="character" w:customStyle="1" w:styleId="88">
    <w:name w:val="脚注文本 字符"/>
    <w:link w:val="36"/>
    <w:qFormat/>
    <w:uiPriority w:val="99"/>
    <w:rPr>
      <w:rFonts w:ascii="Times New Roman" w:hAnsi="Times New Roman"/>
      <w:kern w:val="2"/>
      <w:sz w:val="18"/>
      <w:szCs w:val="18"/>
    </w:rPr>
  </w:style>
  <w:style w:type="character" w:customStyle="1" w:styleId="89">
    <w:name w:val="正文文本缩进 3 字符"/>
    <w:link w:val="38"/>
    <w:qFormat/>
    <w:uiPriority w:val="0"/>
    <w:rPr>
      <w:rFonts w:ascii="Times New Roman" w:hAnsi="Times New Roman" w:eastAsia="宋体" w:cs="Times New Roman"/>
      <w:sz w:val="16"/>
      <w:szCs w:val="16"/>
    </w:rPr>
  </w:style>
  <w:style w:type="character" w:customStyle="1" w:styleId="90">
    <w:name w:val="正文文本 2 字符"/>
    <w:link w:val="41"/>
    <w:qFormat/>
    <w:uiPriority w:val="0"/>
    <w:rPr>
      <w:rFonts w:ascii="Times New Roman" w:hAnsi="Times New Roman" w:eastAsia="宋体" w:cs="Times New Roman"/>
      <w:szCs w:val="24"/>
    </w:rPr>
  </w:style>
  <w:style w:type="character" w:customStyle="1" w:styleId="91">
    <w:name w:val="标题 字符"/>
    <w:link w:val="44"/>
    <w:qFormat/>
    <w:uiPriority w:val="10"/>
    <w:rPr>
      <w:rFonts w:ascii="Cambria" w:hAnsi="Cambria" w:cs="Times New Roman"/>
      <w:b/>
      <w:bCs/>
      <w:kern w:val="2"/>
      <w:sz w:val="32"/>
      <w:szCs w:val="32"/>
    </w:rPr>
  </w:style>
  <w:style w:type="character" w:customStyle="1" w:styleId="92">
    <w:name w:val="批注主题 字符"/>
    <w:link w:val="45"/>
    <w:qFormat/>
    <w:uiPriority w:val="99"/>
    <w:rPr>
      <w:rFonts w:ascii="Times New Roman" w:hAnsi="Times New Roman"/>
      <w:b/>
      <w:bCs/>
      <w:kern w:val="2"/>
      <w:sz w:val="21"/>
      <w:szCs w:val="24"/>
    </w:rPr>
  </w:style>
  <w:style w:type="character" w:customStyle="1" w:styleId="93">
    <w:name w:val="批注文字 Char1"/>
    <w:semiHidden/>
    <w:qFormat/>
    <w:locked/>
    <w:uiPriority w:val="0"/>
    <w:rPr>
      <w:rFonts w:ascii="Times New Roman" w:hAnsi="Times New Roman"/>
      <w:kern w:val="2"/>
      <w:sz w:val="21"/>
      <w:szCs w:val="24"/>
    </w:rPr>
  </w:style>
  <w:style w:type="character" w:customStyle="1" w:styleId="94">
    <w:name w:val="case31"/>
    <w:qFormat/>
    <w:uiPriority w:val="0"/>
    <w:rPr>
      <w:rFonts w:hint="default" w:ascii="_x000B__x000C_" w:hAnsi="_x000B__x000C_"/>
      <w:sz w:val="21"/>
      <w:szCs w:val="21"/>
    </w:rPr>
  </w:style>
  <w:style w:type="character" w:customStyle="1" w:styleId="95">
    <w:name w:val="批注文字 Char"/>
    <w:qFormat/>
    <w:uiPriority w:val="0"/>
    <w:rPr>
      <w:rFonts w:ascii="Times New Roman" w:hAnsi="Times New Roman"/>
      <w:kern w:val="2"/>
      <w:sz w:val="21"/>
      <w:szCs w:val="24"/>
    </w:rPr>
  </w:style>
  <w:style w:type="character" w:customStyle="1" w:styleId="96">
    <w:name w:val="纯文本 Char"/>
    <w:qFormat/>
    <w:uiPriority w:val="0"/>
    <w:rPr>
      <w:rFonts w:ascii="宋体" w:hAnsi="Courier New" w:eastAsia="宋体"/>
      <w:kern w:val="2"/>
      <w:sz w:val="21"/>
      <w:lang w:val="en-US" w:eastAsia="zh-CN" w:bidi="ar-SA"/>
    </w:rPr>
  </w:style>
  <w:style w:type="character" w:customStyle="1" w:styleId="97">
    <w:name w:val="纯文本 字符1"/>
    <w:qFormat/>
    <w:uiPriority w:val="0"/>
    <w:rPr>
      <w:rFonts w:ascii="宋体" w:hAnsi="Courier New"/>
    </w:rPr>
  </w:style>
  <w:style w:type="character" w:customStyle="1" w:styleId="98">
    <w:name w:val="批注文字 字符1"/>
    <w:qFormat/>
    <w:uiPriority w:val="0"/>
    <w:rPr>
      <w:rFonts w:ascii="Times New Roman" w:hAnsi="Times New Roman"/>
      <w:kern w:val="2"/>
      <w:sz w:val="21"/>
      <w:szCs w:val="24"/>
    </w:rPr>
  </w:style>
  <w:style w:type="character" w:customStyle="1" w:styleId="99">
    <w:name w:val="正文文本 Char1"/>
    <w:semiHidden/>
    <w:qFormat/>
    <w:locked/>
    <w:uiPriority w:val="99"/>
    <w:rPr>
      <w:sz w:val="24"/>
      <w:szCs w:val="24"/>
    </w:rPr>
  </w:style>
  <w:style w:type="character" w:customStyle="1" w:styleId="100">
    <w:name w:val="apple-style-span"/>
    <w:qFormat/>
    <w:uiPriority w:val="0"/>
  </w:style>
  <w:style w:type="character" w:customStyle="1" w:styleId="101">
    <w:name w:val="textcontents"/>
    <w:qFormat/>
    <w:uiPriority w:val="0"/>
  </w:style>
  <w:style w:type="character" w:customStyle="1" w:styleId="102">
    <w:name w:val="普通文字 Char Char2"/>
    <w:qFormat/>
    <w:uiPriority w:val="0"/>
    <w:rPr>
      <w:rFonts w:ascii="宋体" w:hAnsi="Courier New" w:eastAsia="宋体"/>
      <w:kern w:val="2"/>
      <w:sz w:val="21"/>
      <w:lang w:val="en-US" w:eastAsia="zh-CN" w:bidi="ar-SA"/>
    </w:rPr>
  </w:style>
  <w:style w:type="character" w:customStyle="1" w:styleId="103">
    <w:name w:val="标题 5 Char"/>
    <w:qFormat/>
    <w:uiPriority w:val="0"/>
    <w:rPr>
      <w:b/>
      <w:kern w:val="2"/>
      <w:sz w:val="28"/>
      <w:szCs w:val="24"/>
    </w:rPr>
  </w:style>
  <w:style w:type="character" w:customStyle="1" w:styleId="104">
    <w:name w:val="批注文字 字符"/>
    <w:qFormat/>
    <w:uiPriority w:val="0"/>
    <w:rPr>
      <w:rFonts w:ascii="Times New Roman" w:hAnsi="Times New Roman"/>
      <w:kern w:val="2"/>
      <w:sz w:val="21"/>
      <w:szCs w:val="24"/>
    </w:rPr>
  </w:style>
  <w:style w:type="character" w:customStyle="1" w:styleId="105">
    <w:name w:val="标题 1 字符"/>
    <w:qFormat/>
    <w:uiPriority w:val="9"/>
    <w:rPr>
      <w:rFonts w:ascii="Times New Roman" w:hAnsi="Times New Roman" w:eastAsia="宋体" w:cs="Times New Roman"/>
      <w:b/>
      <w:bCs/>
      <w:kern w:val="44"/>
      <w:sz w:val="44"/>
      <w:szCs w:val="44"/>
    </w:rPr>
  </w:style>
  <w:style w:type="character" w:customStyle="1" w:styleId="106">
    <w:name w:val="纯文本 字符"/>
    <w:qFormat/>
    <w:uiPriority w:val="0"/>
    <w:rPr>
      <w:rFonts w:ascii="宋体" w:hAnsi="Courier New" w:eastAsia="宋体" w:cs="Courier New"/>
      <w:szCs w:val="21"/>
    </w:rPr>
  </w:style>
  <w:style w:type="character" w:customStyle="1" w:styleId="107">
    <w:name w:val="headline-content4"/>
    <w:qFormat/>
    <w:uiPriority w:val="0"/>
  </w:style>
  <w:style w:type="character" w:customStyle="1" w:styleId="108">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09">
    <w:name w:val="正文文本缩进 字符"/>
    <w:qFormat/>
    <w:uiPriority w:val="0"/>
    <w:rPr>
      <w:rFonts w:ascii="仿宋_GB2312" w:hAnsi="Times New Roman" w:eastAsia="仿宋_GB2312" w:cs="Times New Roman"/>
      <w:sz w:val="32"/>
      <w:szCs w:val="20"/>
    </w:rPr>
  </w:style>
  <w:style w:type="paragraph" w:customStyle="1" w:styleId="110">
    <w:name w:val="Char1"/>
    <w:basedOn w:val="1"/>
    <w:qFormat/>
    <w:uiPriority w:val="0"/>
    <w:rPr>
      <w:szCs w:val="21"/>
    </w:rPr>
  </w:style>
  <w:style w:type="paragraph" w:customStyle="1" w:styleId="111">
    <w:name w:val="列出段落1"/>
    <w:basedOn w:val="1"/>
    <w:qFormat/>
    <w:uiPriority w:val="34"/>
    <w:pPr>
      <w:ind w:firstLine="420" w:firstLineChars="200"/>
    </w:pPr>
  </w:style>
  <w:style w:type="paragraph" w:customStyle="1" w:styleId="112">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13">
    <w:name w:val="默认段落字体 Para Char Char Char Char Char Char Char Char Char1 Char Char Char Char"/>
    <w:basedOn w:val="1"/>
    <w:qFormat/>
    <w:uiPriority w:val="0"/>
    <w:rPr>
      <w:rFonts w:ascii="Tahoma" w:hAnsi="Tahoma"/>
      <w:sz w:val="24"/>
      <w:szCs w:val="20"/>
    </w:rPr>
  </w:style>
  <w:style w:type="paragraph" w:customStyle="1" w:styleId="114">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15">
    <w:name w:val="纯文本1"/>
    <w:basedOn w:val="1"/>
    <w:qFormat/>
    <w:uiPriority w:val="0"/>
    <w:rPr>
      <w:rFonts w:ascii="宋体" w:hAnsi="Courier New" w:cs="Century"/>
      <w:szCs w:val="21"/>
    </w:rPr>
  </w:style>
  <w:style w:type="paragraph" w:customStyle="1" w:styleId="116">
    <w:name w:val="Table Paragraph"/>
    <w:basedOn w:val="1"/>
    <w:qFormat/>
    <w:uiPriority w:val="1"/>
    <w:pPr>
      <w:jc w:val="left"/>
    </w:pPr>
    <w:rPr>
      <w:rFonts w:ascii="Calibri" w:hAnsi="Calibri"/>
      <w:kern w:val="0"/>
      <w:sz w:val="22"/>
      <w:szCs w:val="22"/>
      <w:lang w:eastAsia="en-US"/>
    </w:rPr>
  </w:style>
  <w:style w:type="paragraph" w:customStyle="1" w:styleId="11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8">
    <w:name w:val="表格"/>
    <w:basedOn w:val="1"/>
    <w:qFormat/>
    <w:uiPriority w:val="0"/>
    <w:pPr>
      <w:spacing w:line="400" w:lineRule="exact"/>
    </w:pPr>
    <w:rPr>
      <w:sz w:val="24"/>
    </w:rPr>
  </w:style>
  <w:style w:type="paragraph" w:customStyle="1" w:styleId="119">
    <w:name w:val="样式 首行缩进:  2 字符"/>
    <w:basedOn w:val="1"/>
    <w:qFormat/>
    <w:uiPriority w:val="0"/>
    <w:pPr>
      <w:spacing w:line="400" w:lineRule="exact"/>
      <w:ind w:firstLine="200" w:firstLineChars="200"/>
    </w:pPr>
    <w:rPr>
      <w:rFonts w:cs="宋体"/>
      <w:sz w:val="24"/>
    </w:rPr>
  </w:style>
  <w:style w:type="paragraph" w:customStyle="1" w:styleId="120">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21">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22">
    <w:name w:val="正文首行缩进两字符"/>
    <w:basedOn w:val="1"/>
    <w:qFormat/>
    <w:uiPriority w:val="0"/>
    <w:pPr>
      <w:spacing w:line="360" w:lineRule="auto"/>
      <w:ind w:firstLine="200" w:firstLineChars="200"/>
    </w:pPr>
  </w:style>
  <w:style w:type="paragraph" w:customStyle="1" w:styleId="123">
    <w:name w:val="正文段"/>
    <w:basedOn w:val="1"/>
    <w:qFormat/>
    <w:uiPriority w:val="0"/>
    <w:pPr>
      <w:widowControl/>
      <w:snapToGrid w:val="0"/>
      <w:spacing w:afterLines="50"/>
      <w:ind w:firstLine="200" w:firstLineChars="200"/>
    </w:pPr>
    <w:rPr>
      <w:kern w:val="0"/>
      <w:sz w:val="24"/>
      <w:szCs w:val="20"/>
    </w:rPr>
  </w:style>
  <w:style w:type="table" w:customStyle="1" w:styleId="124">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25">
    <w:name w:val="页脚 字符"/>
    <w:qFormat/>
    <w:uiPriority w:val="99"/>
  </w:style>
  <w:style w:type="character" w:customStyle="1" w:styleId="126">
    <w:name w:val="正文2 Char Char"/>
    <w:link w:val="127"/>
    <w:qFormat/>
    <w:uiPriority w:val="0"/>
    <w:rPr>
      <w:kern w:val="2"/>
      <w:sz w:val="24"/>
    </w:rPr>
  </w:style>
  <w:style w:type="paragraph" w:customStyle="1" w:styleId="127">
    <w:name w:val="正文2"/>
    <w:basedOn w:val="1"/>
    <w:link w:val="126"/>
    <w:qFormat/>
    <w:uiPriority w:val="0"/>
    <w:pPr>
      <w:adjustRightInd w:val="0"/>
      <w:spacing w:before="156" w:line="360" w:lineRule="auto"/>
      <w:ind w:firstLine="510" w:firstLineChars="200"/>
    </w:pPr>
    <w:rPr>
      <w:sz w:val="24"/>
      <w:szCs w:val="20"/>
    </w:rPr>
  </w:style>
  <w:style w:type="paragraph" w:customStyle="1" w:styleId="128">
    <w:name w:val="_Style 114"/>
    <w:unhideWhenUsed/>
    <w:qFormat/>
    <w:uiPriority w:val="99"/>
    <w:rPr>
      <w:rFonts w:ascii="Times New Roman" w:hAnsi="Times New Roman" w:eastAsia="宋体" w:cs="Times New Roman"/>
      <w:kern w:val="2"/>
      <w:sz w:val="21"/>
      <w:szCs w:val="24"/>
      <w:lang w:val="en-US" w:eastAsia="zh-CN" w:bidi="ar-SA"/>
    </w:rPr>
  </w:style>
  <w:style w:type="paragraph" w:customStyle="1" w:styleId="129">
    <w:name w:val="正文 A"/>
    <w:qFormat/>
    <w:uiPriority w:val="0"/>
    <w:pPr>
      <w:framePr w:wrap="around" w:vAnchor="margin" w:hAnchor="text" w:y="1"/>
      <w:widowControl w:val="0"/>
      <w:jc w:val="both"/>
    </w:pPr>
    <w:rPr>
      <w:rFonts w:ascii="Calibri" w:hAnsi="Calibri" w:eastAsia="Arial Unicode MS" w:cs="Arial Unicode MS"/>
      <w:color w:val="000000"/>
      <w:kern w:val="2"/>
      <w:sz w:val="21"/>
      <w:szCs w:val="21"/>
      <w:u w:color="000000"/>
      <w:lang w:val="en-US" w:eastAsia="zh-CN" w:bidi="ar-SA"/>
    </w:rPr>
  </w:style>
  <w:style w:type="paragraph" w:customStyle="1" w:styleId="130">
    <w:name w:val="列表段落2"/>
    <w:qFormat/>
    <w:uiPriority w:val="34"/>
    <w:pPr>
      <w:widowControl w:val="0"/>
      <w:ind w:firstLine="420" w:firstLineChars="200"/>
      <w:jc w:val="both"/>
    </w:pPr>
    <w:rPr>
      <w:rFonts w:ascii="Times New Roman" w:hAnsi="Times New Roman" w:eastAsia="宋体" w:cs="Times New Roman"/>
      <w:kern w:val="2"/>
      <w:sz w:val="21"/>
      <w:szCs w:val="22"/>
      <w:lang w:val="en-US" w:eastAsia="zh-CN" w:bidi="ar-SA"/>
    </w:rPr>
  </w:style>
  <w:style w:type="paragraph" w:customStyle="1" w:styleId="131">
    <w:name w:val="修订1"/>
    <w:hidden/>
    <w:semiHidden/>
    <w:qFormat/>
    <w:uiPriority w:val="99"/>
    <w:rPr>
      <w:rFonts w:ascii="Times New Roman" w:hAnsi="Times New Roman" w:eastAsia="宋体" w:cs="Times New Roman"/>
      <w:kern w:val="2"/>
      <w:sz w:val="21"/>
      <w:szCs w:val="24"/>
      <w:lang w:val="en-US" w:eastAsia="zh-CN" w:bidi="ar-SA"/>
    </w:rPr>
  </w:style>
  <w:style w:type="paragraph" w:styleId="132">
    <w:name w:val="List Paragraph"/>
    <w:basedOn w:val="1"/>
    <w:link w:val="134"/>
    <w:qFormat/>
    <w:uiPriority w:val="99"/>
    <w:pPr>
      <w:spacing w:line="360" w:lineRule="auto"/>
      <w:ind w:firstLine="420" w:firstLineChars="200"/>
      <w:jc w:val="left"/>
    </w:pPr>
  </w:style>
  <w:style w:type="character" w:customStyle="1" w:styleId="133">
    <w:name w:val="批注文字 字符2"/>
    <w:qFormat/>
    <w:uiPriority w:val="0"/>
    <w:rPr>
      <w:rFonts w:ascii="Times New Roman" w:hAnsi="Times New Roman" w:eastAsia="宋体" w:cs="Times New Roman"/>
      <w:szCs w:val="24"/>
    </w:rPr>
  </w:style>
  <w:style w:type="character" w:customStyle="1" w:styleId="134">
    <w:name w:val="列表段落 字符"/>
    <w:link w:val="132"/>
    <w:qFormat/>
    <w:locked/>
    <w:uiPriority w:val="99"/>
    <w:rPr>
      <w:kern w:val="2"/>
      <w:sz w:val="21"/>
      <w:szCs w:val="24"/>
    </w:rPr>
  </w:style>
  <w:style w:type="paragraph" w:customStyle="1" w:styleId="135">
    <w:name w:val="样式1"/>
    <w:basedOn w:val="1"/>
    <w:qFormat/>
    <w:uiPriority w:val="0"/>
    <w:pPr>
      <w:spacing w:line="360" w:lineRule="auto"/>
    </w:pPr>
    <w:rPr>
      <w:rFonts w:ascii="宋体"/>
      <w:sz w:val="24"/>
    </w:rPr>
  </w:style>
  <w:style w:type="paragraph" w:styleId="136">
    <w:name w:val="No Spacing"/>
    <w:qFormat/>
    <w:uiPriority w:val="1"/>
    <w:pPr>
      <w:widowControl w:val="0"/>
      <w:jc w:val="center"/>
    </w:pPr>
    <w:rPr>
      <w:rFonts w:ascii="Times New Roman" w:hAnsi="Times New Roman" w:eastAsia="宋体" w:cs="Times New Roman"/>
      <w:kern w:val="2"/>
      <w:sz w:val="21"/>
      <w:szCs w:val="22"/>
      <w:lang w:val="en-US" w:eastAsia="zh-CN" w:bidi="ar-SA"/>
    </w:rPr>
  </w:style>
  <w:style w:type="character" w:customStyle="1" w:styleId="137">
    <w:name w:val="bookmark-item"/>
    <w:basedOn w:val="50"/>
    <w:qFormat/>
    <w:uiPriority w:val="0"/>
  </w:style>
  <w:style w:type="paragraph" w:customStyle="1" w:styleId="138">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139">
    <w:name w:val="纯文本 Char3"/>
    <w:qFormat/>
    <w:locked/>
    <w:uiPriority w:val="99"/>
    <w:rPr>
      <w:rFonts w:ascii="宋体" w:hAnsi="Courier New" w:eastAsia="宋体" w:cs="Courier New"/>
      <w:sz w:val="21"/>
      <w:szCs w:val="21"/>
    </w:rPr>
  </w:style>
  <w:style w:type="paragraph" w:customStyle="1" w:styleId="140">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141">
    <w:name w:val="正文文本 Char3"/>
    <w:semiHidden/>
    <w:qFormat/>
    <w:locked/>
    <w:uiPriority w:val="99"/>
    <w:rPr>
      <w:rFonts w:ascii="Times New Roman" w:hAnsi="Times New Roman" w:eastAsia="宋体" w:cs="Times New Roman"/>
      <w:sz w:val="24"/>
      <w:szCs w:val="24"/>
    </w:rPr>
  </w:style>
  <w:style w:type="paragraph" w:customStyle="1" w:styleId="142">
    <w:name w:val="正文1"/>
    <w:basedOn w:val="24"/>
    <w:next w:val="1"/>
    <w:qFormat/>
    <w:uiPriority w:val="0"/>
    <w:pPr>
      <w:ind w:left="420" w:leftChars="0"/>
    </w:pPr>
    <w:rPr>
      <w:rFonts w:hint="eastAsia" w:ascii="Times New Roman" w:hAnsi="Times New Roman"/>
      <w:i/>
      <w:iCs/>
      <w:szCs w:val="20"/>
    </w:rPr>
  </w:style>
  <w:style w:type="paragraph" w:customStyle="1" w:styleId="143">
    <w:name w:val="修订4"/>
    <w:hidden/>
    <w:unhideWhenUsed/>
    <w:qFormat/>
    <w:uiPriority w:val="99"/>
    <w:rPr>
      <w:rFonts w:ascii="Times New Roman" w:hAnsi="Times New Roman" w:eastAsia="宋体" w:cs="Times New Roman"/>
      <w:kern w:val="2"/>
      <w:sz w:val="21"/>
      <w:szCs w:val="24"/>
      <w:lang w:val="en-US" w:eastAsia="zh-CN" w:bidi="ar-SA"/>
    </w:rPr>
  </w:style>
  <w:style w:type="character" w:customStyle="1" w:styleId="144">
    <w:name w:val="Char Char6"/>
    <w:qFormat/>
    <w:uiPriority w:val="0"/>
    <w:rPr>
      <w:rFonts w:ascii="Times New Roman" w:hAnsi="Times New Roman" w:eastAsia="宋体" w:cs="Times New Roman"/>
      <w:szCs w:val="24"/>
    </w:rPr>
  </w:style>
  <w:style w:type="paragraph" w:customStyle="1" w:styleId="145">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146">
    <w:name w:val="font21"/>
    <w:basedOn w:val="50"/>
    <w:qFormat/>
    <w:uiPriority w:val="0"/>
    <w:rPr>
      <w:rFonts w:hint="eastAsia" w:ascii="宋体" w:hAnsi="宋体" w:eastAsia="宋体" w:cs="宋体"/>
      <w:color w:val="FF0000"/>
      <w:sz w:val="20"/>
      <w:szCs w:val="20"/>
      <w:u w:val="none"/>
    </w:rPr>
  </w:style>
  <w:style w:type="character" w:customStyle="1" w:styleId="147">
    <w:name w:val="font11"/>
    <w:basedOn w:val="50"/>
    <w:qFormat/>
    <w:uiPriority w:val="0"/>
    <w:rPr>
      <w:rFonts w:hint="eastAsia" w:ascii="宋体" w:hAnsi="宋体" w:eastAsia="宋体" w:cs="宋体"/>
      <w:color w:val="000000"/>
      <w:sz w:val="20"/>
      <w:szCs w:val="20"/>
      <w:u w:val="none"/>
    </w:rPr>
  </w:style>
  <w:style w:type="character" w:customStyle="1" w:styleId="148">
    <w:name w:val="font01"/>
    <w:basedOn w:val="50"/>
    <w:qFormat/>
    <w:uiPriority w:val="0"/>
    <w:rPr>
      <w:rFonts w:hint="default" w:ascii="Arial" w:hAnsi="Arial" w:cs="Arial"/>
      <w:color w:val="000000"/>
      <w:sz w:val="18"/>
      <w:szCs w:val="18"/>
      <w:u w:val="none"/>
    </w:rPr>
  </w:style>
  <w:style w:type="character" w:customStyle="1" w:styleId="149">
    <w:name w:val="font51"/>
    <w:basedOn w:val="50"/>
    <w:qFormat/>
    <w:uiPriority w:val="0"/>
    <w:rPr>
      <w:rFonts w:hint="eastAsia" w:ascii="宋体" w:hAnsi="宋体" w:eastAsia="宋体" w:cs="宋体"/>
      <w:b/>
      <w:bCs/>
      <w:color w:val="000000"/>
      <w:sz w:val="22"/>
      <w:szCs w:val="22"/>
      <w:u w:val="none"/>
    </w:rPr>
  </w:style>
  <w:style w:type="character" w:customStyle="1" w:styleId="150">
    <w:name w:val="font31"/>
    <w:basedOn w:val="50"/>
    <w:qFormat/>
    <w:uiPriority w:val="0"/>
    <w:rPr>
      <w:rFonts w:hint="eastAsia" w:ascii="宋体" w:hAnsi="宋体" w:eastAsia="宋体" w:cs="宋体"/>
      <w:color w:val="000000"/>
      <w:sz w:val="22"/>
      <w:szCs w:val="22"/>
      <w:u w:val="none"/>
    </w:rPr>
  </w:style>
  <w:style w:type="character" w:customStyle="1" w:styleId="151">
    <w:name w:val="font61"/>
    <w:basedOn w:val="50"/>
    <w:qFormat/>
    <w:uiPriority w:val="0"/>
    <w:rPr>
      <w:rFonts w:hint="eastAsia" w:ascii="宋体" w:hAnsi="宋体" w:eastAsia="宋体" w:cs="宋体"/>
      <w:color w:val="FF0000"/>
      <w:sz w:val="22"/>
      <w:szCs w:val="22"/>
      <w:u w:val="none"/>
    </w:rPr>
  </w:style>
  <w:style w:type="character" w:customStyle="1" w:styleId="152">
    <w:name w:val="font41"/>
    <w:basedOn w:val="50"/>
    <w:qFormat/>
    <w:uiPriority w:val="0"/>
    <w:rPr>
      <w:rFonts w:hint="eastAsia" w:ascii="宋体" w:hAnsi="宋体" w:eastAsia="宋体" w:cs="宋体"/>
      <w:color w:val="FF0000"/>
      <w:sz w:val="22"/>
      <w:szCs w:val="22"/>
      <w:u w:val="none"/>
    </w:rPr>
  </w:style>
  <w:style w:type="character" w:customStyle="1" w:styleId="153">
    <w:name w:val="font101"/>
    <w:basedOn w:val="50"/>
    <w:qFormat/>
    <w:uiPriority w:val="0"/>
    <w:rPr>
      <w:rFonts w:hint="eastAsia" w:ascii="宋体" w:hAnsi="宋体" w:eastAsia="宋体" w:cs="宋体"/>
      <w:color w:val="FF0000"/>
      <w:sz w:val="20"/>
      <w:szCs w:val="20"/>
      <w:u w:val="none"/>
    </w:rPr>
  </w:style>
  <w:style w:type="character" w:customStyle="1" w:styleId="154">
    <w:name w:val="font81"/>
    <w:basedOn w:val="50"/>
    <w:qFormat/>
    <w:uiPriority w:val="0"/>
    <w:rPr>
      <w:rFonts w:hint="eastAsia" w:ascii="宋体" w:hAnsi="宋体" w:eastAsia="宋体" w:cs="宋体"/>
      <w:color w:val="000000"/>
      <w:sz w:val="20"/>
      <w:szCs w:val="20"/>
      <w:u w:val="none"/>
    </w:rPr>
  </w:style>
  <w:style w:type="paragraph" w:customStyle="1" w:styleId="155">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156">
    <w:name w:val="修订7"/>
    <w:hidden/>
    <w:unhideWhenUsed/>
    <w:qFormat/>
    <w:uiPriority w:val="99"/>
    <w:rPr>
      <w:rFonts w:ascii="Times New Roman" w:hAnsi="Times New Roman" w:eastAsia="宋体" w:cs="Times New Roman"/>
      <w:kern w:val="2"/>
      <w:sz w:val="21"/>
      <w:szCs w:val="24"/>
      <w:lang w:val="en-US" w:eastAsia="zh-CN" w:bidi="ar-SA"/>
    </w:rPr>
  </w:style>
  <w:style w:type="character" w:customStyle="1" w:styleId="157">
    <w:name w:val="ant-select-tree-checkbox"/>
    <w:basedOn w:val="50"/>
    <w:qFormat/>
    <w:uiPriority w:val="0"/>
  </w:style>
  <w:style w:type="character" w:customStyle="1" w:styleId="158">
    <w:name w:val="ant-select-tree-switcher"/>
    <w:basedOn w:val="50"/>
    <w:qFormat/>
    <w:uiPriority w:val="0"/>
  </w:style>
  <w:style w:type="character" w:customStyle="1" w:styleId="159">
    <w:name w:val="disabled4"/>
    <w:basedOn w:val="50"/>
    <w:qFormat/>
    <w:uiPriority w:val="0"/>
    <w:rPr>
      <w:color w:val="AAAAAA"/>
      <w:shd w:val="clear" w:color="auto" w:fill="F7F7F7"/>
    </w:rPr>
  </w:style>
  <w:style w:type="character" w:customStyle="1" w:styleId="160">
    <w:name w:val="ant-select-tree-iconele"/>
    <w:basedOn w:val="50"/>
    <w:qFormat/>
    <w:uiPriority w:val="0"/>
  </w:style>
  <w:style w:type="character" w:customStyle="1" w:styleId="161">
    <w:name w:val="ant-tree-iconele"/>
    <w:basedOn w:val="50"/>
    <w:qFormat/>
    <w:uiPriority w:val="0"/>
  </w:style>
  <w:style w:type="character" w:customStyle="1" w:styleId="162">
    <w:name w:val="tmpztreemove_arrow"/>
    <w:basedOn w:val="50"/>
    <w:qFormat/>
    <w:uiPriority w:val="0"/>
  </w:style>
  <w:style w:type="character" w:customStyle="1" w:styleId="163">
    <w:name w:val="auto-pass-node"/>
    <w:basedOn w:val="50"/>
    <w:qFormat/>
    <w:uiPriority w:val="0"/>
    <w:rPr>
      <w:bdr w:val="single" w:color="DC4446" w:sz="6" w:space="0"/>
      <w:shd w:val="clear" w:color="auto" w:fill="A9E2FF"/>
    </w:rPr>
  </w:style>
  <w:style w:type="character" w:customStyle="1" w:styleId="164">
    <w:name w:val="ant-radio+*"/>
    <w:basedOn w:val="50"/>
    <w:qFormat/>
    <w:uiPriority w:val="0"/>
  </w:style>
  <w:style w:type="character" w:customStyle="1" w:styleId="165">
    <w:name w:val="ant-tree-checkbox8"/>
    <w:basedOn w:val="50"/>
    <w:qFormat/>
    <w:uiPriority w:val="0"/>
  </w:style>
  <w:style w:type="character" w:customStyle="1" w:styleId="166">
    <w:name w:val="passed-node"/>
    <w:basedOn w:val="50"/>
    <w:qFormat/>
    <w:uiPriority w:val="0"/>
    <w:rPr>
      <w:bdr w:val="single" w:color="49A8D4" w:sz="6" w:space="0"/>
      <w:shd w:val="clear" w:color="auto" w:fill="A9E3FF"/>
    </w:rPr>
  </w:style>
  <w:style w:type="character" w:customStyle="1" w:styleId="167">
    <w:name w:val="not-pass-node"/>
    <w:basedOn w:val="50"/>
    <w:qFormat/>
    <w:uiPriority w:val="0"/>
    <w:rPr>
      <w:bdr w:val="single" w:color="5ABD6B" w:sz="6" w:space="0"/>
      <w:shd w:val="clear" w:color="auto" w:fill="BFF3C3"/>
    </w:rPr>
  </w:style>
  <w:style w:type="character" w:customStyle="1" w:styleId="168">
    <w:name w:val="current-node"/>
    <w:basedOn w:val="50"/>
    <w:qFormat/>
    <w:uiPriority w:val="0"/>
    <w:rPr>
      <w:bdr w:val="single" w:color="F5B87B" w:sz="6" w:space="0"/>
      <w:shd w:val="clear" w:color="auto" w:fill="FFE8CC"/>
    </w:rPr>
  </w:style>
  <w:style w:type="character" w:customStyle="1" w:styleId="169">
    <w:name w:val="first-of-type"/>
    <w:basedOn w:val="50"/>
    <w:qFormat/>
    <w:uiPriority w:val="0"/>
    <w:rPr>
      <w:color w:val="FF0000"/>
    </w:rPr>
  </w:style>
  <w:style w:type="character" w:customStyle="1" w:styleId="170">
    <w:name w:val="first-of-type1"/>
    <w:basedOn w:val="50"/>
    <w:qFormat/>
    <w:uiPriority w:val="0"/>
    <w:rPr>
      <w:color w:val="FF0000"/>
    </w:rPr>
  </w:style>
  <w:style w:type="character" w:customStyle="1" w:styleId="171">
    <w:name w:val="first-of-type2"/>
    <w:basedOn w:val="50"/>
    <w:qFormat/>
    <w:uiPriority w:val="0"/>
    <w:rPr>
      <w:color w:val="FF0000"/>
    </w:rPr>
  </w:style>
  <w:style w:type="character" w:customStyle="1" w:styleId="172">
    <w:name w:val="wea-thumbnails-doc-content-subtitle"/>
    <w:basedOn w:val="50"/>
    <w:qFormat/>
    <w:uiPriority w:val="0"/>
    <w:rPr>
      <w:color w:val="9A9A9A"/>
    </w:rPr>
  </w:style>
  <w:style w:type="character" w:customStyle="1" w:styleId="173">
    <w:name w:val="cke_colorbox"/>
    <w:basedOn w:val="50"/>
    <w:qFormat/>
    <w:uiPriority w:val="0"/>
  </w:style>
  <w:style w:type="character" w:customStyle="1" w:styleId="174">
    <w:name w:val="cke_colorbox1"/>
    <w:basedOn w:val="50"/>
    <w:qFormat/>
    <w:uiPriority w:val="0"/>
  </w:style>
  <w:style w:type="character" w:customStyle="1" w:styleId="175">
    <w:name w:val="cke_colorbox2"/>
    <w:basedOn w:val="50"/>
    <w:qFormat/>
    <w:uiPriority w:val="0"/>
  </w:style>
  <w:style w:type="character" w:customStyle="1" w:styleId="176">
    <w:name w:val="cke_colorbox3"/>
    <w:basedOn w:val="50"/>
    <w:qFormat/>
    <w:uiPriority w:val="0"/>
    <w:rPr>
      <w:bdr w:val="single" w:color="808080" w:sz="6" w:space="0"/>
    </w:rPr>
  </w:style>
  <w:style w:type="character" w:customStyle="1" w:styleId="177">
    <w:name w:val="top-label"/>
    <w:basedOn w:val="50"/>
    <w:qFormat/>
    <w:uiPriority w:val="0"/>
  </w:style>
  <w:style w:type="character" w:customStyle="1" w:styleId="178">
    <w:name w:val="label16"/>
    <w:basedOn w:val="50"/>
    <w:qFormat/>
    <w:uiPriority w:val="0"/>
  </w:style>
  <w:style w:type="character" w:customStyle="1" w:styleId="179">
    <w:name w:val="label17"/>
    <w:basedOn w:val="50"/>
    <w:qFormat/>
    <w:uiPriority w:val="0"/>
  </w:style>
  <w:style w:type="character" w:customStyle="1" w:styleId="180">
    <w:name w:val="hover41"/>
    <w:basedOn w:val="50"/>
    <w:qFormat/>
    <w:uiPriority w:val="0"/>
    <w:rPr>
      <w:color w:val="009DFF"/>
    </w:rPr>
  </w:style>
  <w:style w:type="character" w:customStyle="1" w:styleId="181">
    <w:name w:val="hover42"/>
    <w:basedOn w:val="50"/>
    <w:qFormat/>
    <w:uiPriority w:val="0"/>
    <w:rPr>
      <w:color w:val="009DFF"/>
    </w:rPr>
  </w:style>
  <w:style w:type="character" w:customStyle="1" w:styleId="182">
    <w:name w:val="ant-table-row-expand-icon4"/>
    <w:basedOn w:val="50"/>
    <w:qFormat/>
    <w:uiPriority w:val="0"/>
    <w:rPr>
      <w:vanish/>
    </w:rPr>
  </w:style>
  <w:style w:type="character" w:customStyle="1" w:styleId="183">
    <w:name w:val="ant-tree-switcher15"/>
    <w:basedOn w:val="50"/>
    <w:qFormat/>
    <w:uiPriority w:val="0"/>
  </w:style>
  <w:style w:type="character" w:customStyle="1" w:styleId="184">
    <w:name w:val="button"/>
    <w:basedOn w:val="50"/>
    <w:qFormat/>
    <w:uiPriority w:val="0"/>
  </w:style>
  <w:style w:type="character" w:customStyle="1" w:styleId="185">
    <w:name w:val="button1"/>
    <w:basedOn w:val="50"/>
    <w:qFormat/>
    <w:uiPriority w:val="0"/>
  </w:style>
  <w:style w:type="character" w:customStyle="1" w:styleId="186">
    <w:name w:val="isrevision"/>
    <w:basedOn w:val="50"/>
    <w:qFormat/>
    <w:uiPriority w:val="0"/>
    <w:rPr>
      <w:color w:val="000000"/>
      <w:sz w:val="18"/>
      <w:szCs w:val="18"/>
      <w:bdr w:val="single" w:color="E9E9E9" w:sz="6" w:space="0"/>
      <w:shd w:val="clear" w:color="auto" w:fill="FFFFFF"/>
    </w:rPr>
  </w:style>
  <w:style w:type="character" w:customStyle="1" w:styleId="187">
    <w:name w:val="nth-child(2)2"/>
    <w:basedOn w:val="50"/>
    <w:qFormat/>
    <w:uiPriority w:val="0"/>
  </w:style>
  <w:style w:type="character" w:customStyle="1" w:styleId="188">
    <w:name w:val="first-child2"/>
    <w:basedOn w:val="50"/>
    <w:qFormat/>
    <w:uiPriority w:val="0"/>
    <w:rPr>
      <w:color w:val="999999"/>
      <w:sz w:val="33"/>
      <w:szCs w:val="33"/>
    </w:rPr>
  </w:style>
  <w:style w:type="character" w:customStyle="1" w:styleId="189">
    <w:name w:val="first-child3"/>
    <w:basedOn w:val="50"/>
    <w:qFormat/>
    <w:uiPriority w:val="0"/>
  </w:style>
  <w:style w:type="character" w:customStyle="1" w:styleId="190">
    <w:name w:val="first-child4"/>
    <w:basedOn w:val="50"/>
    <w:qFormat/>
    <w:uiPriority w:val="0"/>
  </w:style>
  <w:style w:type="character" w:customStyle="1" w:styleId="191">
    <w:name w:val="last-child1"/>
    <w:basedOn w:val="50"/>
    <w:qFormat/>
    <w:uiPriority w:val="0"/>
  </w:style>
  <w:style w:type="character" w:customStyle="1" w:styleId="192">
    <w:name w:val="wea-dropdown-triangle2"/>
    <w:basedOn w:val="50"/>
    <w:qFormat/>
    <w:uiPriority w:val="0"/>
  </w:style>
  <w:style w:type="character" w:customStyle="1" w:styleId="193">
    <w:name w:val="cke_path_empty2"/>
    <w:basedOn w:val="50"/>
    <w:qFormat/>
    <w:uiPriority w:val="0"/>
    <w:rPr>
      <w:b/>
      <w:bCs/>
      <w:color w:val="484848"/>
      <w:sz w:val="16"/>
      <w:szCs w:val="16"/>
      <w:u w:val="none"/>
    </w:rPr>
  </w:style>
  <w:style w:type="character" w:customStyle="1" w:styleId="194">
    <w:name w:val="cke_notification_progress"/>
    <w:basedOn w:val="50"/>
    <w:qFormat/>
    <w:uiPriority w:val="0"/>
    <w:rPr>
      <w:shd w:val="clear" w:color="auto" w:fill="0F74A8"/>
    </w:rPr>
  </w:style>
  <w:style w:type="character" w:customStyle="1" w:styleId="195">
    <w:name w:val="cke_dialog_ui_button2"/>
    <w:basedOn w:val="50"/>
    <w:qFormat/>
    <w:uiPriority w:val="0"/>
  </w:style>
  <w:style w:type="character" w:customStyle="1" w:styleId="196">
    <w:name w:val="cke_dialog_ui_button"/>
    <w:basedOn w:val="50"/>
    <w:qFormat/>
    <w:uiPriority w:val="0"/>
  </w:style>
  <w:style w:type="character" w:customStyle="1" w:styleId="197">
    <w:name w:val="disabled"/>
    <w:basedOn w:val="50"/>
    <w:qFormat/>
    <w:uiPriority w:val="0"/>
    <w:rPr>
      <w:color w:val="AAAAAA"/>
      <w:shd w:val="clear" w:color="auto" w:fill="F7F7F7"/>
    </w:rPr>
  </w:style>
  <w:style w:type="character" w:customStyle="1" w:styleId="198">
    <w:name w:val="wea-dropdown-triangle"/>
    <w:basedOn w:val="50"/>
    <w:qFormat/>
    <w:uiPriority w:val="0"/>
  </w:style>
  <w:style w:type="character" w:customStyle="1" w:styleId="199">
    <w:name w:val="hover43"/>
    <w:basedOn w:val="50"/>
    <w:qFormat/>
    <w:uiPriority w:val="0"/>
    <w:rPr>
      <w:color w:val="009DFF"/>
    </w:rPr>
  </w:style>
  <w:style w:type="character" w:customStyle="1" w:styleId="200">
    <w:name w:val="hover44"/>
    <w:basedOn w:val="50"/>
    <w:qFormat/>
    <w:uiPriority w:val="0"/>
    <w:rPr>
      <w:color w:val="009DFF"/>
    </w:rPr>
  </w:style>
  <w:style w:type="character" w:customStyle="1" w:styleId="201">
    <w:name w:val="ant-table-row-expand-icon"/>
    <w:basedOn w:val="50"/>
    <w:qFormat/>
    <w:uiPriority w:val="0"/>
    <w:rPr>
      <w:vanish/>
    </w:rPr>
  </w:style>
  <w:style w:type="character" w:customStyle="1" w:styleId="202">
    <w:name w:val="cke_path_empty"/>
    <w:basedOn w:val="50"/>
    <w:qFormat/>
    <w:uiPriority w:val="0"/>
    <w:rPr>
      <w:b/>
      <w:bCs/>
      <w:color w:val="484848"/>
      <w:sz w:val="16"/>
      <w:szCs w:val="16"/>
      <w:u w:val="none"/>
      <w:shd w:val="clear" w:color="auto" w:fill="2DB7F5"/>
    </w:rPr>
  </w:style>
  <w:style w:type="character" w:customStyle="1" w:styleId="203">
    <w:name w:val="ant-tree-checkbox7"/>
    <w:basedOn w:val="50"/>
    <w:qFormat/>
    <w:uiPriority w:val="0"/>
  </w:style>
  <w:style w:type="character" w:customStyle="1" w:styleId="204">
    <w:name w:val="label15"/>
    <w:basedOn w:val="50"/>
    <w:qFormat/>
    <w:uiPriority w:val="0"/>
  </w:style>
  <w:style w:type="character" w:customStyle="1" w:styleId="205">
    <w:name w:val="ant-select-tree-checkbox2"/>
    <w:basedOn w:val="50"/>
    <w:qFormat/>
    <w:uiPriority w:val="0"/>
  </w:style>
  <w:style w:type="character" w:customStyle="1" w:styleId="206">
    <w:name w:val="ant-tree-switcher16"/>
    <w:basedOn w:val="50"/>
    <w:qFormat/>
    <w:uiPriority w:val="0"/>
  </w:style>
  <w:style w:type="character" w:customStyle="1" w:styleId="207">
    <w:name w:val="last-child"/>
    <w:basedOn w:val="50"/>
    <w:qFormat/>
    <w:uiPriority w:val="0"/>
  </w:style>
  <w:style w:type="character" w:customStyle="1" w:styleId="208">
    <w:name w:val="cke_colorbox4"/>
    <w:basedOn w:val="50"/>
    <w:qFormat/>
    <w:uiPriority w:val="0"/>
  </w:style>
  <w:style w:type="character" w:customStyle="1" w:styleId="209">
    <w:name w:val="cke_colorbox5"/>
    <w:basedOn w:val="50"/>
    <w:qFormat/>
    <w:uiPriority w:val="0"/>
    <w:rPr>
      <w:bdr w:val="single" w:color="808080" w:sz="6" w:space="0"/>
    </w:rPr>
  </w:style>
  <w:style w:type="character" w:customStyle="1" w:styleId="210">
    <w:name w:val="ant-tree-checkbox"/>
    <w:basedOn w:val="50"/>
    <w:qFormat/>
    <w:uiPriority w:val="0"/>
  </w:style>
  <w:style w:type="character" w:customStyle="1" w:styleId="211">
    <w:name w:val="label"/>
    <w:basedOn w:val="50"/>
    <w:qFormat/>
    <w:uiPriority w:val="0"/>
  </w:style>
  <w:style w:type="character" w:customStyle="1" w:styleId="212">
    <w:name w:val="label1"/>
    <w:basedOn w:val="50"/>
    <w:qFormat/>
    <w:uiPriority w:val="0"/>
  </w:style>
  <w:style w:type="character" w:customStyle="1" w:styleId="213">
    <w:name w:val="first-child"/>
    <w:basedOn w:val="50"/>
    <w:qFormat/>
    <w:uiPriority w:val="0"/>
  </w:style>
  <w:style w:type="character" w:customStyle="1" w:styleId="214">
    <w:name w:val="first-child1"/>
    <w:basedOn w:val="50"/>
    <w:qFormat/>
    <w:uiPriority w:val="0"/>
    <w:rPr>
      <w:color w:val="999999"/>
      <w:sz w:val="33"/>
      <w:szCs w:val="33"/>
    </w:rPr>
  </w:style>
  <w:style w:type="character" w:customStyle="1" w:styleId="215">
    <w:name w:val="nth-child(2)"/>
    <w:basedOn w:val="50"/>
    <w:qFormat/>
    <w:uiPriority w:val="0"/>
  </w:style>
  <w:style w:type="character" w:customStyle="1" w:styleId="216">
    <w:name w:val="ant-table-row-expand-icon3"/>
    <w:basedOn w:val="50"/>
    <w:qFormat/>
    <w:uiPriority w:val="0"/>
    <w:rPr>
      <w:vanish/>
    </w:rPr>
  </w:style>
  <w:style w:type="paragraph" w:customStyle="1" w:styleId="217">
    <w:name w:val="修订8"/>
    <w:hidden/>
    <w:unhideWhenUsed/>
    <w:qFormat/>
    <w:uiPriority w:val="99"/>
    <w:rPr>
      <w:rFonts w:ascii="Times New Roman" w:hAnsi="Times New Roman" w:eastAsia="宋体" w:cs="Times New Roman"/>
      <w:kern w:val="2"/>
      <w:sz w:val="21"/>
      <w:szCs w:val="24"/>
      <w:lang w:val="en-US" w:eastAsia="zh-CN" w:bidi="ar-SA"/>
    </w:rPr>
  </w:style>
  <w:style w:type="paragraph" w:customStyle="1" w:styleId="218">
    <w:name w:val="修订9"/>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B4CEE0-F690-49CD-A885-6DD5DCFF891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168</Pages>
  <Words>109339</Words>
  <Characters>121253</Characters>
  <Lines>911</Lines>
  <Paragraphs>256</Paragraphs>
  <TotalTime>57</TotalTime>
  <ScaleCrop>false</ScaleCrop>
  <LinksUpToDate>false</LinksUpToDate>
  <CharactersWithSpaces>123023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2024-10-28T07:34:00Z</dcterms:created>
  <dc:creator>Microsoft</dc:creator>
  <cp:lastModifiedBy>雪小特</cp:lastModifiedBy>
  <cp:lastPrinted>2024-11-01T00:39:00Z</cp:lastPrinted>
  <dcterms:modified xsi:type="dcterms:W3CDTF">2024-12-04T03:30:39Z</dcterms:modified>
  <dc:title>公开招标采购文件范本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E308414035FF43E99FE937E45F1AB231_13</vt:lpwstr>
  </property>
</Properties>
</file>