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7FA0F">
      <w:pPr>
        <w:snapToGrid w:val="0"/>
        <w:spacing w:beforeLines="50" w:line="360" w:lineRule="auto"/>
        <w:jc w:val="both"/>
        <w:rPr>
          <w:rFonts w:hint="eastAsia" w:ascii="宋体" w:hAnsi="宋体"/>
          <w:b/>
          <w:color w:val="auto"/>
          <w:sz w:val="44"/>
          <w:highlight w:val="none"/>
        </w:rPr>
      </w:pPr>
      <w:r>
        <w:rPr>
          <w:color w:val="auto"/>
          <w:highlight w:val="none"/>
        </w:rPr>
        <w:drawing>
          <wp:inline distT="0" distB="0" distL="114300" distR="114300">
            <wp:extent cx="6196965" cy="8740140"/>
            <wp:effectExtent l="0" t="0" r="13335"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6196965" cy="8740140"/>
                    </a:xfrm>
                    <a:prstGeom prst="rect">
                      <a:avLst/>
                    </a:prstGeom>
                    <a:noFill/>
                    <a:ln>
                      <a:noFill/>
                    </a:ln>
                  </pic:spPr>
                </pic:pic>
              </a:graphicData>
            </a:graphic>
          </wp:inline>
        </w:drawing>
      </w:r>
    </w:p>
    <w:p w14:paraId="6058E20B">
      <w:pPr>
        <w:rPr>
          <w:rFonts w:hint="eastAsia" w:ascii="宋体" w:hAnsi="宋体"/>
          <w:b/>
          <w:color w:val="auto"/>
          <w:sz w:val="44"/>
          <w:highlight w:val="none"/>
        </w:rPr>
      </w:pPr>
    </w:p>
    <w:p w14:paraId="2ACDFB7F">
      <w:pPr>
        <w:pStyle w:val="57"/>
        <w:rPr>
          <w:rFonts w:hint="eastAsia"/>
          <w:color w:val="auto"/>
          <w:highlight w:val="none"/>
        </w:rPr>
      </w:pPr>
    </w:p>
    <w:p w14:paraId="47A963D7">
      <w:pPr>
        <w:pStyle w:val="28"/>
        <w:jc w:val="center"/>
        <w:rPr>
          <w:rFonts w:ascii="宋体" w:hAnsi="宋体"/>
          <w:b/>
          <w:color w:val="auto"/>
          <w:sz w:val="44"/>
          <w:highlight w:val="none"/>
        </w:rPr>
      </w:pPr>
      <w:r>
        <w:rPr>
          <w:rFonts w:hint="eastAsia" w:ascii="宋体" w:hAnsi="宋体"/>
          <w:b/>
          <w:color w:val="auto"/>
          <w:sz w:val="44"/>
          <w:highlight w:val="none"/>
        </w:rPr>
        <w:t>目  录</w:t>
      </w:r>
    </w:p>
    <w:p w14:paraId="5A82CBA3">
      <w:pPr>
        <w:spacing w:line="460" w:lineRule="exact"/>
        <w:jc w:val="center"/>
        <w:rPr>
          <w:rFonts w:ascii="宋体" w:hAnsi="宋体"/>
          <w:b/>
          <w:color w:val="auto"/>
          <w:sz w:val="30"/>
          <w:szCs w:val="30"/>
          <w:highlight w:val="none"/>
        </w:rPr>
      </w:pPr>
    </w:p>
    <w:p w14:paraId="6E3036BC">
      <w:pPr>
        <w:pStyle w:val="36"/>
        <w:tabs>
          <w:tab w:val="right" w:leader="dot" w:pos="9880"/>
        </w:tabs>
        <w:ind w:left="0" w:leftChars="0" w:firstLine="0" w:firstLineChars="0"/>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w:instrText>
      </w:r>
      <w:r>
        <w:rPr>
          <w:rFonts w:hint="eastAsia" w:ascii="宋体" w:hAnsi="宋体"/>
          <w:color w:val="auto"/>
          <w:sz w:val="30"/>
          <w:szCs w:val="30"/>
          <w:highlight w:val="none"/>
        </w:rPr>
        <w:instrText xml:space="preserve">TOC \o "1-3" \h \z \u</w:instrText>
      </w:r>
      <w:r>
        <w:rPr>
          <w:rFonts w:ascii="宋体" w:hAnsi="宋体"/>
          <w:color w:val="auto"/>
          <w:sz w:val="30"/>
          <w:szCs w:val="30"/>
          <w:highlight w:val="none"/>
        </w:rPr>
        <w:instrText xml:space="preserve"> </w:instrText>
      </w:r>
      <w:r>
        <w:rPr>
          <w:rFonts w:ascii="宋体" w:hAnsi="宋体"/>
          <w:color w:val="auto"/>
          <w:sz w:val="30"/>
          <w:szCs w:val="30"/>
          <w:highlight w:val="none"/>
        </w:rPr>
        <w:fldChar w:fldCharType="separate"/>
      </w: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_Toc559 </w:instrText>
      </w:r>
      <w:r>
        <w:rPr>
          <w:rFonts w:ascii="宋体" w:hAnsi="宋体"/>
          <w:color w:val="auto"/>
          <w:sz w:val="30"/>
          <w:szCs w:val="30"/>
          <w:highlight w:val="none"/>
        </w:rPr>
        <w:fldChar w:fldCharType="separate"/>
      </w:r>
      <w:r>
        <w:rPr>
          <w:rFonts w:hint="eastAsia" w:ascii="宋体" w:hAnsi="宋体" w:eastAsia="宋体"/>
          <w:color w:val="auto"/>
          <w:sz w:val="30"/>
          <w:szCs w:val="30"/>
          <w:highlight w:val="none"/>
        </w:rPr>
        <w:t>第一章 竞争性磋商公告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_Toc559 \h </w:instrText>
      </w:r>
      <w:r>
        <w:rPr>
          <w:color w:val="auto"/>
          <w:sz w:val="30"/>
          <w:szCs w:val="30"/>
          <w:highlight w:val="none"/>
        </w:rPr>
        <w:fldChar w:fldCharType="separate"/>
      </w:r>
      <w:r>
        <w:rPr>
          <w:color w:val="auto"/>
          <w:sz w:val="30"/>
          <w:szCs w:val="30"/>
          <w:highlight w:val="none"/>
        </w:rPr>
        <w:t>3</w:t>
      </w:r>
      <w:r>
        <w:rPr>
          <w:color w:val="auto"/>
          <w:sz w:val="30"/>
          <w:szCs w:val="30"/>
          <w:highlight w:val="none"/>
        </w:rPr>
        <w:fldChar w:fldCharType="end"/>
      </w:r>
      <w:r>
        <w:rPr>
          <w:rFonts w:ascii="宋体" w:hAnsi="宋体"/>
          <w:color w:val="auto"/>
          <w:sz w:val="30"/>
          <w:szCs w:val="30"/>
          <w:highlight w:val="none"/>
        </w:rPr>
        <w:fldChar w:fldCharType="end"/>
      </w:r>
    </w:p>
    <w:p w14:paraId="3EBC5E55">
      <w:pPr>
        <w:pStyle w:val="36"/>
        <w:tabs>
          <w:tab w:val="right" w:leader="dot" w:pos="9880"/>
        </w:tabs>
        <w:ind w:left="0" w:leftChars="0" w:firstLine="0" w:firstLineChars="0"/>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_Toc9445 </w:instrText>
      </w:r>
      <w:r>
        <w:rPr>
          <w:rFonts w:ascii="宋体" w:hAnsi="宋体"/>
          <w:color w:val="auto"/>
          <w:sz w:val="30"/>
          <w:szCs w:val="30"/>
          <w:highlight w:val="none"/>
        </w:rPr>
        <w:fldChar w:fldCharType="separate"/>
      </w:r>
      <w:r>
        <w:rPr>
          <w:rFonts w:hint="eastAsia" w:ascii="宋体" w:hAnsi="宋体" w:eastAsia="宋体"/>
          <w:color w:val="auto"/>
          <w:sz w:val="30"/>
          <w:szCs w:val="30"/>
          <w:highlight w:val="none"/>
        </w:rPr>
        <w:t>第二章  供应商须知及前附表</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_Toc9445 \h </w:instrText>
      </w:r>
      <w:r>
        <w:rPr>
          <w:color w:val="auto"/>
          <w:sz w:val="30"/>
          <w:szCs w:val="30"/>
          <w:highlight w:val="none"/>
        </w:rPr>
        <w:fldChar w:fldCharType="separate"/>
      </w:r>
      <w:r>
        <w:rPr>
          <w:color w:val="auto"/>
          <w:sz w:val="30"/>
          <w:szCs w:val="30"/>
          <w:highlight w:val="none"/>
        </w:rPr>
        <w:t>7</w:t>
      </w:r>
      <w:r>
        <w:rPr>
          <w:color w:val="auto"/>
          <w:sz w:val="30"/>
          <w:szCs w:val="30"/>
          <w:highlight w:val="none"/>
        </w:rPr>
        <w:fldChar w:fldCharType="end"/>
      </w:r>
      <w:r>
        <w:rPr>
          <w:rFonts w:ascii="宋体" w:hAnsi="宋体"/>
          <w:color w:val="auto"/>
          <w:sz w:val="30"/>
          <w:szCs w:val="30"/>
          <w:highlight w:val="none"/>
        </w:rPr>
        <w:fldChar w:fldCharType="end"/>
      </w:r>
    </w:p>
    <w:p w14:paraId="0079DFAF">
      <w:pPr>
        <w:pStyle w:val="30"/>
        <w:tabs>
          <w:tab w:val="right" w:leader="dot" w:pos="9880"/>
          <w:tab w:val="clear" w:pos="840"/>
          <w:tab w:val="clear" w:pos="9628"/>
        </w:tabs>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_Toc20054 </w:instrText>
      </w:r>
      <w:r>
        <w:rPr>
          <w:rFonts w:ascii="宋体" w:hAnsi="宋体"/>
          <w:color w:val="auto"/>
          <w:sz w:val="30"/>
          <w:szCs w:val="30"/>
          <w:highlight w:val="none"/>
        </w:rPr>
        <w:fldChar w:fldCharType="separate"/>
      </w:r>
      <w:r>
        <w:rPr>
          <w:rFonts w:hint="eastAsia" w:ascii="宋体" w:hAnsi="宋体" w:cs="宋体"/>
          <w:color w:val="auto"/>
          <w:sz w:val="30"/>
          <w:szCs w:val="30"/>
          <w:highlight w:val="none"/>
        </w:rPr>
        <w:t>第三章 合同条款及格式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_Toc20054 \h </w:instrText>
      </w:r>
      <w:r>
        <w:rPr>
          <w:color w:val="auto"/>
          <w:sz w:val="30"/>
          <w:szCs w:val="30"/>
          <w:highlight w:val="none"/>
        </w:rPr>
        <w:fldChar w:fldCharType="separate"/>
      </w:r>
      <w:r>
        <w:rPr>
          <w:color w:val="auto"/>
          <w:sz w:val="30"/>
          <w:szCs w:val="30"/>
          <w:highlight w:val="none"/>
        </w:rPr>
        <w:t>23</w:t>
      </w:r>
      <w:r>
        <w:rPr>
          <w:color w:val="auto"/>
          <w:sz w:val="30"/>
          <w:szCs w:val="30"/>
          <w:highlight w:val="none"/>
        </w:rPr>
        <w:fldChar w:fldCharType="end"/>
      </w:r>
      <w:r>
        <w:rPr>
          <w:rFonts w:ascii="宋体" w:hAnsi="宋体"/>
          <w:color w:val="auto"/>
          <w:sz w:val="30"/>
          <w:szCs w:val="30"/>
          <w:highlight w:val="none"/>
        </w:rPr>
        <w:fldChar w:fldCharType="end"/>
      </w:r>
    </w:p>
    <w:p w14:paraId="5849AF75">
      <w:pPr>
        <w:pStyle w:val="30"/>
        <w:tabs>
          <w:tab w:val="right" w:leader="dot" w:pos="9880"/>
          <w:tab w:val="clear" w:pos="840"/>
          <w:tab w:val="clear" w:pos="9628"/>
        </w:tabs>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_Toc25225 </w:instrText>
      </w:r>
      <w:r>
        <w:rPr>
          <w:rFonts w:ascii="宋体" w:hAnsi="宋体"/>
          <w:color w:val="auto"/>
          <w:sz w:val="30"/>
          <w:szCs w:val="30"/>
          <w:highlight w:val="none"/>
        </w:rPr>
        <w:fldChar w:fldCharType="separate"/>
      </w:r>
      <w:r>
        <w:rPr>
          <w:rFonts w:hint="eastAsia" w:ascii="宋体" w:hAnsi="宋体" w:cs="宋体"/>
          <w:color w:val="auto"/>
          <w:sz w:val="30"/>
          <w:szCs w:val="30"/>
          <w:highlight w:val="none"/>
        </w:rPr>
        <w:t>第四章  图纸</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_Toc25225 \h </w:instrText>
      </w:r>
      <w:r>
        <w:rPr>
          <w:color w:val="auto"/>
          <w:sz w:val="30"/>
          <w:szCs w:val="30"/>
          <w:highlight w:val="none"/>
        </w:rPr>
        <w:fldChar w:fldCharType="separate"/>
      </w:r>
      <w:r>
        <w:rPr>
          <w:color w:val="auto"/>
          <w:sz w:val="30"/>
          <w:szCs w:val="30"/>
          <w:highlight w:val="none"/>
        </w:rPr>
        <w:t>67</w:t>
      </w:r>
      <w:r>
        <w:rPr>
          <w:color w:val="auto"/>
          <w:sz w:val="30"/>
          <w:szCs w:val="30"/>
          <w:highlight w:val="none"/>
        </w:rPr>
        <w:fldChar w:fldCharType="end"/>
      </w:r>
      <w:r>
        <w:rPr>
          <w:rFonts w:ascii="宋体" w:hAnsi="宋体"/>
          <w:color w:val="auto"/>
          <w:sz w:val="30"/>
          <w:szCs w:val="30"/>
          <w:highlight w:val="none"/>
        </w:rPr>
        <w:fldChar w:fldCharType="end"/>
      </w:r>
    </w:p>
    <w:p w14:paraId="5954C0DC">
      <w:pPr>
        <w:pStyle w:val="30"/>
        <w:tabs>
          <w:tab w:val="right" w:leader="dot" w:pos="9880"/>
          <w:tab w:val="clear" w:pos="840"/>
          <w:tab w:val="clear" w:pos="9628"/>
        </w:tabs>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_Toc5969 </w:instrText>
      </w:r>
      <w:r>
        <w:rPr>
          <w:rFonts w:ascii="宋体" w:hAnsi="宋体"/>
          <w:color w:val="auto"/>
          <w:sz w:val="30"/>
          <w:szCs w:val="30"/>
          <w:highlight w:val="none"/>
        </w:rPr>
        <w:fldChar w:fldCharType="separate"/>
      </w:r>
      <w:r>
        <w:rPr>
          <w:rFonts w:hint="eastAsia" w:ascii="宋体" w:hAnsi="宋体"/>
          <w:color w:val="auto"/>
          <w:sz w:val="30"/>
          <w:szCs w:val="30"/>
          <w:highlight w:val="none"/>
        </w:rPr>
        <w:t>第五章  技术规范</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_Toc5969 \h </w:instrText>
      </w:r>
      <w:r>
        <w:rPr>
          <w:color w:val="auto"/>
          <w:sz w:val="30"/>
          <w:szCs w:val="30"/>
          <w:highlight w:val="none"/>
        </w:rPr>
        <w:fldChar w:fldCharType="separate"/>
      </w:r>
      <w:r>
        <w:rPr>
          <w:color w:val="auto"/>
          <w:sz w:val="30"/>
          <w:szCs w:val="30"/>
          <w:highlight w:val="none"/>
        </w:rPr>
        <w:t>68</w:t>
      </w:r>
      <w:r>
        <w:rPr>
          <w:color w:val="auto"/>
          <w:sz w:val="30"/>
          <w:szCs w:val="30"/>
          <w:highlight w:val="none"/>
        </w:rPr>
        <w:fldChar w:fldCharType="end"/>
      </w:r>
      <w:r>
        <w:rPr>
          <w:rFonts w:ascii="宋体" w:hAnsi="宋体"/>
          <w:color w:val="auto"/>
          <w:sz w:val="30"/>
          <w:szCs w:val="30"/>
          <w:highlight w:val="none"/>
        </w:rPr>
        <w:fldChar w:fldCharType="end"/>
      </w:r>
    </w:p>
    <w:p w14:paraId="2EC5D0F4">
      <w:pPr>
        <w:pStyle w:val="30"/>
        <w:tabs>
          <w:tab w:val="right" w:leader="dot" w:pos="9880"/>
          <w:tab w:val="clear" w:pos="840"/>
          <w:tab w:val="clear" w:pos="9628"/>
        </w:tabs>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_Toc1649 </w:instrText>
      </w:r>
      <w:r>
        <w:rPr>
          <w:rFonts w:ascii="宋体" w:hAnsi="宋体"/>
          <w:color w:val="auto"/>
          <w:sz w:val="30"/>
          <w:szCs w:val="30"/>
          <w:highlight w:val="none"/>
        </w:rPr>
        <w:fldChar w:fldCharType="separate"/>
      </w:r>
      <w:r>
        <w:rPr>
          <w:rFonts w:ascii="宋体" w:hAnsi="宋体"/>
          <w:color w:val="auto"/>
          <w:sz w:val="30"/>
          <w:szCs w:val="30"/>
          <w:highlight w:val="none"/>
        </w:rPr>
        <w:t>第</w:t>
      </w:r>
      <w:r>
        <w:rPr>
          <w:rFonts w:hint="eastAsia" w:ascii="宋体" w:hAnsi="宋体"/>
          <w:color w:val="auto"/>
          <w:sz w:val="30"/>
          <w:szCs w:val="30"/>
          <w:highlight w:val="none"/>
        </w:rPr>
        <w:t>六</w:t>
      </w:r>
      <w:r>
        <w:rPr>
          <w:rFonts w:ascii="宋体" w:hAnsi="宋体"/>
          <w:color w:val="auto"/>
          <w:sz w:val="30"/>
          <w:szCs w:val="30"/>
          <w:highlight w:val="none"/>
        </w:rPr>
        <w:t>章</w:t>
      </w:r>
      <w:r>
        <w:rPr>
          <w:rFonts w:hint="eastAsia" w:ascii="宋体" w:hAnsi="宋体"/>
          <w:color w:val="auto"/>
          <w:sz w:val="30"/>
          <w:szCs w:val="30"/>
          <w:highlight w:val="none"/>
        </w:rPr>
        <w:t xml:space="preserve">  </w:t>
      </w:r>
      <w:r>
        <w:rPr>
          <w:rFonts w:ascii="宋体" w:hAnsi="宋体"/>
          <w:color w:val="auto"/>
          <w:sz w:val="30"/>
          <w:szCs w:val="30"/>
          <w:highlight w:val="none"/>
        </w:rPr>
        <w:t>工程量清单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_Toc1649 \h </w:instrText>
      </w:r>
      <w:r>
        <w:rPr>
          <w:color w:val="auto"/>
          <w:sz w:val="30"/>
          <w:szCs w:val="30"/>
          <w:highlight w:val="none"/>
        </w:rPr>
        <w:fldChar w:fldCharType="separate"/>
      </w:r>
      <w:r>
        <w:rPr>
          <w:color w:val="auto"/>
          <w:sz w:val="30"/>
          <w:szCs w:val="30"/>
          <w:highlight w:val="none"/>
        </w:rPr>
        <w:t>69</w:t>
      </w:r>
      <w:r>
        <w:rPr>
          <w:color w:val="auto"/>
          <w:sz w:val="30"/>
          <w:szCs w:val="30"/>
          <w:highlight w:val="none"/>
        </w:rPr>
        <w:fldChar w:fldCharType="end"/>
      </w:r>
      <w:r>
        <w:rPr>
          <w:rFonts w:ascii="宋体" w:hAnsi="宋体"/>
          <w:color w:val="auto"/>
          <w:sz w:val="30"/>
          <w:szCs w:val="30"/>
          <w:highlight w:val="none"/>
        </w:rPr>
        <w:fldChar w:fldCharType="end"/>
      </w:r>
    </w:p>
    <w:p w14:paraId="6A16E2BB">
      <w:pPr>
        <w:pStyle w:val="30"/>
        <w:tabs>
          <w:tab w:val="right" w:leader="dot" w:pos="9880"/>
          <w:tab w:val="clear" w:pos="840"/>
          <w:tab w:val="clear" w:pos="9628"/>
        </w:tabs>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_Toc29132 </w:instrText>
      </w:r>
      <w:r>
        <w:rPr>
          <w:rFonts w:ascii="宋体" w:hAnsi="宋体"/>
          <w:color w:val="auto"/>
          <w:sz w:val="30"/>
          <w:szCs w:val="30"/>
          <w:highlight w:val="none"/>
        </w:rPr>
        <w:fldChar w:fldCharType="separate"/>
      </w:r>
      <w:r>
        <w:rPr>
          <w:rFonts w:hint="eastAsia" w:ascii="宋体" w:hAnsi="宋体"/>
          <w:color w:val="auto"/>
          <w:sz w:val="30"/>
          <w:szCs w:val="30"/>
          <w:highlight w:val="none"/>
        </w:rPr>
        <w:t>第七章  响应文件格式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_Toc29132 \h </w:instrText>
      </w:r>
      <w:r>
        <w:rPr>
          <w:color w:val="auto"/>
          <w:sz w:val="30"/>
          <w:szCs w:val="30"/>
          <w:highlight w:val="none"/>
        </w:rPr>
        <w:fldChar w:fldCharType="separate"/>
      </w:r>
      <w:r>
        <w:rPr>
          <w:color w:val="auto"/>
          <w:sz w:val="30"/>
          <w:szCs w:val="30"/>
          <w:highlight w:val="none"/>
        </w:rPr>
        <w:t>70</w:t>
      </w:r>
      <w:r>
        <w:rPr>
          <w:color w:val="auto"/>
          <w:sz w:val="30"/>
          <w:szCs w:val="30"/>
          <w:highlight w:val="none"/>
        </w:rPr>
        <w:fldChar w:fldCharType="end"/>
      </w:r>
      <w:r>
        <w:rPr>
          <w:rFonts w:ascii="宋体" w:hAnsi="宋体"/>
          <w:color w:val="auto"/>
          <w:sz w:val="30"/>
          <w:szCs w:val="30"/>
          <w:highlight w:val="none"/>
        </w:rPr>
        <w:fldChar w:fldCharType="end"/>
      </w:r>
    </w:p>
    <w:p w14:paraId="55C4C141">
      <w:pPr>
        <w:pStyle w:val="30"/>
        <w:spacing w:line="460" w:lineRule="exact"/>
        <w:rPr>
          <w:rFonts w:ascii="宋体" w:hAnsi="宋体"/>
          <w:color w:val="auto"/>
          <w:sz w:val="30"/>
          <w:szCs w:val="30"/>
          <w:highlight w:val="none"/>
        </w:rPr>
      </w:pPr>
      <w:r>
        <w:rPr>
          <w:rFonts w:ascii="宋体" w:hAnsi="宋体"/>
          <w:color w:val="auto"/>
          <w:sz w:val="30"/>
          <w:szCs w:val="30"/>
          <w:highlight w:val="none"/>
        </w:rPr>
        <w:fldChar w:fldCharType="end"/>
      </w:r>
    </w:p>
    <w:p w14:paraId="4FC0A8E7">
      <w:pPr>
        <w:pStyle w:val="4"/>
        <w:spacing w:after="0" w:line="460" w:lineRule="exact"/>
        <w:jc w:val="center"/>
        <w:rPr>
          <w:rFonts w:ascii="宋体" w:hAnsi="宋体" w:eastAsia="宋体"/>
          <w:color w:val="auto"/>
          <w:szCs w:val="24"/>
          <w:highlight w:val="none"/>
        </w:rPr>
      </w:pPr>
      <w:r>
        <w:rPr>
          <w:rFonts w:ascii="宋体" w:hAnsi="宋体" w:eastAsia="宋体"/>
          <w:color w:val="auto"/>
          <w:sz w:val="30"/>
          <w:szCs w:val="30"/>
          <w:highlight w:val="none"/>
        </w:rPr>
        <w:br w:type="page"/>
      </w:r>
      <w:bookmarkStart w:id="0" w:name="_Toc559"/>
      <w:r>
        <w:rPr>
          <w:rFonts w:hint="eastAsia" w:ascii="宋体" w:hAnsi="宋体" w:eastAsia="宋体"/>
          <w:color w:val="auto"/>
          <w:sz w:val="36"/>
          <w:szCs w:val="24"/>
          <w:highlight w:val="none"/>
        </w:rPr>
        <w:t>第一章 竞争性磋商公告</w:t>
      </w:r>
      <w:bookmarkEnd w:id="0"/>
    </w:p>
    <w:p w14:paraId="5AE13916">
      <w:pPr>
        <w:rPr>
          <w:rFonts w:ascii="宋体" w:hAnsi="宋体"/>
          <w:color w:val="auto"/>
          <w:highlight w:val="none"/>
        </w:rPr>
      </w:pPr>
    </w:p>
    <w:p w14:paraId="523A417A">
      <w:pPr>
        <w:spacing w:line="540" w:lineRule="exact"/>
        <w:jc w:val="center"/>
        <w:rPr>
          <w:rFonts w:ascii="宋体" w:hAnsi="宋体"/>
          <w:b/>
          <w:color w:val="auto"/>
          <w:sz w:val="28"/>
          <w:highlight w:val="none"/>
        </w:rPr>
      </w:pPr>
      <w:r>
        <w:rPr>
          <w:rFonts w:hint="eastAsia" w:ascii="宋体" w:hAnsi="宋体"/>
          <w:b/>
          <w:color w:val="auto"/>
          <w:sz w:val="28"/>
          <w:szCs w:val="28"/>
          <w:highlight w:val="none"/>
          <w:lang w:eastAsia="zh-CN"/>
        </w:rPr>
        <w:t>铁匠村广屋片东门小型桥梁、上罗村山谷塘片16社-23社小型农田水利项目</w:t>
      </w: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YLZC2025-C2-020039-GXXQ</w:t>
      </w:r>
      <w:r>
        <w:rPr>
          <w:rFonts w:hint="eastAsia" w:ascii="宋体" w:hAnsi="宋体"/>
          <w:b/>
          <w:color w:val="auto"/>
          <w:sz w:val="28"/>
          <w:szCs w:val="28"/>
          <w:highlight w:val="none"/>
        </w:rPr>
        <w:t>）</w:t>
      </w:r>
      <w:r>
        <w:rPr>
          <w:rFonts w:hint="eastAsia" w:ascii="宋体" w:hAnsi="宋体"/>
          <w:b/>
          <w:color w:val="auto"/>
          <w:sz w:val="28"/>
          <w:highlight w:val="none"/>
        </w:rPr>
        <w:t>竞争性磋商公告</w:t>
      </w:r>
    </w:p>
    <w:p w14:paraId="3FF650BE">
      <w:pPr>
        <w:pBdr>
          <w:top w:val="single" w:color="auto" w:sz="4" w:space="0"/>
          <w:left w:val="single" w:color="auto" w:sz="4" w:space="0"/>
          <w:bottom w:val="single" w:color="auto" w:sz="4" w:space="0"/>
          <w:right w:val="single" w:color="auto" w:sz="4" w:space="0"/>
        </w:pBdr>
        <w:spacing w:line="380" w:lineRule="exact"/>
        <w:ind w:firstLine="442" w:firstLineChars="200"/>
        <w:rPr>
          <w:rFonts w:ascii="宋体" w:hAnsi="宋体"/>
          <w:color w:val="auto"/>
          <w:sz w:val="22"/>
          <w:szCs w:val="22"/>
          <w:highlight w:val="none"/>
        </w:rPr>
      </w:pPr>
      <w:r>
        <w:rPr>
          <w:rFonts w:hint="eastAsia" w:ascii="宋体" w:hAnsi="宋体"/>
          <w:b/>
          <w:bCs/>
          <w:color w:val="auto"/>
          <w:sz w:val="22"/>
          <w:szCs w:val="22"/>
          <w:highlight w:val="none"/>
        </w:rPr>
        <w:t>项目概况</w:t>
      </w:r>
    </w:p>
    <w:p w14:paraId="32605242">
      <w:pPr>
        <w:pBdr>
          <w:top w:val="single" w:color="auto" w:sz="4" w:space="0"/>
          <w:left w:val="single" w:color="auto" w:sz="4" w:space="0"/>
          <w:bottom w:val="single" w:color="auto" w:sz="4" w:space="0"/>
          <w:right w:val="single" w:color="auto" w:sz="4" w:space="0"/>
        </w:pBdr>
        <w:spacing w:line="380" w:lineRule="exact"/>
        <w:ind w:firstLine="440" w:firstLineChars="200"/>
        <w:rPr>
          <w:rFonts w:ascii="宋体" w:hAnsi="宋体"/>
          <w:b/>
          <w:color w:val="auto"/>
          <w:sz w:val="20"/>
          <w:szCs w:val="20"/>
          <w:highlight w:val="none"/>
        </w:rPr>
      </w:pPr>
      <w:r>
        <w:rPr>
          <w:rFonts w:hint="eastAsia" w:ascii="宋体" w:hAnsi="宋体"/>
          <w:color w:val="auto"/>
          <w:sz w:val="22"/>
          <w:szCs w:val="22"/>
          <w:highlight w:val="non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eastAsia="zh-CN"/>
        </w:rPr>
        <w:t>铁匠村广屋片东门小型桥梁、上罗村山谷塘片16社-23社小型农田水利项目 采购项目的</w:t>
      </w:r>
      <w:r>
        <w:rPr>
          <w:rFonts w:hint="eastAsia" w:ascii="宋体" w:hAnsi="宋体"/>
          <w:color w:val="auto"/>
          <w:szCs w:val="21"/>
          <w:highlight w:val="none"/>
        </w:rPr>
        <w:t>潜在供应商须登录</w:t>
      </w:r>
      <w:r>
        <w:rPr>
          <w:rFonts w:hint="eastAsia" w:ascii="宋体" w:hAnsi="宋体"/>
          <w:color w:val="auto"/>
          <w:szCs w:val="21"/>
          <w:highlight w:val="none"/>
          <w:lang w:eastAsia="zh-CN"/>
        </w:rPr>
        <w:t>广西政府采购云平台https://www.gcy.zfcg.gxzf.gov.cn</w:t>
      </w:r>
      <w:r>
        <w:rPr>
          <w:rFonts w:hint="eastAsia" w:ascii="宋体" w:hAnsi="宋体"/>
          <w:color w:val="auto"/>
          <w:szCs w:val="21"/>
          <w:highlight w:val="none"/>
        </w:rPr>
        <w:t>在“供应商入驻”完成</w:t>
      </w:r>
      <w:r>
        <w:rPr>
          <w:rFonts w:hint="eastAsia" w:ascii="宋体" w:hAnsi="宋体"/>
          <w:color w:val="auto"/>
          <w:szCs w:val="21"/>
          <w:highlight w:val="none"/>
          <w:lang w:eastAsia="zh-CN"/>
        </w:rPr>
        <w:t>账号</w:t>
      </w:r>
      <w:r>
        <w:rPr>
          <w:rFonts w:hint="eastAsia" w:ascii="宋体" w:hAnsi="宋体"/>
          <w:color w:val="auto"/>
          <w:szCs w:val="21"/>
          <w:highlight w:val="none"/>
        </w:rPr>
        <w:t>注册后，登录</w:t>
      </w:r>
      <w:r>
        <w:rPr>
          <w:rFonts w:hint="eastAsia" w:ascii="宋体" w:hAnsi="宋体"/>
          <w:color w:val="auto"/>
          <w:szCs w:val="21"/>
          <w:highlight w:val="none"/>
          <w:lang w:eastAsia="zh-CN"/>
        </w:rPr>
        <w:t>广西政府采购云</w:t>
      </w:r>
      <w:r>
        <w:rPr>
          <w:rFonts w:hint="eastAsia" w:ascii="宋体" w:hAnsi="宋体"/>
          <w:color w:val="auto"/>
          <w:szCs w:val="21"/>
          <w:highlight w:val="none"/>
        </w:rPr>
        <w:t>平台“项目采购——获取采购文件”模块自行下载竞争性磋商文件，并于</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25</w:t>
      </w:r>
      <w:r>
        <w:rPr>
          <w:rFonts w:hint="eastAsia" w:ascii="宋体" w:hAnsi="宋体"/>
          <w:color w:val="auto"/>
          <w:szCs w:val="21"/>
          <w:highlight w:val="none"/>
        </w:rPr>
        <w:t xml:space="preserve">日 </w:t>
      </w:r>
      <w:r>
        <w:rPr>
          <w:rFonts w:hint="eastAsia" w:ascii="宋体" w:hAnsi="宋体"/>
          <w:color w:val="auto"/>
          <w:szCs w:val="21"/>
          <w:highlight w:val="none"/>
          <w:lang w:val="en-US" w:eastAsia="zh-CN"/>
        </w:rPr>
        <w:t>09：30</w:t>
      </w:r>
      <w:r>
        <w:rPr>
          <w:rFonts w:hint="eastAsia" w:ascii="宋体" w:hAnsi="宋体"/>
          <w:color w:val="auto"/>
          <w:szCs w:val="21"/>
          <w:highlight w:val="none"/>
        </w:rPr>
        <w:t>（</w:t>
      </w:r>
      <w:r>
        <w:rPr>
          <w:rFonts w:hint="eastAsia" w:ascii="宋体" w:hAnsi="宋体"/>
          <w:color w:val="auto"/>
          <w:szCs w:val="21"/>
          <w:highlight w:val="none"/>
        </w:rPr>
        <w:t>北京时间）前提交响应文件。</w:t>
      </w:r>
    </w:p>
    <w:p w14:paraId="1561A21C">
      <w:pPr>
        <w:pStyle w:val="40"/>
        <w:spacing w:before="75" w:beforeAutospacing="0" w:after="75" w:afterAutospacing="0" w:line="405" w:lineRule="atLeast"/>
        <w:ind w:firstLine="420"/>
        <w:jc w:val="both"/>
        <w:rPr>
          <w:rFonts w:cs="宋体"/>
          <w:color w:val="auto"/>
          <w:sz w:val="21"/>
          <w:szCs w:val="21"/>
          <w:highlight w:val="none"/>
          <w:lang w:bidi="zh-CN"/>
        </w:rPr>
      </w:pPr>
      <w:r>
        <w:rPr>
          <w:rFonts w:hint="eastAsia" w:cs="宋体"/>
          <w:b/>
          <w:bCs/>
          <w:color w:val="auto"/>
          <w:sz w:val="21"/>
          <w:szCs w:val="21"/>
          <w:highlight w:val="none"/>
          <w:lang w:bidi="zh-CN"/>
        </w:rPr>
        <w:t>一、项目基本情况</w:t>
      </w:r>
    </w:p>
    <w:p w14:paraId="616290A4">
      <w:pPr>
        <w:spacing w:line="540" w:lineRule="exact"/>
        <w:ind w:firstLine="420" w:firstLineChars="200"/>
        <w:rPr>
          <w:rFonts w:ascii="宋体" w:hAnsi="宋体" w:cs="宋体"/>
          <w:color w:val="auto"/>
          <w:kern w:val="0"/>
          <w:szCs w:val="21"/>
          <w:highlight w:val="none"/>
          <w:lang w:bidi="zh-CN"/>
        </w:rPr>
      </w:pPr>
      <w:r>
        <w:rPr>
          <w:rFonts w:hint="eastAsia" w:ascii="宋体" w:hAnsi="宋体" w:cs="宋体"/>
          <w:color w:val="auto"/>
          <w:szCs w:val="21"/>
          <w:highlight w:val="none"/>
          <w:lang w:bidi="zh-CN"/>
        </w:rPr>
        <w:t>项目编号：</w:t>
      </w:r>
      <w:r>
        <w:rPr>
          <w:rFonts w:hint="eastAsia" w:ascii="宋体" w:hAnsi="宋体" w:cs="宋体"/>
          <w:color w:val="auto"/>
          <w:kern w:val="0"/>
          <w:szCs w:val="21"/>
          <w:highlight w:val="none"/>
          <w:lang w:bidi="zh-CN"/>
        </w:rPr>
        <w:t>YLZC2025-C2-020039-GXXQ</w:t>
      </w:r>
    </w:p>
    <w:p w14:paraId="3728BACC">
      <w:pPr>
        <w:pStyle w:val="40"/>
        <w:spacing w:before="75" w:beforeAutospacing="0" w:after="75" w:afterAutospacing="0" w:line="405" w:lineRule="atLeast"/>
        <w:ind w:firstLine="420"/>
        <w:jc w:val="both"/>
        <w:rPr>
          <w:rStyle w:val="269"/>
          <w:rFonts w:hint="eastAsia" w:eastAsia="宋体" w:cs="Monospaced Number"/>
          <w:color w:val="auto"/>
          <w:sz w:val="21"/>
          <w:szCs w:val="21"/>
          <w:highlight w:val="none"/>
          <w:lang w:val="en-US" w:eastAsia="zh-CN"/>
        </w:rPr>
      </w:pPr>
      <w:r>
        <w:rPr>
          <w:rFonts w:hint="eastAsia" w:cs="宋体"/>
          <w:color w:val="auto"/>
          <w:sz w:val="21"/>
          <w:szCs w:val="21"/>
          <w:highlight w:val="none"/>
          <w:lang w:bidi="zh-CN"/>
        </w:rPr>
        <w:t>政府采购计划编号：</w:t>
      </w:r>
      <w:r>
        <w:rPr>
          <w:rFonts w:hint="eastAsia" w:cs="宋体"/>
          <w:color w:val="auto"/>
          <w:sz w:val="21"/>
          <w:szCs w:val="21"/>
          <w:highlight w:val="none"/>
          <w:lang w:val="en-US" w:eastAsia="zh-CN" w:bidi="zh-CN"/>
        </w:rPr>
        <w:t>YLZC2025-C2-20234-001、YLZC2025-C2-20234-002</w:t>
      </w:r>
    </w:p>
    <w:p w14:paraId="2028239A">
      <w:pPr>
        <w:pStyle w:val="40"/>
        <w:spacing w:before="75" w:beforeAutospacing="0" w:after="75" w:afterAutospacing="0" w:line="405" w:lineRule="atLeast"/>
        <w:ind w:firstLine="420"/>
        <w:jc w:val="both"/>
        <w:rPr>
          <w:rFonts w:cs="宋体"/>
          <w:color w:val="auto"/>
          <w:sz w:val="21"/>
          <w:szCs w:val="21"/>
          <w:highlight w:val="none"/>
          <w:lang w:bidi="zh-CN"/>
        </w:rPr>
      </w:pPr>
      <w:r>
        <w:rPr>
          <w:rFonts w:hint="eastAsia" w:cs="宋体"/>
          <w:color w:val="auto"/>
          <w:sz w:val="21"/>
          <w:szCs w:val="21"/>
          <w:highlight w:val="none"/>
          <w:lang w:bidi="zh-CN"/>
        </w:rPr>
        <w:t xml:space="preserve">项目名称：铁匠村广屋片东门小型桥梁、上罗村山谷塘片16社-23社小型农田水利项目 </w:t>
      </w:r>
    </w:p>
    <w:p w14:paraId="660A878B">
      <w:pPr>
        <w:pStyle w:val="40"/>
        <w:spacing w:before="75" w:beforeAutospacing="0" w:after="75" w:afterAutospacing="0" w:line="405" w:lineRule="atLeast"/>
        <w:ind w:firstLine="420"/>
        <w:jc w:val="both"/>
        <w:rPr>
          <w:rFonts w:cs="宋体"/>
          <w:color w:val="auto"/>
          <w:sz w:val="21"/>
          <w:szCs w:val="21"/>
          <w:highlight w:val="none"/>
          <w:lang w:bidi="zh-CN"/>
        </w:rPr>
      </w:pPr>
      <w:r>
        <w:rPr>
          <w:rFonts w:hint="eastAsia" w:cs="宋体"/>
          <w:color w:val="auto"/>
          <w:sz w:val="21"/>
          <w:szCs w:val="21"/>
          <w:highlight w:val="none"/>
          <w:lang w:bidi="zh-CN"/>
        </w:rPr>
        <w:t xml:space="preserve">采购方式：竞争性磋商 </w:t>
      </w:r>
      <w:bookmarkStart w:id="1260" w:name="_GoBack"/>
      <w:bookmarkEnd w:id="1260"/>
    </w:p>
    <w:p w14:paraId="321CDE86">
      <w:pPr>
        <w:pStyle w:val="40"/>
        <w:spacing w:before="75" w:beforeAutospacing="0" w:after="75" w:afterAutospacing="0" w:line="405" w:lineRule="atLeast"/>
        <w:ind w:firstLine="420"/>
        <w:jc w:val="both"/>
        <w:rPr>
          <w:rFonts w:cs="宋体"/>
          <w:color w:val="auto"/>
          <w:sz w:val="21"/>
          <w:szCs w:val="21"/>
          <w:highlight w:val="none"/>
          <w:lang w:bidi="zh-CN"/>
        </w:rPr>
      </w:pPr>
      <w:r>
        <w:rPr>
          <w:rFonts w:hint="eastAsia" w:cs="宋体"/>
          <w:color w:val="auto"/>
          <w:sz w:val="21"/>
          <w:szCs w:val="21"/>
          <w:highlight w:val="none"/>
          <w:lang w:bidi="zh-CN"/>
        </w:rPr>
        <w:t>预算金额：</w:t>
      </w:r>
      <w:r>
        <w:rPr>
          <w:rFonts w:hint="eastAsia" w:cs="宋体"/>
          <w:color w:val="auto"/>
          <w:sz w:val="21"/>
          <w:szCs w:val="21"/>
          <w:highlight w:val="none"/>
          <w:lang w:val="en-US" w:bidi="zh-CN"/>
        </w:rPr>
        <w:t>362200.00</w:t>
      </w:r>
      <w:r>
        <w:rPr>
          <w:rFonts w:hint="eastAsia" w:cs="宋体"/>
          <w:color w:val="auto"/>
          <w:sz w:val="21"/>
          <w:szCs w:val="21"/>
          <w:highlight w:val="none"/>
          <w:lang w:bidi="zh-CN"/>
        </w:rPr>
        <w:t>元</w:t>
      </w:r>
    </w:p>
    <w:p w14:paraId="592F98CE">
      <w:pPr>
        <w:pStyle w:val="40"/>
        <w:spacing w:before="75" w:beforeAutospacing="0" w:after="75" w:afterAutospacing="0" w:line="405" w:lineRule="atLeast"/>
        <w:ind w:firstLine="420"/>
        <w:jc w:val="both"/>
        <w:rPr>
          <w:rFonts w:cs="宋体"/>
          <w:color w:val="auto"/>
          <w:sz w:val="21"/>
          <w:szCs w:val="21"/>
          <w:highlight w:val="none"/>
          <w:lang w:bidi="zh-CN"/>
        </w:rPr>
      </w:pPr>
      <w:r>
        <w:rPr>
          <w:rFonts w:hint="eastAsia" w:cs="宋体"/>
          <w:color w:val="auto"/>
          <w:sz w:val="21"/>
          <w:szCs w:val="21"/>
          <w:highlight w:val="none"/>
          <w:lang w:bidi="zh-CN"/>
        </w:rPr>
        <w:t>最高限价：与预算金额一致</w:t>
      </w:r>
    </w:p>
    <w:p w14:paraId="040A8E0D">
      <w:pPr>
        <w:pStyle w:val="40"/>
        <w:spacing w:before="75" w:beforeAutospacing="0" w:after="75" w:afterAutospacing="0" w:line="405" w:lineRule="atLeast"/>
        <w:ind w:firstLine="420"/>
        <w:jc w:val="both"/>
        <w:rPr>
          <w:rFonts w:hint="eastAsia" w:cs="宋体"/>
          <w:color w:val="auto"/>
          <w:sz w:val="21"/>
          <w:szCs w:val="21"/>
          <w:highlight w:val="none"/>
          <w:lang w:val="en-US" w:eastAsia="zh-CN" w:bidi="zh-CN"/>
        </w:rPr>
      </w:pPr>
      <w:r>
        <w:rPr>
          <w:rFonts w:hint="eastAsia" w:cs="宋体"/>
          <w:color w:val="auto"/>
          <w:sz w:val="21"/>
          <w:szCs w:val="21"/>
          <w:highlight w:val="none"/>
          <w:lang w:bidi="zh-CN"/>
        </w:rPr>
        <w:t>采购需求及采购内容：铁匠村广屋片东门小型桥梁，修建小型桥梁长6米，宽4米；上罗村山谷塘片16社-23社小型农田水利项目，小型农田水利，建设长400米，宽0.4米，高0.6米，共计两个项目。</w:t>
      </w:r>
    </w:p>
    <w:p w14:paraId="1983296D">
      <w:pPr>
        <w:pStyle w:val="40"/>
        <w:spacing w:before="75" w:beforeAutospacing="0" w:after="75" w:afterAutospacing="0" w:line="405" w:lineRule="atLeast"/>
        <w:ind w:firstLine="420" w:firstLineChars="200"/>
        <w:jc w:val="both"/>
        <w:rPr>
          <w:b/>
          <w:color w:val="auto"/>
          <w:sz w:val="22"/>
          <w:szCs w:val="20"/>
          <w:highlight w:val="none"/>
        </w:rPr>
      </w:pPr>
      <w:r>
        <w:rPr>
          <w:rFonts w:hint="eastAsia" w:cs="宋体"/>
          <w:color w:val="auto"/>
          <w:sz w:val="21"/>
          <w:szCs w:val="21"/>
          <w:highlight w:val="none"/>
          <w:lang w:bidi="zh-CN"/>
        </w:rPr>
        <w:t>合同履约期限： 工期</w:t>
      </w:r>
      <w:r>
        <w:rPr>
          <w:rFonts w:hint="eastAsia" w:cs="宋体"/>
          <w:color w:val="auto"/>
          <w:sz w:val="21"/>
          <w:szCs w:val="21"/>
          <w:highlight w:val="none"/>
          <w:lang w:val="en-US" w:bidi="zh-CN"/>
        </w:rPr>
        <w:t>30天（日历天）</w:t>
      </w:r>
      <w:r>
        <w:rPr>
          <w:rFonts w:hint="eastAsia" w:cs="宋体"/>
          <w:color w:val="auto"/>
          <w:sz w:val="21"/>
          <w:szCs w:val="21"/>
          <w:highlight w:val="none"/>
          <w:lang w:bidi="zh-CN"/>
        </w:rPr>
        <w:t>。</w:t>
      </w:r>
    </w:p>
    <w:p w14:paraId="593BBBEB">
      <w:pPr>
        <w:spacing w:line="440" w:lineRule="exact"/>
        <w:ind w:firstLine="422" w:firstLineChars="200"/>
        <w:rPr>
          <w:rFonts w:ascii="宋体" w:hAnsi="宋体"/>
          <w:color w:val="auto"/>
          <w:szCs w:val="21"/>
          <w:highlight w:val="none"/>
        </w:rPr>
      </w:pPr>
      <w:r>
        <w:rPr>
          <w:rFonts w:hint="eastAsia" w:ascii="宋体" w:hAnsi="宋体"/>
          <w:b/>
          <w:color w:val="auto"/>
          <w:szCs w:val="21"/>
          <w:highlight w:val="none"/>
        </w:rPr>
        <w:t>二、申请人的资格要求</w:t>
      </w:r>
    </w:p>
    <w:p w14:paraId="66CD349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2444D48D">
      <w:pPr>
        <w:spacing w:line="44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kern w:val="0"/>
          <w:szCs w:val="21"/>
          <w:highlight w:val="none"/>
        </w:rPr>
        <w:t>《政府采购促进中小企业发展管理办法》（财库[2020]46号）</w:t>
      </w:r>
      <w:r>
        <w:rPr>
          <w:rFonts w:hint="eastAsia" w:ascii="宋体" w:hAnsi="宋体"/>
          <w:color w:val="auto"/>
          <w:szCs w:val="21"/>
          <w:highlight w:val="none"/>
        </w:rPr>
        <w:t>、《关于政府采购支持监狱企业发展有关问题的通知》(财库[2014]68号)、《关于促进残疾人就业政府采购政策的通知》(财库〔2017〕141号)、《财政部国家发展改革委关于印发&lt;节能产品政府采购实施意见&gt;的通知》（财库[2004]185号）、《财政部、国家环保总局联合印发&lt;关于环境标志产品政府采购实施的意见&gt;》(财库[2006]90号)、《政府采购中查询及使用信用记录有关问题的通知》（财库【2016】125号）《招标采购促进广西工业产品产销对接实施细则》（桂政发【2015】78号）等相关政府采购政策。本项目属于专门面向中小企业采购的项目；</w:t>
      </w:r>
    </w:p>
    <w:p w14:paraId="4B04B96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p>
    <w:p w14:paraId="3D2C6195">
      <w:pPr>
        <w:spacing w:line="440" w:lineRule="exact"/>
        <w:ind w:firstLine="420" w:firstLineChars="200"/>
        <w:rPr>
          <w:rFonts w:ascii="宋体" w:hAnsi="宋体"/>
          <w:color w:val="auto"/>
          <w:szCs w:val="21"/>
          <w:highlight w:val="none"/>
        </w:rPr>
      </w:pPr>
      <w:bookmarkStart w:id="1" w:name="_Hlk87627428"/>
      <w:r>
        <w:rPr>
          <w:rFonts w:hint="eastAsia" w:ascii="宋体" w:hAnsi="宋体"/>
          <w:color w:val="auto"/>
          <w:szCs w:val="21"/>
          <w:highlight w:val="none"/>
        </w:rPr>
        <w:t>（1）具有</w:t>
      </w:r>
      <w:r>
        <w:rPr>
          <w:rFonts w:hint="eastAsia" w:ascii="宋体" w:hAnsi="宋体"/>
          <w:b/>
          <w:bCs/>
          <w:color w:val="auto"/>
          <w:szCs w:val="21"/>
          <w:highlight w:val="none"/>
          <w:u w:val="single"/>
          <w:lang w:eastAsia="zh-CN"/>
        </w:rPr>
        <w:t>市政公用</w:t>
      </w:r>
      <w:r>
        <w:rPr>
          <w:rFonts w:hint="eastAsia" w:ascii="宋体" w:hAnsi="宋体"/>
          <w:b/>
          <w:bCs/>
          <w:color w:val="auto"/>
          <w:szCs w:val="21"/>
          <w:highlight w:val="none"/>
          <w:u w:val="single"/>
        </w:rPr>
        <w:t>工程施工总承包叁级（含叁级）</w:t>
      </w:r>
      <w:r>
        <w:rPr>
          <w:rFonts w:hint="eastAsia" w:ascii="宋体" w:hAnsi="宋体"/>
          <w:color w:val="auto"/>
          <w:szCs w:val="21"/>
          <w:highlight w:val="none"/>
        </w:rPr>
        <w:t>以上资质的企业，并在人员、设备、资金等方面具备相应的施工能力，具备有效的安全生产许可证。</w:t>
      </w:r>
    </w:p>
    <w:p w14:paraId="75E9CA78">
      <w:pPr>
        <w:autoSpaceDE w:val="0"/>
        <w:autoSpaceDN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（2）拟投入本项目的</w:t>
      </w:r>
      <w:r>
        <w:rPr>
          <w:rFonts w:hint="eastAsia" w:ascii="宋体" w:hAnsi="宋体"/>
          <w:b/>
          <w:bCs/>
          <w:color w:val="auto"/>
          <w:szCs w:val="21"/>
          <w:highlight w:val="none"/>
          <w:u w:val="single"/>
        </w:rPr>
        <w:t>项目经理必须具备</w:t>
      </w:r>
      <w:r>
        <w:rPr>
          <w:rFonts w:hint="eastAsia" w:ascii="宋体" w:hAnsi="宋体"/>
          <w:b/>
          <w:bCs/>
          <w:color w:val="auto"/>
          <w:szCs w:val="21"/>
          <w:highlight w:val="none"/>
          <w:u w:val="single"/>
          <w:lang w:eastAsia="zh-CN"/>
        </w:rPr>
        <w:t>市政公用</w:t>
      </w:r>
      <w:r>
        <w:rPr>
          <w:rFonts w:hint="eastAsia" w:ascii="宋体" w:hAnsi="宋体"/>
          <w:b/>
          <w:bCs/>
          <w:color w:val="auto"/>
          <w:szCs w:val="21"/>
          <w:highlight w:val="none"/>
          <w:u w:val="single"/>
        </w:rPr>
        <w:t>工程专业贰级（含贰级）</w:t>
      </w:r>
      <w:r>
        <w:rPr>
          <w:rFonts w:hint="eastAsia" w:ascii="宋体" w:hAnsi="宋体"/>
          <w:color w:val="auto"/>
          <w:szCs w:val="21"/>
          <w:highlight w:val="none"/>
        </w:rPr>
        <w:t>以上的注册建造师证，持有省级或省级以上行政主管部门颁发的B类安全生产考核合格证。</w:t>
      </w:r>
    </w:p>
    <w:bookmarkEnd w:id="1"/>
    <w:p w14:paraId="521D3566">
      <w:pPr>
        <w:spacing w:line="440" w:lineRule="exact"/>
        <w:ind w:firstLine="421"/>
        <w:rPr>
          <w:rFonts w:hint="eastAsia" w:ascii="宋体" w:hAnsi="宋体"/>
          <w:color w:val="auto"/>
          <w:szCs w:val="21"/>
          <w:highlight w:val="none"/>
        </w:rPr>
      </w:pPr>
      <w:r>
        <w:rPr>
          <w:rFonts w:hint="eastAsia" w:ascii="宋体" w:hAnsi="宋体"/>
          <w:color w:val="auto"/>
          <w:szCs w:val="21"/>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100B1D2">
      <w:pPr>
        <w:pStyle w:val="28"/>
        <w:rPr>
          <w:rFonts w:hint="eastAsia" w:ascii="宋体" w:hAnsi="宋体"/>
          <w:color w:val="auto"/>
          <w:szCs w:val="21"/>
          <w:highlight w:val="none"/>
        </w:rPr>
      </w:pPr>
    </w:p>
    <w:p w14:paraId="49AE4E29">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（4）单位负责人为同一人或者存在直接控股、管理关系的不同供应商，不得参加同一合同项下的政府采</w:t>
      </w:r>
      <w:r>
        <w:rPr>
          <w:rFonts w:hint="eastAsia" w:ascii="宋体" w:hAnsi="宋体"/>
          <w:color w:val="auto"/>
          <w:szCs w:val="21"/>
          <w:highlight w:val="none"/>
          <w:lang w:eastAsia="zh-CN"/>
        </w:rPr>
        <w:t>　</w:t>
      </w:r>
      <w:r>
        <w:rPr>
          <w:rFonts w:hint="eastAsia" w:ascii="宋体" w:hAnsi="宋体"/>
          <w:color w:val="auto"/>
          <w:szCs w:val="21"/>
          <w:highlight w:val="none"/>
        </w:rPr>
        <w:t>购活动。除单一来源采购项目外，为采购项目提供整体设计、规范编制或者项目管理、监理、检测等服务的供应商，不得再参加该采购项目的其他采购活动。</w:t>
      </w:r>
    </w:p>
    <w:p w14:paraId="6E6CE5CA">
      <w:pPr>
        <w:numPr>
          <w:ilvl w:val="0"/>
          <w:numId w:val="2"/>
        </w:numPr>
        <w:spacing w:line="440" w:lineRule="exact"/>
        <w:ind w:left="-1" w:leftChars="0" w:firstLine="421" w:firstLineChars="0"/>
        <w:rPr>
          <w:rFonts w:hint="eastAsia" w:ascii="宋体" w:hAnsi="宋体"/>
          <w:color w:val="auto"/>
          <w:szCs w:val="21"/>
          <w:highlight w:val="none"/>
          <w:lang w:val="zh-CN"/>
        </w:rPr>
      </w:pPr>
      <w:r>
        <w:rPr>
          <w:rFonts w:hint="eastAsia" w:ascii="宋体" w:hAnsi="宋体"/>
          <w:color w:val="auto"/>
          <w:szCs w:val="21"/>
          <w:highlight w:val="none"/>
          <w:lang w:val="zh-CN"/>
        </w:rPr>
        <w:t>不接受未按本竞争性磋商公告要求获取采购文件的供应商竞标。</w:t>
      </w:r>
    </w:p>
    <w:p w14:paraId="4DAD6506">
      <w:pPr>
        <w:numPr>
          <w:ilvl w:val="0"/>
          <w:numId w:val="2"/>
        </w:numPr>
        <w:spacing w:line="440" w:lineRule="exact"/>
        <w:ind w:left="-1" w:leftChars="0" w:firstLine="421" w:firstLineChars="0"/>
        <w:rPr>
          <w:rFonts w:hint="eastAsia" w:ascii="宋体" w:hAnsi="宋体"/>
          <w:color w:val="auto"/>
          <w:szCs w:val="21"/>
          <w:highlight w:val="none"/>
        </w:rPr>
      </w:pPr>
      <w:r>
        <w:rPr>
          <w:rFonts w:hint="eastAsia" w:ascii="宋体" w:hAnsi="宋体"/>
          <w:color w:val="auto"/>
          <w:szCs w:val="21"/>
          <w:highlight w:val="none"/>
          <w:lang w:val="zh-CN"/>
        </w:rPr>
        <w:t>本项目不接受联合体竞标,不允许转包和分包。</w:t>
      </w:r>
    </w:p>
    <w:p w14:paraId="38770498">
      <w:pPr>
        <w:pStyle w:val="28"/>
        <w:rPr>
          <w:color w:val="auto"/>
          <w:highlight w:val="none"/>
        </w:rPr>
      </w:pPr>
    </w:p>
    <w:p w14:paraId="7F02E033">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三、获取采购文件</w:t>
      </w:r>
    </w:p>
    <w:p w14:paraId="723C358C">
      <w:pPr>
        <w:pStyle w:val="40"/>
        <w:spacing w:before="75" w:beforeAutospacing="0" w:after="75" w:afterAutospacing="0" w:line="405" w:lineRule="atLeast"/>
        <w:ind w:firstLine="420"/>
        <w:jc w:val="both"/>
        <w:rPr>
          <w:color w:val="auto"/>
          <w:kern w:val="2"/>
          <w:sz w:val="21"/>
          <w:szCs w:val="21"/>
          <w:highlight w:val="none"/>
          <w:lang w:val="zh-CN"/>
        </w:rPr>
      </w:pPr>
      <w:r>
        <w:rPr>
          <w:rFonts w:hint="eastAsia"/>
          <w:color w:val="auto"/>
          <w:kern w:val="2"/>
          <w:sz w:val="21"/>
          <w:szCs w:val="21"/>
          <w:highlight w:val="none"/>
          <w:lang w:val="zh-CN"/>
        </w:rPr>
        <w:t>时间：</w:t>
      </w:r>
      <w:r>
        <w:rPr>
          <w:rFonts w:hint="eastAsia"/>
          <w:color w:val="auto"/>
          <w:kern w:val="2"/>
          <w:sz w:val="21"/>
          <w:szCs w:val="21"/>
          <w:highlight w:val="none"/>
          <w:lang w:val="zh-CN"/>
        </w:rPr>
        <w:t>202</w:t>
      </w:r>
      <w:r>
        <w:rPr>
          <w:rFonts w:hint="eastAsia"/>
          <w:color w:val="auto"/>
          <w:kern w:val="2"/>
          <w:sz w:val="21"/>
          <w:szCs w:val="21"/>
          <w:highlight w:val="none"/>
          <w:lang w:val="en-US" w:eastAsia="zh-CN"/>
        </w:rPr>
        <w:t>5</w:t>
      </w:r>
      <w:r>
        <w:rPr>
          <w:rFonts w:hint="eastAsia"/>
          <w:color w:val="auto"/>
          <w:kern w:val="2"/>
          <w:sz w:val="21"/>
          <w:szCs w:val="21"/>
          <w:highlight w:val="none"/>
          <w:lang w:val="zh-CN"/>
        </w:rPr>
        <w:t>年</w:t>
      </w:r>
      <w:r>
        <w:rPr>
          <w:rFonts w:hint="eastAsia"/>
          <w:color w:val="auto"/>
          <w:kern w:val="2"/>
          <w:sz w:val="21"/>
          <w:szCs w:val="21"/>
          <w:highlight w:val="none"/>
          <w:lang w:val="en-US" w:eastAsia="zh-CN"/>
        </w:rPr>
        <w:t>4</w:t>
      </w:r>
      <w:r>
        <w:rPr>
          <w:rFonts w:hint="eastAsia"/>
          <w:color w:val="auto"/>
          <w:kern w:val="2"/>
          <w:sz w:val="21"/>
          <w:szCs w:val="21"/>
          <w:highlight w:val="none"/>
          <w:lang w:val="zh-CN"/>
        </w:rPr>
        <w:t>月</w:t>
      </w:r>
      <w:r>
        <w:rPr>
          <w:rFonts w:hint="eastAsia"/>
          <w:color w:val="auto"/>
          <w:kern w:val="2"/>
          <w:sz w:val="21"/>
          <w:szCs w:val="21"/>
          <w:highlight w:val="none"/>
          <w:lang w:val="en-US" w:eastAsia="zh-CN"/>
        </w:rPr>
        <w:t>14</w:t>
      </w:r>
      <w:r>
        <w:rPr>
          <w:rFonts w:hint="eastAsia"/>
          <w:color w:val="auto"/>
          <w:kern w:val="2"/>
          <w:sz w:val="21"/>
          <w:szCs w:val="21"/>
          <w:highlight w:val="none"/>
          <w:lang w:val="zh-CN"/>
        </w:rPr>
        <w:t>日</w:t>
      </w:r>
      <w:r>
        <w:rPr>
          <w:rFonts w:hint="eastAsia"/>
          <w:color w:val="auto"/>
          <w:kern w:val="2"/>
          <w:sz w:val="21"/>
          <w:szCs w:val="21"/>
          <w:highlight w:val="none"/>
        </w:rPr>
        <w:t>起</w:t>
      </w:r>
      <w:r>
        <w:rPr>
          <w:rFonts w:hint="eastAsia"/>
          <w:color w:val="auto"/>
          <w:kern w:val="2"/>
          <w:sz w:val="21"/>
          <w:szCs w:val="21"/>
          <w:highlight w:val="none"/>
          <w:lang w:val="zh-CN"/>
        </w:rPr>
        <w:t>至</w:t>
      </w:r>
      <w:r>
        <w:rPr>
          <w:rFonts w:hint="eastAsia"/>
          <w:color w:val="auto"/>
          <w:kern w:val="2"/>
          <w:sz w:val="21"/>
          <w:szCs w:val="21"/>
          <w:highlight w:val="none"/>
          <w:lang w:val="zh-CN"/>
        </w:rPr>
        <w:t>202</w:t>
      </w:r>
      <w:r>
        <w:rPr>
          <w:rFonts w:hint="eastAsia"/>
          <w:color w:val="auto"/>
          <w:kern w:val="2"/>
          <w:sz w:val="21"/>
          <w:szCs w:val="21"/>
          <w:highlight w:val="none"/>
          <w:lang w:val="en-US" w:eastAsia="zh-CN"/>
        </w:rPr>
        <w:t>5</w:t>
      </w:r>
      <w:r>
        <w:rPr>
          <w:rFonts w:hint="eastAsia"/>
          <w:color w:val="auto"/>
          <w:kern w:val="2"/>
          <w:sz w:val="21"/>
          <w:szCs w:val="21"/>
          <w:highlight w:val="none"/>
          <w:lang w:val="zh-CN"/>
        </w:rPr>
        <w:t>年</w:t>
      </w:r>
      <w:r>
        <w:rPr>
          <w:rFonts w:hint="eastAsia"/>
          <w:color w:val="auto"/>
          <w:kern w:val="2"/>
          <w:sz w:val="21"/>
          <w:szCs w:val="21"/>
          <w:highlight w:val="none"/>
          <w:lang w:val="en-US" w:eastAsia="zh-CN"/>
        </w:rPr>
        <w:t>4</w:t>
      </w:r>
      <w:r>
        <w:rPr>
          <w:rFonts w:hint="eastAsia"/>
          <w:color w:val="auto"/>
          <w:kern w:val="2"/>
          <w:sz w:val="21"/>
          <w:szCs w:val="21"/>
          <w:highlight w:val="none"/>
          <w:lang w:val="zh-CN"/>
        </w:rPr>
        <w:t>月</w:t>
      </w:r>
      <w:r>
        <w:rPr>
          <w:rFonts w:hint="eastAsia"/>
          <w:color w:val="auto"/>
          <w:kern w:val="2"/>
          <w:sz w:val="21"/>
          <w:szCs w:val="21"/>
          <w:highlight w:val="none"/>
          <w:lang w:val="en-US" w:eastAsia="zh-CN"/>
        </w:rPr>
        <w:t>21</w:t>
      </w:r>
      <w:r>
        <w:rPr>
          <w:rFonts w:hint="eastAsia"/>
          <w:color w:val="auto"/>
          <w:kern w:val="2"/>
          <w:sz w:val="21"/>
          <w:szCs w:val="21"/>
          <w:highlight w:val="none"/>
          <w:lang w:val="zh-CN"/>
        </w:rPr>
        <w:t>日止</w:t>
      </w:r>
      <w:r>
        <w:rPr>
          <w:rFonts w:hint="eastAsia"/>
          <w:color w:val="auto"/>
          <w:kern w:val="2"/>
          <w:sz w:val="21"/>
          <w:szCs w:val="21"/>
          <w:highlight w:val="none"/>
          <w:lang w:val="zh-CN"/>
        </w:rPr>
        <w:t>（工作日），每天上午8:00至12:00，下午15:00至1</w:t>
      </w:r>
      <w:r>
        <w:rPr>
          <w:rFonts w:hint="eastAsia"/>
          <w:color w:val="auto"/>
          <w:kern w:val="2"/>
          <w:sz w:val="21"/>
          <w:szCs w:val="21"/>
          <w:highlight w:val="none"/>
        </w:rPr>
        <w:t>7</w:t>
      </w:r>
      <w:r>
        <w:rPr>
          <w:rFonts w:hint="eastAsia"/>
          <w:color w:val="auto"/>
          <w:kern w:val="2"/>
          <w:sz w:val="21"/>
          <w:szCs w:val="21"/>
          <w:highlight w:val="none"/>
          <w:lang w:val="zh-CN"/>
        </w:rPr>
        <w:t>:</w:t>
      </w:r>
      <w:r>
        <w:rPr>
          <w:rFonts w:hint="eastAsia"/>
          <w:color w:val="auto"/>
          <w:kern w:val="2"/>
          <w:sz w:val="21"/>
          <w:szCs w:val="21"/>
          <w:highlight w:val="none"/>
        </w:rPr>
        <w:t>3</w:t>
      </w:r>
      <w:r>
        <w:rPr>
          <w:rFonts w:hint="eastAsia"/>
          <w:color w:val="auto"/>
          <w:kern w:val="2"/>
          <w:sz w:val="21"/>
          <w:szCs w:val="21"/>
          <w:highlight w:val="none"/>
          <w:lang w:val="zh-CN"/>
        </w:rPr>
        <w:t>0（北京时间，法定节假日除外）</w:t>
      </w:r>
    </w:p>
    <w:p w14:paraId="44B9C81E">
      <w:pPr>
        <w:pStyle w:val="40"/>
        <w:spacing w:before="75" w:beforeAutospacing="0" w:after="75" w:afterAutospacing="0" w:line="405" w:lineRule="atLeast"/>
        <w:ind w:firstLine="420"/>
        <w:jc w:val="both"/>
        <w:rPr>
          <w:color w:val="auto"/>
          <w:kern w:val="2"/>
          <w:sz w:val="21"/>
          <w:szCs w:val="21"/>
          <w:highlight w:val="none"/>
          <w:lang w:val="zh-CN"/>
        </w:rPr>
      </w:pPr>
      <w:r>
        <w:rPr>
          <w:rFonts w:hint="eastAsia"/>
          <w:color w:val="auto"/>
          <w:kern w:val="2"/>
          <w:sz w:val="21"/>
          <w:szCs w:val="21"/>
          <w:highlight w:val="none"/>
          <w:lang w:val="zh-CN"/>
        </w:rPr>
        <w:t>2.获取方式：实行供应商实名制在线免费获取竞争性磋商文件。</w:t>
      </w:r>
    </w:p>
    <w:p w14:paraId="46091FA0">
      <w:pPr>
        <w:pStyle w:val="40"/>
        <w:spacing w:before="75" w:beforeAutospacing="0" w:after="75" w:afterAutospacing="0" w:line="405" w:lineRule="atLeast"/>
        <w:ind w:firstLine="420"/>
        <w:jc w:val="both"/>
        <w:rPr>
          <w:color w:val="auto"/>
          <w:kern w:val="2"/>
          <w:sz w:val="21"/>
          <w:szCs w:val="21"/>
          <w:highlight w:val="none"/>
          <w:lang w:val="zh-CN"/>
        </w:rPr>
      </w:pPr>
      <w:r>
        <w:rPr>
          <w:rFonts w:hint="eastAsia"/>
          <w:color w:val="auto"/>
          <w:kern w:val="2"/>
          <w:sz w:val="21"/>
          <w:szCs w:val="21"/>
          <w:highlight w:val="none"/>
          <w:lang w:val="zh-CN"/>
        </w:rPr>
        <w:t>注：（1)供应商须登录广西政府采购云平台https://www.gcy.zfcg.gxzf.gov.cn在“供应商入驻”完成账号注册后，登录广西政府采购云平台“项目采购——获取采购文件”模块自行下载竞争性磋商文件。</w:t>
      </w:r>
    </w:p>
    <w:p w14:paraId="4ED7B76B">
      <w:pPr>
        <w:pStyle w:val="40"/>
        <w:spacing w:before="75" w:beforeAutospacing="0" w:after="75" w:afterAutospacing="0" w:line="405" w:lineRule="atLeast"/>
        <w:ind w:firstLine="420"/>
        <w:jc w:val="both"/>
        <w:rPr>
          <w:color w:val="auto"/>
          <w:kern w:val="2"/>
          <w:sz w:val="21"/>
          <w:szCs w:val="21"/>
          <w:highlight w:val="none"/>
          <w:lang w:val="zh-CN"/>
        </w:rPr>
      </w:pPr>
      <w:r>
        <w:rPr>
          <w:rFonts w:hint="eastAsia"/>
          <w:color w:val="auto"/>
          <w:kern w:val="2"/>
          <w:sz w:val="21"/>
          <w:szCs w:val="21"/>
          <w:highlight w:val="none"/>
          <w:lang w:val="zh-CN"/>
        </w:rPr>
        <w:t>(2)已获取竞争性磋商文件的供应商不等于符合本项目的供应商资格条件。</w:t>
      </w:r>
    </w:p>
    <w:p w14:paraId="00F24FD6">
      <w:pPr>
        <w:pStyle w:val="40"/>
        <w:spacing w:before="75" w:beforeAutospacing="0" w:after="75" w:afterAutospacing="0" w:line="405" w:lineRule="atLeast"/>
        <w:ind w:firstLine="420"/>
        <w:jc w:val="both"/>
        <w:rPr>
          <w:color w:val="auto"/>
          <w:kern w:val="2"/>
          <w:sz w:val="21"/>
          <w:szCs w:val="21"/>
          <w:highlight w:val="none"/>
        </w:rPr>
      </w:pPr>
      <w:r>
        <w:rPr>
          <w:rFonts w:hint="eastAsia"/>
          <w:color w:val="auto"/>
          <w:kern w:val="2"/>
          <w:sz w:val="21"/>
          <w:szCs w:val="21"/>
          <w:highlight w:val="none"/>
          <w:lang w:val="zh-CN"/>
        </w:rPr>
        <w:t>(3)如在广西政府采购云平台操作过程中遇到问题或者需要技术支持，请致电广西政府采购云客服热线：400-881-7190。</w:t>
      </w:r>
    </w:p>
    <w:p w14:paraId="2BF07490">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提示</w:t>
      </w:r>
      <w:r>
        <w:rPr>
          <w:rFonts w:ascii="宋体" w:hAnsi="宋体" w:cs="宋体"/>
          <w:color w:val="auto"/>
          <w:kern w:val="0"/>
          <w:szCs w:val="21"/>
          <w:highlight w:val="none"/>
        </w:rPr>
        <w:t>：</w:t>
      </w:r>
    </w:p>
    <w:p w14:paraId="4DBE7615">
      <w:pPr>
        <w:widowControl/>
        <w:numPr>
          <w:ilvl w:val="0"/>
          <w:numId w:val="3"/>
        </w:num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供应商在“</w:t>
      </w:r>
      <w:r>
        <w:rPr>
          <w:rFonts w:hint="eastAsia" w:ascii="宋体" w:hAnsi="宋体"/>
          <w:color w:val="auto"/>
          <w:szCs w:val="21"/>
          <w:highlight w:val="none"/>
          <w:lang w:eastAsia="zh-CN"/>
        </w:rPr>
        <w:t>广西政府采购云</w:t>
      </w:r>
      <w:r>
        <w:rPr>
          <w:rFonts w:hint="eastAsia" w:ascii="宋体" w:hAnsi="宋体"/>
          <w:color w:val="auto"/>
          <w:szCs w:val="21"/>
          <w:highlight w:val="none"/>
        </w:rPr>
        <w:t>平台”“获取采购文件”时填写的联系人手机号应当为磋商代表的手机号。</w:t>
      </w:r>
    </w:p>
    <w:p w14:paraId="327E6466">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供应商</w:t>
      </w:r>
      <w:r>
        <w:rPr>
          <w:rFonts w:ascii="宋体" w:hAnsi="宋体" w:cs="宋体"/>
          <w:color w:val="auto"/>
          <w:kern w:val="0"/>
          <w:szCs w:val="21"/>
          <w:highlight w:val="none"/>
        </w:rPr>
        <w:t>只有在“</w:t>
      </w:r>
      <w:r>
        <w:rPr>
          <w:rFonts w:hint="eastAsia" w:ascii="宋体" w:hAnsi="宋体" w:cs="宋体"/>
          <w:color w:val="auto"/>
          <w:kern w:val="0"/>
          <w:szCs w:val="21"/>
          <w:highlight w:val="none"/>
          <w:lang w:eastAsia="zh-CN"/>
        </w:rPr>
        <w:t>广西政府采购云</w:t>
      </w:r>
      <w:r>
        <w:rPr>
          <w:rFonts w:ascii="宋体" w:hAnsi="宋体" w:cs="宋体"/>
          <w:color w:val="auto"/>
          <w:kern w:val="0"/>
          <w:szCs w:val="21"/>
          <w:highlight w:val="none"/>
        </w:rPr>
        <w:t>平台”完成获取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文件申请并下载了</w:t>
      </w:r>
      <w:r>
        <w:rPr>
          <w:rFonts w:hint="eastAsia" w:ascii="宋体" w:hAnsi="宋体" w:cs="宋体"/>
          <w:color w:val="auto"/>
          <w:kern w:val="0"/>
          <w:szCs w:val="21"/>
          <w:highlight w:val="none"/>
        </w:rPr>
        <w:t>磋商</w:t>
      </w:r>
      <w:r>
        <w:rPr>
          <w:rFonts w:ascii="宋体" w:hAnsi="宋体" w:cs="宋体"/>
          <w:color w:val="auto"/>
          <w:kern w:val="0"/>
          <w:szCs w:val="21"/>
          <w:highlight w:val="none"/>
        </w:rPr>
        <w:t>文件后才视作依法获取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文件（法律法规所指的</w:t>
      </w:r>
      <w:r>
        <w:rPr>
          <w:rFonts w:hint="eastAsia" w:ascii="宋体" w:hAnsi="宋体" w:cs="宋体"/>
          <w:color w:val="auto"/>
          <w:kern w:val="0"/>
          <w:szCs w:val="21"/>
          <w:highlight w:val="none"/>
        </w:rPr>
        <w:t>供应商</w:t>
      </w:r>
      <w:r>
        <w:rPr>
          <w:rFonts w:ascii="宋体" w:hAnsi="宋体" w:cs="宋体"/>
          <w:color w:val="auto"/>
          <w:kern w:val="0"/>
          <w:szCs w:val="21"/>
          <w:highlight w:val="none"/>
        </w:rPr>
        <w:t>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文件时间以</w:t>
      </w:r>
      <w:r>
        <w:rPr>
          <w:rFonts w:hint="eastAsia" w:ascii="宋体" w:hAnsi="宋体" w:cs="宋体"/>
          <w:color w:val="auto"/>
          <w:kern w:val="0"/>
          <w:szCs w:val="21"/>
          <w:highlight w:val="none"/>
        </w:rPr>
        <w:t>供应商</w:t>
      </w:r>
      <w:r>
        <w:rPr>
          <w:rFonts w:ascii="宋体" w:hAnsi="宋体" w:cs="宋体"/>
          <w:color w:val="auto"/>
          <w:kern w:val="0"/>
          <w:szCs w:val="21"/>
          <w:highlight w:val="none"/>
        </w:rPr>
        <w:t>完成获取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文件申请后下载</w:t>
      </w:r>
      <w:r>
        <w:rPr>
          <w:rFonts w:hint="eastAsia" w:ascii="宋体" w:hAnsi="宋体" w:cs="宋体"/>
          <w:color w:val="auto"/>
          <w:kern w:val="0"/>
          <w:szCs w:val="21"/>
          <w:highlight w:val="none"/>
        </w:rPr>
        <w:t>磋商</w:t>
      </w:r>
      <w:r>
        <w:rPr>
          <w:rFonts w:ascii="宋体" w:hAnsi="宋体" w:cs="宋体"/>
          <w:color w:val="auto"/>
          <w:kern w:val="0"/>
          <w:szCs w:val="21"/>
          <w:highlight w:val="none"/>
        </w:rPr>
        <w:t>文件的时间为准）</w:t>
      </w:r>
      <w:r>
        <w:rPr>
          <w:rFonts w:hint="eastAsia" w:ascii="宋体" w:hAnsi="宋体" w:cs="宋体"/>
          <w:color w:val="auto"/>
          <w:kern w:val="0"/>
          <w:szCs w:val="21"/>
          <w:highlight w:val="none"/>
        </w:rPr>
        <w:t>。</w:t>
      </w:r>
    </w:p>
    <w:p w14:paraId="4A8EDFEE">
      <w:pPr>
        <w:spacing w:line="440" w:lineRule="exact"/>
        <w:ind w:firstLine="422" w:firstLineChars="200"/>
        <w:rPr>
          <w:rFonts w:ascii="宋体" w:hAnsi="宋体"/>
          <w:b/>
          <w:color w:val="auto"/>
          <w:szCs w:val="21"/>
          <w:highlight w:val="none"/>
        </w:rPr>
      </w:pPr>
      <w:bookmarkStart w:id="2" w:name="_Hlk87630394"/>
      <w:r>
        <w:rPr>
          <w:rFonts w:hint="eastAsia" w:ascii="宋体" w:hAnsi="宋体"/>
          <w:b/>
          <w:color w:val="auto"/>
          <w:szCs w:val="21"/>
          <w:highlight w:val="none"/>
        </w:rPr>
        <w:t>四、响应文件提交</w:t>
      </w:r>
    </w:p>
    <w:p w14:paraId="085A5C1F">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截止时间：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25</w:t>
      </w:r>
      <w:r>
        <w:rPr>
          <w:rFonts w:hint="eastAsia" w:ascii="宋体" w:hAnsi="宋体"/>
          <w:color w:val="auto"/>
          <w:szCs w:val="21"/>
          <w:highlight w:val="none"/>
        </w:rPr>
        <w:t>日</w:t>
      </w:r>
      <w:r>
        <w:rPr>
          <w:rFonts w:hint="eastAsia" w:ascii="宋体" w:hAnsi="宋体"/>
          <w:color w:val="auto"/>
          <w:szCs w:val="21"/>
          <w:highlight w:val="none"/>
          <w:lang w:eastAsia="zh-CN"/>
        </w:rPr>
        <w:t>北京时间</w:t>
      </w:r>
      <w:r>
        <w:rPr>
          <w:rFonts w:hint="eastAsia" w:ascii="宋体" w:hAnsi="宋体"/>
          <w:color w:val="auto"/>
          <w:szCs w:val="21"/>
          <w:highlight w:val="none"/>
          <w:lang w:val="en-US" w:eastAsia="zh-CN"/>
        </w:rPr>
        <w:t>09</w:t>
      </w:r>
      <w:r>
        <w:rPr>
          <w:rFonts w:hint="eastAsia" w:ascii="宋体" w:hAnsi="宋体"/>
          <w:color w:val="auto"/>
          <w:szCs w:val="21"/>
          <w:highlight w:val="none"/>
          <w:lang w:eastAsia="zh-CN"/>
        </w:rPr>
        <w:t>时</w:t>
      </w:r>
      <w:r>
        <w:rPr>
          <w:rFonts w:hint="eastAsia" w:ascii="宋体" w:hAnsi="宋体"/>
          <w:color w:val="auto"/>
          <w:szCs w:val="21"/>
          <w:highlight w:val="none"/>
          <w:lang w:val="en-US" w:eastAsia="zh-CN"/>
        </w:rPr>
        <w:t>3</w:t>
      </w:r>
      <w:r>
        <w:rPr>
          <w:rFonts w:hint="eastAsia" w:ascii="宋体" w:hAnsi="宋体"/>
          <w:color w:val="auto"/>
          <w:szCs w:val="21"/>
          <w:highlight w:val="none"/>
        </w:rPr>
        <w:t>0</w:t>
      </w:r>
      <w:r>
        <w:rPr>
          <w:rFonts w:hint="eastAsia" w:ascii="宋体" w:hAnsi="宋体"/>
          <w:color w:val="auto"/>
          <w:szCs w:val="21"/>
          <w:highlight w:val="none"/>
          <w:lang w:eastAsia="zh-CN"/>
        </w:rPr>
        <w:t>分</w:t>
      </w:r>
      <w:r>
        <w:rPr>
          <w:rFonts w:hint="eastAsia" w:ascii="宋体" w:hAnsi="宋体"/>
          <w:color w:val="auto"/>
          <w:szCs w:val="21"/>
          <w:highlight w:val="none"/>
        </w:rPr>
        <w:t>。</w:t>
      </w:r>
    </w:p>
    <w:p w14:paraId="44976017">
      <w:pPr>
        <w:spacing w:line="440" w:lineRule="exact"/>
        <w:ind w:firstLine="420" w:firstLineChars="200"/>
        <w:rPr>
          <w:rFonts w:ascii="宋体" w:hAnsi="宋体"/>
          <w:b/>
          <w:color w:val="auto"/>
          <w:szCs w:val="21"/>
          <w:highlight w:val="none"/>
        </w:rPr>
      </w:pPr>
      <w:r>
        <w:rPr>
          <w:rFonts w:hint="eastAsia" w:ascii="宋体" w:hAnsi="宋体"/>
          <w:color w:val="auto"/>
          <w:szCs w:val="21"/>
          <w:highlight w:val="none"/>
        </w:rPr>
        <w:t>地点</w:t>
      </w:r>
      <w:r>
        <w:rPr>
          <w:rFonts w:ascii="宋体" w:hAnsi="宋体"/>
          <w:color w:val="auto"/>
          <w:szCs w:val="21"/>
          <w:highlight w:val="none"/>
        </w:rPr>
        <w:t>（网址）：通过</w:t>
      </w:r>
      <w:r>
        <w:rPr>
          <w:rFonts w:hint="eastAsia" w:ascii="宋体" w:hAnsi="宋体"/>
          <w:color w:val="auto"/>
          <w:szCs w:val="21"/>
          <w:highlight w:val="none"/>
          <w:lang w:eastAsia="zh-CN"/>
        </w:rPr>
        <w:t>广西政府采购云</w:t>
      </w:r>
      <w:r>
        <w:rPr>
          <w:rFonts w:ascii="宋体" w:hAnsi="宋体"/>
          <w:color w:val="auto"/>
          <w:szCs w:val="21"/>
          <w:highlight w:val="none"/>
        </w:rPr>
        <w:t>平台在线提交</w:t>
      </w:r>
      <w:r>
        <w:rPr>
          <w:rFonts w:hint="eastAsia" w:ascii="宋体" w:hAnsi="宋体"/>
          <w:color w:val="auto"/>
          <w:szCs w:val="21"/>
          <w:highlight w:val="none"/>
        </w:rPr>
        <w:t>。</w:t>
      </w:r>
    </w:p>
    <w:bookmarkEnd w:id="2"/>
    <w:p w14:paraId="5E19677D">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五、开启</w:t>
      </w:r>
    </w:p>
    <w:p w14:paraId="6A81FB3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25</w:t>
      </w:r>
      <w:r>
        <w:rPr>
          <w:rFonts w:hint="eastAsia" w:ascii="宋体" w:hAnsi="宋体"/>
          <w:color w:val="auto"/>
          <w:szCs w:val="21"/>
          <w:highlight w:val="none"/>
        </w:rPr>
        <w:t>日</w:t>
      </w:r>
      <w:r>
        <w:rPr>
          <w:rFonts w:hint="eastAsia" w:ascii="宋体" w:hAnsi="宋体"/>
          <w:color w:val="auto"/>
          <w:szCs w:val="21"/>
          <w:highlight w:val="none"/>
          <w:lang w:eastAsia="zh-CN"/>
        </w:rPr>
        <w:t>北京时间</w:t>
      </w:r>
      <w:r>
        <w:rPr>
          <w:rFonts w:hint="eastAsia" w:ascii="宋体" w:hAnsi="宋体"/>
          <w:color w:val="auto"/>
          <w:szCs w:val="21"/>
          <w:highlight w:val="none"/>
          <w:lang w:val="en-US" w:eastAsia="zh-CN"/>
        </w:rPr>
        <w:t>09</w:t>
      </w:r>
      <w:r>
        <w:rPr>
          <w:rFonts w:hint="eastAsia" w:ascii="宋体" w:hAnsi="宋体"/>
          <w:color w:val="auto"/>
          <w:szCs w:val="21"/>
          <w:highlight w:val="none"/>
          <w:lang w:eastAsia="zh-CN"/>
        </w:rPr>
        <w:t>时</w:t>
      </w:r>
      <w:r>
        <w:rPr>
          <w:rFonts w:hint="eastAsia" w:ascii="宋体" w:hAnsi="宋体"/>
          <w:color w:val="auto"/>
          <w:szCs w:val="21"/>
          <w:highlight w:val="none"/>
          <w:lang w:val="en-US" w:eastAsia="zh-CN"/>
        </w:rPr>
        <w:t>3</w:t>
      </w:r>
      <w:r>
        <w:rPr>
          <w:rFonts w:hint="eastAsia" w:ascii="宋体" w:hAnsi="宋体"/>
          <w:color w:val="auto"/>
          <w:szCs w:val="21"/>
          <w:highlight w:val="none"/>
        </w:rPr>
        <w:t>0</w:t>
      </w:r>
      <w:r>
        <w:rPr>
          <w:rFonts w:hint="eastAsia" w:ascii="宋体" w:hAnsi="宋体"/>
          <w:color w:val="auto"/>
          <w:szCs w:val="21"/>
          <w:highlight w:val="none"/>
          <w:lang w:eastAsia="zh-CN"/>
        </w:rPr>
        <w:t>分</w:t>
      </w:r>
      <w:r>
        <w:rPr>
          <w:rFonts w:hint="eastAsia" w:ascii="宋体" w:hAnsi="宋体"/>
          <w:color w:val="auto"/>
          <w:szCs w:val="21"/>
          <w:highlight w:val="none"/>
        </w:rPr>
        <w:t>后。</w:t>
      </w:r>
    </w:p>
    <w:p w14:paraId="0B9A0769">
      <w:pPr>
        <w:spacing w:line="440" w:lineRule="exact"/>
        <w:ind w:firstLine="420" w:firstLineChars="200"/>
        <w:rPr>
          <w:rFonts w:ascii="宋体" w:hAnsi="宋体"/>
          <w:color w:val="auto"/>
          <w:kern w:val="0"/>
          <w:szCs w:val="21"/>
          <w:highlight w:val="none"/>
        </w:rPr>
      </w:pPr>
      <w:r>
        <w:rPr>
          <w:rFonts w:hint="eastAsia" w:ascii="宋体" w:hAnsi="宋体"/>
          <w:color w:val="auto"/>
          <w:szCs w:val="21"/>
          <w:highlight w:val="none"/>
        </w:rPr>
        <w:t>地点</w:t>
      </w:r>
      <w:r>
        <w:rPr>
          <w:rFonts w:ascii="宋体" w:hAnsi="宋体"/>
          <w:color w:val="auto"/>
          <w:szCs w:val="21"/>
          <w:highlight w:val="none"/>
        </w:rPr>
        <w:t>（网址）</w:t>
      </w:r>
      <w:r>
        <w:rPr>
          <w:rFonts w:hint="eastAsia" w:ascii="宋体" w:hAnsi="宋体"/>
          <w:color w:val="auto"/>
          <w:szCs w:val="21"/>
          <w:highlight w:val="none"/>
        </w:rPr>
        <w:t>：</w:t>
      </w:r>
      <w:r>
        <w:rPr>
          <w:rFonts w:ascii="宋体" w:hAnsi="宋体"/>
          <w:color w:val="auto"/>
          <w:szCs w:val="21"/>
          <w:highlight w:val="none"/>
        </w:rPr>
        <w:t>通过</w:t>
      </w:r>
      <w:r>
        <w:rPr>
          <w:rFonts w:hint="eastAsia" w:ascii="宋体" w:hAnsi="宋体"/>
          <w:color w:val="auto"/>
          <w:szCs w:val="21"/>
          <w:highlight w:val="none"/>
          <w:lang w:eastAsia="zh-CN"/>
        </w:rPr>
        <w:t>广西政府采购云</w:t>
      </w:r>
      <w:r>
        <w:rPr>
          <w:rFonts w:ascii="宋体" w:hAnsi="宋体"/>
          <w:color w:val="auto"/>
          <w:szCs w:val="21"/>
          <w:highlight w:val="none"/>
        </w:rPr>
        <w:t>平台在线解密开启。 </w:t>
      </w:r>
    </w:p>
    <w:p w14:paraId="6005F3C4">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六、公告期限：</w:t>
      </w:r>
    </w:p>
    <w:p w14:paraId="3CBC8F4F">
      <w:pPr>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自本公告发布之日起</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个工作日。</w:t>
      </w:r>
    </w:p>
    <w:p w14:paraId="60CB7939">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七、其他补充事宜：</w:t>
      </w:r>
    </w:p>
    <w:p w14:paraId="3BC74E6C">
      <w:pPr>
        <w:spacing w:line="440" w:lineRule="exact"/>
        <w:ind w:firstLine="420" w:firstLineChars="200"/>
        <w:rPr>
          <w:rFonts w:ascii="宋体" w:hAnsi="宋体"/>
          <w:b/>
          <w:color w:val="auto"/>
          <w:szCs w:val="21"/>
          <w:highlight w:val="none"/>
        </w:rPr>
      </w:pPr>
      <w:r>
        <w:rPr>
          <w:rFonts w:ascii="宋体" w:hAnsi="宋体"/>
          <w:color w:val="auto"/>
          <w:kern w:val="0"/>
          <w:szCs w:val="21"/>
          <w:highlight w:val="none"/>
        </w:rPr>
        <w:t>1.本项目不收取磋商保证金。</w:t>
      </w:r>
    </w:p>
    <w:p w14:paraId="00588E63">
      <w:pPr>
        <w:autoSpaceDE w:val="0"/>
        <w:autoSpaceDN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2.本项目需要落实的政府采购政策：（1）本项目属于专门面向中小企业采购的项目，供应商应为符合《政府采购促进中小企业发展管理办法》（财库〔2020〕46 号）、《关于政府采购支持监狱企业发展有关问题的通知》（财库〔2014〕68 号）、《关于促进残疾人就业政府采购政策的通知》（财库〔2017〕141 号）等规定的条件的中小微企业，或监狱企业，或残疾人福利性单位。</w:t>
      </w:r>
    </w:p>
    <w:p w14:paraId="0D32AB22">
      <w:pPr>
        <w:autoSpaceDE w:val="0"/>
        <w:autoSpaceDN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（2）专门面向中小企业预留份额为：100%。</w:t>
      </w:r>
    </w:p>
    <w:p w14:paraId="5BC77599">
      <w:pPr>
        <w:autoSpaceDE w:val="0"/>
        <w:autoSpaceDN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（3）本项目属于专门面向中小企业采购的项目或者采购包，不再执行价格评审优惠的扶持政策。</w:t>
      </w:r>
    </w:p>
    <w:p w14:paraId="0E59A463">
      <w:pPr>
        <w:autoSpaceDE w:val="0"/>
        <w:autoSpaceDN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本项目属于专门面向中小企业采购的项目，依据《政府采购促进中小企业发展管理办法》规定享受扶持政策获得政府采购合同的，小微企业不得将合同分包给大中型企业，中型企业不得将合同分包给大型企业。</w:t>
      </w:r>
    </w:p>
    <w:p w14:paraId="0DBCC889">
      <w:pPr>
        <w:autoSpaceDE w:val="0"/>
        <w:autoSpaceDN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3.网上公告媒体查询：中国政府采购网、广西壮族自治区政府采购网、广西玉林市玉州区人民政府门户网站。</w:t>
      </w:r>
    </w:p>
    <w:p w14:paraId="2C98CCC7">
      <w:pPr>
        <w:widowControl/>
        <w:spacing w:line="460" w:lineRule="exact"/>
        <w:ind w:firstLine="420" w:firstLineChars="200"/>
        <w:jc w:val="left"/>
        <w:rPr>
          <w:rFonts w:ascii="宋体" w:hAnsi="宋体" w:cs="Arial"/>
          <w:color w:val="auto"/>
          <w:kern w:val="0"/>
          <w:szCs w:val="21"/>
          <w:highlight w:val="none"/>
        </w:rPr>
      </w:pPr>
      <w:r>
        <w:rPr>
          <w:rFonts w:hint="eastAsia" w:ascii="宋体" w:hAnsi="宋体"/>
          <w:color w:val="auto"/>
          <w:szCs w:val="21"/>
          <w:highlight w:val="none"/>
        </w:rPr>
        <w:t>4.</w:t>
      </w:r>
      <w:r>
        <w:rPr>
          <w:rFonts w:hint="eastAsia" w:ascii="宋体" w:hAnsi="宋体" w:cs="Arial"/>
          <w:color w:val="auto"/>
          <w:kern w:val="0"/>
          <w:szCs w:val="21"/>
          <w:highlight w:val="none"/>
        </w:rPr>
        <w:t>在线响应（网上</w:t>
      </w:r>
      <w:r>
        <w:rPr>
          <w:rFonts w:ascii="宋体" w:hAnsi="宋体" w:cs="Arial"/>
          <w:color w:val="auto"/>
          <w:kern w:val="0"/>
          <w:szCs w:val="21"/>
          <w:highlight w:val="none"/>
        </w:rPr>
        <w:t>磋商</w:t>
      </w:r>
      <w:r>
        <w:rPr>
          <w:rFonts w:hint="eastAsia" w:ascii="宋体" w:hAnsi="宋体" w:cs="Arial"/>
          <w:color w:val="auto"/>
          <w:kern w:val="0"/>
          <w:szCs w:val="21"/>
          <w:highlight w:val="none"/>
        </w:rPr>
        <w:t>）说明</w:t>
      </w:r>
    </w:p>
    <w:p w14:paraId="2B1406E4">
      <w:pPr>
        <w:spacing w:line="44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（1）本项目通过</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平台实行在线投标响应（电子投标），供应商需要先安装“</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电子交易客户端”，并按照本竞争性磋商采购文件和</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平台的要求，通过“</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电子交易客户端”编制并加密响应文件。供应商未按规定编制并加密的响应文件，</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平台将予以拒收。“</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电子交易客户端”请自行前往广西政府采购网下载并安装；电子投标具体操作流程参考《政府采购项目电子交易管理操作指南-供应商》；在使用</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投标客户端时，建议使用WIN7及以上操作系统，通过</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平台参与在线投标时如遇平台技术问题详询400-881-7190。</w:t>
      </w:r>
      <w:r>
        <w:rPr>
          <w:rFonts w:hint="eastAsia" w:ascii="宋体" w:hAnsi="宋体"/>
          <w:b w:val="0"/>
          <w:bCs/>
          <w:color w:val="auto"/>
          <w:szCs w:val="21"/>
          <w:highlight w:val="none"/>
        </w:rPr>
        <w:br w:type="textWrapping"/>
      </w:r>
      <w:r>
        <w:rPr>
          <w:rFonts w:hint="eastAsia" w:ascii="宋体" w:hAnsi="宋体"/>
          <w:b w:val="0"/>
          <w:bCs/>
          <w:color w:val="auto"/>
          <w:szCs w:val="21"/>
          <w:highlight w:val="none"/>
          <w:lang w:val="en-US" w:eastAsia="zh-CN"/>
        </w:rPr>
        <w:t xml:space="preserve">    </w:t>
      </w:r>
      <w:r>
        <w:rPr>
          <w:rFonts w:hint="eastAsia" w:ascii="宋体" w:hAnsi="宋体"/>
          <w:b w:val="0"/>
          <w:bCs/>
          <w:color w:val="auto"/>
          <w:szCs w:val="21"/>
          <w:highlight w:val="none"/>
        </w:rPr>
        <w:t>（2）为确保网上操作合法、有效和安全，磋商供应商应当在开标截止时间前完成在“政府采购云平台”的身份认证，确保在电子投标过程中能够对相关数据电文进行加密和使用电子签章。使用“</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电子交易客户端”需要提前申领CA数字证书，申领流程请自行前往相关网站进行查阅（完成CA数字证书办理预计一周左右，建议供应商获取竞争性磋商采购文件后立即办理）。</w:t>
      </w:r>
      <w:r>
        <w:rPr>
          <w:rFonts w:hint="eastAsia" w:ascii="宋体" w:hAnsi="宋体"/>
          <w:b w:val="0"/>
          <w:bCs/>
          <w:color w:val="auto"/>
          <w:szCs w:val="21"/>
          <w:highlight w:val="none"/>
        </w:rPr>
        <w:br w:type="textWrapping"/>
      </w:r>
      <w:r>
        <w:rPr>
          <w:rFonts w:hint="eastAsia" w:ascii="宋体" w:hAnsi="宋体"/>
          <w:b w:val="0"/>
          <w:bCs/>
          <w:color w:val="auto"/>
          <w:szCs w:val="21"/>
          <w:highlight w:val="none"/>
          <w:lang w:val="en-US" w:eastAsia="zh-CN"/>
        </w:rPr>
        <w:t xml:space="preserve">    </w:t>
      </w:r>
      <w:r>
        <w:rPr>
          <w:rFonts w:hint="eastAsia" w:ascii="宋体" w:hAnsi="宋体"/>
          <w:b w:val="0"/>
          <w:bCs/>
          <w:color w:val="auto"/>
          <w:szCs w:val="21"/>
          <w:highlight w:val="none"/>
        </w:rPr>
        <w:t>（3）磋商供应商应当在开标截止时间前，将生成的“电子磋商响应文件”上传递交至</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平台。开标截止时间前可以补充、修改或者撤回电子磋商响应文件。补充或者修改电子磋商响应文件的，应当先行撤回原文件，补充、修改后重新传输递交，开标截止时间前未完成传输的，视为撤回磋商响应文件。</w:t>
      </w:r>
      <w:r>
        <w:rPr>
          <w:rFonts w:hint="eastAsia" w:ascii="宋体" w:hAnsi="宋体"/>
          <w:b w:val="0"/>
          <w:bCs/>
          <w:color w:val="auto"/>
          <w:szCs w:val="21"/>
          <w:highlight w:val="none"/>
        </w:rPr>
        <w:br w:type="textWrapping"/>
      </w:r>
      <w:r>
        <w:rPr>
          <w:rFonts w:hint="eastAsia" w:ascii="宋体" w:hAnsi="宋体"/>
          <w:b w:val="0"/>
          <w:bCs/>
          <w:color w:val="auto"/>
          <w:szCs w:val="21"/>
          <w:highlight w:val="none"/>
          <w:lang w:val="en-US" w:eastAsia="zh-CN"/>
        </w:rPr>
        <w:t xml:space="preserve">    </w:t>
      </w:r>
      <w:r>
        <w:rPr>
          <w:rFonts w:hint="eastAsia" w:ascii="宋体" w:hAnsi="宋体"/>
          <w:b w:val="0"/>
          <w:bCs/>
          <w:color w:val="auto"/>
          <w:szCs w:val="21"/>
          <w:highlight w:val="none"/>
        </w:rPr>
        <w:t>（4）若磋商供应商的电子加密磋商响应文件无法按时解密可在30分钟内向代理机构提供电子备份磋商响应文件，逾期送达的将予以拒收，所造成的后果由投标供应商自行承担。</w:t>
      </w:r>
      <w:r>
        <w:rPr>
          <w:rFonts w:hint="eastAsia" w:ascii="宋体" w:hAnsi="宋体"/>
          <w:b w:val="0"/>
          <w:bCs/>
          <w:color w:val="auto"/>
          <w:szCs w:val="21"/>
          <w:highlight w:val="none"/>
        </w:rPr>
        <w:br w:type="textWrapping"/>
      </w:r>
      <w:r>
        <w:rPr>
          <w:rFonts w:hint="eastAsia" w:ascii="宋体" w:hAnsi="宋体"/>
          <w:b w:val="0"/>
          <w:bCs/>
          <w:color w:val="auto"/>
          <w:szCs w:val="21"/>
          <w:highlight w:val="none"/>
          <w:lang w:val="en-US" w:eastAsia="zh-CN"/>
        </w:rPr>
        <w:t xml:space="preserve">    </w:t>
      </w:r>
      <w:r>
        <w:rPr>
          <w:rFonts w:hint="eastAsia" w:ascii="宋体" w:hAnsi="宋体"/>
          <w:b w:val="0"/>
          <w:bCs/>
          <w:color w:val="auto"/>
          <w:szCs w:val="21"/>
          <w:highlight w:val="none"/>
        </w:rPr>
        <w:t>（5）在磋商供应商提交了电子备份磋商响应文件后，如通过</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平台上传递交的电子加密磋商响应文件无法按时解密且无法通过</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“异常处理”端口处理的视为磋商响应文件撤回，所造成的后果由投标供应商自行承担。</w:t>
      </w:r>
    </w:p>
    <w:p w14:paraId="61B662CB">
      <w:pPr>
        <w:spacing w:line="440" w:lineRule="exact"/>
        <w:ind w:firstLine="420" w:firstLineChars="200"/>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5.本项目为远程异地全流程电子评标。评标主会场地址：玉林市玉州区公共资源交易中心（玉林市金港路388号26幢）（主场地址）进行评审；评标副会场地址：岑溪市公共资源交易中心（岑溪市义州大道288号）。</w:t>
      </w:r>
    </w:p>
    <w:p w14:paraId="4203ACAC">
      <w:pPr>
        <w:pStyle w:val="57"/>
        <w:rPr>
          <w:rFonts w:hint="eastAsia"/>
          <w:color w:val="auto"/>
          <w:highlight w:val="none"/>
        </w:rPr>
      </w:pPr>
    </w:p>
    <w:p w14:paraId="7C044CFF">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八、凡对本次采购提出询问，请按以下方式联系。</w:t>
      </w:r>
    </w:p>
    <w:p w14:paraId="1A6126B1">
      <w:pPr>
        <w:widowControl/>
        <w:spacing w:line="440" w:lineRule="exact"/>
        <w:rPr>
          <w:rFonts w:ascii="宋体" w:hAnsi="宋体"/>
          <w:color w:val="auto"/>
          <w:szCs w:val="21"/>
          <w:highlight w:val="none"/>
        </w:rPr>
      </w:pPr>
      <w:r>
        <w:rPr>
          <w:rFonts w:hint="eastAsia" w:ascii="宋体" w:hAnsi="宋体"/>
          <w:color w:val="auto"/>
          <w:szCs w:val="21"/>
          <w:highlight w:val="none"/>
        </w:rPr>
        <w:t>1、采购人信息：</w:t>
      </w:r>
    </w:p>
    <w:p w14:paraId="494ED356">
      <w:pPr>
        <w:widowControl/>
        <w:spacing w:line="440" w:lineRule="exact"/>
        <w:rPr>
          <w:rFonts w:hint="eastAsia" w:ascii="宋体" w:hAnsi="宋体" w:eastAsia="宋体"/>
          <w:color w:val="auto"/>
          <w:szCs w:val="21"/>
          <w:highlight w:val="none"/>
          <w:lang w:eastAsia="zh-CN"/>
        </w:rPr>
      </w:pPr>
      <w:r>
        <w:rPr>
          <w:rFonts w:hint="eastAsia" w:ascii="宋体" w:hAnsi="宋体"/>
          <w:color w:val="auto"/>
          <w:szCs w:val="21"/>
          <w:highlight w:val="none"/>
        </w:rPr>
        <w:t>名称：</w:t>
      </w:r>
      <w:r>
        <w:rPr>
          <w:rFonts w:hint="eastAsia" w:ascii="宋体" w:hAnsi="宋体"/>
          <w:color w:val="auto"/>
          <w:szCs w:val="21"/>
          <w:highlight w:val="none"/>
          <w:lang w:eastAsia="zh-CN"/>
        </w:rPr>
        <w:t>玉林市玉州区仁厚镇人民政府</w:t>
      </w:r>
    </w:p>
    <w:p w14:paraId="46E0BC2C">
      <w:pPr>
        <w:widowControl/>
        <w:spacing w:line="440" w:lineRule="exact"/>
        <w:rPr>
          <w:rFonts w:hint="eastAsia" w:ascii="宋体" w:hAnsi="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玉林市玉州区仁厚镇政府路1号</w:t>
      </w:r>
    </w:p>
    <w:p w14:paraId="17D12332">
      <w:pPr>
        <w:pStyle w:val="59"/>
        <w:rPr>
          <w:color w:val="auto"/>
          <w:highlight w:val="none"/>
        </w:rPr>
      </w:pPr>
      <w:r>
        <w:rPr>
          <w:rFonts w:hint="eastAsia"/>
          <w:color w:val="auto"/>
          <w:highlight w:val="none"/>
        </w:rPr>
        <w:t>联系人：</w:t>
      </w:r>
      <w:r>
        <w:rPr>
          <w:rFonts w:hint="eastAsia" w:ascii="宋体" w:hAnsi="宋体"/>
          <w:color w:val="auto"/>
          <w:szCs w:val="21"/>
          <w:highlight w:val="none"/>
          <w:lang w:eastAsia="zh-CN"/>
        </w:rPr>
        <w:t>陈佳</w:t>
      </w:r>
    </w:p>
    <w:p w14:paraId="0A5BD604">
      <w:pPr>
        <w:widowControl/>
        <w:spacing w:line="440" w:lineRule="exact"/>
        <w:rPr>
          <w:rFonts w:hint="eastAsia" w:ascii="宋体" w:hAnsi="宋体" w:eastAsia="宋体"/>
          <w:color w:val="auto"/>
          <w:szCs w:val="21"/>
          <w:highlight w:val="none"/>
          <w:lang w:eastAsia="zh-CN"/>
        </w:rPr>
      </w:pPr>
      <w:r>
        <w:rPr>
          <w:rFonts w:hint="eastAsia" w:ascii="宋体" w:hAnsi="宋体"/>
          <w:color w:val="auto"/>
          <w:szCs w:val="21"/>
          <w:highlight w:val="none"/>
        </w:rPr>
        <w:t>联系方式：</w:t>
      </w:r>
      <w:r>
        <w:rPr>
          <w:rFonts w:hint="eastAsia" w:ascii="宋体" w:hAnsi="宋体"/>
          <w:color w:val="auto"/>
          <w:szCs w:val="21"/>
          <w:highlight w:val="none"/>
          <w:lang w:eastAsia="zh-CN"/>
        </w:rPr>
        <w:t>0775-2288385</w:t>
      </w:r>
    </w:p>
    <w:p w14:paraId="237D3CED">
      <w:pPr>
        <w:widowControl/>
        <w:spacing w:line="440" w:lineRule="exact"/>
        <w:rPr>
          <w:rFonts w:ascii="宋体" w:hAnsi="宋体"/>
          <w:color w:val="auto"/>
          <w:szCs w:val="21"/>
          <w:highlight w:val="none"/>
        </w:rPr>
      </w:pPr>
      <w:r>
        <w:rPr>
          <w:rFonts w:hint="eastAsia" w:ascii="宋体" w:hAnsi="宋体"/>
          <w:color w:val="auto"/>
          <w:szCs w:val="21"/>
          <w:highlight w:val="none"/>
        </w:rPr>
        <w:t>2.采购代理机构信息</w:t>
      </w:r>
    </w:p>
    <w:p w14:paraId="2DDE6745">
      <w:pPr>
        <w:widowControl/>
        <w:spacing w:line="440" w:lineRule="exact"/>
        <w:rPr>
          <w:rFonts w:hint="eastAsia" w:ascii="宋体" w:hAnsi="宋体" w:eastAsia="宋体"/>
          <w:color w:val="auto"/>
          <w:szCs w:val="21"/>
          <w:highlight w:val="none"/>
          <w:lang w:eastAsia="zh-CN"/>
        </w:rPr>
      </w:pPr>
      <w:r>
        <w:rPr>
          <w:rFonts w:hint="eastAsia" w:ascii="宋体" w:hAnsi="宋体"/>
          <w:color w:val="auto"/>
          <w:szCs w:val="21"/>
          <w:highlight w:val="none"/>
        </w:rPr>
        <w:t>名称：</w:t>
      </w:r>
      <w:r>
        <w:rPr>
          <w:rFonts w:hint="eastAsia" w:ascii="宋体" w:hAnsi="宋体"/>
          <w:color w:val="auto"/>
          <w:szCs w:val="21"/>
          <w:highlight w:val="none"/>
          <w:lang w:eastAsia="zh-CN"/>
        </w:rPr>
        <w:t>广西新侨咨询有限公司</w:t>
      </w:r>
    </w:p>
    <w:p w14:paraId="4E9E0241">
      <w:pPr>
        <w:widowControl/>
        <w:spacing w:line="440" w:lineRule="exact"/>
        <w:rPr>
          <w:rFonts w:hint="eastAsia" w:ascii="宋体" w:hAnsi="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玉林市玉州区胜利垌连胜路第四加油站后侧</w:t>
      </w:r>
    </w:p>
    <w:p w14:paraId="223A307A">
      <w:pPr>
        <w:pStyle w:val="59"/>
        <w:rPr>
          <w:rFonts w:hint="eastAsia"/>
          <w:color w:val="auto"/>
          <w:highlight w:val="none"/>
          <w:lang w:eastAsia="zh-CN"/>
        </w:rPr>
      </w:pPr>
      <w:r>
        <w:rPr>
          <w:rFonts w:hint="eastAsia"/>
          <w:color w:val="auto"/>
          <w:highlight w:val="none"/>
        </w:rPr>
        <w:t>联系人：</w:t>
      </w:r>
      <w:r>
        <w:rPr>
          <w:rFonts w:hint="eastAsia" w:ascii="宋体" w:hAnsi="宋体" w:cs="Arial"/>
          <w:color w:val="auto"/>
          <w:kern w:val="0"/>
          <w:szCs w:val="21"/>
          <w:highlight w:val="none"/>
          <w:lang w:eastAsia="zh-CN"/>
        </w:rPr>
        <w:t>梁毅</w:t>
      </w:r>
    </w:p>
    <w:p w14:paraId="381B432A">
      <w:pPr>
        <w:widowControl/>
        <w:spacing w:line="440" w:lineRule="exact"/>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lang w:val="en-US" w:eastAsia="zh-CN"/>
        </w:rPr>
        <w:t>0775-2269199</w:t>
      </w:r>
    </w:p>
    <w:p w14:paraId="5BD9B652">
      <w:pPr>
        <w:spacing w:line="440" w:lineRule="exact"/>
        <w:ind w:firstLine="420" w:firstLineChars="200"/>
        <w:rPr>
          <w:rFonts w:ascii="宋体" w:hAnsi="宋体"/>
          <w:color w:val="auto"/>
          <w:szCs w:val="21"/>
          <w:highlight w:val="none"/>
        </w:rPr>
      </w:pPr>
    </w:p>
    <w:p w14:paraId="373E2E2F">
      <w:pPr>
        <w:spacing w:line="440" w:lineRule="exact"/>
        <w:jc w:val="both"/>
        <w:rPr>
          <w:rFonts w:hint="eastAsia" w:ascii="宋体" w:hAnsi="宋体" w:eastAsia="宋体"/>
          <w:color w:val="auto"/>
          <w:szCs w:val="21"/>
          <w:highlight w:val="none"/>
          <w:lang w:eastAsia="zh-CN"/>
        </w:rPr>
      </w:pPr>
      <w:r>
        <w:rPr>
          <w:rFonts w:hint="eastAsia" w:ascii="宋体" w:hAnsi="宋体"/>
          <w:color w:val="auto"/>
          <w:szCs w:val="21"/>
          <w:highlight w:val="none"/>
        </w:rPr>
        <w:t xml:space="preserve">                           </w:t>
      </w:r>
    </w:p>
    <w:p w14:paraId="28B8EA18">
      <w:pPr>
        <w:spacing w:line="440" w:lineRule="exact"/>
        <w:jc w:val="center"/>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采购代理机构：</w:t>
      </w:r>
      <w:r>
        <w:rPr>
          <w:rFonts w:hint="eastAsia" w:ascii="宋体" w:hAnsi="宋体"/>
          <w:color w:val="auto"/>
          <w:szCs w:val="21"/>
          <w:highlight w:val="none"/>
          <w:lang w:eastAsia="zh-CN"/>
        </w:rPr>
        <w:t>广西新侨咨询有限公司</w:t>
      </w:r>
      <w:r>
        <w:rPr>
          <w:rFonts w:hint="eastAsia" w:ascii="宋体" w:hAnsi="宋体"/>
          <w:color w:val="auto"/>
          <w:szCs w:val="21"/>
          <w:highlight w:val="none"/>
        </w:rPr>
        <w:t xml:space="preserve">                                                           </w:t>
      </w:r>
    </w:p>
    <w:p w14:paraId="13D882A0">
      <w:pPr>
        <w:spacing w:line="440" w:lineRule="exact"/>
        <w:ind w:firstLine="6090" w:firstLineChars="2900"/>
        <w:rPr>
          <w:rFonts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14</w:t>
      </w:r>
      <w:r>
        <w:rPr>
          <w:rFonts w:hint="eastAsia" w:ascii="宋体" w:hAnsi="宋体"/>
          <w:color w:val="auto"/>
          <w:szCs w:val="21"/>
          <w:highlight w:val="none"/>
        </w:rPr>
        <w:t>日</w:t>
      </w:r>
    </w:p>
    <w:p w14:paraId="56F07345">
      <w:pPr>
        <w:pStyle w:val="4"/>
        <w:spacing w:line="460" w:lineRule="exact"/>
        <w:jc w:val="center"/>
        <w:rPr>
          <w:rFonts w:ascii="宋体" w:hAnsi="宋体" w:eastAsia="宋体"/>
          <w:color w:val="auto"/>
          <w:szCs w:val="24"/>
          <w:highlight w:val="none"/>
        </w:rPr>
      </w:pPr>
      <w:r>
        <w:rPr>
          <w:rFonts w:ascii="宋体" w:hAnsi="宋体" w:eastAsia="宋体"/>
          <w:b w:val="0"/>
          <w:bCs w:val="0"/>
          <w:color w:val="auto"/>
          <w:sz w:val="24"/>
          <w:szCs w:val="24"/>
          <w:highlight w:val="none"/>
        </w:rPr>
        <w:br w:type="page"/>
      </w:r>
      <w:bookmarkStart w:id="3" w:name="_Toc9445"/>
      <w:r>
        <w:rPr>
          <w:rFonts w:hint="eastAsia" w:ascii="宋体" w:hAnsi="宋体" w:eastAsia="宋体"/>
          <w:color w:val="auto"/>
          <w:szCs w:val="24"/>
          <w:highlight w:val="none"/>
        </w:rPr>
        <w:t>第二章  供应商须知及前附表</w:t>
      </w:r>
      <w:bookmarkEnd w:id="3"/>
    </w:p>
    <w:p w14:paraId="54DADE97">
      <w:pPr>
        <w:pStyle w:val="4"/>
        <w:spacing w:before="0" w:after="0" w:line="276" w:lineRule="auto"/>
        <w:jc w:val="center"/>
        <w:rPr>
          <w:rFonts w:ascii="宋体" w:hAnsi="宋体" w:eastAsia="宋体"/>
          <w:color w:val="auto"/>
          <w:sz w:val="30"/>
          <w:szCs w:val="30"/>
          <w:highlight w:val="none"/>
        </w:rPr>
      </w:pPr>
      <w:bookmarkStart w:id="4" w:name="_Toc18682802"/>
      <w:bookmarkStart w:id="5" w:name="_Toc5351"/>
      <w:bookmarkStart w:id="6" w:name="_Toc80818614"/>
      <w:bookmarkStart w:id="7" w:name="_Toc18682862"/>
      <w:r>
        <w:rPr>
          <w:rFonts w:hint="eastAsia" w:ascii="宋体" w:hAnsi="宋体" w:eastAsia="宋体"/>
          <w:color w:val="auto"/>
          <w:sz w:val="30"/>
          <w:szCs w:val="30"/>
          <w:highlight w:val="none"/>
        </w:rPr>
        <w:t>前附表</w:t>
      </w:r>
      <w:bookmarkEnd w:id="4"/>
      <w:bookmarkEnd w:id="5"/>
      <w:bookmarkEnd w:id="6"/>
      <w:bookmarkEnd w:id="7"/>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682"/>
        <w:gridCol w:w="6965"/>
      </w:tblGrid>
      <w:tr w14:paraId="08DB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34D2CCF8">
            <w:pPr>
              <w:spacing w:line="440" w:lineRule="exact"/>
              <w:jc w:val="center"/>
              <w:rPr>
                <w:rFonts w:ascii="宋体" w:hAnsi="宋体" w:cs="Courier New"/>
                <w:b/>
                <w:color w:val="auto"/>
                <w:spacing w:val="2"/>
                <w:szCs w:val="21"/>
                <w:highlight w:val="none"/>
              </w:rPr>
            </w:pPr>
            <w:bookmarkStart w:id="8" w:name="_Hlk87630531"/>
            <w:r>
              <w:rPr>
                <w:rFonts w:hint="eastAsia" w:ascii="宋体" w:hAnsi="宋体" w:cs="Courier New"/>
                <w:b/>
                <w:color w:val="auto"/>
                <w:spacing w:val="2"/>
                <w:szCs w:val="21"/>
                <w:highlight w:val="none"/>
              </w:rPr>
              <w:t>项号</w:t>
            </w:r>
          </w:p>
        </w:tc>
        <w:tc>
          <w:tcPr>
            <w:tcW w:w="1682" w:type="dxa"/>
            <w:vAlign w:val="center"/>
          </w:tcPr>
          <w:p w14:paraId="35061B30">
            <w:pPr>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内容</w:t>
            </w:r>
          </w:p>
        </w:tc>
        <w:tc>
          <w:tcPr>
            <w:tcW w:w="6965" w:type="dxa"/>
            <w:vAlign w:val="center"/>
          </w:tcPr>
          <w:p w14:paraId="72E2AF7B">
            <w:pPr>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说明与要求</w:t>
            </w:r>
          </w:p>
        </w:tc>
      </w:tr>
      <w:tr w14:paraId="59D2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18" w:type="dxa"/>
            <w:vAlign w:val="center"/>
          </w:tcPr>
          <w:p w14:paraId="1F8CFD93">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w:t>
            </w:r>
          </w:p>
        </w:tc>
        <w:tc>
          <w:tcPr>
            <w:tcW w:w="1682" w:type="dxa"/>
            <w:vAlign w:val="center"/>
          </w:tcPr>
          <w:p w14:paraId="56D01BEC">
            <w:pPr>
              <w:spacing w:line="440" w:lineRule="exact"/>
              <w:jc w:val="center"/>
              <w:rPr>
                <w:rFonts w:ascii="宋体" w:hAnsi="宋体"/>
                <w:color w:val="auto"/>
                <w:szCs w:val="21"/>
                <w:highlight w:val="none"/>
              </w:rPr>
            </w:pPr>
            <w:r>
              <w:rPr>
                <w:rFonts w:hint="eastAsia" w:ascii="宋体" w:hAnsi="宋体"/>
                <w:color w:val="auto"/>
                <w:szCs w:val="21"/>
                <w:highlight w:val="none"/>
              </w:rPr>
              <w:t>采购项目名称及编号</w:t>
            </w:r>
          </w:p>
        </w:tc>
        <w:tc>
          <w:tcPr>
            <w:tcW w:w="6965" w:type="dxa"/>
          </w:tcPr>
          <w:p w14:paraId="264A69A7">
            <w:pPr>
              <w:spacing w:line="420" w:lineRule="exact"/>
              <w:jc w:val="left"/>
              <w:rPr>
                <w:rFonts w:ascii="宋体" w:hAnsi="宋体"/>
                <w:color w:val="auto"/>
                <w:szCs w:val="21"/>
                <w:highlight w:val="none"/>
              </w:rPr>
            </w:pPr>
            <w:r>
              <w:rPr>
                <w:rFonts w:hint="eastAsia" w:ascii="宋体" w:hAnsi="宋体"/>
                <w:color w:val="auto"/>
                <w:szCs w:val="21"/>
                <w:highlight w:val="none"/>
              </w:rPr>
              <w:t>采购项目名称：</w:t>
            </w:r>
            <w:r>
              <w:rPr>
                <w:rFonts w:hint="eastAsia" w:ascii="宋体" w:hAnsi="宋体" w:cs="宋体"/>
                <w:color w:val="auto"/>
                <w:szCs w:val="21"/>
                <w:highlight w:val="none"/>
                <w:lang w:bidi="zh-CN"/>
              </w:rPr>
              <w:t xml:space="preserve">铁匠村广屋片东门小型桥梁、上罗村山谷塘片16社-23社小型农田水利项目 </w:t>
            </w:r>
          </w:p>
          <w:p w14:paraId="365FBC56">
            <w:pPr>
              <w:spacing w:line="540" w:lineRule="exact"/>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s="宋体"/>
                <w:color w:val="auto"/>
                <w:kern w:val="0"/>
                <w:szCs w:val="21"/>
                <w:highlight w:val="none"/>
                <w:lang w:bidi="zh-CN"/>
              </w:rPr>
              <w:t>YLZC2025-C2-020039-GXXQ</w:t>
            </w:r>
          </w:p>
        </w:tc>
      </w:tr>
      <w:tr w14:paraId="1051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0C30D84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w:t>
            </w:r>
          </w:p>
        </w:tc>
        <w:tc>
          <w:tcPr>
            <w:tcW w:w="1682" w:type="dxa"/>
            <w:vAlign w:val="center"/>
          </w:tcPr>
          <w:p w14:paraId="78C164E2">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建设地点</w:t>
            </w:r>
          </w:p>
        </w:tc>
        <w:tc>
          <w:tcPr>
            <w:tcW w:w="6965" w:type="dxa"/>
            <w:vAlign w:val="center"/>
          </w:tcPr>
          <w:p w14:paraId="4A36D453">
            <w:pPr>
              <w:spacing w:line="42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广西玉林市</w:t>
            </w:r>
            <w:r>
              <w:rPr>
                <w:rFonts w:hint="eastAsia" w:ascii="宋体" w:hAnsi="宋体"/>
                <w:color w:val="auto"/>
                <w:szCs w:val="21"/>
                <w:highlight w:val="none"/>
                <w:lang w:eastAsia="zh-CN"/>
              </w:rPr>
              <w:t>玉州区仁厚镇内</w:t>
            </w:r>
          </w:p>
        </w:tc>
      </w:tr>
      <w:tr w14:paraId="6D91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Align w:val="center"/>
          </w:tcPr>
          <w:p w14:paraId="3D3DAB7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3</w:t>
            </w:r>
          </w:p>
        </w:tc>
        <w:tc>
          <w:tcPr>
            <w:tcW w:w="1682" w:type="dxa"/>
            <w:vAlign w:val="center"/>
          </w:tcPr>
          <w:p w14:paraId="2E43BD0A">
            <w:pPr>
              <w:spacing w:line="440" w:lineRule="exact"/>
              <w:jc w:val="center"/>
              <w:rPr>
                <w:rFonts w:ascii="宋体" w:hAnsi="宋体"/>
                <w:color w:val="auto"/>
                <w:szCs w:val="21"/>
                <w:highlight w:val="none"/>
              </w:rPr>
            </w:pPr>
            <w:r>
              <w:rPr>
                <w:rFonts w:hint="eastAsia" w:ascii="宋体" w:hAnsi="宋体"/>
                <w:color w:val="auto"/>
                <w:szCs w:val="21"/>
                <w:highlight w:val="none"/>
              </w:rPr>
              <w:t>建设概况</w:t>
            </w:r>
          </w:p>
        </w:tc>
        <w:tc>
          <w:tcPr>
            <w:tcW w:w="6965" w:type="dxa"/>
            <w:vAlign w:val="center"/>
          </w:tcPr>
          <w:p w14:paraId="45D49705">
            <w:pPr>
              <w:spacing w:line="460" w:lineRule="exact"/>
              <w:rPr>
                <w:rFonts w:ascii="宋体" w:hAnsi="宋体"/>
                <w:color w:val="auto"/>
                <w:szCs w:val="21"/>
                <w:highlight w:val="none"/>
              </w:rPr>
            </w:pPr>
            <w:r>
              <w:rPr>
                <w:rFonts w:hint="eastAsia" w:ascii="宋体" w:hAnsi="宋体"/>
                <w:color w:val="auto"/>
                <w:highlight w:val="none"/>
                <w:lang w:val="en-US" w:eastAsia="zh-CN"/>
              </w:rPr>
              <w:t>铁匠村广屋片东门小型桥梁，修建小型桥梁长6米，宽4米；上罗村山谷塘片16社-23社小型农田水利项目，小型农田水利，建设长400米，宽0.4米，高0.6米，共计两个项目。（</w:t>
            </w:r>
            <w:r>
              <w:rPr>
                <w:rFonts w:hint="eastAsia" w:ascii="宋体" w:hAnsi="宋体"/>
                <w:color w:val="auto"/>
                <w:szCs w:val="21"/>
                <w:highlight w:val="none"/>
              </w:rPr>
              <w:t>具体内容详见图纸及工程量清单</w:t>
            </w:r>
            <w:r>
              <w:rPr>
                <w:rFonts w:hint="eastAsia" w:ascii="宋体" w:hAnsi="宋体"/>
                <w:color w:val="auto"/>
                <w:highlight w:val="none"/>
                <w:lang w:val="en-US" w:eastAsia="zh-CN"/>
              </w:rPr>
              <w:t>）</w:t>
            </w:r>
          </w:p>
        </w:tc>
      </w:tr>
      <w:tr w14:paraId="617E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18" w:type="dxa"/>
            <w:vAlign w:val="center"/>
          </w:tcPr>
          <w:p w14:paraId="7286681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4</w:t>
            </w:r>
          </w:p>
        </w:tc>
        <w:tc>
          <w:tcPr>
            <w:tcW w:w="1682" w:type="dxa"/>
            <w:vAlign w:val="center"/>
          </w:tcPr>
          <w:p w14:paraId="22D9D07D">
            <w:pPr>
              <w:spacing w:line="440" w:lineRule="exact"/>
              <w:jc w:val="center"/>
              <w:rPr>
                <w:rFonts w:ascii="宋体" w:hAnsi="宋体"/>
                <w:b/>
                <w:color w:val="auto"/>
                <w:szCs w:val="21"/>
                <w:highlight w:val="none"/>
              </w:rPr>
            </w:pPr>
            <w:r>
              <w:rPr>
                <w:rFonts w:hint="eastAsia" w:ascii="宋体" w:hAnsi="宋体"/>
                <w:color w:val="auto"/>
                <w:szCs w:val="21"/>
                <w:highlight w:val="none"/>
              </w:rPr>
              <w:t>采购预算金额</w:t>
            </w:r>
          </w:p>
        </w:tc>
        <w:tc>
          <w:tcPr>
            <w:tcW w:w="6965" w:type="dxa"/>
            <w:vAlign w:val="center"/>
          </w:tcPr>
          <w:p w14:paraId="699A4E58">
            <w:pPr>
              <w:spacing w:line="420" w:lineRule="exact"/>
              <w:ind w:firstLine="430" w:firstLineChars="200"/>
              <w:jc w:val="left"/>
              <w:rPr>
                <w:rFonts w:ascii="宋体" w:hAnsi="宋体" w:cs="Courier New"/>
                <w:b/>
                <w:color w:val="auto"/>
                <w:spacing w:val="2"/>
                <w:szCs w:val="21"/>
                <w:highlight w:val="none"/>
              </w:rPr>
            </w:pPr>
            <w:r>
              <w:rPr>
                <w:rFonts w:hint="eastAsia" w:ascii="宋体" w:hAnsi="宋体" w:cs="Courier New"/>
                <w:b/>
                <w:color w:val="auto"/>
                <w:spacing w:val="2"/>
                <w:szCs w:val="21"/>
                <w:highlight w:val="none"/>
              </w:rPr>
              <w:t>本项目采购预算金额为：</w:t>
            </w:r>
            <w:r>
              <w:rPr>
                <w:rFonts w:hint="eastAsia" w:ascii="宋体" w:hAnsi="宋体" w:cs="宋体"/>
                <w:color w:val="auto"/>
                <w:szCs w:val="21"/>
                <w:highlight w:val="none"/>
                <w:lang w:val="en-US" w:bidi="zh-CN"/>
              </w:rPr>
              <w:t>362200.00</w:t>
            </w:r>
            <w:r>
              <w:rPr>
                <w:rFonts w:hint="eastAsia" w:ascii="宋体" w:hAnsi="宋体" w:cs="宋体"/>
                <w:color w:val="auto"/>
                <w:szCs w:val="21"/>
                <w:highlight w:val="none"/>
                <w:lang w:bidi="zh-CN"/>
              </w:rPr>
              <w:t>元，</w:t>
            </w:r>
            <w:r>
              <w:rPr>
                <w:rFonts w:hint="eastAsia" w:ascii="宋体" w:hAnsi="宋体"/>
                <w:color w:val="auto"/>
                <w:szCs w:val="21"/>
                <w:highlight w:val="none"/>
              </w:rPr>
              <w:t>本采购项目的有效磋商报价范围为：</w:t>
            </w:r>
            <w:r>
              <w:rPr>
                <w:rFonts w:hint="eastAsia" w:ascii="宋体" w:hAnsi="宋体" w:cs="Courier New"/>
                <w:b/>
                <w:color w:val="auto"/>
                <w:spacing w:val="2"/>
                <w:szCs w:val="21"/>
                <w:highlight w:val="none"/>
              </w:rPr>
              <w:t>供应商的最终磋商报价不能高于本项目的采购预算金额。</w:t>
            </w:r>
          </w:p>
        </w:tc>
      </w:tr>
      <w:tr w14:paraId="4E49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18" w:type="dxa"/>
            <w:vAlign w:val="center"/>
          </w:tcPr>
          <w:p w14:paraId="7E2EF03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5</w:t>
            </w:r>
          </w:p>
        </w:tc>
        <w:tc>
          <w:tcPr>
            <w:tcW w:w="1682" w:type="dxa"/>
            <w:vAlign w:val="center"/>
          </w:tcPr>
          <w:p w14:paraId="55C3D34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质量标准</w:t>
            </w:r>
          </w:p>
        </w:tc>
        <w:tc>
          <w:tcPr>
            <w:tcW w:w="6965" w:type="dxa"/>
            <w:vAlign w:val="center"/>
          </w:tcPr>
          <w:p w14:paraId="02C16DEC">
            <w:pPr>
              <w:spacing w:line="420" w:lineRule="exact"/>
              <w:rPr>
                <w:rFonts w:ascii="宋体" w:hAnsi="宋体"/>
                <w:color w:val="auto"/>
                <w:szCs w:val="21"/>
                <w:highlight w:val="none"/>
              </w:rPr>
            </w:pPr>
            <w:r>
              <w:rPr>
                <w:rFonts w:hint="eastAsia" w:ascii="宋体" w:hAnsi="宋体"/>
                <w:color w:val="auto"/>
                <w:szCs w:val="21"/>
                <w:highlight w:val="none"/>
                <w:lang w:eastAsia="zh-CN"/>
              </w:rPr>
              <w:t>符合</w:t>
            </w:r>
            <w:r>
              <w:rPr>
                <w:rFonts w:hint="eastAsia" w:ascii="宋体" w:hAnsi="宋体"/>
                <w:color w:val="auto"/>
                <w:szCs w:val="21"/>
                <w:highlight w:val="none"/>
              </w:rPr>
              <w:t>国家竣工验收规范的合格标准。</w:t>
            </w:r>
          </w:p>
        </w:tc>
      </w:tr>
      <w:tr w14:paraId="1A9A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vAlign w:val="center"/>
          </w:tcPr>
          <w:p w14:paraId="46C6A4C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6</w:t>
            </w:r>
          </w:p>
        </w:tc>
        <w:tc>
          <w:tcPr>
            <w:tcW w:w="1682" w:type="dxa"/>
            <w:vAlign w:val="center"/>
          </w:tcPr>
          <w:p w14:paraId="383C884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采购范围</w:t>
            </w:r>
          </w:p>
        </w:tc>
        <w:tc>
          <w:tcPr>
            <w:tcW w:w="6965" w:type="dxa"/>
            <w:vAlign w:val="center"/>
          </w:tcPr>
          <w:p w14:paraId="727F0D3D">
            <w:pPr>
              <w:spacing w:line="420" w:lineRule="exact"/>
              <w:rPr>
                <w:rFonts w:ascii="宋体" w:hAnsi="宋体"/>
                <w:color w:val="auto"/>
                <w:szCs w:val="21"/>
                <w:highlight w:val="none"/>
              </w:rPr>
            </w:pPr>
            <w:r>
              <w:rPr>
                <w:rFonts w:hint="eastAsia" w:ascii="宋体" w:hAnsi="宋体"/>
                <w:color w:val="auto"/>
                <w:szCs w:val="21"/>
                <w:highlight w:val="none"/>
              </w:rPr>
              <w:t>工程采购图纸及清单包含及其附属工程等全部内容（具体内容详见图纸及工程量清单）。</w:t>
            </w:r>
          </w:p>
        </w:tc>
      </w:tr>
      <w:tr w14:paraId="186F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06C722B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7</w:t>
            </w:r>
          </w:p>
        </w:tc>
        <w:tc>
          <w:tcPr>
            <w:tcW w:w="1682" w:type="dxa"/>
            <w:vAlign w:val="center"/>
          </w:tcPr>
          <w:p w14:paraId="0E3D434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工期要求</w:t>
            </w:r>
          </w:p>
        </w:tc>
        <w:tc>
          <w:tcPr>
            <w:tcW w:w="6965" w:type="dxa"/>
            <w:vAlign w:val="center"/>
          </w:tcPr>
          <w:p w14:paraId="05FEBA71">
            <w:pPr>
              <w:pStyle w:val="40"/>
              <w:widowControl w:val="0"/>
              <w:adjustRightInd w:val="0"/>
              <w:snapToGrid w:val="0"/>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计划工期:</w:t>
            </w:r>
            <w:r>
              <w:rPr>
                <w:rFonts w:hint="eastAsia" w:cs="宋体"/>
                <w:color w:val="auto"/>
                <w:sz w:val="21"/>
                <w:szCs w:val="21"/>
                <w:highlight w:val="none"/>
                <w:lang w:val="en-US" w:bidi="zh-CN"/>
              </w:rPr>
              <w:t>30天（日历天）</w:t>
            </w:r>
          </w:p>
        </w:tc>
      </w:tr>
      <w:bookmarkEnd w:id="8"/>
      <w:tr w14:paraId="2AB2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18" w:type="dxa"/>
            <w:vAlign w:val="center"/>
          </w:tcPr>
          <w:p w14:paraId="478AA747">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8</w:t>
            </w:r>
          </w:p>
        </w:tc>
        <w:tc>
          <w:tcPr>
            <w:tcW w:w="1682" w:type="dxa"/>
            <w:vAlign w:val="center"/>
          </w:tcPr>
          <w:p w14:paraId="1B3A891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供应商资格要求</w:t>
            </w:r>
          </w:p>
        </w:tc>
        <w:tc>
          <w:tcPr>
            <w:tcW w:w="6965" w:type="dxa"/>
          </w:tcPr>
          <w:p w14:paraId="073B57BD">
            <w:pPr>
              <w:spacing w:line="440" w:lineRule="exact"/>
              <w:ind w:firstLine="420" w:firstLineChars="200"/>
              <w:rPr>
                <w:rFonts w:ascii="宋体" w:hAnsi="宋体"/>
                <w:color w:val="auto"/>
                <w:highlight w:val="none"/>
              </w:rPr>
            </w:pPr>
            <w:r>
              <w:rPr>
                <w:rFonts w:hint="eastAsia" w:ascii="宋体" w:hAnsi="宋体"/>
                <w:color w:val="auto"/>
                <w:highlight w:val="none"/>
              </w:rPr>
              <w:t>1.满足《中华人民共和国政府采购法》第二十二条规定；</w:t>
            </w:r>
          </w:p>
          <w:p w14:paraId="5B017A5F">
            <w:pPr>
              <w:spacing w:line="440" w:lineRule="exact"/>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.落实政府采购政策需满足的资格要求：</w:t>
            </w:r>
            <w:r>
              <w:rPr>
                <w:rFonts w:hint="eastAsia" w:ascii="宋体" w:hAnsi="宋体"/>
                <w:color w:val="auto"/>
                <w:szCs w:val="21"/>
                <w:highlight w:val="none"/>
              </w:rPr>
              <w:t>本项目属于专门面向中小企业采购的项目</w:t>
            </w:r>
            <w:r>
              <w:rPr>
                <w:rFonts w:hint="eastAsia" w:ascii="宋体" w:hAnsi="宋体"/>
                <w:color w:val="auto"/>
                <w:highlight w:val="none"/>
              </w:rPr>
              <w:t>；</w:t>
            </w:r>
          </w:p>
          <w:p w14:paraId="1529333F">
            <w:pPr>
              <w:spacing w:line="440" w:lineRule="exact"/>
              <w:ind w:firstLine="420" w:firstLineChars="200"/>
              <w:rPr>
                <w:rFonts w:ascii="宋体" w:hAnsi="宋体"/>
                <w:color w:val="auto"/>
                <w:highlight w:val="none"/>
              </w:rPr>
            </w:pPr>
            <w:r>
              <w:rPr>
                <w:rFonts w:hint="eastAsia" w:ascii="宋体" w:hAnsi="宋体"/>
                <w:color w:val="auto"/>
                <w:highlight w:val="none"/>
              </w:rPr>
              <w:t>3.本项目的特定资格要求：</w:t>
            </w:r>
          </w:p>
          <w:p w14:paraId="02C0B714">
            <w:pPr>
              <w:spacing w:line="440" w:lineRule="exact"/>
              <w:ind w:firstLine="420" w:firstLineChars="200"/>
              <w:rPr>
                <w:rFonts w:ascii="宋体" w:hAnsi="宋体"/>
                <w:color w:val="auto"/>
                <w:highlight w:val="none"/>
              </w:rPr>
            </w:pPr>
            <w:r>
              <w:rPr>
                <w:rFonts w:hint="eastAsia" w:ascii="宋体" w:hAnsi="宋体"/>
                <w:color w:val="auto"/>
                <w:highlight w:val="none"/>
              </w:rPr>
              <w:t>（1）具有</w:t>
            </w:r>
            <w:r>
              <w:rPr>
                <w:rFonts w:hint="eastAsia" w:ascii="宋体" w:hAnsi="宋体"/>
                <w:color w:val="auto"/>
                <w:highlight w:val="none"/>
                <w:lang w:eastAsia="zh-CN"/>
              </w:rPr>
              <w:t>市政公用</w:t>
            </w:r>
            <w:r>
              <w:rPr>
                <w:rFonts w:hint="eastAsia" w:ascii="宋体" w:hAnsi="宋体"/>
                <w:color w:val="auto"/>
                <w:highlight w:val="none"/>
              </w:rPr>
              <w:t>工程施工总承包叁级（含叁级）以上资质的企业，并在人员、设备、资金等方面具备相应的施工能力；具备有效的安全生产许可证。</w:t>
            </w:r>
          </w:p>
          <w:p w14:paraId="6C55DBE4">
            <w:pPr>
              <w:spacing w:line="440" w:lineRule="exact"/>
              <w:ind w:firstLine="420" w:firstLineChars="200"/>
              <w:rPr>
                <w:rFonts w:ascii="宋体" w:hAnsi="宋体"/>
                <w:color w:val="auto"/>
                <w:highlight w:val="none"/>
              </w:rPr>
            </w:pPr>
            <w:r>
              <w:rPr>
                <w:rFonts w:hint="eastAsia" w:ascii="宋体" w:hAnsi="宋体"/>
                <w:color w:val="auto"/>
                <w:highlight w:val="none"/>
              </w:rPr>
              <w:t>（2）拟投入本项目的项目经理必须具备</w:t>
            </w:r>
            <w:r>
              <w:rPr>
                <w:rFonts w:hint="eastAsia" w:ascii="宋体" w:hAnsi="宋体"/>
                <w:color w:val="auto"/>
                <w:highlight w:val="none"/>
                <w:lang w:eastAsia="zh-CN"/>
              </w:rPr>
              <w:t>市政公用</w:t>
            </w:r>
            <w:r>
              <w:rPr>
                <w:rFonts w:hint="eastAsia" w:ascii="宋体" w:hAnsi="宋体"/>
                <w:color w:val="auto"/>
                <w:highlight w:val="none"/>
              </w:rPr>
              <w:t>工程专业贰级（含贰级）以上的注册建造师证，持有省级或省级以上行政主管部门颁发的B类安全生产考核合格证。</w:t>
            </w:r>
          </w:p>
          <w:p w14:paraId="027AB1CE">
            <w:pPr>
              <w:spacing w:line="440" w:lineRule="exact"/>
              <w:ind w:firstLine="421"/>
              <w:rPr>
                <w:rFonts w:ascii="宋体" w:hAnsi="宋体"/>
                <w:color w:val="auto"/>
                <w:highlight w:val="none"/>
              </w:rPr>
            </w:pPr>
            <w:r>
              <w:rPr>
                <w:rFonts w:hint="eastAsia" w:ascii="宋体" w:hAnsi="宋体"/>
                <w:color w:val="auto"/>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1F7CDEA">
            <w:pPr>
              <w:widowControl/>
              <w:spacing w:line="440" w:lineRule="exact"/>
              <w:ind w:firstLine="420" w:firstLineChars="200"/>
              <w:jc w:val="left"/>
              <w:rPr>
                <w:rFonts w:hint="eastAsia" w:ascii="宋体" w:hAnsi="宋体"/>
                <w:snapToGrid w:val="0"/>
                <w:color w:val="auto"/>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snapToGrid w:val="0"/>
                <w:color w:val="auto"/>
                <w:szCs w:val="21"/>
                <w:highlight w:val="none"/>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B1C60E3">
            <w:pPr>
              <w:widowControl/>
              <w:spacing w:line="440" w:lineRule="exact"/>
              <w:ind w:firstLine="420" w:firstLineChars="200"/>
              <w:jc w:val="left"/>
              <w:rPr>
                <w:rFonts w:hint="eastAsia" w:ascii="宋体" w:hAnsi="宋体"/>
                <w:snapToGrid w:val="0"/>
                <w:color w:val="auto"/>
                <w:szCs w:val="21"/>
                <w:highlight w:val="none"/>
                <w:lang w:val="zh-CN" w:eastAsia="zh-CN"/>
              </w:rPr>
            </w:pPr>
            <w:r>
              <w:rPr>
                <w:rFonts w:hint="eastAsia" w:ascii="宋体" w:hAnsi="宋体"/>
                <w:snapToGrid w:val="0"/>
                <w:color w:val="auto"/>
                <w:szCs w:val="21"/>
                <w:highlight w:val="none"/>
                <w:lang w:val="zh-CN" w:eastAsia="zh-CN"/>
              </w:rPr>
              <w:t>（</w:t>
            </w:r>
            <w:r>
              <w:rPr>
                <w:rFonts w:hint="eastAsia" w:ascii="宋体" w:hAnsi="宋体"/>
                <w:snapToGrid w:val="0"/>
                <w:color w:val="auto"/>
                <w:szCs w:val="21"/>
                <w:highlight w:val="none"/>
                <w:lang w:val="en-US" w:eastAsia="zh-CN"/>
              </w:rPr>
              <w:t>5</w:t>
            </w:r>
            <w:r>
              <w:rPr>
                <w:rFonts w:hint="eastAsia" w:ascii="宋体" w:hAnsi="宋体"/>
                <w:snapToGrid w:val="0"/>
                <w:color w:val="auto"/>
                <w:szCs w:val="21"/>
                <w:highlight w:val="none"/>
                <w:lang w:val="zh-CN" w:eastAsia="zh-CN"/>
              </w:rPr>
              <w:t>）不接受未按本竞争性磋商公告要求获取采购文件的供应商竞标。</w:t>
            </w:r>
          </w:p>
          <w:p w14:paraId="7A63592F">
            <w:pPr>
              <w:widowControl/>
              <w:spacing w:line="440" w:lineRule="exact"/>
              <w:ind w:firstLine="420" w:firstLineChars="200"/>
              <w:jc w:val="left"/>
              <w:rPr>
                <w:rFonts w:hint="eastAsia" w:ascii="宋体" w:hAnsi="宋体"/>
                <w:snapToGrid w:val="0"/>
                <w:color w:val="auto"/>
                <w:szCs w:val="21"/>
                <w:highlight w:val="none"/>
                <w:lang w:val="zh-CN" w:eastAsia="zh-CN"/>
              </w:rPr>
            </w:pPr>
            <w:r>
              <w:rPr>
                <w:rFonts w:hint="eastAsia" w:ascii="宋体" w:hAnsi="宋体"/>
                <w:snapToGrid w:val="0"/>
                <w:color w:val="auto"/>
                <w:szCs w:val="21"/>
                <w:highlight w:val="none"/>
                <w:lang w:val="zh-CN" w:eastAsia="zh-CN"/>
              </w:rPr>
              <w:t>（</w:t>
            </w:r>
            <w:r>
              <w:rPr>
                <w:rFonts w:hint="eastAsia" w:ascii="宋体" w:hAnsi="宋体"/>
                <w:snapToGrid w:val="0"/>
                <w:color w:val="auto"/>
                <w:szCs w:val="21"/>
                <w:highlight w:val="none"/>
                <w:lang w:val="en-US" w:eastAsia="zh-CN"/>
              </w:rPr>
              <w:t>6</w:t>
            </w:r>
            <w:r>
              <w:rPr>
                <w:rFonts w:hint="eastAsia" w:ascii="宋体" w:hAnsi="宋体"/>
                <w:snapToGrid w:val="0"/>
                <w:color w:val="auto"/>
                <w:szCs w:val="21"/>
                <w:highlight w:val="none"/>
                <w:lang w:val="zh-CN" w:eastAsia="zh-CN"/>
              </w:rPr>
              <w:t>）本项目不接受联合体竞标,不允许转包和分包。</w:t>
            </w:r>
          </w:p>
          <w:p w14:paraId="31B16E90">
            <w:pPr>
              <w:widowControl/>
              <w:spacing w:line="440" w:lineRule="exact"/>
              <w:jc w:val="left"/>
              <w:rPr>
                <w:rFonts w:ascii="宋体" w:hAnsi="宋体"/>
                <w:color w:val="auto"/>
                <w:highlight w:val="none"/>
                <w:lang w:val="zh-CN"/>
              </w:rPr>
            </w:pPr>
          </w:p>
        </w:tc>
      </w:tr>
      <w:tr w14:paraId="042F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18" w:type="dxa"/>
            <w:vAlign w:val="center"/>
          </w:tcPr>
          <w:p w14:paraId="132AEC5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9</w:t>
            </w:r>
          </w:p>
        </w:tc>
        <w:tc>
          <w:tcPr>
            <w:tcW w:w="1682" w:type="dxa"/>
            <w:vAlign w:val="center"/>
          </w:tcPr>
          <w:p w14:paraId="13EEB67E">
            <w:pPr>
              <w:spacing w:line="440" w:lineRule="exact"/>
              <w:jc w:val="center"/>
              <w:rPr>
                <w:rFonts w:ascii="宋体" w:hAnsi="宋体" w:cs="Courier New"/>
                <w:color w:val="auto"/>
                <w:spacing w:val="2"/>
                <w:szCs w:val="21"/>
                <w:highlight w:val="none"/>
              </w:rPr>
            </w:pPr>
            <w:r>
              <w:rPr>
                <w:rFonts w:hint="eastAsia" w:ascii="宋体" w:hAnsi="宋体"/>
                <w:bCs/>
                <w:color w:val="auto"/>
                <w:szCs w:val="21"/>
                <w:highlight w:val="none"/>
              </w:rPr>
              <w:t>报价方式</w:t>
            </w:r>
          </w:p>
        </w:tc>
        <w:tc>
          <w:tcPr>
            <w:tcW w:w="6965" w:type="dxa"/>
            <w:vAlign w:val="center"/>
          </w:tcPr>
          <w:p w14:paraId="04ED7BDA">
            <w:pPr>
              <w:pStyle w:val="200"/>
              <w:spacing w:line="420" w:lineRule="exact"/>
              <w:rPr>
                <w:rFonts w:hAnsi="宋体"/>
                <w:color w:val="auto"/>
                <w:szCs w:val="21"/>
                <w:highlight w:val="none"/>
              </w:rPr>
            </w:pPr>
            <w:r>
              <w:rPr>
                <w:rFonts w:hint="eastAsia" w:hAnsi="宋体"/>
                <w:bCs/>
                <w:color w:val="auto"/>
                <w:szCs w:val="21"/>
                <w:highlight w:val="none"/>
              </w:rPr>
              <w:t>工程量清单报价（</w:t>
            </w:r>
            <w:r>
              <w:rPr>
                <w:rFonts w:hint="eastAsia" w:hAnsi="宋体"/>
                <w:b/>
                <w:bCs/>
                <w:color w:val="auto"/>
                <w:szCs w:val="21"/>
                <w:highlight w:val="none"/>
              </w:rPr>
              <w:t>清单计价法），</w:t>
            </w:r>
            <w:r>
              <w:rPr>
                <w:rFonts w:hint="eastAsia" w:hAnsi="宋体"/>
                <w:color w:val="auto"/>
                <w:szCs w:val="21"/>
                <w:highlight w:val="none"/>
              </w:rPr>
              <w:t>供应商按照采购人提供的工程量清单填写。</w:t>
            </w:r>
          </w:p>
        </w:tc>
      </w:tr>
      <w:tr w14:paraId="6CB8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18" w:type="dxa"/>
            <w:vAlign w:val="center"/>
          </w:tcPr>
          <w:p w14:paraId="174FDC0F">
            <w:pPr>
              <w:spacing w:line="440" w:lineRule="exact"/>
              <w:jc w:val="center"/>
              <w:rPr>
                <w:rFonts w:ascii="宋体" w:hAnsi="宋体" w:cs="Courier New"/>
                <w:color w:val="auto"/>
                <w:spacing w:val="2"/>
                <w:szCs w:val="21"/>
                <w:highlight w:val="none"/>
              </w:rPr>
            </w:pPr>
            <w:bookmarkStart w:id="9" w:name="_Hlk87630554"/>
            <w:r>
              <w:rPr>
                <w:rFonts w:hint="eastAsia" w:ascii="宋体" w:hAnsi="宋体" w:cs="Courier New"/>
                <w:color w:val="auto"/>
                <w:spacing w:val="2"/>
                <w:szCs w:val="21"/>
                <w:highlight w:val="none"/>
              </w:rPr>
              <w:t>10</w:t>
            </w:r>
          </w:p>
        </w:tc>
        <w:tc>
          <w:tcPr>
            <w:tcW w:w="1682" w:type="dxa"/>
            <w:vAlign w:val="center"/>
          </w:tcPr>
          <w:p w14:paraId="66764B5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磋商有效期</w:t>
            </w:r>
          </w:p>
        </w:tc>
        <w:tc>
          <w:tcPr>
            <w:tcW w:w="6965" w:type="dxa"/>
            <w:vAlign w:val="center"/>
          </w:tcPr>
          <w:p w14:paraId="2E2A904D">
            <w:pPr>
              <w:spacing w:line="42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磋商截止之日后</w:t>
            </w:r>
            <w:r>
              <w:rPr>
                <w:rFonts w:hint="eastAsia" w:ascii="宋体" w:hAnsi="宋体" w:cs="Courier New"/>
                <w:color w:val="auto"/>
                <w:spacing w:val="2"/>
                <w:szCs w:val="21"/>
                <w:highlight w:val="none"/>
                <w:u w:val="single"/>
              </w:rPr>
              <w:t>60</w:t>
            </w:r>
            <w:r>
              <w:rPr>
                <w:rFonts w:hint="eastAsia" w:ascii="宋体" w:hAnsi="宋体" w:cs="Courier New"/>
                <w:color w:val="auto"/>
                <w:spacing w:val="2"/>
                <w:szCs w:val="21"/>
                <w:highlight w:val="none"/>
              </w:rPr>
              <w:t>日历天</w:t>
            </w:r>
          </w:p>
        </w:tc>
      </w:tr>
      <w:bookmarkEnd w:id="9"/>
      <w:tr w14:paraId="10E8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18" w:type="dxa"/>
            <w:vAlign w:val="center"/>
          </w:tcPr>
          <w:p w14:paraId="0BD3FE6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11</w:t>
            </w:r>
          </w:p>
        </w:tc>
        <w:tc>
          <w:tcPr>
            <w:tcW w:w="1682" w:type="dxa"/>
            <w:vAlign w:val="center"/>
          </w:tcPr>
          <w:p w14:paraId="653C0603">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磋商保证金</w:t>
            </w:r>
          </w:p>
        </w:tc>
        <w:tc>
          <w:tcPr>
            <w:tcW w:w="6965" w:type="dxa"/>
            <w:vAlign w:val="center"/>
          </w:tcPr>
          <w:p w14:paraId="6F48FC99">
            <w:pPr>
              <w:spacing w:line="420" w:lineRule="exact"/>
              <w:rPr>
                <w:rFonts w:ascii="宋体" w:hAnsi="宋体"/>
                <w:color w:val="auto"/>
                <w:kern w:val="0"/>
                <w:szCs w:val="21"/>
                <w:highlight w:val="none"/>
              </w:rPr>
            </w:pPr>
            <w:r>
              <w:rPr>
                <w:rFonts w:hint="eastAsia" w:ascii="宋体" w:hAnsi="宋体"/>
                <w:color w:val="auto"/>
                <w:kern w:val="0"/>
                <w:szCs w:val="21"/>
                <w:highlight w:val="none"/>
              </w:rPr>
              <w:t>本项目不收取磋商保证金</w:t>
            </w:r>
          </w:p>
        </w:tc>
      </w:tr>
      <w:tr w14:paraId="7785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0FA55CE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12</w:t>
            </w:r>
          </w:p>
        </w:tc>
        <w:tc>
          <w:tcPr>
            <w:tcW w:w="1682" w:type="dxa"/>
            <w:vAlign w:val="center"/>
          </w:tcPr>
          <w:p w14:paraId="23B112CD">
            <w:pPr>
              <w:spacing w:line="440" w:lineRule="exact"/>
              <w:jc w:val="center"/>
              <w:rPr>
                <w:rFonts w:ascii="宋体" w:hAnsi="宋体" w:cs="Courier New"/>
                <w:color w:val="auto"/>
                <w:spacing w:val="2"/>
                <w:szCs w:val="21"/>
                <w:highlight w:val="none"/>
              </w:rPr>
            </w:pPr>
            <w:r>
              <w:rPr>
                <w:rFonts w:hint="eastAsia" w:ascii="宋体" w:hAnsi="宋体" w:cs="Courier New"/>
                <w:bCs/>
                <w:color w:val="auto"/>
                <w:spacing w:val="2"/>
                <w:szCs w:val="21"/>
                <w:highlight w:val="none"/>
              </w:rPr>
              <w:t>现场勘查</w:t>
            </w:r>
          </w:p>
        </w:tc>
        <w:tc>
          <w:tcPr>
            <w:tcW w:w="6965" w:type="dxa"/>
            <w:vAlign w:val="center"/>
          </w:tcPr>
          <w:p w14:paraId="026F6AAE">
            <w:pPr>
              <w:spacing w:line="420" w:lineRule="exact"/>
              <w:rPr>
                <w:rFonts w:ascii="宋体" w:hAnsi="宋体" w:cs="Courier New"/>
                <w:bCs/>
                <w:color w:val="auto"/>
                <w:spacing w:val="2"/>
                <w:szCs w:val="21"/>
                <w:highlight w:val="none"/>
              </w:rPr>
            </w:pPr>
            <w:r>
              <w:rPr>
                <w:rFonts w:hint="eastAsia" w:ascii="宋体" w:hAnsi="宋体" w:cs="Courier New"/>
                <w:bCs/>
                <w:color w:val="auto"/>
                <w:spacing w:val="2"/>
                <w:szCs w:val="21"/>
                <w:highlight w:val="none"/>
              </w:rPr>
              <w:t>采购人不组织现场踏勘，供应商自行现场勘查。</w:t>
            </w:r>
          </w:p>
        </w:tc>
      </w:tr>
      <w:tr w14:paraId="45F1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389B00B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13</w:t>
            </w:r>
          </w:p>
        </w:tc>
        <w:tc>
          <w:tcPr>
            <w:tcW w:w="1682" w:type="dxa"/>
            <w:vAlign w:val="center"/>
          </w:tcPr>
          <w:p w14:paraId="2EC85DD1">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响应文件形式</w:t>
            </w:r>
          </w:p>
        </w:tc>
        <w:tc>
          <w:tcPr>
            <w:tcW w:w="6965" w:type="dxa"/>
            <w:vAlign w:val="center"/>
          </w:tcPr>
          <w:p w14:paraId="0A77874F">
            <w:pPr>
              <w:spacing w:line="440" w:lineRule="exact"/>
              <w:rPr>
                <w:rFonts w:ascii="宋体" w:hAnsi="宋体"/>
                <w:snapToGrid w:val="0"/>
                <w:color w:val="auto"/>
                <w:szCs w:val="21"/>
                <w:highlight w:val="none"/>
              </w:rPr>
            </w:pPr>
            <w:r>
              <w:rPr>
                <w:rFonts w:hint="eastAsia" w:ascii="宋体" w:hAnsi="宋体"/>
                <w:snapToGrid w:val="0"/>
                <w:color w:val="auto"/>
                <w:szCs w:val="21"/>
                <w:highlight w:val="none"/>
              </w:rPr>
              <w:t>供应商应准备电子</w:t>
            </w:r>
            <w:r>
              <w:rPr>
                <w:rFonts w:hint="eastAsia" w:ascii="宋体" w:hAnsi="宋体"/>
                <w:color w:val="auto"/>
                <w:szCs w:val="21"/>
                <w:highlight w:val="none"/>
              </w:rPr>
              <w:t>响应</w:t>
            </w:r>
            <w:r>
              <w:rPr>
                <w:rFonts w:hint="eastAsia" w:ascii="宋体" w:hAnsi="宋体"/>
                <w:snapToGrid w:val="0"/>
                <w:color w:val="auto"/>
                <w:szCs w:val="21"/>
                <w:highlight w:val="none"/>
              </w:rPr>
              <w:t>文件。电子</w:t>
            </w:r>
            <w:r>
              <w:rPr>
                <w:rFonts w:hint="eastAsia" w:ascii="宋体" w:hAnsi="宋体"/>
                <w:color w:val="auto"/>
                <w:szCs w:val="21"/>
                <w:highlight w:val="none"/>
              </w:rPr>
              <w:t>响应</w:t>
            </w:r>
            <w:r>
              <w:rPr>
                <w:rFonts w:hint="eastAsia" w:ascii="宋体" w:hAnsi="宋体"/>
                <w:snapToGrid w:val="0"/>
                <w:color w:val="auto"/>
                <w:szCs w:val="21"/>
                <w:highlight w:val="none"/>
              </w:rPr>
              <w:t>文件是指通过“</w:t>
            </w:r>
            <w:r>
              <w:rPr>
                <w:rFonts w:hint="eastAsia" w:ascii="宋体" w:hAnsi="宋体"/>
                <w:snapToGrid w:val="0"/>
                <w:color w:val="auto"/>
                <w:szCs w:val="21"/>
                <w:highlight w:val="none"/>
                <w:lang w:eastAsia="zh-CN"/>
              </w:rPr>
              <w:t>广西政府采购云</w:t>
            </w:r>
            <w:r>
              <w:rPr>
                <w:rFonts w:ascii="宋体" w:hAnsi="宋体"/>
                <w:color w:val="auto"/>
                <w:szCs w:val="21"/>
                <w:highlight w:val="none"/>
              </w:rPr>
              <w:t>电子投标</w:t>
            </w:r>
            <w:r>
              <w:rPr>
                <w:rFonts w:hint="eastAsia" w:ascii="宋体" w:hAnsi="宋体"/>
                <w:snapToGrid w:val="0"/>
                <w:color w:val="auto"/>
                <w:szCs w:val="21"/>
                <w:highlight w:val="none"/>
              </w:rPr>
              <w:t>客户端”完成</w:t>
            </w:r>
            <w:r>
              <w:rPr>
                <w:rFonts w:hint="eastAsia" w:ascii="宋体" w:hAnsi="宋体"/>
                <w:color w:val="auto"/>
                <w:szCs w:val="21"/>
                <w:highlight w:val="none"/>
              </w:rPr>
              <w:t>响应</w:t>
            </w:r>
            <w:r>
              <w:rPr>
                <w:rFonts w:hint="eastAsia" w:ascii="宋体" w:hAnsi="宋体"/>
                <w:snapToGrid w:val="0"/>
                <w:color w:val="auto"/>
                <w:szCs w:val="21"/>
                <w:highlight w:val="none"/>
              </w:rPr>
              <w:t>文件编制后生成并加密的数据电文形式的电子加密</w:t>
            </w:r>
            <w:r>
              <w:rPr>
                <w:rFonts w:hint="eastAsia" w:ascii="宋体" w:hAnsi="宋体"/>
                <w:color w:val="auto"/>
                <w:szCs w:val="21"/>
                <w:highlight w:val="none"/>
              </w:rPr>
              <w:t>响应</w:t>
            </w:r>
            <w:r>
              <w:rPr>
                <w:rFonts w:hint="eastAsia" w:ascii="宋体" w:hAnsi="宋体"/>
                <w:snapToGrid w:val="0"/>
                <w:color w:val="auto"/>
                <w:szCs w:val="21"/>
                <w:highlight w:val="none"/>
              </w:rPr>
              <w:t>文件。</w:t>
            </w:r>
          </w:p>
        </w:tc>
      </w:tr>
      <w:tr w14:paraId="71AB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0F6A638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14</w:t>
            </w:r>
          </w:p>
        </w:tc>
        <w:tc>
          <w:tcPr>
            <w:tcW w:w="1682" w:type="dxa"/>
            <w:vAlign w:val="center"/>
          </w:tcPr>
          <w:p w14:paraId="55903AF0">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w:t>
            </w:r>
            <w:r>
              <w:rPr>
                <w:rFonts w:hint="eastAsia" w:ascii="宋体" w:hAnsi="宋体"/>
                <w:snapToGrid w:val="0"/>
                <w:color w:val="auto"/>
                <w:szCs w:val="21"/>
                <w:highlight w:val="none"/>
              </w:rPr>
              <w:t>文件的编制</w:t>
            </w:r>
          </w:p>
        </w:tc>
        <w:tc>
          <w:tcPr>
            <w:tcW w:w="6965" w:type="dxa"/>
            <w:vAlign w:val="center"/>
          </w:tcPr>
          <w:p w14:paraId="6A6A594E">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供应商应先安装“</w:t>
            </w:r>
            <w:r>
              <w:rPr>
                <w:rFonts w:hint="eastAsia" w:ascii="宋体" w:hAnsi="宋体"/>
                <w:snapToGrid w:val="0"/>
                <w:color w:val="auto"/>
                <w:szCs w:val="21"/>
                <w:highlight w:val="none"/>
                <w:lang w:eastAsia="zh-CN"/>
              </w:rPr>
              <w:t>广西政府采购云</w:t>
            </w:r>
            <w:r>
              <w:rPr>
                <w:rFonts w:ascii="宋体" w:hAnsi="宋体"/>
                <w:color w:val="auto"/>
                <w:szCs w:val="21"/>
                <w:highlight w:val="none"/>
              </w:rPr>
              <w:t>电子投标</w:t>
            </w:r>
            <w:r>
              <w:rPr>
                <w:rFonts w:hint="eastAsia" w:ascii="宋体" w:hAnsi="宋体"/>
                <w:snapToGrid w:val="0"/>
                <w:color w:val="auto"/>
                <w:szCs w:val="21"/>
                <w:highlight w:val="none"/>
              </w:rPr>
              <w:t>客户端”，并按照本磋商文件和“</w:t>
            </w:r>
            <w:r>
              <w:rPr>
                <w:rFonts w:hint="eastAsia" w:ascii="宋体" w:hAnsi="宋体"/>
                <w:snapToGrid w:val="0"/>
                <w:color w:val="auto"/>
                <w:szCs w:val="21"/>
                <w:highlight w:val="none"/>
                <w:lang w:eastAsia="zh-CN"/>
              </w:rPr>
              <w:t>广西政府采购云</w:t>
            </w:r>
            <w:r>
              <w:rPr>
                <w:rFonts w:hint="eastAsia" w:ascii="宋体" w:hAnsi="宋体"/>
                <w:snapToGrid w:val="0"/>
                <w:color w:val="auto"/>
                <w:szCs w:val="21"/>
                <w:highlight w:val="none"/>
              </w:rPr>
              <w:t>平台”的要求，通过“</w:t>
            </w:r>
            <w:r>
              <w:rPr>
                <w:rFonts w:hint="eastAsia" w:ascii="宋体" w:hAnsi="宋体"/>
                <w:snapToGrid w:val="0"/>
                <w:color w:val="auto"/>
                <w:szCs w:val="21"/>
                <w:highlight w:val="none"/>
                <w:lang w:eastAsia="zh-CN"/>
              </w:rPr>
              <w:t>广西政府采购云</w:t>
            </w:r>
            <w:r>
              <w:rPr>
                <w:rFonts w:ascii="宋体" w:hAnsi="宋体"/>
                <w:color w:val="auto"/>
                <w:szCs w:val="21"/>
                <w:highlight w:val="none"/>
              </w:rPr>
              <w:t>电子投标</w:t>
            </w:r>
            <w:r>
              <w:rPr>
                <w:rFonts w:hint="eastAsia" w:ascii="宋体" w:hAnsi="宋体"/>
                <w:snapToGrid w:val="0"/>
                <w:color w:val="auto"/>
                <w:szCs w:val="21"/>
                <w:highlight w:val="none"/>
              </w:rPr>
              <w:t>客户端”编制并加密</w:t>
            </w:r>
            <w:r>
              <w:rPr>
                <w:rFonts w:hint="eastAsia" w:ascii="宋体" w:hAnsi="宋体"/>
                <w:color w:val="auto"/>
                <w:szCs w:val="21"/>
                <w:highlight w:val="none"/>
              </w:rPr>
              <w:t>响应</w:t>
            </w:r>
            <w:r>
              <w:rPr>
                <w:rFonts w:hint="eastAsia" w:ascii="宋体" w:hAnsi="宋体"/>
                <w:snapToGrid w:val="0"/>
                <w:color w:val="auto"/>
                <w:szCs w:val="21"/>
                <w:highlight w:val="none"/>
              </w:rPr>
              <w:t>文件。</w:t>
            </w:r>
          </w:p>
        </w:tc>
      </w:tr>
      <w:tr w14:paraId="5937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18569DB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15</w:t>
            </w:r>
          </w:p>
        </w:tc>
        <w:tc>
          <w:tcPr>
            <w:tcW w:w="1682" w:type="dxa"/>
            <w:vAlign w:val="center"/>
          </w:tcPr>
          <w:p w14:paraId="58631E5C">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w:t>
            </w:r>
            <w:r>
              <w:rPr>
                <w:rFonts w:hint="eastAsia" w:ascii="宋体" w:hAnsi="宋体"/>
                <w:snapToGrid w:val="0"/>
                <w:color w:val="auto"/>
                <w:szCs w:val="21"/>
                <w:highlight w:val="none"/>
              </w:rPr>
              <w:t>文件的盖章</w:t>
            </w:r>
          </w:p>
        </w:tc>
        <w:tc>
          <w:tcPr>
            <w:tcW w:w="6965" w:type="dxa"/>
            <w:vAlign w:val="center"/>
          </w:tcPr>
          <w:p w14:paraId="2227C6E8">
            <w:pPr>
              <w:widowControl/>
              <w:spacing w:line="440" w:lineRule="exact"/>
              <w:jc w:val="left"/>
              <w:rPr>
                <w:rFonts w:ascii="宋体" w:hAnsi="宋体"/>
                <w:snapToGrid w:val="0"/>
                <w:color w:val="auto"/>
                <w:szCs w:val="21"/>
                <w:highlight w:val="none"/>
              </w:rPr>
            </w:pPr>
            <w:r>
              <w:rPr>
                <w:rFonts w:hint="eastAsia" w:ascii="宋体" w:hAnsi="宋体"/>
                <w:color w:val="auto"/>
                <w:szCs w:val="21"/>
                <w:highlight w:val="none"/>
              </w:rPr>
              <w:t>响应</w:t>
            </w:r>
            <w:r>
              <w:rPr>
                <w:rFonts w:hint="eastAsia" w:ascii="宋体" w:hAnsi="宋体"/>
                <w:snapToGrid w:val="0"/>
                <w:color w:val="auto"/>
                <w:szCs w:val="21"/>
                <w:highlight w:val="none"/>
              </w:rPr>
              <w:t>文件中所涉及的加盖公章均采用CA电子签章。</w:t>
            </w:r>
          </w:p>
        </w:tc>
      </w:tr>
      <w:tr w14:paraId="32E0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3F8A81A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16</w:t>
            </w:r>
          </w:p>
        </w:tc>
        <w:tc>
          <w:tcPr>
            <w:tcW w:w="1682" w:type="dxa"/>
            <w:vAlign w:val="center"/>
          </w:tcPr>
          <w:p w14:paraId="735EB10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响应文件</w:t>
            </w:r>
          </w:p>
          <w:p w14:paraId="49D3C72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份数</w:t>
            </w:r>
          </w:p>
        </w:tc>
        <w:tc>
          <w:tcPr>
            <w:tcW w:w="6965" w:type="dxa"/>
            <w:vAlign w:val="center"/>
          </w:tcPr>
          <w:p w14:paraId="3F0545C0">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供应商应准备电子加密响应文件、以介质存储的数据电文形式的电子备份响应文件份数： </w:t>
            </w:r>
          </w:p>
          <w:p w14:paraId="31A4C1E8">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1.电子加密响应文件按</w:t>
            </w:r>
            <w:r>
              <w:rPr>
                <w:rFonts w:hint="eastAsia" w:ascii="宋体" w:hAnsi="宋体"/>
                <w:snapToGrid w:val="0"/>
                <w:color w:val="auto"/>
                <w:szCs w:val="21"/>
                <w:highlight w:val="none"/>
                <w:lang w:eastAsia="zh-CN"/>
              </w:rPr>
              <w:t>广西政府采购云</w:t>
            </w:r>
            <w:r>
              <w:rPr>
                <w:rFonts w:hint="eastAsia" w:ascii="宋体" w:hAnsi="宋体"/>
                <w:snapToGrid w:val="0"/>
                <w:color w:val="auto"/>
                <w:szCs w:val="21"/>
                <w:highlight w:val="none"/>
              </w:rPr>
              <w:t>平台要求及本磋商文件要求制作、加密，并</w:t>
            </w:r>
            <w:r>
              <w:rPr>
                <w:rFonts w:ascii="宋体" w:hAnsi="宋体"/>
                <w:snapToGrid w:val="0"/>
                <w:color w:val="auto"/>
                <w:szCs w:val="21"/>
                <w:highlight w:val="none"/>
              </w:rPr>
              <w:t>在</w:t>
            </w:r>
            <w:r>
              <w:rPr>
                <w:rFonts w:hint="eastAsia" w:ascii="宋体" w:hAnsi="宋体"/>
                <w:snapToGrid w:val="0"/>
                <w:color w:val="auto"/>
                <w:szCs w:val="21"/>
                <w:highlight w:val="none"/>
              </w:rPr>
              <w:t>响应文件提交</w:t>
            </w:r>
            <w:r>
              <w:rPr>
                <w:rFonts w:ascii="宋体" w:hAnsi="宋体"/>
                <w:snapToGrid w:val="0"/>
                <w:color w:val="auto"/>
                <w:szCs w:val="21"/>
                <w:highlight w:val="none"/>
              </w:rPr>
              <w:t>截止时间前</w:t>
            </w:r>
            <w:r>
              <w:rPr>
                <w:rFonts w:hint="eastAsia" w:ascii="宋体" w:hAnsi="宋体"/>
                <w:snapToGrid w:val="0"/>
                <w:color w:val="auto"/>
                <w:szCs w:val="21"/>
                <w:highlight w:val="none"/>
              </w:rPr>
              <w:t>成功上传提交至“</w:t>
            </w:r>
            <w:r>
              <w:rPr>
                <w:rFonts w:hint="eastAsia" w:ascii="宋体" w:hAnsi="宋体"/>
                <w:snapToGrid w:val="0"/>
                <w:color w:val="auto"/>
                <w:szCs w:val="21"/>
                <w:highlight w:val="none"/>
                <w:lang w:eastAsia="zh-CN"/>
              </w:rPr>
              <w:t>广西政府采购云</w:t>
            </w:r>
            <w:r>
              <w:rPr>
                <w:rFonts w:hint="eastAsia" w:ascii="宋体" w:hAnsi="宋体"/>
                <w:snapToGrid w:val="0"/>
                <w:color w:val="auto"/>
                <w:szCs w:val="21"/>
                <w:highlight w:val="none"/>
              </w:rPr>
              <w:t>平台”。“电子加密投标文件”成功上传提交后，供应商可自行打印响应文件接收回执。</w:t>
            </w:r>
          </w:p>
          <w:p w14:paraId="58105BC7">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2.以介质存储的数据电文形式的电子备份响应文件，按</w:t>
            </w:r>
            <w:r>
              <w:rPr>
                <w:rFonts w:hint="eastAsia" w:ascii="宋体" w:hAnsi="宋体"/>
                <w:snapToGrid w:val="0"/>
                <w:color w:val="auto"/>
                <w:szCs w:val="21"/>
                <w:highlight w:val="none"/>
                <w:lang w:eastAsia="zh-CN"/>
              </w:rPr>
              <w:t>广西政府采购云</w:t>
            </w:r>
            <w:r>
              <w:rPr>
                <w:rFonts w:hint="eastAsia" w:ascii="宋体" w:hAnsi="宋体"/>
                <w:snapToGrid w:val="0"/>
                <w:color w:val="auto"/>
                <w:szCs w:val="21"/>
                <w:highlight w:val="none"/>
              </w:rPr>
              <w:t xml:space="preserve">平台《政府采购项目电子交易管理操作指南-供应商》中上传的电子响应文件格式，以U 盘的形式提供。数量为 1 份。 </w:t>
            </w:r>
          </w:p>
          <w:p w14:paraId="27E760AA">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3. 响应文件启用顺序和效力。响应文件的启用，按先后顺位分别为电子加密响应文件、以介质存储的数据电文形式的电子备份响应文件。顺位在先的响应文件已按时解密的，下一顺位响应文件自动失效。在下一顺位的响应文件启用时，前一顺位的响应文件自动失效。 </w:t>
            </w:r>
          </w:p>
          <w:p w14:paraId="0742BF8B">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未</w:t>
            </w:r>
            <w:r>
              <w:rPr>
                <w:rFonts w:ascii="宋体" w:hAnsi="宋体"/>
                <w:snapToGrid w:val="0"/>
                <w:color w:val="auto"/>
                <w:szCs w:val="21"/>
                <w:highlight w:val="none"/>
              </w:rPr>
              <w:t>在</w:t>
            </w:r>
            <w:r>
              <w:rPr>
                <w:rFonts w:hint="eastAsia" w:ascii="宋体" w:hAnsi="宋体"/>
                <w:snapToGrid w:val="0"/>
                <w:color w:val="auto"/>
                <w:szCs w:val="21"/>
                <w:highlight w:val="none"/>
              </w:rPr>
              <w:t>响应文件提交</w:t>
            </w:r>
            <w:r>
              <w:rPr>
                <w:rFonts w:ascii="宋体" w:hAnsi="宋体"/>
                <w:snapToGrid w:val="0"/>
                <w:color w:val="auto"/>
                <w:szCs w:val="21"/>
                <w:highlight w:val="none"/>
              </w:rPr>
              <w:t>截止时间前</w:t>
            </w:r>
            <w:r>
              <w:rPr>
                <w:rFonts w:hint="eastAsia" w:ascii="宋体" w:hAnsi="宋体"/>
                <w:snapToGrid w:val="0"/>
                <w:color w:val="auto"/>
                <w:szCs w:val="21"/>
                <w:highlight w:val="none"/>
              </w:rPr>
              <w:t xml:space="preserve">传输提交电子加密响应文件的，响应无效。 </w:t>
            </w:r>
          </w:p>
          <w:p w14:paraId="6ADD3083">
            <w:pPr>
              <w:spacing w:line="420" w:lineRule="exact"/>
              <w:rPr>
                <w:rFonts w:ascii="宋体" w:hAnsi="宋体" w:cs="Courier New"/>
                <w:color w:val="auto"/>
                <w:spacing w:val="2"/>
                <w:szCs w:val="21"/>
                <w:highlight w:val="none"/>
              </w:rPr>
            </w:pPr>
            <w:r>
              <w:rPr>
                <w:rFonts w:hint="eastAsia" w:ascii="宋体" w:hAnsi="宋体"/>
                <w:snapToGrid w:val="0"/>
                <w:color w:val="auto"/>
                <w:szCs w:val="21"/>
                <w:highlight w:val="none"/>
              </w:rPr>
              <w:t>未按规定提供相应的备份响应文件，造成项目开评标活动无法进行下去的，响应无效。</w:t>
            </w:r>
          </w:p>
        </w:tc>
      </w:tr>
      <w:tr w14:paraId="7BAC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75B434D2">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17</w:t>
            </w:r>
          </w:p>
        </w:tc>
        <w:tc>
          <w:tcPr>
            <w:tcW w:w="1682" w:type="dxa"/>
            <w:vAlign w:val="center"/>
          </w:tcPr>
          <w:p w14:paraId="220148E2">
            <w:pPr>
              <w:spacing w:line="440" w:lineRule="exact"/>
              <w:jc w:val="center"/>
              <w:rPr>
                <w:rFonts w:ascii="宋体" w:hAnsi="宋体" w:cs="宋体"/>
                <w:color w:val="auto"/>
                <w:spacing w:val="2"/>
                <w:szCs w:val="21"/>
                <w:highlight w:val="none"/>
              </w:rPr>
            </w:pPr>
            <w:r>
              <w:rPr>
                <w:rFonts w:hint="eastAsia" w:ascii="宋体" w:hAnsi="宋体"/>
                <w:snapToGrid w:val="0"/>
                <w:color w:val="auto"/>
                <w:szCs w:val="21"/>
                <w:highlight w:val="none"/>
              </w:rPr>
              <w:t>电子响应文件的解密</w:t>
            </w:r>
          </w:p>
        </w:tc>
        <w:tc>
          <w:tcPr>
            <w:tcW w:w="6965" w:type="dxa"/>
            <w:vAlign w:val="center"/>
          </w:tcPr>
          <w:p w14:paraId="41888C0D">
            <w:pPr>
              <w:adjustRightInd w:val="0"/>
              <w:spacing w:line="420" w:lineRule="exact"/>
              <w:ind w:firstLine="420" w:firstLineChars="200"/>
              <w:rPr>
                <w:rFonts w:ascii="宋体" w:hAnsi="宋体" w:cs="宋体"/>
                <w:color w:val="auto"/>
                <w:spacing w:val="2"/>
                <w:szCs w:val="21"/>
                <w:highlight w:val="none"/>
              </w:rPr>
            </w:pPr>
            <w:r>
              <w:rPr>
                <w:rFonts w:hint="eastAsia" w:ascii="宋体" w:hAnsi="宋体"/>
                <w:snapToGrid w:val="0"/>
                <w:color w:val="auto"/>
                <w:szCs w:val="21"/>
                <w:highlight w:val="none"/>
              </w:rPr>
              <w:t>响应文件提交截止时间后 30 分钟内，供应商必须在此时间段内登录</w:t>
            </w:r>
            <w:r>
              <w:rPr>
                <w:rFonts w:hint="eastAsia" w:ascii="宋体" w:hAnsi="宋体"/>
                <w:snapToGrid w:val="0"/>
                <w:color w:val="auto"/>
                <w:szCs w:val="21"/>
                <w:highlight w:val="none"/>
                <w:lang w:eastAsia="zh-CN"/>
              </w:rPr>
              <w:t>广西政府采购云</w:t>
            </w:r>
            <w:r>
              <w:rPr>
                <w:rFonts w:hint="eastAsia" w:ascii="宋体" w:hAnsi="宋体"/>
                <w:snapToGrid w:val="0"/>
                <w:color w:val="auto"/>
                <w:szCs w:val="21"/>
                <w:highlight w:val="none"/>
              </w:rPr>
              <w:t>平台，用“项目采购-开标评标”功能完成电子响应文件的解密。若供应商在规定时间内未按时解密的，供应商已递交了电子备份响应文件的，以电子备份响应文件为依据，未能按时解密且未提交电子备份响应文件的视为响应文件撤回。</w:t>
            </w:r>
          </w:p>
        </w:tc>
      </w:tr>
      <w:tr w14:paraId="5CD7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1A3104A8">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18</w:t>
            </w:r>
          </w:p>
        </w:tc>
        <w:tc>
          <w:tcPr>
            <w:tcW w:w="1682" w:type="dxa"/>
            <w:vAlign w:val="center"/>
          </w:tcPr>
          <w:p w14:paraId="58C62A8E">
            <w:pPr>
              <w:spacing w:line="440" w:lineRule="exact"/>
              <w:jc w:val="center"/>
              <w:rPr>
                <w:rFonts w:ascii="宋体" w:hAnsi="宋体" w:cs="宋体"/>
                <w:color w:val="auto"/>
                <w:spacing w:val="2"/>
                <w:szCs w:val="21"/>
                <w:highlight w:val="none"/>
              </w:rPr>
            </w:pPr>
            <w:r>
              <w:rPr>
                <w:rFonts w:hint="eastAsia" w:ascii="宋体" w:hAnsi="宋体" w:cs="宋体"/>
                <w:color w:val="auto"/>
                <w:spacing w:val="2"/>
                <w:szCs w:val="21"/>
                <w:highlight w:val="none"/>
              </w:rPr>
              <w:t>响应文件提交地点及截止时间</w:t>
            </w:r>
          </w:p>
        </w:tc>
        <w:tc>
          <w:tcPr>
            <w:tcW w:w="6965" w:type="dxa"/>
            <w:vAlign w:val="center"/>
          </w:tcPr>
          <w:p w14:paraId="47623745">
            <w:pPr>
              <w:adjustRightInd w:val="0"/>
              <w:spacing w:line="420" w:lineRule="exact"/>
              <w:ind w:firstLine="428" w:firstLineChars="200"/>
              <w:rPr>
                <w:rFonts w:ascii="宋体" w:hAnsi="宋体" w:cs="Arial"/>
                <w:color w:val="auto"/>
                <w:szCs w:val="21"/>
                <w:highlight w:val="none"/>
                <w:u w:val="single"/>
              </w:rPr>
            </w:pPr>
            <w:r>
              <w:rPr>
                <w:rFonts w:hint="eastAsia" w:ascii="宋体" w:hAnsi="宋体" w:cs="宋体"/>
                <w:color w:val="auto"/>
                <w:spacing w:val="2"/>
                <w:szCs w:val="21"/>
                <w:highlight w:val="none"/>
              </w:rPr>
              <w:t>截止时间：</w:t>
            </w:r>
            <w:r>
              <w:rPr>
                <w:rFonts w:hint="eastAsia" w:ascii="宋体" w:hAnsi="宋体" w:cs="宋体"/>
                <w:color w:val="auto"/>
                <w:spacing w:val="2"/>
                <w:szCs w:val="21"/>
                <w:highlight w:val="none"/>
              </w:rPr>
              <w:t>202</w:t>
            </w:r>
            <w:r>
              <w:rPr>
                <w:rFonts w:hint="eastAsia" w:ascii="宋体" w:hAnsi="宋体" w:cs="宋体"/>
                <w:color w:val="auto"/>
                <w:spacing w:val="2"/>
                <w:szCs w:val="21"/>
                <w:highlight w:val="none"/>
                <w:lang w:val="en-US" w:eastAsia="zh-CN"/>
              </w:rPr>
              <w:t>5</w:t>
            </w:r>
            <w:r>
              <w:rPr>
                <w:rFonts w:hint="eastAsia" w:ascii="宋体" w:hAnsi="宋体" w:cs="宋体"/>
                <w:color w:val="auto"/>
                <w:spacing w:val="2"/>
                <w:szCs w:val="21"/>
                <w:highlight w:val="none"/>
              </w:rPr>
              <w:t>年</w:t>
            </w:r>
            <w:r>
              <w:rPr>
                <w:rFonts w:hint="eastAsia" w:ascii="宋体" w:hAnsi="宋体" w:cs="宋体"/>
                <w:color w:val="auto"/>
                <w:spacing w:val="2"/>
                <w:szCs w:val="21"/>
                <w:highlight w:val="none"/>
                <w:lang w:val="en-US" w:eastAsia="zh-CN"/>
              </w:rPr>
              <w:t>4</w:t>
            </w:r>
            <w:r>
              <w:rPr>
                <w:rFonts w:hint="eastAsia" w:ascii="宋体" w:hAnsi="宋体" w:cs="宋体"/>
                <w:color w:val="auto"/>
                <w:spacing w:val="2"/>
                <w:szCs w:val="21"/>
                <w:highlight w:val="none"/>
              </w:rPr>
              <w:t>月</w:t>
            </w:r>
            <w:r>
              <w:rPr>
                <w:rFonts w:hint="eastAsia" w:ascii="宋体" w:hAnsi="宋体" w:cs="宋体"/>
                <w:color w:val="auto"/>
                <w:spacing w:val="2"/>
                <w:szCs w:val="21"/>
                <w:highlight w:val="none"/>
                <w:lang w:val="en-US" w:eastAsia="zh-CN"/>
              </w:rPr>
              <w:t>25</w:t>
            </w:r>
            <w:r>
              <w:rPr>
                <w:rFonts w:hint="eastAsia" w:ascii="宋体" w:hAnsi="宋体" w:cs="宋体"/>
                <w:color w:val="auto"/>
                <w:spacing w:val="2"/>
                <w:szCs w:val="21"/>
                <w:highlight w:val="none"/>
              </w:rPr>
              <w:t>日</w:t>
            </w:r>
            <w:r>
              <w:rPr>
                <w:rFonts w:hint="eastAsia" w:ascii="宋体" w:hAnsi="宋体" w:cs="宋体"/>
                <w:color w:val="auto"/>
                <w:spacing w:val="2"/>
                <w:szCs w:val="21"/>
                <w:highlight w:val="none"/>
                <w:lang w:eastAsia="zh-CN"/>
              </w:rPr>
              <w:t>北京时间</w:t>
            </w:r>
            <w:r>
              <w:rPr>
                <w:rFonts w:hint="eastAsia" w:ascii="宋体" w:hAnsi="宋体" w:cs="宋体"/>
                <w:color w:val="auto"/>
                <w:spacing w:val="2"/>
                <w:szCs w:val="21"/>
                <w:highlight w:val="none"/>
                <w:lang w:val="en-US" w:eastAsia="zh-CN"/>
              </w:rPr>
              <w:t>09</w:t>
            </w:r>
            <w:r>
              <w:rPr>
                <w:rFonts w:hint="eastAsia" w:ascii="宋体" w:hAnsi="宋体" w:cs="宋体"/>
                <w:color w:val="auto"/>
                <w:spacing w:val="2"/>
                <w:szCs w:val="21"/>
                <w:highlight w:val="none"/>
                <w:lang w:eastAsia="zh-CN"/>
              </w:rPr>
              <w:t>时</w:t>
            </w:r>
            <w:r>
              <w:rPr>
                <w:rFonts w:hint="eastAsia" w:ascii="宋体" w:hAnsi="宋体" w:cs="宋体"/>
                <w:color w:val="auto"/>
                <w:spacing w:val="2"/>
                <w:szCs w:val="21"/>
                <w:highlight w:val="none"/>
                <w:lang w:val="en-US" w:eastAsia="zh-CN"/>
              </w:rPr>
              <w:t>3</w:t>
            </w:r>
            <w:r>
              <w:rPr>
                <w:rFonts w:hint="eastAsia" w:ascii="宋体" w:hAnsi="宋体" w:cs="宋体"/>
                <w:color w:val="auto"/>
                <w:spacing w:val="2"/>
                <w:szCs w:val="21"/>
                <w:highlight w:val="none"/>
              </w:rPr>
              <w:t>0</w:t>
            </w:r>
            <w:r>
              <w:rPr>
                <w:rFonts w:hint="eastAsia" w:ascii="宋体" w:hAnsi="宋体" w:cs="宋体"/>
                <w:color w:val="auto"/>
                <w:spacing w:val="2"/>
                <w:szCs w:val="21"/>
                <w:highlight w:val="none"/>
                <w:lang w:eastAsia="zh-CN"/>
              </w:rPr>
              <w:t>分</w:t>
            </w:r>
          </w:p>
          <w:p w14:paraId="3DB06363">
            <w:pPr>
              <w:spacing w:line="420" w:lineRule="exact"/>
              <w:ind w:firstLine="428" w:firstLineChars="200"/>
              <w:rPr>
                <w:rFonts w:ascii="宋体" w:hAnsi="宋体"/>
                <w:color w:val="auto"/>
                <w:kern w:val="0"/>
                <w:szCs w:val="21"/>
                <w:highlight w:val="none"/>
              </w:rPr>
            </w:pPr>
            <w:r>
              <w:rPr>
                <w:rFonts w:hint="eastAsia" w:ascii="宋体" w:hAnsi="宋体" w:cs="宋体"/>
                <w:color w:val="auto"/>
                <w:spacing w:val="2"/>
                <w:szCs w:val="21"/>
                <w:highlight w:val="none"/>
              </w:rPr>
              <w:t>地点</w:t>
            </w:r>
            <w:r>
              <w:rPr>
                <w:rFonts w:hint="eastAsia" w:ascii="宋体" w:hAnsi="宋体"/>
                <w:color w:val="auto"/>
                <w:kern w:val="0"/>
                <w:szCs w:val="21"/>
                <w:highlight w:val="none"/>
              </w:rPr>
              <w:t>：</w:t>
            </w:r>
            <w:r>
              <w:rPr>
                <w:rFonts w:hint="eastAsia" w:ascii="宋体" w:hAnsi="宋体"/>
                <w:color w:val="auto"/>
                <w:szCs w:val="21"/>
                <w:highlight w:val="none"/>
              </w:rPr>
              <w:t>通过</w:t>
            </w:r>
            <w:r>
              <w:rPr>
                <w:rFonts w:hint="eastAsia" w:ascii="宋体" w:hAnsi="宋体"/>
                <w:color w:val="auto"/>
                <w:szCs w:val="21"/>
                <w:highlight w:val="none"/>
                <w:lang w:eastAsia="zh-CN"/>
              </w:rPr>
              <w:t>广西政府采购云</w:t>
            </w:r>
            <w:r>
              <w:rPr>
                <w:rFonts w:hint="eastAsia" w:ascii="宋体" w:hAnsi="宋体"/>
                <w:color w:val="auto"/>
                <w:szCs w:val="21"/>
                <w:highlight w:val="none"/>
              </w:rPr>
              <w:t>平台（网址：http://www.zcygov.cn）实行在线响应（本项目采用在线开评标方式，供应商无须前往开标现场）。</w:t>
            </w:r>
          </w:p>
        </w:tc>
      </w:tr>
      <w:tr w14:paraId="1C09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Align w:val="center"/>
          </w:tcPr>
          <w:p w14:paraId="50666D7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19</w:t>
            </w:r>
          </w:p>
        </w:tc>
        <w:tc>
          <w:tcPr>
            <w:tcW w:w="1682" w:type="dxa"/>
            <w:vAlign w:val="center"/>
          </w:tcPr>
          <w:p w14:paraId="3DFA05A2">
            <w:pPr>
              <w:spacing w:line="440" w:lineRule="exact"/>
              <w:jc w:val="center"/>
              <w:rPr>
                <w:rFonts w:ascii="宋体" w:hAnsi="宋体" w:cs="宋体"/>
                <w:color w:val="auto"/>
                <w:spacing w:val="2"/>
                <w:szCs w:val="21"/>
                <w:highlight w:val="none"/>
              </w:rPr>
            </w:pPr>
            <w:r>
              <w:rPr>
                <w:rFonts w:hint="eastAsia" w:ascii="宋体" w:hAnsi="宋体" w:cs="Courier New"/>
                <w:color w:val="auto"/>
                <w:spacing w:val="2"/>
                <w:szCs w:val="21"/>
                <w:highlight w:val="none"/>
              </w:rPr>
              <w:t>磋商</w:t>
            </w:r>
            <w:r>
              <w:rPr>
                <w:rFonts w:hint="eastAsia" w:ascii="宋体" w:hAnsi="宋体" w:cs="宋体"/>
                <w:color w:val="auto"/>
                <w:szCs w:val="21"/>
                <w:highlight w:val="none"/>
              </w:rPr>
              <w:t>时间及</w:t>
            </w:r>
            <w:r>
              <w:rPr>
                <w:rFonts w:hint="eastAsia" w:ascii="宋体" w:hAnsi="宋体" w:cs="Courier New"/>
                <w:color w:val="auto"/>
                <w:spacing w:val="2"/>
                <w:szCs w:val="21"/>
                <w:highlight w:val="none"/>
              </w:rPr>
              <w:t>磋商</w:t>
            </w:r>
            <w:r>
              <w:rPr>
                <w:rFonts w:hint="eastAsia" w:ascii="宋体" w:hAnsi="宋体" w:cs="宋体"/>
                <w:color w:val="auto"/>
                <w:spacing w:val="2"/>
                <w:szCs w:val="21"/>
                <w:highlight w:val="none"/>
              </w:rPr>
              <w:t>地点</w:t>
            </w:r>
          </w:p>
        </w:tc>
        <w:tc>
          <w:tcPr>
            <w:tcW w:w="6965" w:type="dxa"/>
            <w:vAlign w:val="center"/>
          </w:tcPr>
          <w:p w14:paraId="2C321A68">
            <w:pPr>
              <w:spacing w:line="42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磋商时间：</w:t>
            </w:r>
            <w:r>
              <w:rPr>
                <w:rFonts w:hint="eastAsia" w:ascii="宋体" w:hAnsi="宋体" w:cs="Arial"/>
                <w:color w:val="auto"/>
                <w:szCs w:val="21"/>
                <w:highlight w:val="none"/>
              </w:rPr>
              <w:t>202</w:t>
            </w: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年</w:t>
            </w: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月</w:t>
            </w:r>
            <w:r>
              <w:rPr>
                <w:rFonts w:hint="eastAsia" w:ascii="宋体" w:hAnsi="宋体" w:cs="Arial"/>
                <w:color w:val="auto"/>
                <w:szCs w:val="21"/>
                <w:highlight w:val="none"/>
                <w:lang w:val="en-US" w:eastAsia="zh-CN"/>
              </w:rPr>
              <w:t>25</w:t>
            </w:r>
            <w:r>
              <w:rPr>
                <w:rFonts w:hint="eastAsia" w:ascii="宋体" w:hAnsi="宋体" w:cs="Arial"/>
                <w:color w:val="auto"/>
                <w:szCs w:val="21"/>
                <w:highlight w:val="none"/>
              </w:rPr>
              <w:t>日</w:t>
            </w:r>
            <w:r>
              <w:rPr>
                <w:rFonts w:hint="eastAsia" w:ascii="宋体" w:hAnsi="宋体" w:cs="Arial"/>
                <w:color w:val="auto"/>
                <w:szCs w:val="21"/>
                <w:highlight w:val="none"/>
                <w:lang w:eastAsia="zh-CN"/>
              </w:rPr>
              <w:t>北京时间</w:t>
            </w:r>
            <w:r>
              <w:rPr>
                <w:rFonts w:hint="eastAsia" w:ascii="宋体" w:hAnsi="宋体" w:cs="Arial"/>
                <w:color w:val="auto"/>
                <w:szCs w:val="21"/>
                <w:highlight w:val="none"/>
                <w:lang w:val="en-US" w:eastAsia="zh-CN"/>
              </w:rPr>
              <w:t>09</w:t>
            </w:r>
            <w:r>
              <w:rPr>
                <w:rFonts w:hint="eastAsia" w:ascii="宋体" w:hAnsi="宋体" w:cs="Arial"/>
                <w:color w:val="auto"/>
                <w:szCs w:val="21"/>
                <w:highlight w:val="none"/>
                <w:lang w:eastAsia="zh-CN"/>
              </w:rPr>
              <w:t>时</w:t>
            </w: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0</w:t>
            </w:r>
            <w:r>
              <w:rPr>
                <w:rFonts w:hint="eastAsia" w:ascii="宋体" w:hAnsi="宋体" w:cs="Arial"/>
                <w:color w:val="auto"/>
                <w:szCs w:val="21"/>
                <w:highlight w:val="none"/>
                <w:lang w:eastAsia="zh-CN"/>
              </w:rPr>
              <w:t>分</w:t>
            </w:r>
            <w:r>
              <w:rPr>
                <w:rFonts w:hint="eastAsia" w:ascii="宋体" w:hAnsi="宋体" w:cs="Arial"/>
                <w:color w:val="auto"/>
                <w:szCs w:val="21"/>
                <w:highlight w:val="none"/>
              </w:rPr>
              <w:t>截标后</w:t>
            </w:r>
            <w:r>
              <w:rPr>
                <w:rFonts w:hint="eastAsia" w:ascii="宋体" w:hAnsi="宋体" w:cs="Arial"/>
                <w:color w:val="auto"/>
                <w:szCs w:val="21"/>
                <w:highlight w:val="none"/>
              </w:rPr>
              <w:t>（具体时间由采购代理机构另行通知）；</w:t>
            </w:r>
          </w:p>
          <w:p w14:paraId="6D21675B">
            <w:pPr>
              <w:spacing w:line="420" w:lineRule="exact"/>
              <w:ind w:firstLine="420" w:firstLineChars="200"/>
              <w:rPr>
                <w:rFonts w:ascii="宋体" w:hAnsi="宋体"/>
                <w:color w:val="auto"/>
                <w:kern w:val="0"/>
                <w:szCs w:val="21"/>
                <w:highlight w:val="none"/>
              </w:rPr>
            </w:pPr>
            <w:r>
              <w:rPr>
                <w:rFonts w:hint="eastAsia" w:ascii="宋体" w:hAnsi="宋体" w:cs="Arial"/>
                <w:color w:val="auto"/>
                <w:szCs w:val="21"/>
                <w:highlight w:val="none"/>
              </w:rPr>
              <w:t>磋商地点：通过</w:t>
            </w:r>
            <w:r>
              <w:rPr>
                <w:rFonts w:hint="eastAsia" w:ascii="宋体" w:hAnsi="宋体" w:cs="Arial"/>
                <w:color w:val="auto"/>
                <w:szCs w:val="21"/>
                <w:highlight w:val="none"/>
                <w:lang w:eastAsia="zh-CN"/>
              </w:rPr>
              <w:t>广西政府采购云</w:t>
            </w:r>
            <w:r>
              <w:rPr>
                <w:rFonts w:hint="eastAsia" w:ascii="宋体" w:hAnsi="宋体" w:cs="Arial"/>
                <w:color w:val="auto"/>
                <w:szCs w:val="21"/>
                <w:highlight w:val="none"/>
              </w:rPr>
              <w:t>平台（网址：http://www.zcygov.cn）实行在线响应（本项目采用在线开评标方式，供应商无须前往开标现场）。</w:t>
            </w:r>
          </w:p>
        </w:tc>
      </w:tr>
      <w:tr w14:paraId="3D29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69422C6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20</w:t>
            </w:r>
          </w:p>
        </w:tc>
        <w:tc>
          <w:tcPr>
            <w:tcW w:w="1682" w:type="dxa"/>
            <w:vAlign w:val="center"/>
          </w:tcPr>
          <w:p w14:paraId="6ED7F737">
            <w:pPr>
              <w:spacing w:line="440" w:lineRule="exact"/>
              <w:jc w:val="center"/>
              <w:rPr>
                <w:rFonts w:ascii="宋体" w:hAnsi="宋体"/>
                <w:color w:val="auto"/>
                <w:szCs w:val="21"/>
                <w:highlight w:val="none"/>
              </w:rPr>
            </w:pPr>
            <w:r>
              <w:rPr>
                <w:rFonts w:hint="eastAsia" w:ascii="宋体" w:hAnsi="宋体"/>
                <w:color w:val="auto"/>
                <w:szCs w:val="21"/>
                <w:highlight w:val="none"/>
              </w:rPr>
              <w:t>资格审查</w:t>
            </w:r>
          </w:p>
          <w:p w14:paraId="016E06A0">
            <w:pPr>
              <w:spacing w:line="440" w:lineRule="exact"/>
              <w:jc w:val="center"/>
              <w:rPr>
                <w:rFonts w:ascii="宋体" w:hAnsi="宋体"/>
                <w:color w:val="auto"/>
                <w:szCs w:val="21"/>
                <w:highlight w:val="none"/>
              </w:rPr>
            </w:pPr>
            <w:r>
              <w:rPr>
                <w:rFonts w:hint="eastAsia" w:ascii="宋体" w:hAnsi="宋体"/>
                <w:color w:val="auto"/>
                <w:szCs w:val="21"/>
                <w:highlight w:val="none"/>
              </w:rPr>
              <w:t>方式</w:t>
            </w:r>
          </w:p>
        </w:tc>
        <w:tc>
          <w:tcPr>
            <w:tcW w:w="6965" w:type="dxa"/>
            <w:vAlign w:val="center"/>
          </w:tcPr>
          <w:p w14:paraId="17495E1D">
            <w:pPr>
              <w:spacing w:line="420" w:lineRule="exact"/>
              <w:rPr>
                <w:rFonts w:ascii="宋体" w:hAnsi="宋体"/>
                <w:color w:val="auto"/>
                <w:szCs w:val="21"/>
                <w:highlight w:val="none"/>
              </w:rPr>
            </w:pPr>
            <w:r>
              <w:rPr>
                <w:rFonts w:hint="eastAsia" w:ascii="宋体" w:hAnsi="宋体"/>
                <w:color w:val="auto"/>
                <w:szCs w:val="21"/>
                <w:highlight w:val="none"/>
              </w:rPr>
              <w:t>资格后审</w:t>
            </w:r>
          </w:p>
        </w:tc>
      </w:tr>
      <w:tr w14:paraId="5C05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1BEB8DB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21</w:t>
            </w:r>
          </w:p>
        </w:tc>
        <w:tc>
          <w:tcPr>
            <w:tcW w:w="1682" w:type="dxa"/>
            <w:vAlign w:val="center"/>
          </w:tcPr>
          <w:p w14:paraId="2AEF6BC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评标办法</w:t>
            </w:r>
          </w:p>
        </w:tc>
        <w:tc>
          <w:tcPr>
            <w:tcW w:w="6965" w:type="dxa"/>
            <w:vAlign w:val="center"/>
          </w:tcPr>
          <w:p w14:paraId="20425F5E">
            <w:pPr>
              <w:spacing w:line="420" w:lineRule="exact"/>
              <w:ind w:left="1890" w:hanging="1890" w:hangingChars="900"/>
              <w:rPr>
                <w:rFonts w:ascii="宋体" w:hAnsi="宋体" w:cs="Courier New"/>
                <w:color w:val="auto"/>
                <w:spacing w:val="2"/>
                <w:szCs w:val="21"/>
                <w:highlight w:val="none"/>
              </w:rPr>
            </w:pPr>
            <w:r>
              <w:rPr>
                <w:rFonts w:hint="eastAsia" w:ascii="宋体" w:hAnsi="宋体"/>
                <w:color w:val="auto"/>
                <w:szCs w:val="21"/>
                <w:highlight w:val="none"/>
              </w:rPr>
              <w:t>采用综合评分</w:t>
            </w:r>
            <w:r>
              <w:rPr>
                <w:rFonts w:ascii="宋体" w:hAnsi="宋体"/>
                <w:color w:val="auto"/>
                <w:szCs w:val="21"/>
                <w:highlight w:val="none"/>
              </w:rPr>
              <w:t>法</w:t>
            </w:r>
            <w:r>
              <w:rPr>
                <w:rFonts w:hint="eastAsia" w:ascii="宋体" w:hAnsi="宋体"/>
                <w:color w:val="auto"/>
                <w:szCs w:val="21"/>
                <w:highlight w:val="none"/>
              </w:rPr>
              <w:t>。</w:t>
            </w:r>
          </w:p>
        </w:tc>
      </w:tr>
      <w:tr w14:paraId="2B18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8" w:type="dxa"/>
            <w:vAlign w:val="center"/>
          </w:tcPr>
          <w:p w14:paraId="7CB4EDB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22</w:t>
            </w:r>
          </w:p>
        </w:tc>
        <w:tc>
          <w:tcPr>
            <w:tcW w:w="1682" w:type="dxa"/>
            <w:vAlign w:val="center"/>
          </w:tcPr>
          <w:p w14:paraId="05C7EDD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履约保证金</w:t>
            </w:r>
          </w:p>
        </w:tc>
        <w:tc>
          <w:tcPr>
            <w:tcW w:w="6965" w:type="dxa"/>
            <w:vAlign w:val="center"/>
          </w:tcPr>
          <w:p w14:paraId="0D67848A">
            <w:pPr>
              <w:spacing w:line="420" w:lineRule="exact"/>
              <w:rPr>
                <w:rFonts w:ascii="宋体" w:hAnsi="宋体" w:cs="Arial"/>
                <w:color w:val="auto"/>
                <w:szCs w:val="21"/>
                <w:highlight w:val="none"/>
              </w:rPr>
            </w:pPr>
            <w:r>
              <w:rPr>
                <w:rFonts w:hint="eastAsia" w:ascii="宋体" w:hAnsi="宋体" w:cs="Arial"/>
                <w:color w:val="auto"/>
                <w:szCs w:val="21"/>
                <w:highlight w:val="none"/>
              </w:rPr>
              <w:t>本项目不收取</w:t>
            </w:r>
            <w:r>
              <w:rPr>
                <w:rFonts w:hint="eastAsia" w:ascii="宋体" w:hAnsi="宋体" w:cs="Courier New"/>
                <w:color w:val="auto"/>
                <w:spacing w:val="2"/>
                <w:szCs w:val="21"/>
                <w:highlight w:val="none"/>
              </w:rPr>
              <w:t>履约保证金。</w:t>
            </w:r>
          </w:p>
        </w:tc>
      </w:tr>
      <w:tr w14:paraId="6686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18" w:type="dxa"/>
            <w:vMerge w:val="restart"/>
            <w:vAlign w:val="center"/>
          </w:tcPr>
          <w:p w14:paraId="5BE0954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23</w:t>
            </w:r>
          </w:p>
        </w:tc>
        <w:tc>
          <w:tcPr>
            <w:tcW w:w="1682" w:type="dxa"/>
            <w:vMerge w:val="restart"/>
            <w:vAlign w:val="center"/>
          </w:tcPr>
          <w:p w14:paraId="56665E6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联系人</w:t>
            </w:r>
          </w:p>
        </w:tc>
        <w:tc>
          <w:tcPr>
            <w:tcW w:w="6965" w:type="dxa"/>
            <w:vAlign w:val="center"/>
          </w:tcPr>
          <w:p w14:paraId="35F2C8CB">
            <w:pPr>
              <w:spacing w:line="440" w:lineRule="exact"/>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陈佳</w:t>
            </w:r>
            <w:r>
              <w:rPr>
                <w:rFonts w:hint="eastAsia" w:ascii="宋体" w:hAnsi="宋体"/>
                <w:color w:val="auto"/>
                <w:szCs w:val="21"/>
                <w:highlight w:val="none"/>
              </w:rPr>
              <w:t xml:space="preserve">    联系电话：</w:t>
            </w:r>
            <w:r>
              <w:rPr>
                <w:rFonts w:hint="eastAsia" w:ascii="宋体" w:hAnsi="宋体"/>
                <w:color w:val="auto"/>
                <w:szCs w:val="21"/>
                <w:highlight w:val="none"/>
                <w:lang w:eastAsia="zh-CN"/>
              </w:rPr>
              <w:t>0775-2288385</w:t>
            </w:r>
          </w:p>
        </w:tc>
      </w:tr>
      <w:tr w14:paraId="39D9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18" w:type="dxa"/>
            <w:vMerge w:val="continue"/>
            <w:vAlign w:val="center"/>
          </w:tcPr>
          <w:p w14:paraId="653C0CCE">
            <w:pPr>
              <w:spacing w:line="440" w:lineRule="exact"/>
              <w:jc w:val="center"/>
              <w:rPr>
                <w:rFonts w:ascii="宋体" w:hAnsi="宋体" w:cs="Courier New"/>
                <w:color w:val="auto"/>
                <w:spacing w:val="2"/>
                <w:szCs w:val="21"/>
                <w:highlight w:val="none"/>
              </w:rPr>
            </w:pPr>
          </w:p>
        </w:tc>
        <w:tc>
          <w:tcPr>
            <w:tcW w:w="1682" w:type="dxa"/>
            <w:vMerge w:val="continue"/>
            <w:vAlign w:val="center"/>
          </w:tcPr>
          <w:p w14:paraId="3CDBC558">
            <w:pPr>
              <w:spacing w:line="440" w:lineRule="exact"/>
              <w:jc w:val="center"/>
              <w:rPr>
                <w:rFonts w:ascii="宋体" w:hAnsi="宋体" w:cs="Courier New"/>
                <w:color w:val="auto"/>
                <w:spacing w:val="2"/>
                <w:szCs w:val="21"/>
                <w:highlight w:val="none"/>
              </w:rPr>
            </w:pPr>
          </w:p>
        </w:tc>
        <w:tc>
          <w:tcPr>
            <w:tcW w:w="6965" w:type="dxa"/>
            <w:vAlign w:val="center"/>
          </w:tcPr>
          <w:p w14:paraId="4E890C66">
            <w:pPr>
              <w:autoSpaceDE w:val="0"/>
              <w:spacing w:line="420" w:lineRule="exact"/>
              <w:rPr>
                <w:rFonts w:ascii="宋体" w:hAnsi="宋体"/>
                <w:color w:val="auto"/>
                <w:szCs w:val="21"/>
                <w:highlight w:val="none"/>
              </w:rPr>
            </w:pPr>
            <w:r>
              <w:rPr>
                <w:rFonts w:hint="eastAsia" w:ascii="宋体" w:hAnsi="宋体"/>
                <w:color w:val="auto"/>
                <w:szCs w:val="21"/>
                <w:highlight w:val="none"/>
              </w:rPr>
              <w:t>代理机构联系人：</w:t>
            </w:r>
            <w:r>
              <w:rPr>
                <w:rFonts w:hint="eastAsia" w:ascii="宋体" w:hAnsi="宋体" w:cs="Arial"/>
                <w:color w:val="auto"/>
                <w:kern w:val="0"/>
                <w:szCs w:val="21"/>
                <w:highlight w:val="none"/>
                <w:lang w:eastAsia="zh-CN"/>
              </w:rPr>
              <w:t>梁毅</w:t>
            </w:r>
            <w:r>
              <w:rPr>
                <w:rFonts w:hint="eastAsia" w:ascii="宋体" w:hAnsi="宋体" w:cs="Arial"/>
                <w:color w:val="auto"/>
                <w:kern w:val="0"/>
                <w:szCs w:val="21"/>
                <w:highlight w:val="none"/>
              </w:rPr>
              <w:t xml:space="preserve">    电话：</w:t>
            </w:r>
            <w:r>
              <w:rPr>
                <w:rFonts w:hint="eastAsia" w:ascii="宋体" w:hAnsi="宋体"/>
                <w:color w:val="auto"/>
                <w:szCs w:val="21"/>
                <w:highlight w:val="none"/>
                <w:lang w:val="en-US" w:eastAsia="zh-CN"/>
              </w:rPr>
              <w:t>0775-2269199</w:t>
            </w:r>
          </w:p>
        </w:tc>
      </w:tr>
      <w:tr w14:paraId="0F36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Merge w:val="continue"/>
            <w:vAlign w:val="center"/>
          </w:tcPr>
          <w:p w14:paraId="749CEF2E">
            <w:pPr>
              <w:spacing w:line="440" w:lineRule="exact"/>
              <w:jc w:val="center"/>
              <w:rPr>
                <w:rFonts w:ascii="宋体" w:hAnsi="宋体" w:cs="Courier New"/>
                <w:color w:val="auto"/>
                <w:spacing w:val="2"/>
                <w:szCs w:val="21"/>
                <w:highlight w:val="none"/>
              </w:rPr>
            </w:pPr>
          </w:p>
        </w:tc>
        <w:tc>
          <w:tcPr>
            <w:tcW w:w="1682" w:type="dxa"/>
            <w:vMerge w:val="continue"/>
            <w:vAlign w:val="center"/>
          </w:tcPr>
          <w:p w14:paraId="193B8B6F">
            <w:pPr>
              <w:spacing w:line="440" w:lineRule="exact"/>
              <w:jc w:val="center"/>
              <w:rPr>
                <w:rFonts w:ascii="宋体" w:hAnsi="宋体" w:cs="Courier New"/>
                <w:color w:val="auto"/>
                <w:spacing w:val="2"/>
                <w:szCs w:val="21"/>
                <w:highlight w:val="none"/>
              </w:rPr>
            </w:pPr>
          </w:p>
        </w:tc>
        <w:tc>
          <w:tcPr>
            <w:tcW w:w="6965" w:type="dxa"/>
            <w:vAlign w:val="center"/>
          </w:tcPr>
          <w:p w14:paraId="53F57D8C">
            <w:pPr>
              <w:spacing w:line="420" w:lineRule="exact"/>
              <w:rPr>
                <w:rFonts w:ascii="宋体" w:hAnsi="宋体"/>
                <w:color w:val="auto"/>
                <w:szCs w:val="21"/>
                <w:highlight w:val="none"/>
              </w:rPr>
            </w:pPr>
            <w:r>
              <w:rPr>
                <w:rFonts w:hint="eastAsia" w:ascii="宋体" w:hAnsi="宋体"/>
                <w:color w:val="auto"/>
                <w:szCs w:val="21"/>
                <w:highlight w:val="none"/>
              </w:rPr>
              <w:t>行政监督单位：</w:t>
            </w:r>
            <w:r>
              <w:rPr>
                <w:rFonts w:hint="eastAsia" w:ascii="宋体" w:hAnsi="宋体" w:cs="宋体"/>
                <w:color w:val="auto"/>
                <w:kern w:val="0"/>
                <w:szCs w:val="21"/>
                <w:highlight w:val="none"/>
                <w:lang w:val="zh-CN"/>
              </w:rPr>
              <w:t>玉林市玉州区财政局</w:t>
            </w:r>
          </w:p>
          <w:p w14:paraId="27CCD2AD">
            <w:pPr>
              <w:spacing w:line="420" w:lineRule="exact"/>
              <w:rPr>
                <w:rFonts w:ascii="宋体" w:hAnsi="宋体"/>
                <w:color w:val="auto"/>
                <w:szCs w:val="21"/>
                <w:highlight w:val="none"/>
              </w:rPr>
            </w:pPr>
            <w:r>
              <w:rPr>
                <w:rFonts w:hint="eastAsia" w:ascii="宋体" w:hAnsi="宋体"/>
                <w:color w:val="auto"/>
                <w:szCs w:val="21"/>
                <w:highlight w:val="none"/>
              </w:rPr>
              <w:t>联系电话：</w:t>
            </w:r>
            <w:r>
              <w:rPr>
                <w:rFonts w:hint="eastAsia" w:ascii="宋体" w:hAnsi="宋体" w:cs="宋体"/>
                <w:color w:val="auto"/>
                <w:kern w:val="0"/>
                <w:szCs w:val="21"/>
                <w:highlight w:val="none"/>
                <w:lang w:val="zh-CN"/>
              </w:rPr>
              <w:t xml:space="preserve"> 0775-2098597</w:t>
            </w:r>
            <w:r>
              <w:rPr>
                <w:rFonts w:hint="eastAsia" w:ascii="宋体" w:hAnsi="宋体" w:cs="宋体"/>
                <w:color w:val="auto"/>
                <w:kern w:val="0"/>
                <w:szCs w:val="21"/>
                <w:highlight w:val="none"/>
              </w:rPr>
              <w:t xml:space="preserve"> </w:t>
            </w:r>
            <w:r>
              <w:rPr>
                <w:rFonts w:hint="eastAsia" w:ascii="宋体" w:hAnsi="宋体"/>
                <w:color w:val="auto"/>
                <w:szCs w:val="21"/>
                <w:highlight w:val="none"/>
              </w:rPr>
              <w:t xml:space="preserve"> </w:t>
            </w:r>
          </w:p>
        </w:tc>
      </w:tr>
      <w:tr w14:paraId="32BA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6A69983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24</w:t>
            </w:r>
          </w:p>
        </w:tc>
        <w:tc>
          <w:tcPr>
            <w:tcW w:w="1682" w:type="dxa"/>
            <w:vAlign w:val="center"/>
          </w:tcPr>
          <w:p w14:paraId="58DEB46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其他说明</w:t>
            </w:r>
          </w:p>
        </w:tc>
        <w:tc>
          <w:tcPr>
            <w:tcW w:w="6965" w:type="dxa"/>
            <w:vAlign w:val="center"/>
          </w:tcPr>
          <w:p w14:paraId="2BB34BED">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采购人或者采购代理机构在资格审查结束前，对供应商进行信用查询。 </w:t>
            </w:r>
          </w:p>
          <w:p w14:paraId="7FAFB185">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查询渠道：“信用中国”网站(www.creditchina.gov.cn) 、中国政府采购网(www.ccgp.gov.cn)。 </w:t>
            </w:r>
          </w:p>
          <w:p w14:paraId="350514CD">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信用查询截止时间点：资格审查结束前 </w:t>
            </w:r>
          </w:p>
          <w:p w14:paraId="236855E5">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查询记录和证据留存方式：在查询网站中直接打印查询记录，打印材料作为评审资料保存。 </w:t>
            </w:r>
          </w:p>
          <w:p w14:paraId="11874AC0">
            <w:pPr>
              <w:autoSpaceDE w:val="0"/>
              <w:autoSpaceDN w:val="0"/>
              <w:adjustRightInd w:val="0"/>
              <w:spacing w:line="420" w:lineRule="exact"/>
              <w:ind w:left="105" w:leftChars="50" w:right="-84" w:firstLine="315" w:firstLineChars="150"/>
              <w:jc w:val="left"/>
              <w:rPr>
                <w:rFonts w:ascii="宋体" w:hAnsi="宋体"/>
                <w:color w:val="auto"/>
                <w:szCs w:val="21"/>
                <w:highlight w:val="none"/>
              </w:rPr>
            </w:pPr>
            <w:r>
              <w:rPr>
                <w:rFonts w:hint="eastAsia" w:ascii="宋体" w:hAnsi="宋体"/>
                <w:snapToGrid w:val="0"/>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14:paraId="4467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28336FE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25</w:t>
            </w:r>
          </w:p>
        </w:tc>
        <w:tc>
          <w:tcPr>
            <w:tcW w:w="1682" w:type="dxa"/>
            <w:vAlign w:val="center"/>
          </w:tcPr>
          <w:p w14:paraId="60DF485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采购代理</w:t>
            </w:r>
          </w:p>
          <w:p w14:paraId="0F90BCB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服务费支付</w:t>
            </w:r>
          </w:p>
        </w:tc>
        <w:tc>
          <w:tcPr>
            <w:tcW w:w="6965" w:type="dxa"/>
            <w:vAlign w:val="center"/>
          </w:tcPr>
          <w:p w14:paraId="79A8116E">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费由成交人支付，依据国家计委《招标代理服务收费管理暂行办法》（计价格[2002]1980号）及《国家发展改革委关于降低部分建设项目收费标准规范收费行为等有关问题的通知》（发改价格[2011]534号）规定（按工程类）计取。由成交人在领取成交通知书后五个工作日内，以现金或转帐方式一次性支付给采购代理机构。</w:t>
            </w:r>
          </w:p>
          <w:p w14:paraId="3F9C3D78">
            <w:pPr>
              <w:pStyle w:val="23"/>
              <w:snapToGrid w:val="0"/>
              <w:spacing w:line="320" w:lineRule="exact"/>
              <w:rPr>
                <w:rFonts w:hAnsi="宋体"/>
                <w:color w:val="auto"/>
                <w:szCs w:val="21"/>
                <w:highlight w:val="none"/>
              </w:rPr>
            </w:pPr>
            <w:r>
              <w:rPr>
                <w:rFonts w:hint="eastAsia" w:hAnsi="宋体"/>
                <w:color w:val="auto"/>
                <w:szCs w:val="21"/>
                <w:highlight w:val="none"/>
              </w:rPr>
              <w:t>采购代理服务费收款账户名称：</w:t>
            </w:r>
          </w:p>
          <w:p w14:paraId="7CC51271">
            <w:pPr>
              <w:spacing w:line="420" w:lineRule="exact"/>
              <w:ind w:firstLine="420" w:firstLineChars="200"/>
              <w:rPr>
                <w:rFonts w:ascii="宋体" w:hAnsi="宋体" w:cs="宋体"/>
                <w:color w:val="auto"/>
                <w:szCs w:val="21"/>
                <w:highlight w:val="none"/>
              </w:rPr>
            </w:pPr>
            <w:r>
              <w:rPr>
                <w:rFonts w:hint="eastAsia" w:ascii="宋体" w:hAnsi="宋体" w:cs="宋体"/>
                <w:color w:val="auto"/>
                <w:highlight w:val="none"/>
              </w:rPr>
              <w:t>开户名称</w:t>
            </w:r>
            <w:r>
              <w:rPr>
                <w:rFonts w:hint="eastAsia" w:ascii="宋体" w:hAnsi="宋体" w:cs="宋体"/>
                <w:color w:val="auto"/>
                <w:szCs w:val="21"/>
                <w:highlight w:val="none"/>
              </w:rPr>
              <w:t>：</w:t>
            </w:r>
            <w:r>
              <w:rPr>
                <w:rFonts w:hint="eastAsia" w:ascii="宋体" w:hAnsi="宋体" w:cs="宋体"/>
                <w:color w:val="auto"/>
                <w:szCs w:val="21"/>
                <w:highlight w:val="none"/>
                <w:lang w:eastAsia="zh-CN"/>
              </w:rPr>
              <w:t>广西新侨咨询有限公司玉林分公司</w:t>
            </w:r>
            <w:r>
              <w:rPr>
                <w:rFonts w:hint="eastAsia" w:ascii="宋体" w:hAnsi="宋体" w:cs="宋体"/>
                <w:color w:val="auto"/>
                <w:szCs w:val="21"/>
                <w:highlight w:val="none"/>
              </w:rPr>
              <w:tab/>
            </w:r>
          </w:p>
          <w:p w14:paraId="356C414D">
            <w:pPr>
              <w:spacing w:line="42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开户银行：</w:t>
            </w:r>
            <w:r>
              <w:rPr>
                <w:rFonts w:hint="eastAsia" w:ascii="宋体" w:hAnsi="宋体" w:cs="宋体"/>
                <w:color w:val="auto"/>
                <w:szCs w:val="21"/>
                <w:highlight w:val="none"/>
                <w:lang w:eastAsia="zh-CN"/>
              </w:rPr>
              <w:t>中国工商银行股份有限公司玉林分行营业部</w:t>
            </w:r>
          </w:p>
          <w:p w14:paraId="65ACD1DF">
            <w:pPr>
              <w:spacing w:line="420" w:lineRule="exact"/>
              <w:ind w:firstLine="420" w:firstLineChars="200"/>
              <w:rPr>
                <w:rFonts w:hint="default" w:ascii="宋体" w:hAnsi="宋体" w:eastAsia="宋体"/>
                <w:b/>
                <w:color w:val="auto"/>
                <w:szCs w:val="21"/>
                <w:highlight w:val="none"/>
                <w:lang w:val="en-US" w:eastAsia="zh-CN"/>
              </w:rPr>
            </w:pPr>
            <w:r>
              <w:rPr>
                <w:rFonts w:hint="eastAsia" w:ascii="宋体" w:hAnsi="宋体" w:cs="宋体"/>
                <w:color w:val="auto"/>
                <w:szCs w:val="21"/>
                <w:highlight w:val="none"/>
              </w:rPr>
              <w:t>帐    号：</w:t>
            </w:r>
            <w:r>
              <w:rPr>
                <w:rFonts w:hint="eastAsia" w:ascii="宋体" w:hAnsi="宋体" w:cs="宋体"/>
                <w:color w:val="auto"/>
                <w:szCs w:val="21"/>
                <w:highlight w:val="none"/>
                <w:lang w:val="en-US" w:eastAsia="zh-CN"/>
              </w:rPr>
              <w:t>2111701009201160890</w:t>
            </w:r>
          </w:p>
        </w:tc>
      </w:tr>
      <w:tr w14:paraId="0D87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4EF7332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26</w:t>
            </w:r>
          </w:p>
        </w:tc>
        <w:tc>
          <w:tcPr>
            <w:tcW w:w="1682" w:type="dxa"/>
            <w:vAlign w:val="center"/>
          </w:tcPr>
          <w:p w14:paraId="050833E7">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政府采购信息发布媒体</w:t>
            </w:r>
          </w:p>
        </w:tc>
        <w:tc>
          <w:tcPr>
            <w:tcW w:w="6965" w:type="dxa"/>
            <w:vAlign w:val="center"/>
          </w:tcPr>
          <w:p w14:paraId="74658E21">
            <w:pPr>
              <w:spacing w:line="420" w:lineRule="exact"/>
              <w:rPr>
                <w:rFonts w:ascii="宋体" w:hAnsi="宋体"/>
                <w:color w:val="auto"/>
                <w:szCs w:val="21"/>
                <w:highlight w:val="none"/>
              </w:rPr>
            </w:pPr>
            <w:r>
              <w:rPr>
                <w:rFonts w:hint="eastAsia" w:ascii="宋体" w:hAnsi="宋体" w:cs="宋体"/>
                <w:color w:val="auto"/>
                <w:kern w:val="0"/>
                <w:szCs w:val="21"/>
                <w:highlight w:val="none"/>
              </w:rPr>
              <w:t>中国政府采购网、广西壮族自治区政府采购网、</w:t>
            </w:r>
            <w:r>
              <w:rPr>
                <w:rFonts w:hint="eastAsia" w:ascii="宋体" w:hAnsi="宋体" w:cs="Arial"/>
                <w:color w:val="auto"/>
                <w:kern w:val="0"/>
                <w:szCs w:val="21"/>
                <w:highlight w:val="none"/>
                <w:lang w:eastAsia="zh-CN"/>
              </w:rPr>
              <w:t>广西玉林市玉州区人民政府门户网站</w:t>
            </w:r>
            <w:r>
              <w:rPr>
                <w:rFonts w:hint="eastAsia" w:ascii="宋体" w:hAnsi="宋体" w:cs="宋体"/>
                <w:color w:val="auto"/>
                <w:kern w:val="0"/>
                <w:szCs w:val="21"/>
                <w:highlight w:val="none"/>
              </w:rPr>
              <w:t>。</w:t>
            </w:r>
          </w:p>
        </w:tc>
      </w:tr>
      <w:tr w14:paraId="24A5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7D6FCA18">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27</w:t>
            </w:r>
          </w:p>
        </w:tc>
        <w:tc>
          <w:tcPr>
            <w:tcW w:w="1682" w:type="dxa"/>
            <w:vAlign w:val="center"/>
          </w:tcPr>
          <w:p w14:paraId="2D5CB651">
            <w:pPr>
              <w:autoSpaceDE w:val="0"/>
              <w:autoSpaceDN w:val="0"/>
              <w:adjustRightInd w:val="0"/>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预留采购份额</w:t>
            </w:r>
          </w:p>
        </w:tc>
        <w:tc>
          <w:tcPr>
            <w:tcW w:w="6965" w:type="dxa"/>
            <w:vAlign w:val="center"/>
          </w:tcPr>
          <w:p w14:paraId="7243B18B">
            <w:pPr>
              <w:spacing w:line="400" w:lineRule="exact"/>
              <w:rPr>
                <w:rFonts w:ascii="宋体" w:hAnsi="宋体" w:cs="Courier New"/>
                <w:b/>
                <w:color w:val="auto"/>
                <w:spacing w:val="2"/>
                <w:szCs w:val="21"/>
                <w:highlight w:val="none"/>
              </w:rPr>
            </w:pPr>
            <w:r>
              <w:rPr>
                <w:rFonts w:hint="eastAsia" w:ascii="宋体" w:hAnsi="宋体" w:cs="Courier New"/>
                <w:b/>
                <w:color w:val="auto"/>
                <w:spacing w:val="2"/>
                <w:szCs w:val="21"/>
                <w:highlight w:val="none"/>
              </w:rPr>
              <w:t>本项目属于专门面向中小企业采购的项目。</w:t>
            </w:r>
          </w:p>
          <w:p w14:paraId="5EE92E8C">
            <w:pPr>
              <w:spacing w:line="400" w:lineRule="exact"/>
              <w:rPr>
                <w:rFonts w:ascii="宋体" w:hAnsi="宋体" w:cs="Courier New"/>
                <w:b/>
                <w:color w:val="auto"/>
                <w:spacing w:val="2"/>
                <w:szCs w:val="21"/>
                <w:highlight w:val="none"/>
              </w:rPr>
            </w:pPr>
            <w:r>
              <w:rPr>
                <w:rFonts w:hint="eastAsia" w:ascii="宋体" w:hAnsi="宋体" w:cs="Courier New"/>
                <w:b/>
                <w:color w:val="auto"/>
                <w:spacing w:val="2"/>
                <w:szCs w:val="21"/>
                <w:highlight w:val="none"/>
              </w:rPr>
              <w:t>中小企业划分标准所属行业：建筑业。</w:t>
            </w:r>
          </w:p>
        </w:tc>
      </w:tr>
      <w:tr w14:paraId="7075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20B5C143">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28</w:t>
            </w:r>
          </w:p>
        </w:tc>
        <w:tc>
          <w:tcPr>
            <w:tcW w:w="1682" w:type="dxa"/>
            <w:vAlign w:val="center"/>
          </w:tcPr>
          <w:p w14:paraId="54064BA2">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hAnsi="宋体"/>
                <w:snapToGrid w:val="0"/>
                <w:color w:val="auto"/>
                <w:szCs w:val="21"/>
                <w:highlight w:val="none"/>
              </w:rPr>
              <w:t>解释</w:t>
            </w:r>
          </w:p>
        </w:tc>
        <w:tc>
          <w:tcPr>
            <w:tcW w:w="6965" w:type="dxa"/>
            <w:vAlign w:val="center"/>
          </w:tcPr>
          <w:p w14:paraId="49A089F8">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构成本磋商文件的各个组成文件应互为解释，互为说明；除磋商文件中有特别规定外，仅适用于招标投标阶段的规定，按更正公告（澄清公告）、磋商文件目录编排内容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20D7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4CFC77E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29</w:t>
            </w:r>
          </w:p>
        </w:tc>
        <w:tc>
          <w:tcPr>
            <w:tcW w:w="1682" w:type="dxa"/>
            <w:vAlign w:val="center"/>
          </w:tcPr>
          <w:p w14:paraId="046AB332">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hAnsi="宋体"/>
                <w:snapToGrid w:val="0"/>
                <w:color w:val="auto"/>
                <w:szCs w:val="21"/>
                <w:highlight w:val="none"/>
              </w:rPr>
              <w:t>其它事项说明</w:t>
            </w:r>
          </w:p>
        </w:tc>
        <w:tc>
          <w:tcPr>
            <w:tcW w:w="6965" w:type="dxa"/>
            <w:vAlign w:val="center"/>
          </w:tcPr>
          <w:p w14:paraId="09D04A52">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1.本磋商文件中描述供应商的“公章”是指根据我国对公章的管理规定，用供应商法定主体行为名称制作的印章，除本磋商文件有特殊规定外，供应商的财务章、部门章、分公司章、工会章、合同章、投标专用章、业务专用章及银行的转账章、现金收讫章、现金付讫章等其他形式印章均不能代替公章。 </w:t>
            </w:r>
          </w:p>
          <w:p w14:paraId="36E8DCC0">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2.供应商为其他组织或者自然人时，本磋商文件规定的法定代表人指负责人或者自然人。本磋商文件所称负责人是指参加磋商的其他组织营业执照上的负责人，本磋商文件所称自然人指参与磋商的自然人本人。 </w:t>
            </w:r>
          </w:p>
          <w:p w14:paraId="73F83C46">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3.本磋商文件中描述供应商的“签字”是指供应商的法定代表人或者委托代理人亲自在文件规定签字处亲笔写上个人的名字的行为，私章、签字章、印鉴、影印等其他形式均不能代替亲笔签字。 </w:t>
            </w:r>
          </w:p>
          <w:p w14:paraId="35C31D4C">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4.电子响应文件中须加盖供应商公章部分均采用 CA 签章，并根据</w:t>
            </w:r>
            <w:r>
              <w:rPr>
                <w:rFonts w:hint="eastAsia" w:ascii="宋体" w:hAnsi="宋体"/>
                <w:snapToGrid w:val="0"/>
                <w:color w:val="auto"/>
                <w:szCs w:val="21"/>
                <w:highlight w:val="none"/>
                <w:lang w:eastAsia="zh-CN"/>
              </w:rPr>
              <w:t>广西政府采购云</w:t>
            </w:r>
            <w:r>
              <w:rPr>
                <w:rFonts w:hint="eastAsia" w:ascii="宋体" w:hAnsi="宋体"/>
                <w:snapToGrid w:val="0"/>
                <w:color w:val="auto"/>
                <w:szCs w:val="21"/>
                <w:highlight w:val="none"/>
              </w:rPr>
              <w:t>平台《政府采购项目电子交易管理操作指南-供应商》及本磋商文件规定的格式和顺序编制电子响应文件并进行关联定位，以便评标委员会在评审时，点击评分项可直接定位到该评分项内容。如对磋商文件的某项要求，供应商的电子响应文件未能关联定位提供相应的内容与其对应，则评标委员会在评审时如做出对供应商不利的评审由供应商自行承担。电子响应文件如内容不完整、编排混乱导致响应文件被误读、 漏读，或者在按磋商文件规定的部位查找不到相关内容的，由供应商自行承担。</w:t>
            </w:r>
          </w:p>
          <w:p w14:paraId="12305164">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5.CA 签章上目前没有法人（负责人）或授权代表签字信息，供应商在响应文件中涉及到签字的位置线下签字后扫描上传即可。响应文件中涉及到签字的位置未按要求签字的，提供的材料视为无效。 </w:t>
            </w:r>
          </w:p>
          <w:p w14:paraId="7289E321">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6.自然人参加磋商的，磋商文件规定盖公章处由自然人摁手指指印。 </w:t>
            </w:r>
          </w:p>
          <w:p w14:paraId="3591D251">
            <w:pPr>
              <w:spacing w:line="420" w:lineRule="exact"/>
              <w:rPr>
                <w:rFonts w:ascii="宋体" w:hAnsi="宋体" w:cs="宋体"/>
                <w:color w:val="auto"/>
                <w:kern w:val="0"/>
                <w:szCs w:val="21"/>
                <w:highlight w:val="none"/>
              </w:rPr>
            </w:pPr>
            <w:r>
              <w:rPr>
                <w:rFonts w:hint="eastAsia" w:ascii="宋体" w:hAnsi="宋体"/>
                <w:snapToGrid w:val="0"/>
                <w:color w:val="auto"/>
                <w:szCs w:val="21"/>
                <w:highlight w:val="none"/>
              </w:rPr>
              <w:t>7.本磋商文件所称的“以上”“以下”“以内”“届满”，包括本数；所称的“不满”“超过”“以外”，不包括本数。</w:t>
            </w:r>
          </w:p>
        </w:tc>
      </w:tr>
    </w:tbl>
    <w:p w14:paraId="1FB0DB57">
      <w:pPr>
        <w:jc w:val="center"/>
        <w:rPr>
          <w:rFonts w:ascii="宋体" w:hAnsi="宋体"/>
          <w:b/>
          <w:color w:val="auto"/>
          <w:sz w:val="36"/>
          <w:highlight w:val="none"/>
        </w:rPr>
      </w:pPr>
      <w:r>
        <w:rPr>
          <w:rFonts w:ascii="宋体" w:hAnsi="宋体"/>
          <w:b/>
          <w:color w:val="auto"/>
          <w:sz w:val="36"/>
          <w:highlight w:val="none"/>
        </w:rPr>
        <w:br w:type="page"/>
      </w:r>
      <w:r>
        <w:rPr>
          <w:rFonts w:hint="eastAsia" w:ascii="宋体" w:hAnsi="宋体"/>
          <w:b/>
          <w:color w:val="auto"/>
          <w:sz w:val="36"/>
          <w:highlight w:val="none"/>
        </w:rPr>
        <w:t>供应商须知</w:t>
      </w:r>
    </w:p>
    <w:p w14:paraId="5566BFCE">
      <w:pPr>
        <w:pStyle w:val="4"/>
        <w:spacing w:before="0" w:after="0" w:line="460" w:lineRule="exact"/>
        <w:rPr>
          <w:rFonts w:ascii="宋体" w:hAnsi="宋体" w:eastAsia="宋体"/>
          <w:color w:val="auto"/>
          <w:sz w:val="21"/>
          <w:szCs w:val="21"/>
          <w:highlight w:val="none"/>
        </w:rPr>
      </w:pPr>
      <w:bookmarkStart w:id="10" w:name="_Toc80818615"/>
      <w:bookmarkStart w:id="11" w:name="_Toc2853"/>
      <w:bookmarkStart w:id="12" w:name="_Toc18682803"/>
      <w:r>
        <w:rPr>
          <w:rFonts w:ascii="宋体" w:hAnsi="宋体" w:eastAsia="宋体"/>
          <w:color w:val="auto"/>
          <w:sz w:val="21"/>
          <w:szCs w:val="21"/>
          <w:highlight w:val="none"/>
        </w:rPr>
        <w:t>l.项目说明</w:t>
      </w:r>
      <w:bookmarkEnd w:id="10"/>
      <w:bookmarkEnd w:id="11"/>
      <w:bookmarkEnd w:id="12"/>
    </w:p>
    <w:p w14:paraId="4E257E22">
      <w:pPr>
        <w:spacing w:line="460" w:lineRule="exact"/>
        <w:ind w:firstLine="420" w:firstLineChars="200"/>
        <w:rPr>
          <w:rFonts w:ascii="宋体" w:hAnsi="宋体"/>
          <w:color w:val="auto"/>
          <w:szCs w:val="21"/>
          <w:highlight w:val="none"/>
          <w:u w:val="single"/>
        </w:rPr>
      </w:pPr>
      <w:r>
        <w:rPr>
          <w:rFonts w:ascii="宋体" w:hAnsi="宋体"/>
          <w:color w:val="auto"/>
          <w:szCs w:val="21"/>
          <w:highlight w:val="none"/>
        </w:rPr>
        <w:t>1.1</w:t>
      </w:r>
      <w:r>
        <w:rPr>
          <w:rFonts w:hint="eastAsia" w:ascii="宋体" w:hAnsi="宋体"/>
          <w:color w:val="auto"/>
          <w:szCs w:val="21"/>
          <w:highlight w:val="none"/>
        </w:rPr>
        <w:t xml:space="preserve"> </w:t>
      </w:r>
      <w:r>
        <w:rPr>
          <w:rFonts w:ascii="宋体" w:hAnsi="宋体"/>
          <w:color w:val="auto"/>
          <w:szCs w:val="21"/>
          <w:highlight w:val="none"/>
        </w:rPr>
        <w:t>工程综合说明</w:t>
      </w:r>
      <w:r>
        <w:rPr>
          <w:rFonts w:hint="eastAsia" w:ascii="宋体" w:hAnsi="宋体"/>
          <w:color w:val="auto"/>
          <w:szCs w:val="21"/>
          <w:highlight w:val="none"/>
        </w:rPr>
        <w:t>见磋商</w:t>
      </w:r>
      <w:r>
        <w:rPr>
          <w:rFonts w:ascii="宋体" w:hAnsi="宋体"/>
          <w:color w:val="auto"/>
          <w:szCs w:val="21"/>
          <w:highlight w:val="none"/>
        </w:rPr>
        <w:t>须知“</w:t>
      </w:r>
      <w:r>
        <w:rPr>
          <w:rFonts w:hint="eastAsia" w:ascii="宋体" w:hAnsi="宋体"/>
          <w:bCs/>
          <w:color w:val="auto"/>
          <w:szCs w:val="21"/>
          <w:highlight w:val="none"/>
        </w:rPr>
        <w:t>供应商须知前附表</w:t>
      </w:r>
      <w:r>
        <w:rPr>
          <w:rFonts w:ascii="宋体" w:hAnsi="宋体"/>
          <w:color w:val="auto"/>
          <w:szCs w:val="21"/>
          <w:highlight w:val="none"/>
        </w:rPr>
        <w:t>”</w:t>
      </w:r>
      <w:r>
        <w:rPr>
          <w:rFonts w:hint="eastAsia" w:ascii="宋体" w:hAnsi="宋体"/>
          <w:color w:val="auto"/>
          <w:szCs w:val="21"/>
          <w:highlight w:val="none"/>
        </w:rPr>
        <w:t>。</w:t>
      </w:r>
    </w:p>
    <w:p w14:paraId="133AB672">
      <w:pPr>
        <w:spacing w:line="460" w:lineRule="exact"/>
        <w:ind w:firstLine="435"/>
        <w:rPr>
          <w:rFonts w:ascii="宋体" w:hAnsi="宋体"/>
          <w:color w:val="auto"/>
          <w:szCs w:val="21"/>
          <w:highlight w:val="none"/>
        </w:rPr>
      </w:pPr>
      <w:r>
        <w:rPr>
          <w:rFonts w:ascii="宋体" w:hAnsi="宋体"/>
          <w:color w:val="auto"/>
          <w:szCs w:val="21"/>
          <w:highlight w:val="none"/>
        </w:rPr>
        <w:t>1.2 上述</w:t>
      </w:r>
      <w:r>
        <w:rPr>
          <w:rFonts w:hint="eastAsia" w:ascii="宋体" w:hAnsi="宋体"/>
          <w:color w:val="auto"/>
          <w:szCs w:val="21"/>
          <w:highlight w:val="none"/>
        </w:rPr>
        <w:t>工程</w:t>
      </w:r>
      <w:r>
        <w:rPr>
          <w:rFonts w:ascii="宋体" w:hAnsi="宋体"/>
          <w:color w:val="auto"/>
          <w:szCs w:val="21"/>
          <w:highlight w:val="none"/>
        </w:rPr>
        <w:t>按照</w:t>
      </w:r>
      <w:r>
        <w:rPr>
          <w:rFonts w:hint="eastAsia" w:ascii="宋体" w:hAnsi="宋体" w:cs="宋体"/>
          <w:color w:val="auto"/>
          <w:szCs w:val="21"/>
          <w:highlight w:val="none"/>
        </w:rPr>
        <w:t>《中华人民共和国政府采购法》、</w:t>
      </w:r>
      <w:r>
        <w:rPr>
          <w:rFonts w:hint="eastAsia" w:ascii="宋体" w:hAnsi="宋体" w:cs="Arial"/>
          <w:color w:val="auto"/>
          <w:szCs w:val="21"/>
          <w:highlight w:val="none"/>
        </w:rPr>
        <w:t>《中华人民共和国政府采购法实施条例》、</w:t>
      </w:r>
      <w:r>
        <w:rPr>
          <w:rFonts w:hint="eastAsia" w:ascii="宋体" w:hAnsi="宋体"/>
          <w:color w:val="auto"/>
          <w:szCs w:val="21"/>
          <w:highlight w:val="none"/>
        </w:rPr>
        <w:t>《政府采购竞争性磋商采购方式管理暂行办法》</w:t>
      </w:r>
      <w:r>
        <w:rPr>
          <w:rFonts w:hint="eastAsia" w:ascii="宋体" w:hAnsi="宋体" w:cs="Arial"/>
          <w:color w:val="auto"/>
          <w:szCs w:val="21"/>
          <w:highlight w:val="none"/>
        </w:rPr>
        <w:t>及</w:t>
      </w:r>
      <w:r>
        <w:rPr>
          <w:rFonts w:ascii="宋体" w:hAnsi="宋体"/>
          <w:color w:val="auto"/>
          <w:szCs w:val="21"/>
          <w:highlight w:val="none"/>
        </w:rPr>
        <w:t>有关法律、法规和规章，现通过</w:t>
      </w:r>
      <w:r>
        <w:rPr>
          <w:rFonts w:hint="eastAsia" w:ascii="宋体" w:hAnsi="宋体"/>
          <w:color w:val="auto"/>
          <w:szCs w:val="21"/>
          <w:highlight w:val="none"/>
        </w:rPr>
        <w:t>磋商</w:t>
      </w:r>
      <w:r>
        <w:rPr>
          <w:rFonts w:ascii="宋体" w:hAnsi="宋体"/>
          <w:color w:val="auto"/>
          <w:szCs w:val="21"/>
          <w:highlight w:val="none"/>
        </w:rPr>
        <w:t>来择优选定施工单位。</w:t>
      </w:r>
    </w:p>
    <w:p w14:paraId="3C52E7B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 供应商资格要求：符合磋商须知前附表规定。</w:t>
      </w:r>
    </w:p>
    <w:p w14:paraId="0068697B">
      <w:pPr>
        <w:spacing w:line="460" w:lineRule="exact"/>
        <w:ind w:firstLine="428" w:firstLineChars="200"/>
        <w:rPr>
          <w:rFonts w:ascii="宋体" w:hAnsi="宋体" w:cs="Courier New"/>
          <w:color w:val="auto"/>
          <w:spacing w:val="2"/>
          <w:szCs w:val="21"/>
          <w:highlight w:val="none"/>
        </w:rPr>
      </w:pPr>
      <w:r>
        <w:rPr>
          <w:rFonts w:hint="eastAsia" w:ascii="宋体" w:hAnsi="宋体" w:cs="Courier New"/>
          <w:color w:val="auto"/>
          <w:spacing w:val="2"/>
          <w:szCs w:val="21"/>
          <w:highlight w:val="none"/>
        </w:rPr>
        <w:t>1.4 本项目不接受联合体进行磋商。</w:t>
      </w:r>
    </w:p>
    <w:p w14:paraId="01008CCE">
      <w:pPr>
        <w:pStyle w:val="4"/>
        <w:spacing w:before="0" w:after="0" w:line="460" w:lineRule="exact"/>
        <w:rPr>
          <w:rFonts w:ascii="宋体" w:hAnsi="宋体" w:eastAsia="宋体"/>
          <w:color w:val="auto"/>
          <w:sz w:val="21"/>
          <w:szCs w:val="21"/>
          <w:highlight w:val="none"/>
        </w:rPr>
      </w:pPr>
      <w:bookmarkStart w:id="13" w:name="_Toc346264267"/>
      <w:bookmarkStart w:id="14" w:name="_Toc80818616"/>
      <w:bookmarkStart w:id="15" w:name="_Toc18682804"/>
      <w:bookmarkStart w:id="16" w:name="_Toc10637"/>
      <w:r>
        <w:rPr>
          <w:rFonts w:ascii="宋体" w:hAnsi="宋体" w:eastAsia="宋体"/>
          <w:color w:val="auto"/>
          <w:sz w:val="21"/>
          <w:szCs w:val="21"/>
          <w:highlight w:val="none"/>
        </w:rPr>
        <w:t>2.资金情况</w:t>
      </w:r>
      <w:bookmarkEnd w:id="13"/>
      <w:bookmarkEnd w:id="14"/>
      <w:bookmarkEnd w:id="15"/>
      <w:bookmarkEnd w:id="16"/>
    </w:p>
    <w:p w14:paraId="10323081">
      <w:pPr>
        <w:spacing w:line="460" w:lineRule="exact"/>
        <w:ind w:firstLine="417" w:firstLineChars="195"/>
        <w:rPr>
          <w:rFonts w:hint="eastAsia" w:ascii="宋体" w:hAnsi="宋体" w:eastAsia="宋体" w:cs="Courier New"/>
          <w:color w:val="auto"/>
          <w:spacing w:val="2"/>
          <w:szCs w:val="21"/>
          <w:highlight w:val="none"/>
          <w:lang w:eastAsia="zh-CN"/>
        </w:rPr>
      </w:pPr>
      <w:r>
        <w:rPr>
          <w:rFonts w:hint="eastAsia" w:ascii="宋体" w:hAnsi="宋体" w:cs="Courier New"/>
          <w:color w:val="auto"/>
          <w:spacing w:val="2"/>
          <w:szCs w:val="21"/>
          <w:highlight w:val="none"/>
        </w:rPr>
        <w:t>2.1资金来源：</w:t>
      </w:r>
      <w:r>
        <w:rPr>
          <w:rFonts w:hint="eastAsia" w:ascii="宋体" w:hAnsi="宋体" w:cs="Courier New"/>
          <w:color w:val="auto"/>
          <w:spacing w:val="2"/>
          <w:szCs w:val="21"/>
          <w:highlight w:val="none"/>
          <w:lang w:eastAsia="zh-CN"/>
        </w:rPr>
        <w:t>一般公共预算资金</w:t>
      </w:r>
    </w:p>
    <w:p w14:paraId="766042C6">
      <w:pPr>
        <w:spacing w:line="460" w:lineRule="exact"/>
        <w:ind w:firstLine="417" w:firstLineChars="195"/>
        <w:rPr>
          <w:rFonts w:ascii="宋体" w:hAnsi="宋体" w:cs="Courier New"/>
          <w:color w:val="auto"/>
          <w:spacing w:val="2"/>
          <w:szCs w:val="21"/>
          <w:highlight w:val="none"/>
        </w:rPr>
      </w:pPr>
      <w:r>
        <w:rPr>
          <w:rFonts w:hint="eastAsia" w:ascii="宋体" w:hAnsi="宋体" w:cs="Courier New"/>
          <w:color w:val="auto"/>
          <w:spacing w:val="2"/>
          <w:szCs w:val="21"/>
          <w:highlight w:val="none"/>
        </w:rPr>
        <w:t>2.2资金到位及落实情况：已落实。</w:t>
      </w:r>
    </w:p>
    <w:p w14:paraId="20BAEF08">
      <w:pPr>
        <w:pStyle w:val="4"/>
        <w:spacing w:before="0" w:after="0" w:line="460" w:lineRule="exact"/>
        <w:rPr>
          <w:rFonts w:ascii="宋体" w:hAnsi="宋体" w:eastAsia="宋体"/>
          <w:bCs w:val="0"/>
          <w:color w:val="auto"/>
          <w:sz w:val="21"/>
          <w:szCs w:val="21"/>
          <w:highlight w:val="none"/>
        </w:rPr>
      </w:pPr>
      <w:bookmarkStart w:id="17" w:name="_Toc346264268"/>
      <w:bookmarkStart w:id="18" w:name="_Toc18682805"/>
      <w:bookmarkStart w:id="19" w:name="_Toc80818617"/>
      <w:bookmarkStart w:id="20" w:name="_Toc3867"/>
      <w:r>
        <w:rPr>
          <w:rFonts w:ascii="宋体" w:hAnsi="宋体" w:eastAsia="宋体"/>
          <w:bCs w:val="0"/>
          <w:color w:val="auto"/>
          <w:sz w:val="21"/>
          <w:szCs w:val="21"/>
          <w:highlight w:val="none"/>
        </w:rPr>
        <w:t>3.磋商费用</w:t>
      </w:r>
      <w:bookmarkEnd w:id="17"/>
      <w:bookmarkEnd w:id="18"/>
      <w:bookmarkEnd w:id="19"/>
      <w:bookmarkEnd w:id="20"/>
    </w:p>
    <w:p w14:paraId="31613651">
      <w:pPr>
        <w:pStyle w:val="18"/>
        <w:spacing w:line="460" w:lineRule="exact"/>
        <w:ind w:firstLine="409" w:firstLineChars="195"/>
        <w:rPr>
          <w:rFonts w:hAnsi="宋体"/>
          <w:color w:val="auto"/>
          <w:spacing w:val="0"/>
          <w:sz w:val="21"/>
          <w:szCs w:val="21"/>
          <w:highlight w:val="none"/>
        </w:rPr>
      </w:pPr>
      <w:r>
        <w:rPr>
          <w:rFonts w:hint="eastAsia" w:hAnsi="宋体"/>
          <w:color w:val="auto"/>
          <w:spacing w:val="0"/>
          <w:sz w:val="21"/>
          <w:szCs w:val="21"/>
          <w:highlight w:val="none"/>
        </w:rPr>
        <w:t>供应商准备和参加磋商活动所发生的一切费用自理，不管磋商结果如何，采购人及采购代理机构对上述费用不负任何责任。</w:t>
      </w:r>
    </w:p>
    <w:p w14:paraId="0662C81E">
      <w:pPr>
        <w:pStyle w:val="4"/>
        <w:spacing w:before="0" w:after="0" w:line="460" w:lineRule="exact"/>
        <w:rPr>
          <w:rFonts w:ascii="宋体" w:hAnsi="宋体" w:eastAsia="宋体"/>
          <w:bCs w:val="0"/>
          <w:color w:val="auto"/>
          <w:sz w:val="21"/>
          <w:szCs w:val="21"/>
          <w:highlight w:val="none"/>
        </w:rPr>
      </w:pPr>
      <w:bookmarkStart w:id="21" w:name="_Toc80818618"/>
      <w:bookmarkStart w:id="22" w:name="_Toc346264269"/>
      <w:bookmarkStart w:id="23" w:name="_Toc3982"/>
      <w:bookmarkStart w:id="24" w:name="_Toc18682806"/>
      <w:r>
        <w:rPr>
          <w:rFonts w:ascii="宋体" w:hAnsi="宋体" w:eastAsia="宋体"/>
          <w:bCs w:val="0"/>
          <w:color w:val="auto"/>
          <w:sz w:val="21"/>
          <w:szCs w:val="21"/>
          <w:highlight w:val="none"/>
        </w:rPr>
        <w:t>4.竞争性磋商文件</w:t>
      </w:r>
      <w:r>
        <w:rPr>
          <w:rFonts w:hint="eastAsia" w:ascii="宋体" w:hAnsi="宋体" w:eastAsia="宋体"/>
          <w:bCs w:val="0"/>
          <w:color w:val="auto"/>
          <w:sz w:val="21"/>
          <w:szCs w:val="21"/>
          <w:highlight w:val="none"/>
        </w:rPr>
        <w:t>（下文简称磋商文件）</w:t>
      </w:r>
      <w:r>
        <w:rPr>
          <w:rFonts w:ascii="宋体" w:hAnsi="宋体" w:eastAsia="宋体"/>
          <w:bCs w:val="0"/>
          <w:color w:val="auto"/>
          <w:sz w:val="21"/>
          <w:szCs w:val="21"/>
          <w:highlight w:val="none"/>
        </w:rPr>
        <w:t>的组成</w:t>
      </w:r>
      <w:bookmarkEnd w:id="21"/>
      <w:bookmarkEnd w:id="22"/>
      <w:bookmarkEnd w:id="23"/>
      <w:bookmarkEnd w:id="24"/>
    </w:p>
    <w:p w14:paraId="69E8140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4.1 磋商文件包括下列内容：</w:t>
      </w:r>
    </w:p>
    <w:p w14:paraId="41668C8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第一章 竞争性磋商公告</w:t>
      </w:r>
    </w:p>
    <w:p w14:paraId="1BCF4943">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第二章 供应商须知及前附表</w:t>
      </w:r>
    </w:p>
    <w:p w14:paraId="18DD758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第三章 合同格式</w:t>
      </w:r>
    </w:p>
    <w:p w14:paraId="5AF0AEE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第四章 图纸</w:t>
      </w:r>
    </w:p>
    <w:p w14:paraId="2161C94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第五章 技术规范</w:t>
      </w:r>
    </w:p>
    <w:p w14:paraId="23C4C72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第六章 工程量清单</w:t>
      </w:r>
    </w:p>
    <w:p w14:paraId="39D9243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第七章 响应文件格式</w:t>
      </w:r>
    </w:p>
    <w:p w14:paraId="7141471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第八章 评标办法</w:t>
      </w:r>
    </w:p>
    <w:p w14:paraId="1266A59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根据本章第5条、第6条对磋商文件所作的澄清、修改，构成磋商文件的组成部分。</w:t>
      </w:r>
    </w:p>
    <w:p w14:paraId="6349F94E">
      <w:pPr>
        <w:spacing w:line="460" w:lineRule="exact"/>
        <w:ind w:firstLine="428" w:firstLineChars="200"/>
        <w:rPr>
          <w:rFonts w:ascii="宋体" w:hAnsi="宋体" w:cs="Courier New"/>
          <w:color w:val="auto"/>
          <w:spacing w:val="2"/>
          <w:szCs w:val="21"/>
          <w:highlight w:val="none"/>
        </w:rPr>
      </w:pPr>
      <w:r>
        <w:rPr>
          <w:rFonts w:hint="eastAsia" w:ascii="宋体" w:hAnsi="宋体" w:cs="Courier New"/>
          <w:color w:val="auto"/>
          <w:spacing w:val="2"/>
          <w:szCs w:val="21"/>
          <w:highlight w:val="none"/>
        </w:rPr>
        <w:t>4.2</w:t>
      </w:r>
      <w:r>
        <w:rPr>
          <w:rFonts w:ascii="宋体" w:hAnsi="宋体" w:cs="Courier New"/>
          <w:color w:val="auto"/>
          <w:spacing w:val="2"/>
          <w:szCs w:val="21"/>
          <w:highlight w:val="none"/>
        </w:rPr>
        <w:t xml:space="preserve"> </w:t>
      </w:r>
      <w:r>
        <w:rPr>
          <w:rFonts w:hint="eastAsia" w:ascii="宋体" w:hAnsi="宋体" w:cs="Courier New"/>
          <w:color w:val="auto"/>
          <w:spacing w:val="2"/>
          <w:szCs w:val="21"/>
          <w:highlight w:val="none"/>
        </w:rPr>
        <w:t>供应商应认真审阅磋商文件中所有的磋商须知、合同格式、技术规范和图纸。如果供应商编制的响应文件不符合磋商文件的要求，或实质上不响应磋商文件要求，其响应文件将被采购人拒绝。</w:t>
      </w:r>
    </w:p>
    <w:p w14:paraId="052FC608">
      <w:pPr>
        <w:pStyle w:val="4"/>
        <w:spacing w:before="0" w:after="0" w:line="460" w:lineRule="exact"/>
        <w:rPr>
          <w:rFonts w:ascii="宋体" w:hAnsi="宋体" w:eastAsia="宋体"/>
          <w:color w:val="auto"/>
          <w:sz w:val="21"/>
          <w:szCs w:val="21"/>
          <w:highlight w:val="none"/>
        </w:rPr>
      </w:pPr>
      <w:bookmarkStart w:id="25" w:name="_Toc18682807"/>
      <w:bookmarkStart w:id="26" w:name="_Toc346264270"/>
      <w:bookmarkStart w:id="27" w:name="_Toc80818619"/>
      <w:bookmarkStart w:id="28" w:name="_Toc24718"/>
      <w:r>
        <w:rPr>
          <w:rFonts w:ascii="宋体" w:hAnsi="宋体" w:eastAsia="宋体"/>
          <w:color w:val="auto"/>
          <w:sz w:val="21"/>
          <w:szCs w:val="21"/>
          <w:highlight w:val="none"/>
        </w:rPr>
        <w:t>5.磋商文件的</w:t>
      </w:r>
      <w:bookmarkEnd w:id="25"/>
      <w:bookmarkEnd w:id="26"/>
      <w:r>
        <w:rPr>
          <w:rFonts w:hint="eastAsia" w:ascii="宋体" w:hAnsi="宋体" w:eastAsia="宋体" w:cs="Courier New"/>
          <w:color w:val="auto"/>
          <w:spacing w:val="2"/>
          <w:sz w:val="21"/>
          <w:szCs w:val="21"/>
          <w:highlight w:val="none"/>
        </w:rPr>
        <w:t>澄清</w:t>
      </w:r>
      <w:bookmarkEnd w:id="27"/>
      <w:bookmarkEnd w:id="28"/>
    </w:p>
    <w:p w14:paraId="0FC143C6">
      <w:pPr>
        <w:spacing w:line="460" w:lineRule="exact"/>
        <w:ind w:firstLine="417" w:firstLineChars="195"/>
        <w:rPr>
          <w:rFonts w:ascii="宋体" w:hAnsi="宋体" w:cs="Courier New"/>
          <w:color w:val="auto"/>
          <w:spacing w:val="2"/>
          <w:szCs w:val="21"/>
          <w:highlight w:val="none"/>
        </w:rPr>
      </w:pPr>
      <w:r>
        <w:rPr>
          <w:rFonts w:hint="eastAsia" w:ascii="宋体" w:hAnsi="宋体" w:cs="Courier New"/>
          <w:color w:val="auto"/>
          <w:spacing w:val="2"/>
          <w:szCs w:val="21"/>
          <w:highlight w:val="none"/>
        </w:rPr>
        <w:t>5.1供应商在收到</w:t>
      </w:r>
      <w:r>
        <w:rPr>
          <w:rFonts w:ascii="宋体" w:hAnsi="宋体" w:cs="Courier New"/>
          <w:color w:val="auto"/>
          <w:spacing w:val="2"/>
          <w:szCs w:val="21"/>
          <w:highlight w:val="none"/>
        </w:rPr>
        <w:t>采购</w:t>
      </w:r>
      <w:r>
        <w:rPr>
          <w:rFonts w:hint="eastAsia" w:ascii="宋体" w:hAnsi="宋体" w:cs="Courier New"/>
          <w:color w:val="auto"/>
          <w:spacing w:val="2"/>
          <w:szCs w:val="21"/>
          <w:highlight w:val="none"/>
        </w:rPr>
        <w:t>文件后，若有问题需要澄清，须以书面形式（包括书面文字、传真、电报等，下同）向采购代理机构提出，采购代理机构将以书面形式予以解答，答复将以书面形式通知所有获得采购文件的供应商。</w:t>
      </w:r>
    </w:p>
    <w:p w14:paraId="3A6B9BC1">
      <w:pPr>
        <w:spacing w:line="460" w:lineRule="exact"/>
        <w:ind w:firstLine="417" w:firstLineChars="195"/>
        <w:rPr>
          <w:rFonts w:ascii="宋体" w:hAnsi="宋体" w:cs="Courier New"/>
          <w:color w:val="auto"/>
          <w:spacing w:val="2"/>
          <w:szCs w:val="21"/>
          <w:highlight w:val="none"/>
        </w:rPr>
      </w:pPr>
      <w:r>
        <w:rPr>
          <w:rFonts w:hint="eastAsia" w:ascii="宋体" w:hAnsi="宋体" w:cs="Courier New"/>
          <w:color w:val="auto"/>
          <w:spacing w:val="2"/>
          <w:szCs w:val="21"/>
          <w:highlight w:val="none"/>
        </w:rPr>
        <w:t>5.2</w:t>
      </w:r>
      <w:r>
        <w:rPr>
          <w:rFonts w:ascii="宋体" w:hAnsi="宋体" w:cs="Courier New"/>
          <w:color w:val="auto"/>
          <w:spacing w:val="2"/>
          <w:szCs w:val="21"/>
          <w:highlight w:val="none"/>
        </w:rPr>
        <w:t>提交首次响应文件截止之日前，采购人、采购代理机构或者磋商小组可以对已发出的磋商文件进行必要的澄清，澄清的内容作为磋商文件的组成部分。澄清的内容可能影响响应文件编制的，采购人、采购代理机构应当在提交首次响应文件截止时间至少5日前，以书面形式通知所有获取磋商文件的供应商</w:t>
      </w:r>
      <w:r>
        <w:rPr>
          <w:rFonts w:hint="eastAsia" w:ascii="宋体" w:hAnsi="宋体" w:cs="Courier New"/>
          <w:color w:val="auto"/>
          <w:spacing w:val="2"/>
          <w:szCs w:val="21"/>
          <w:highlight w:val="none"/>
        </w:rPr>
        <w:t>；</w:t>
      </w:r>
      <w:r>
        <w:rPr>
          <w:rFonts w:ascii="宋体" w:hAnsi="宋体" w:cs="Courier New"/>
          <w:color w:val="auto"/>
          <w:spacing w:val="2"/>
          <w:szCs w:val="21"/>
          <w:highlight w:val="none"/>
        </w:rPr>
        <w:t>不足5日的，采购人、采购代理机构应当顺延提交首次响应文件截止时间。</w:t>
      </w:r>
    </w:p>
    <w:p w14:paraId="3EE9638F">
      <w:pPr>
        <w:pStyle w:val="4"/>
        <w:spacing w:before="0" w:after="0" w:line="460" w:lineRule="exact"/>
        <w:rPr>
          <w:rFonts w:ascii="宋体" w:hAnsi="宋体" w:eastAsia="宋体"/>
          <w:color w:val="auto"/>
          <w:sz w:val="21"/>
          <w:szCs w:val="21"/>
          <w:highlight w:val="none"/>
        </w:rPr>
      </w:pPr>
      <w:bookmarkStart w:id="29" w:name="_Toc80818620"/>
      <w:bookmarkStart w:id="30" w:name="_Toc346264271"/>
      <w:bookmarkStart w:id="31" w:name="_Toc1401"/>
      <w:bookmarkStart w:id="32" w:name="_Toc18682808"/>
      <w:r>
        <w:rPr>
          <w:rFonts w:ascii="宋体" w:hAnsi="宋体" w:eastAsia="宋体"/>
          <w:color w:val="auto"/>
          <w:sz w:val="21"/>
          <w:szCs w:val="21"/>
          <w:highlight w:val="none"/>
        </w:rPr>
        <w:t>6.磋商文件的修改</w:t>
      </w:r>
      <w:bookmarkEnd w:id="29"/>
      <w:bookmarkEnd w:id="30"/>
      <w:bookmarkEnd w:id="31"/>
      <w:bookmarkEnd w:id="32"/>
    </w:p>
    <w:p w14:paraId="1E7303C6">
      <w:pPr>
        <w:spacing w:line="460" w:lineRule="exact"/>
        <w:ind w:firstLine="417" w:firstLineChars="195"/>
        <w:rPr>
          <w:rFonts w:ascii="宋体" w:hAnsi="宋体" w:cs="Courier New"/>
          <w:color w:val="auto"/>
          <w:spacing w:val="2"/>
          <w:szCs w:val="21"/>
          <w:highlight w:val="none"/>
        </w:rPr>
      </w:pPr>
      <w:r>
        <w:rPr>
          <w:rFonts w:hint="eastAsia" w:ascii="宋体" w:hAnsi="宋体" w:cs="Courier New"/>
          <w:color w:val="auto"/>
          <w:spacing w:val="2"/>
          <w:szCs w:val="21"/>
          <w:highlight w:val="none"/>
        </w:rPr>
        <w:t>6</w:t>
      </w:r>
      <w:r>
        <w:rPr>
          <w:rFonts w:ascii="宋体" w:hAnsi="宋体" w:cs="Courier New"/>
          <w:color w:val="auto"/>
          <w:spacing w:val="2"/>
          <w:szCs w:val="21"/>
          <w:highlight w:val="none"/>
        </w:rPr>
        <w:t>.</w:t>
      </w:r>
      <w:r>
        <w:rPr>
          <w:rFonts w:hint="eastAsia" w:ascii="宋体" w:hAnsi="宋体" w:cs="Courier New"/>
          <w:color w:val="auto"/>
          <w:spacing w:val="2"/>
          <w:szCs w:val="21"/>
          <w:highlight w:val="none"/>
        </w:rPr>
        <w:t>1 在磋商截止日期前，采购代理机构可以补充通知的方式对磋商文件进行修改，这种修改可能是采购人作出的也可能是为了解答供应商要求澄清的问题。</w:t>
      </w:r>
    </w:p>
    <w:p w14:paraId="01426C86">
      <w:pPr>
        <w:spacing w:line="460" w:lineRule="exact"/>
        <w:ind w:firstLine="417" w:firstLineChars="195"/>
        <w:rPr>
          <w:rFonts w:ascii="宋体" w:hAnsi="宋体" w:cs="Courier New"/>
          <w:color w:val="auto"/>
          <w:spacing w:val="2"/>
          <w:szCs w:val="21"/>
          <w:highlight w:val="none"/>
        </w:rPr>
      </w:pPr>
      <w:r>
        <w:rPr>
          <w:rFonts w:hint="eastAsia" w:ascii="宋体" w:hAnsi="宋体" w:cs="Courier New"/>
          <w:color w:val="auto"/>
          <w:spacing w:val="2"/>
          <w:szCs w:val="21"/>
          <w:highlight w:val="none"/>
        </w:rPr>
        <w:t>6.2 为使供应商有充足的时间对磋商文件全部作出响应，并编出有质量的响应文件，采购人必须在响应文件递交截止日期5日前，将补充通知以书面形式通知</w:t>
      </w:r>
      <w:r>
        <w:rPr>
          <w:rFonts w:hint="eastAsia" w:ascii="宋体" w:hAnsi="宋体"/>
          <w:bCs/>
          <w:color w:val="auto"/>
          <w:szCs w:val="21"/>
          <w:highlight w:val="none"/>
        </w:rPr>
        <w:t>在财政部门指定的政府采购信息发布媒体网站上发布，</w:t>
      </w:r>
      <w:r>
        <w:rPr>
          <w:rFonts w:hint="eastAsia" w:ascii="宋体" w:hAnsi="宋体" w:cs="Courier New"/>
          <w:color w:val="auto"/>
          <w:spacing w:val="2"/>
          <w:szCs w:val="21"/>
          <w:highlight w:val="none"/>
        </w:rPr>
        <w:t>并以书面形式通知所有获得磋商文件的供应商，</w:t>
      </w:r>
      <w:r>
        <w:rPr>
          <w:rFonts w:ascii="宋体" w:hAnsi="宋体" w:cs="Courier New"/>
          <w:color w:val="auto"/>
          <w:spacing w:val="2"/>
          <w:szCs w:val="21"/>
          <w:highlight w:val="none"/>
        </w:rPr>
        <w:t>不足5日的，采购人、采购代理机构应当顺延提交首次响应文件截止时间。</w:t>
      </w:r>
      <w:r>
        <w:rPr>
          <w:rFonts w:hint="eastAsia" w:ascii="宋体" w:hAnsi="宋体" w:cs="Courier New"/>
          <w:color w:val="auto"/>
          <w:spacing w:val="2"/>
          <w:szCs w:val="21"/>
          <w:highlight w:val="none"/>
        </w:rPr>
        <w:t>补充通知作为采购文件的组成部分，对供应商起约束作用。</w:t>
      </w:r>
    </w:p>
    <w:p w14:paraId="6B83F5B9">
      <w:pPr>
        <w:pStyle w:val="4"/>
        <w:spacing w:before="0" w:after="0" w:line="460" w:lineRule="exact"/>
        <w:rPr>
          <w:rFonts w:ascii="宋体" w:hAnsi="宋体" w:eastAsia="宋体"/>
          <w:color w:val="auto"/>
          <w:sz w:val="21"/>
          <w:szCs w:val="21"/>
          <w:highlight w:val="none"/>
        </w:rPr>
      </w:pPr>
      <w:bookmarkStart w:id="33" w:name="_Toc174353362"/>
      <w:bookmarkStart w:id="34" w:name="_Toc239659099"/>
      <w:bookmarkStart w:id="35" w:name="_Toc346264272"/>
      <w:bookmarkStart w:id="36" w:name="_Toc18682809"/>
      <w:bookmarkStart w:id="37" w:name="_Toc80818621"/>
      <w:bookmarkStart w:id="38" w:name="_Toc25127"/>
      <w:r>
        <w:rPr>
          <w:rFonts w:ascii="宋体" w:hAnsi="宋体" w:eastAsia="宋体"/>
          <w:color w:val="auto"/>
          <w:sz w:val="21"/>
          <w:szCs w:val="21"/>
          <w:highlight w:val="none"/>
        </w:rPr>
        <w:t>7.磋商报价</w:t>
      </w:r>
      <w:bookmarkEnd w:id="33"/>
      <w:bookmarkEnd w:id="34"/>
      <w:r>
        <w:rPr>
          <w:rFonts w:ascii="宋体" w:hAnsi="宋体" w:eastAsia="宋体"/>
          <w:color w:val="auto"/>
          <w:sz w:val="21"/>
          <w:szCs w:val="21"/>
          <w:highlight w:val="none"/>
        </w:rPr>
        <w:t>及</w:t>
      </w:r>
      <w:bookmarkEnd w:id="35"/>
      <w:r>
        <w:rPr>
          <w:rFonts w:hint="eastAsia" w:ascii="宋体" w:hAnsi="宋体" w:eastAsia="宋体"/>
          <w:color w:val="auto"/>
          <w:sz w:val="21"/>
          <w:szCs w:val="21"/>
          <w:highlight w:val="none"/>
        </w:rPr>
        <w:t>采购</w:t>
      </w:r>
      <w:bookmarkEnd w:id="36"/>
      <w:bookmarkEnd w:id="37"/>
      <w:r>
        <w:rPr>
          <w:rFonts w:hint="eastAsia" w:ascii="宋体" w:hAnsi="宋体" w:eastAsia="宋体"/>
          <w:color w:val="auto"/>
          <w:sz w:val="21"/>
          <w:szCs w:val="21"/>
          <w:highlight w:val="none"/>
        </w:rPr>
        <w:t>预算金额</w:t>
      </w:r>
      <w:bookmarkEnd w:id="38"/>
    </w:p>
    <w:p w14:paraId="4DE13E94">
      <w:pPr>
        <w:adjustRightIn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7.1 供应商应按第六章“工程量清单”的要求填写相应表格。</w:t>
      </w:r>
    </w:p>
    <w:p w14:paraId="34BC6321">
      <w:pPr>
        <w:adjustRightIn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7.2 供应商在磋商截止时间前修改磋商函中的磋商总报价，应同时修改第六章“工程量清单”中的相应报价。此修改须符合本章第16款的有关要求。</w:t>
      </w:r>
    </w:p>
    <w:p w14:paraId="77418C1C">
      <w:pPr>
        <w:spacing w:line="420" w:lineRule="exact"/>
        <w:ind w:firstLine="420" w:firstLineChars="200"/>
        <w:jc w:val="left"/>
        <w:rPr>
          <w:rFonts w:ascii="宋体" w:hAnsi="宋体"/>
          <w:color w:val="auto"/>
          <w:szCs w:val="21"/>
          <w:highlight w:val="none"/>
        </w:rPr>
      </w:pPr>
      <w:bookmarkStart w:id="39" w:name="_Hlk87630946"/>
      <w:r>
        <w:rPr>
          <w:rFonts w:hint="eastAsia" w:ascii="宋体" w:hAnsi="宋体"/>
          <w:color w:val="auto"/>
          <w:szCs w:val="21"/>
          <w:highlight w:val="none"/>
        </w:rPr>
        <w:t>7.3 本项目采购预算金额为：</w:t>
      </w:r>
      <w:r>
        <w:rPr>
          <w:rFonts w:hint="eastAsia" w:ascii="宋体" w:hAnsi="宋体"/>
          <w:b/>
          <w:bCs/>
          <w:color w:val="auto"/>
          <w:szCs w:val="21"/>
          <w:highlight w:val="none"/>
          <w:lang w:eastAsia="zh-CN"/>
        </w:rPr>
        <w:t>叁拾陆万贰仟贰佰元整</w:t>
      </w:r>
      <w:r>
        <w:rPr>
          <w:rFonts w:hint="eastAsia" w:ascii="宋体" w:hAnsi="宋体"/>
          <w:b/>
          <w:bCs/>
          <w:color w:val="auto"/>
          <w:szCs w:val="21"/>
          <w:highlight w:val="none"/>
        </w:rPr>
        <w:t>（¥</w:t>
      </w:r>
      <w:r>
        <w:rPr>
          <w:rFonts w:hint="eastAsia" w:ascii="宋体" w:hAnsi="宋体" w:cs="宋体"/>
          <w:b/>
          <w:bCs/>
          <w:color w:val="auto"/>
          <w:szCs w:val="21"/>
          <w:highlight w:val="none"/>
          <w:lang w:val="en-US" w:bidi="zh-CN"/>
        </w:rPr>
        <w:t>362200.00</w:t>
      </w:r>
      <w:r>
        <w:rPr>
          <w:rFonts w:hint="eastAsia" w:ascii="宋体" w:hAnsi="宋体" w:cs="宋体"/>
          <w:b/>
          <w:bCs/>
          <w:color w:val="auto"/>
          <w:szCs w:val="21"/>
          <w:highlight w:val="none"/>
          <w:lang w:bidi="zh-CN"/>
        </w:rPr>
        <w:t>元）</w:t>
      </w:r>
    </w:p>
    <w:p w14:paraId="077EFA76">
      <w:pPr>
        <w:spacing w:line="42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本采购项目的有效磋商报价范围为：</w:t>
      </w:r>
      <w:r>
        <w:rPr>
          <w:rFonts w:hint="eastAsia" w:ascii="宋体" w:hAnsi="宋体" w:cs="Courier New"/>
          <w:b/>
          <w:color w:val="auto"/>
          <w:spacing w:val="2"/>
          <w:szCs w:val="21"/>
          <w:highlight w:val="none"/>
        </w:rPr>
        <w:t>供应商的最终磋商报价不能高于本项目的采购预算金额。</w:t>
      </w:r>
    </w:p>
    <w:bookmarkEnd w:id="39"/>
    <w:p w14:paraId="41E24E5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7.4进行磋商报价，其优惠应直接体现在各项磋商报价的单价中，磋商函中供应商不得采用总价优惠、总价百分比优惠或以报价调整函的方式的报价必须与工程量清单汇总表一致，否则作无效标处理。</w:t>
      </w:r>
    </w:p>
    <w:p w14:paraId="3CD9D467">
      <w:pPr>
        <w:spacing w:line="460" w:lineRule="exact"/>
        <w:rPr>
          <w:rFonts w:ascii="宋体" w:hAnsi="宋体"/>
          <w:color w:val="auto"/>
          <w:szCs w:val="21"/>
          <w:highlight w:val="none"/>
        </w:rPr>
      </w:pPr>
      <w:r>
        <w:rPr>
          <w:rFonts w:ascii="宋体" w:hAnsi="宋体"/>
          <w:color w:val="auto"/>
          <w:szCs w:val="21"/>
          <w:highlight w:val="none"/>
        </w:rPr>
        <w:t xml:space="preserve">    7.</w:t>
      </w:r>
      <w:r>
        <w:rPr>
          <w:rFonts w:hint="eastAsia" w:ascii="宋体" w:hAnsi="宋体"/>
          <w:color w:val="auto"/>
          <w:szCs w:val="21"/>
          <w:highlight w:val="none"/>
        </w:rPr>
        <w:t>5</w:t>
      </w:r>
      <w:r>
        <w:rPr>
          <w:rFonts w:ascii="宋体" w:hAnsi="宋体"/>
          <w:color w:val="auto"/>
          <w:szCs w:val="21"/>
          <w:highlight w:val="none"/>
        </w:rPr>
        <w:t>磋商货币</w:t>
      </w:r>
    </w:p>
    <w:p w14:paraId="7097FAD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响应文件</w:t>
      </w:r>
      <w:r>
        <w:rPr>
          <w:rFonts w:ascii="宋体" w:hAnsi="宋体"/>
          <w:color w:val="auto"/>
          <w:szCs w:val="21"/>
          <w:highlight w:val="none"/>
        </w:rPr>
        <w:t>报价中的单价和合价全部采用人民币表示。</w:t>
      </w:r>
    </w:p>
    <w:p w14:paraId="3D6A2452">
      <w:pPr>
        <w:pStyle w:val="4"/>
        <w:spacing w:before="0" w:after="0" w:line="460" w:lineRule="exact"/>
        <w:rPr>
          <w:rFonts w:ascii="宋体" w:hAnsi="宋体" w:eastAsia="宋体"/>
          <w:color w:val="auto"/>
          <w:sz w:val="21"/>
          <w:szCs w:val="21"/>
          <w:highlight w:val="none"/>
        </w:rPr>
      </w:pPr>
      <w:bookmarkStart w:id="40" w:name="_Toc28736"/>
      <w:bookmarkStart w:id="41" w:name="_Toc18682810"/>
      <w:bookmarkStart w:id="42" w:name="_Toc80818622"/>
      <w:bookmarkStart w:id="43" w:name="_Toc346264273"/>
      <w:bookmarkStart w:id="44" w:name="_Toc239659100"/>
      <w:r>
        <w:rPr>
          <w:rFonts w:ascii="宋体" w:hAnsi="宋体" w:eastAsia="宋体"/>
          <w:color w:val="auto"/>
          <w:sz w:val="21"/>
          <w:szCs w:val="21"/>
          <w:highlight w:val="none"/>
        </w:rPr>
        <w:t>8.</w:t>
      </w:r>
      <w:r>
        <w:rPr>
          <w:rFonts w:hint="eastAsia" w:ascii="宋体" w:hAnsi="宋体" w:eastAsia="宋体"/>
          <w:color w:val="auto"/>
          <w:sz w:val="21"/>
          <w:szCs w:val="21"/>
          <w:highlight w:val="none"/>
        </w:rPr>
        <w:t>响应文件</w:t>
      </w:r>
      <w:r>
        <w:rPr>
          <w:rFonts w:ascii="宋体" w:hAnsi="宋体" w:eastAsia="宋体"/>
          <w:color w:val="auto"/>
          <w:sz w:val="21"/>
          <w:szCs w:val="21"/>
          <w:highlight w:val="none"/>
        </w:rPr>
        <w:t>的语言</w:t>
      </w:r>
      <w:bookmarkEnd w:id="40"/>
      <w:bookmarkEnd w:id="41"/>
      <w:bookmarkEnd w:id="42"/>
      <w:bookmarkEnd w:id="43"/>
      <w:bookmarkEnd w:id="44"/>
    </w:p>
    <w:p w14:paraId="066E8465">
      <w:pPr>
        <w:spacing w:line="460" w:lineRule="exact"/>
        <w:ind w:firstLine="435"/>
        <w:rPr>
          <w:rFonts w:ascii="宋体" w:hAnsi="宋体"/>
          <w:color w:val="auto"/>
          <w:szCs w:val="21"/>
          <w:highlight w:val="none"/>
        </w:rPr>
      </w:pPr>
      <w:r>
        <w:rPr>
          <w:rFonts w:hint="eastAsia" w:ascii="宋体" w:hAnsi="宋体"/>
          <w:color w:val="auto"/>
          <w:szCs w:val="21"/>
          <w:highlight w:val="none"/>
        </w:rPr>
        <w:t>响应文件</w:t>
      </w:r>
      <w:r>
        <w:rPr>
          <w:rFonts w:ascii="宋体" w:hAnsi="宋体"/>
          <w:color w:val="auto"/>
          <w:szCs w:val="21"/>
          <w:highlight w:val="none"/>
        </w:rPr>
        <w:t>及</w:t>
      </w:r>
      <w:r>
        <w:rPr>
          <w:rFonts w:hint="eastAsia" w:ascii="宋体" w:hAnsi="宋体"/>
          <w:color w:val="auto"/>
          <w:szCs w:val="21"/>
          <w:highlight w:val="none"/>
        </w:rPr>
        <w:t>供应商</w:t>
      </w:r>
      <w:r>
        <w:rPr>
          <w:rFonts w:ascii="宋体" w:hAnsi="宋体"/>
          <w:color w:val="auto"/>
          <w:szCs w:val="21"/>
          <w:highlight w:val="none"/>
        </w:rPr>
        <w:t>与采购人之间与磋商有关的来往通知、函件和文件均应使用中文。</w:t>
      </w:r>
    </w:p>
    <w:p w14:paraId="01CB3097">
      <w:pPr>
        <w:pStyle w:val="4"/>
        <w:spacing w:before="0" w:after="0" w:line="460" w:lineRule="exact"/>
        <w:rPr>
          <w:rFonts w:ascii="宋体" w:hAnsi="宋体" w:eastAsia="宋体"/>
          <w:color w:val="auto"/>
          <w:sz w:val="21"/>
          <w:szCs w:val="21"/>
          <w:highlight w:val="none"/>
        </w:rPr>
      </w:pPr>
      <w:bookmarkStart w:id="45" w:name="_Toc239659101"/>
      <w:bookmarkStart w:id="46" w:name="_Toc1593"/>
      <w:bookmarkStart w:id="47" w:name="_Toc80818623"/>
      <w:bookmarkStart w:id="48" w:name="_Toc346264274"/>
      <w:bookmarkStart w:id="49" w:name="_Toc18682811"/>
      <w:r>
        <w:rPr>
          <w:rFonts w:ascii="宋体" w:hAnsi="宋体" w:eastAsia="宋体"/>
          <w:color w:val="auto"/>
          <w:sz w:val="21"/>
          <w:szCs w:val="21"/>
          <w:highlight w:val="none"/>
        </w:rPr>
        <w:t>9.</w:t>
      </w:r>
      <w:r>
        <w:rPr>
          <w:rFonts w:hint="eastAsia" w:ascii="宋体" w:hAnsi="宋体" w:eastAsia="宋体"/>
          <w:color w:val="auto"/>
          <w:sz w:val="21"/>
          <w:szCs w:val="21"/>
          <w:highlight w:val="none"/>
        </w:rPr>
        <w:t>响应文件</w:t>
      </w:r>
      <w:r>
        <w:rPr>
          <w:rFonts w:ascii="宋体" w:hAnsi="宋体" w:eastAsia="宋体"/>
          <w:color w:val="auto"/>
          <w:sz w:val="21"/>
          <w:szCs w:val="21"/>
          <w:highlight w:val="none"/>
        </w:rPr>
        <w:t>的组成</w:t>
      </w:r>
      <w:bookmarkEnd w:id="45"/>
      <w:bookmarkEnd w:id="46"/>
      <w:bookmarkEnd w:id="47"/>
      <w:bookmarkEnd w:id="48"/>
      <w:bookmarkEnd w:id="49"/>
    </w:p>
    <w:p w14:paraId="50A1962B">
      <w:pPr>
        <w:pStyle w:val="23"/>
        <w:adjustRightInd w:val="0"/>
        <w:snapToGrid w:val="0"/>
        <w:spacing w:line="500" w:lineRule="exact"/>
        <w:ind w:firstLine="411" w:firstLineChars="196"/>
        <w:jc w:val="left"/>
        <w:rPr>
          <w:rFonts w:hAnsi="宋体"/>
          <w:color w:val="auto"/>
          <w:szCs w:val="21"/>
          <w:highlight w:val="none"/>
        </w:rPr>
      </w:pPr>
      <w:bookmarkStart w:id="50" w:name="_Hlk86744397"/>
      <w:r>
        <w:rPr>
          <w:rFonts w:hAnsi="宋体"/>
          <w:color w:val="auto"/>
          <w:szCs w:val="21"/>
          <w:highlight w:val="none"/>
        </w:rPr>
        <w:t xml:space="preserve">9.1 </w:t>
      </w:r>
      <w:r>
        <w:rPr>
          <w:rFonts w:hint="eastAsia" w:hAnsi="宋体"/>
          <w:color w:val="auto"/>
          <w:szCs w:val="21"/>
          <w:highlight w:val="none"/>
        </w:rPr>
        <w:t>响应文件包括</w:t>
      </w:r>
      <w:r>
        <w:rPr>
          <w:rFonts w:hAnsi="宋体"/>
          <w:color w:val="auto"/>
          <w:szCs w:val="21"/>
          <w:highlight w:val="none"/>
        </w:rPr>
        <w:t>资格</w:t>
      </w:r>
      <w:r>
        <w:rPr>
          <w:rFonts w:hint="eastAsia" w:hAnsi="宋体"/>
          <w:color w:val="auto"/>
          <w:szCs w:val="21"/>
          <w:highlight w:val="none"/>
        </w:rPr>
        <w:t>文件</w:t>
      </w:r>
      <w:r>
        <w:rPr>
          <w:rFonts w:hAnsi="宋体"/>
          <w:color w:val="auto"/>
          <w:szCs w:val="21"/>
          <w:highlight w:val="none"/>
        </w:rPr>
        <w:t>、商务</w:t>
      </w:r>
      <w:r>
        <w:rPr>
          <w:rFonts w:hint="eastAsia" w:hAnsi="宋体"/>
          <w:color w:val="auto"/>
          <w:szCs w:val="21"/>
          <w:highlight w:val="none"/>
        </w:rPr>
        <w:t>技术文件、报价文件</w:t>
      </w:r>
      <w:r>
        <w:rPr>
          <w:rFonts w:hint="eastAsia" w:hAnsi="宋体"/>
          <w:b/>
          <w:color w:val="auto"/>
          <w:szCs w:val="21"/>
          <w:highlight w:val="none"/>
        </w:rPr>
        <w:t>三部份</w:t>
      </w:r>
      <w:r>
        <w:rPr>
          <w:rFonts w:hint="eastAsia" w:hAnsi="宋体"/>
          <w:color w:val="auto"/>
          <w:szCs w:val="21"/>
          <w:highlight w:val="none"/>
        </w:rPr>
        <w:t>组成并分别编制，以下材料组成在磋商文件第七章“响应文件格式”中未附格式的，由供应商自行拟定。</w:t>
      </w:r>
      <w:r>
        <w:rPr>
          <w:rFonts w:hint="eastAsia" w:hAnsi="宋体"/>
          <w:b/>
          <w:color w:val="auto"/>
          <w:kern w:val="0"/>
          <w:szCs w:val="21"/>
          <w:highlight w:val="none"/>
        </w:rPr>
        <w:t>响应文件中所有复印件均须加盖磋商单位公章，否则视为无效磋商响应文件。</w:t>
      </w:r>
    </w:p>
    <w:bookmarkEnd w:id="50"/>
    <w:p w14:paraId="0A6DB346">
      <w:pPr>
        <w:spacing w:line="460" w:lineRule="exact"/>
        <w:ind w:firstLine="422" w:firstLineChars="200"/>
        <w:rPr>
          <w:rFonts w:ascii="宋体" w:hAnsi="宋体"/>
          <w:b/>
          <w:color w:val="auto"/>
          <w:szCs w:val="21"/>
          <w:highlight w:val="none"/>
        </w:rPr>
      </w:pPr>
      <w:bookmarkStart w:id="51" w:name="_Hlk86744311"/>
      <w:bookmarkStart w:id="52" w:name="_Hlk87630980"/>
      <w:r>
        <w:rPr>
          <w:rFonts w:hint="eastAsia" w:ascii="宋体" w:hAnsi="宋体"/>
          <w:b/>
          <w:color w:val="auto"/>
          <w:szCs w:val="21"/>
          <w:highlight w:val="none"/>
        </w:rPr>
        <w:t>9</w:t>
      </w:r>
      <w:r>
        <w:rPr>
          <w:rFonts w:ascii="宋体" w:hAnsi="宋体"/>
          <w:b/>
          <w:color w:val="auto"/>
          <w:szCs w:val="21"/>
          <w:highlight w:val="none"/>
        </w:rPr>
        <w:t>.2</w:t>
      </w:r>
      <w:r>
        <w:rPr>
          <w:rFonts w:hint="eastAsia" w:ascii="宋体" w:hAnsi="宋体"/>
          <w:b/>
          <w:color w:val="auto"/>
          <w:szCs w:val="21"/>
          <w:highlight w:val="none"/>
        </w:rPr>
        <w:t xml:space="preserve"> </w:t>
      </w:r>
      <w:r>
        <w:rPr>
          <w:rFonts w:ascii="宋体" w:hAnsi="宋体"/>
          <w:b/>
          <w:color w:val="auto"/>
          <w:szCs w:val="21"/>
          <w:highlight w:val="none"/>
        </w:rPr>
        <w:t>资格</w:t>
      </w:r>
      <w:r>
        <w:rPr>
          <w:rFonts w:hint="eastAsia" w:ascii="宋体" w:hAnsi="宋体"/>
          <w:b/>
          <w:color w:val="auto"/>
          <w:szCs w:val="21"/>
          <w:highlight w:val="none"/>
        </w:rPr>
        <w:t>文件应</w:t>
      </w:r>
      <w:r>
        <w:rPr>
          <w:rFonts w:ascii="宋体" w:hAnsi="宋体"/>
          <w:b/>
          <w:color w:val="auto"/>
          <w:szCs w:val="21"/>
          <w:highlight w:val="none"/>
        </w:rPr>
        <w:t>包括下列内容：</w:t>
      </w:r>
    </w:p>
    <w:p w14:paraId="4281F703">
      <w:pPr>
        <w:spacing w:line="460" w:lineRule="exact"/>
        <w:ind w:left="27" w:leftChars="13" w:firstLine="420" w:firstLineChars="200"/>
        <w:jc w:val="left"/>
        <w:rPr>
          <w:rFonts w:ascii="宋体" w:hAnsi="宋体" w:cs="宋体"/>
          <w:b/>
          <w:color w:val="auto"/>
          <w:kern w:val="0"/>
          <w:szCs w:val="21"/>
          <w:highlight w:val="none"/>
        </w:rPr>
      </w:pPr>
      <w:r>
        <w:rPr>
          <w:rFonts w:hint="eastAsia" w:ascii="宋体" w:hAnsi="宋体"/>
          <w:color w:val="auto"/>
          <w:szCs w:val="21"/>
          <w:highlight w:val="none"/>
        </w:rPr>
        <w:t>（1）</w:t>
      </w:r>
      <w:r>
        <w:rPr>
          <w:rFonts w:hint="eastAsia" w:ascii="宋体" w:hAnsi="宋体" w:cs="Courier New"/>
          <w:color w:val="auto"/>
          <w:spacing w:val="2"/>
          <w:szCs w:val="21"/>
          <w:highlight w:val="none"/>
        </w:rPr>
        <w:t>供应商为法人或者其他组织的须提供营业执照或事业单位法人证书或社会团体法人登记证书副本复印件，供应商为自然人的须提供身份证明复印件；</w:t>
      </w:r>
      <w:r>
        <w:rPr>
          <w:rFonts w:ascii="宋体" w:hAnsi="宋体" w:cs="宋体"/>
          <w:b/>
          <w:color w:val="auto"/>
          <w:kern w:val="0"/>
          <w:szCs w:val="21"/>
          <w:highlight w:val="none"/>
        </w:rPr>
        <w:t xml:space="preserve"> </w:t>
      </w:r>
    </w:p>
    <w:p w14:paraId="45050D76">
      <w:pPr>
        <w:spacing w:line="460" w:lineRule="exact"/>
        <w:ind w:left="28" w:firstLine="452"/>
        <w:jc w:val="left"/>
        <w:rPr>
          <w:rFonts w:ascii="宋体" w:hAnsi="宋体" w:cs="宋体"/>
          <w:b/>
          <w:color w:val="auto"/>
          <w:kern w:val="0"/>
          <w:szCs w:val="21"/>
          <w:highlight w:val="none"/>
        </w:rPr>
      </w:pPr>
      <w:r>
        <w:rPr>
          <w:rFonts w:hint="eastAsia" w:ascii="宋体" w:hAnsi="宋体" w:cs="Courier New"/>
          <w:color w:val="auto"/>
          <w:spacing w:val="2"/>
          <w:szCs w:val="21"/>
          <w:highlight w:val="none"/>
        </w:rPr>
        <w:t>（2）供应商有效的安全生产许可证复印件；</w:t>
      </w:r>
    </w:p>
    <w:p w14:paraId="48D2C3B8">
      <w:pPr>
        <w:widowControl/>
        <w:spacing w:line="460" w:lineRule="exact"/>
        <w:ind w:left="1062" w:leftChars="200" w:hanging="642" w:hangingChars="300"/>
        <w:jc w:val="left"/>
        <w:rPr>
          <w:rFonts w:ascii="宋体" w:hAnsi="宋体" w:cs="Courier New"/>
          <w:color w:val="auto"/>
          <w:spacing w:val="2"/>
          <w:szCs w:val="21"/>
          <w:highlight w:val="none"/>
        </w:rPr>
      </w:pPr>
      <w:r>
        <w:rPr>
          <w:rFonts w:hint="eastAsia" w:ascii="宋体" w:hAnsi="宋体" w:cs="Courier New"/>
          <w:color w:val="auto"/>
          <w:spacing w:val="2"/>
          <w:szCs w:val="21"/>
          <w:highlight w:val="none"/>
        </w:rPr>
        <w:t>（3）有效的</w:t>
      </w:r>
      <w:r>
        <w:rPr>
          <w:rFonts w:hint="eastAsia" w:ascii="宋体" w:hAnsi="宋体"/>
          <w:color w:val="auto"/>
          <w:szCs w:val="21"/>
          <w:highlight w:val="none"/>
        </w:rPr>
        <w:t>资质证书</w:t>
      </w:r>
      <w:r>
        <w:rPr>
          <w:rFonts w:hint="eastAsia" w:ascii="宋体" w:hAnsi="宋体" w:cs="Courier New"/>
          <w:color w:val="auto"/>
          <w:spacing w:val="2"/>
          <w:szCs w:val="21"/>
          <w:highlight w:val="none"/>
        </w:rPr>
        <w:t>副本复印件（</w:t>
      </w:r>
      <w:r>
        <w:rPr>
          <w:rFonts w:hint="eastAsia" w:ascii="宋体" w:hAnsi="宋体"/>
          <w:color w:val="auto"/>
          <w:szCs w:val="21"/>
          <w:highlight w:val="none"/>
          <w:lang w:eastAsia="zh-CN"/>
        </w:rPr>
        <w:t>市政公用</w:t>
      </w:r>
      <w:r>
        <w:rPr>
          <w:rFonts w:hint="eastAsia" w:ascii="宋体" w:hAnsi="宋体"/>
          <w:color w:val="auto"/>
          <w:szCs w:val="21"/>
          <w:highlight w:val="none"/>
        </w:rPr>
        <w:t>工程施工总承包叁级（含叁级）以上资质）</w:t>
      </w:r>
      <w:r>
        <w:rPr>
          <w:rFonts w:hint="eastAsia" w:ascii="宋体" w:hAnsi="宋体" w:cs="Courier New"/>
          <w:color w:val="auto"/>
          <w:spacing w:val="2"/>
          <w:szCs w:val="21"/>
          <w:highlight w:val="none"/>
        </w:rPr>
        <w:t>；</w:t>
      </w:r>
    </w:p>
    <w:p w14:paraId="4BCB2FF1">
      <w:pPr>
        <w:pStyle w:val="23"/>
        <w:spacing w:line="460" w:lineRule="exact"/>
        <w:ind w:firstLine="428" w:firstLineChars="200"/>
        <w:jc w:val="left"/>
        <w:rPr>
          <w:rFonts w:hAnsi="宋体" w:cs="Courier New"/>
          <w:color w:val="auto"/>
          <w:spacing w:val="2"/>
          <w:szCs w:val="21"/>
          <w:highlight w:val="none"/>
        </w:rPr>
      </w:pPr>
      <w:r>
        <w:rPr>
          <w:rFonts w:hint="eastAsia" w:hAnsi="宋体" w:cs="Courier New"/>
          <w:color w:val="auto"/>
          <w:spacing w:val="2"/>
          <w:szCs w:val="21"/>
          <w:highlight w:val="none"/>
        </w:rPr>
        <w:t>（4）拟投入本工程项目经理的身份证复印件、具备有效的</w:t>
      </w:r>
      <w:r>
        <w:rPr>
          <w:rFonts w:hint="eastAsia" w:hAnsi="宋体" w:cs="Courier New"/>
          <w:color w:val="auto"/>
          <w:spacing w:val="2"/>
          <w:szCs w:val="21"/>
          <w:highlight w:val="none"/>
          <w:lang w:eastAsia="zh-CN"/>
        </w:rPr>
        <w:t>市政公用</w:t>
      </w:r>
      <w:r>
        <w:rPr>
          <w:rFonts w:hint="eastAsia" w:hAnsi="宋体" w:cs="Courier New"/>
          <w:color w:val="auto"/>
          <w:spacing w:val="2"/>
          <w:szCs w:val="21"/>
          <w:highlight w:val="none"/>
        </w:rPr>
        <w:t>工程专业贰级（含贰级）以上造师注册证书复印件（要求注册单位为供应商单位）、安全生产考核合格证书（B类）复印件、在供应商单位缴纳的社保费的缴费证明复印件（要求缴费时间为磋商截止时间前半年内连续三个月）；</w:t>
      </w:r>
    </w:p>
    <w:p w14:paraId="59B8334E">
      <w:pPr>
        <w:spacing w:line="46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rPr>
        <w:t>（5）</w:t>
      </w:r>
      <w:r>
        <w:rPr>
          <w:rFonts w:hint="eastAsia" w:ascii="宋体" w:hAnsi="宋体"/>
          <w:color w:val="auto"/>
          <w:szCs w:val="21"/>
          <w:highlight w:val="none"/>
        </w:rPr>
        <w:t>供应商参与政府采购活动前三年在经营活动中没有重大违法记录的书面声明函；</w:t>
      </w:r>
    </w:p>
    <w:p w14:paraId="61BAF5B7">
      <w:pPr>
        <w:spacing w:line="46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20</w:t>
      </w:r>
      <w:r>
        <w:rPr>
          <w:rFonts w:hint="eastAsia" w:ascii="宋体" w:hAnsi="宋体"/>
          <w:color w:val="auto"/>
          <w:szCs w:val="21"/>
          <w:highlight w:val="none"/>
          <w:lang w:val="en-US" w:eastAsia="zh-CN"/>
        </w:rPr>
        <w:t>23</w:t>
      </w:r>
      <w:r>
        <w:rPr>
          <w:rFonts w:hint="eastAsia" w:ascii="宋体" w:hAnsi="宋体"/>
          <w:color w:val="auto"/>
          <w:szCs w:val="21"/>
          <w:highlight w:val="none"/>
        </w:rPr>
        <w:t>年或202</w:t>
      </w:r>
      <w:r>
        <w:rPr>
          <w:rFonts w:hint="eastAsia" w:ascii="宋体" w:hAnsi="宋体"/>
          <w:color w:val="auto"/>
          <w:szCs w:val="21"/>
          <w:highlight w:val="none"/>
          <w:lang w:val="en-US" w:eastAsia="zh-CN"/>
        </w:rPr>
        <w:t>4</w:t>
      </w:r>
      <w:r>
        <w:rPr>
          <w:rFonts w:hint="eastAsia" w:ascii="宋体" w:hAnsi="宋体"/>
          <w:color w:val="auto"/>
          <w:szCs w:val="21"/>
          <w:highlight w:val="none"/>
        </w:rPr>
        <w:t>年度经会计师事务所或审计机构审计的财务会计报表复印件（必须包括资产负债表、现金流量表、利润表和财务情况说明书,新设立的企业按实际情况提供）,</w:t>
      </w:r>
      <w:r>
        <w:rPr>
          <w:rFonts w:hint="eastAsia" w:ascii="宋体" w:hAnsi="宋体" w:cs="Courier New"/>
          <w:color w:val="auto"/>
          <w:szCs w:val="21"/>
          <w:highlight w:val="none"/>
        </w:rPr>
        <w:t xml:space="preserve"> 或基本开户银行出具的资信证明</w:t>
      </w:r>
      <w:r>
        <w:rPr>
          <w:rFonts w:hint="eastAsia" w:ascii="宋体" w:hAnsi="宋体"/>
          <w:color w:val="auto"/>
          <w:szCs w:val="21"/>
          <w:highlight w:val="none"/>
        </w:rPr>
        <w:t>复印件</w:t>
      </w:r>
      <w:r>
        <w:rPr>
          <w:rFonts w:hint="eastAsia" w:ascii="宋体" w:hAnsi="宋体" w:cs="Courier New"/>
          <w:color w:val="auto"/>
          <w:spacing w:val="2"/>
          <w:szCs w:val="21"/>
          <w:highlight w:val="none"/>
        </w:rPr>
        <w:t>；</w:t>
      </w:r>
    </w:p>
    <w:p w14:paraId="4E237487">
      <w:pPr>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（7）供应商在磋商截止时间当月前半年内</w:t>
      </w:r>
      <w:r>
        <w:rPr>
          <w:rFonts w:hint="eastAsia" w:ascii="宋体" w:hAnsi="宋体"/>
          <w:color w:val="auto"/>
          <w:szCs w:val="21"/>
          <w:highlight w:val="none"/>
        </w:rPr>
        <w:t>任意三个月</w:t>
      </w:r>
      <w:r>
        <w:rPr>
          <w:rFonts w:hint="eastAsia" w:ascii="宋体" w:hAnsi="宋体"/>
          <w:color w:val="auto"/>
          <w:szCs w:val="21"/>
          <w:highlight w:val="none"/>
        </w:rPr>
        <w:t>的依法纳税的依法缴纳税费或依法免缴税费的证明材料复印件；无纳税记录的，应提供由供应商所在地主管国税、地税部门出具的《依法纳税或依法免税证明》复印件（新成立的供应商按实际情况提供，社会团体、协会不须提供）；</w:t>
      </w:r>
    </w:p>
    <w:p w14:paraId="7F36C5CE">
      <w:pPr>
        <w:spacing w:line="460" w:lineRule="exact"/>
        <w:ind w:firstLine="420" w:firstLineChars="200"/>
        <w:jc w:val="left"/>
        <w:rPr>
          <w:rFonts w:hint="eastAsia" w:ascii="宋体" w:hAnsi="宋体"/>
          <w:color w:val="auto"/>
          <w:szCs w:val="21"/>
          <w:highlight w:val="none"/>
        </w:rPr>
      </w:pPr>
      <w:bookmarkStart w:id="53" w:name="_Hlk86744247"/>
      <w:r>
        <w:rPr>
          <w:rFonts w:hint="eastAsia" w:ascii="宋体" w:hAnsi="宋体"/>
          <w:color w:val="auto"/>
          <w:szCs w:val="21"/>
          <w:highlight w:val="none"/>
        </w:rPr>
        <w:t>(8) 供应商在磋商截止之日前半年内供应商连续三个月为拟投入本项目的主要管理人员依法缴纳</w:t>
      </w:r>
      <w:bookmarkStart w:id="54" w:name="_Hlk98924415"/>
      <w:r>
        <w:rPr>
          <w:rFonts w:hint="eastAsia" w:ascii="宋体" w:hAnsi="宋体"/>
          <w:color w:val="auto"/>
          <w:szCs w:val="21"/>
          <w:highlight w:val="none"/>
        </w:rPr>
        <w:t>社保费的缴费证明复印件</w:t>
      </w:r>
      <w:bookmarkEnd w:id="54"/>
      <w:r>
        <w:rPr>
          <w:rFonts w:hint="eastAsia" w:ascii="宋体" w:hAnsi="宋体"/>
          <w:color w:val="auto"/>
          <w:szCs w:val="21"/>
          <w:highlight w:val="none"/>
        </w:rPr>
        <w:t>；无缴费记录的，应提供由供应商所在地社保部门出具的《依法缴纳或依法免缴社保费证明》；</w:t>
      </w:r>
    </w:p>
    <w:p w14:paraId="120BC237">
      <w:pPr>
        <w:spacing w:line="460" w:lineRule="exact"/>
        <w:ind w:left="420" w:leftChars="200" w:firstLine="0" w:firstLineChars="0"/>
        <w:jc w:val="left"/>
        <w:rPr>
          <w:rFonts w:hint="eastAsia" w:ascii="宋体" w:hAnsi="宋体" w:cs="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 xml:space="preserve">) </w:t>
      </w:r>
      <w:r>
        <w:rPr>
          <w:rFonts w:hint="eastAsia" w:ascii="宋体" w:hAnsi="宋体" w:cs="宋体"/>
          <w:color w:val="auto"/>
          <w:szCs w:val="21"/>
          <w:highlight w:val="none"/>
          <w:lang w:val="en-US" w:eastAsia="zh-CN"/>
        </w:rPr>
        <w:t>供应商为中小企业/小微企业或</w:t>
      </w:r>
      <w:r>
        <w:rPr>
          <w:rFonts w:hint="eastAsia" w:ascii="宋体" w:hAnsi="宋体"/>
          <w:color w:val="auto"/>
          <w:szCs w:val="21"/>
          <w:highlight w:val="none"/>
          <w:lang w:val="en-US" w:eastAsia="zh-CN"/>
        </w:rPr>
        <w:t>供应商应为监狱企业或</w:t>
      </w:r>
      <w:r>
        <w:rPr>
          <w:rFonts w:hint="eastAsia" w:ascii="宋体" w:hAnsi="宋体" w:cs="宋体"/>
          <w:color w:val="auto"/>
          <w:szCs w:val="21"/>
          <w:highlight w:val="none"/>
          <w:lang w:val="en-US" w:eastAsia="zh-CN"/>
        </w:rPr>
        <w:t>供应商应为残疾人福利企业；（请根据要求上传《中小企业声明函》，格式以采购文件要求为准）。</w:t>
      </w:r>
    </w:p>
    <w:p w14:paraId="0F754CE2">
      <w:pPr>
        <w:spacing w:line="460" w:lineRule="exact"/>
        <w:ind w:left="420" w:leftChars="200" w:firstLine="0" w:firstLineChars="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 供应商认为需要提供的有关资料</w:t>
      </w:r>
      <w:r>
        <w:rPr>
          <w:rFonts w:hint="eastAsia" w:ascii="宋体" w:hAnsi="宋体"/>
          <w:color w:val="auto"/>
          <w:szCs w:val="21"/>
          <w:highlight w:val="none"/>
          <w:lang w:val="en-US" w:eastAsia="zh-CN"/>
        </w:rPr>
        <w:t>；</w:t>
      </w:r>
    </w:p>
    <w:bookmarkEnd w:id="51"/>
    <w:bookmarkEnd w:id="53"/>
    <w:p w14:paraId="41418DD2">
      <w:pPr>
        <w:pStyle w:val="23"/>
        <w:adjustRightInd w:val="0"/>
        <w:snapToGrid w:val="0"/>
        <w:spacing w:line="460" w:lineRule="exact"/>
        <w:ind w:firstLine="413" w:firstLineChars="196"/>
        <w:jc w:val="left"/>
        <w:rPr>
          <w:rFonts w:hAnsi="宋体"/>
          <w:b/>
          <w:color w:val="auto"/>
          <w:kern w:val="0"/>
          <w:szCs w:val="21"/>
          <w:highlight w:val="none"/>
        </w:rPr>
      </w:pPr>
      <w:bookmarkStart w:id="55" w:name="_Hlk86744419"/>
      <w:r>
        <w:rPr>
          <w:rFonts w:hint="eastAsia" w:hAnsi="宋体"/>
          <w:b/>
          <w:snapToGrid w:val="0"/>
          <w:color w:val="auto"/>
          <w:kern w:val="0"/>
          <w:szCs w:val="21"/>
          <w:highlight w:val="none"/>
        </w:rPr>
        <w:t>注：1.</w:t>
      </w:r>
      <w:r>
        <w:rPr>
          <w:rFonts w:hint="eastAsia" w:hAnsi="宋体"/>
          <w:b/>
          <w:color w:val="auto"/>
          <w:kern w:val="0"/>
          <w:szCs w:val="21"/>
          <w:highlight w:val="none"/>
        </w:rPr>
        <w:t>以上（1）</w:t>
      </w:r>
      <w:r>
        <w:rPr>
          <w:rFonts w:hint="eastAsia" w:hAnsi="宋体"/>
          <w:b/>
          <w:color w:val="auto"/>
          <w:kern w:val="0"/>
          <w:szCs w:val="21"/>
          <w:highlight w:val="none"/>
          <w:lang w:val="en-US" w:eastAsia="zh-CN"/>
        </w:rPr>
        <w:t>~</w:t>
      </w:r>
      <w:r>
        <w:rPr>
          <w:rFonts w:hint="eastAsia" w:hAnsi="宋体"/>
          <w:b/>
          <w:color w:val="auto"/>
          <w:kern w:val="0"/>
          <w:szCs w:val="21"/>
          <w:highlight w:val="none"/>
        </w:rPr>
        <w:t>（</w:t>
      </w:r>
      <w:r>
        <w:rPr>
          <w:rFonts w:hint="eastAsia" w:hAnsi="宋体"/>
          <w:b/>
          <w:color w:val="auto"/>
          <w:kern w:val="0"/>
          <w:szCs w:val="21"/>
          <w:highlight w:val="none"/>
          <w:lang w:val="en-US" w:eastAsia="zh-CN"/>
        </w:rPr>
        <w:t>8</w:t>
      </w:r>
      <w:r>
        <w:rPr>
          <w:rFonts w:hint="eastAsia" w:hAnsi="宋体"/>
          <w:b/>
          <w:color w:val="auto"/>
          <w:kern w:val="0"/>
          <w:szCs w:val="21"/>
          <w:highlight w:val="none"/>
        </w:rPr>
        <w:t>）材料须提供，否则视为无效磋商响应文件。</w:t>
      </w:r>
    </w:p>
    <w:p w14:paraId="05736382">
      <w:pPr>
        <w:tabs>
          <w:tab w:val="left" w:pos="3870"/>
          <w:tab w:val="left" w:pos="4085"/>
        </w:tabs>
        <w:snapToGrid w:val="0"/>
        <w:spacing w:line="46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2.供应商在“信用中国”网站、“中国政府采购网”的信用记录情况由采购代理查询提供，若查询结果不满足采购文件要求的响应文件将视为资格审查不合格。</w:t>
      </w:r>
    </w:p>
    <w:p w14:paraId="28EF7625">
      <w:pPr>
        <w:spacing w:line="460" w:lineRule="exact"/>
        <w:ind w:firstLine="422" w:firstLineChars="200"/>
        <w:rPr>
          <w:rFonts w:ascii="宋体" w:hAnsi="宋体"/>
          <w:b/>
          <w:color w:val="auto"/>
          <w:szCs w:val="21"/>
          <w:highlight w:val="none"/>
        </w:rPr>
      </w:pPr>
      <w:r>
        <w:rPr>
          <w:rFonts w:hint="eastAsia" w:ascii="宋体" w:hAnsi="宋体"/>
          <w:b/>
          <w:color w:val="auto"/>
          <w:szCs w:val="21"/>
          <w:highlight w:val="none"/>
        </w:rPr>
        <w:t>9</w:t>
      </w:r>
      <w:r>
        <w:rPr>
          <w:rFonts w:ascii="宋体" w:hAnsi="宋体"/>
          <w:b/>
          <w:color w:val="auto"/>
          <w:szCs w:val="21"/>
          <w:highlight w:val="none"/>
        </w:rPr>
        <w:t>.3</w:t>
      </w:r>
      <w:r>
        <w:rPr>
          <w:rFonts w:hint="eastAsia" w:ascii="宋体" w:hAnsi="宋体"/>
          <w:b/>
          <w:color w:val="auto"/>
          <w:szCs w:val="21"/>
          <w:highlight w:val="none"/>
        </w:rPr>
        <w:t xml:space="preserve"> </w:t>
      </w:r>
      <w:r>
        <w:rPr>
          <w:rFonts w:ascii="宋体" w:hAnsi="宋体"/>
          <w:b/>
          <w:color w:val="auto"/>
          <w:szCs w:val="21"/>
          <w:highlight w:val="none"/>
        </w:rPr>
        <w:t xml:space="preserve"> 商务</w:t>
      </w:r>
      <w:r>
        <w:rPr>
          <w:rFonts w:hint="eastAsia" w:ascii="宋体" w:hAnsi="宋体"/>
          <w:b/>
          <w:color w:val="auto"/>
          <w:szCs w:val="21"/>
          <w:highlight w:val="none"/>
        </w:rPr>
        <w:t>技术文件</w:t>
      </w:r>
    </w:p>
    <w:p w14:paraId="219AB864">
      <w:pPr>
        <w:spacing w:line="460" w:lineRule="exact"/>
        <w:ind w:firstLine="413" w:firstLineChars="196"/>
        <w:rPr>
          <w:rFonts w:ascii="宋体" w:hAnsi="宋体"/>
          <w:b/>
          <w:color w:val="auto"/>
          <w:szCs w:val="21"/>
          <w:highlight w:val="none"/>
        </w:rPr>
      </w:pPr>
      <w:r>
        <w:rPr>
          <w:rFonts w:hint="eastAsia" w:ascii="宋体" w:hAnsi="宋体"/>
          <w:b/>
          <w:color w:val="auto"/>
          <w:szCs w:val="21"/>
          <w:highlight w:val="none"/>
        </w:rPr>
        <w:t>9.3.1</w:t>
      </w:r>
      <w:r>
        <w:rPr>
          <w:rFonts w:ascii="宋体" w:hAnsi="宋体"/>
          <w:b/>
          <w:color w:val="auto"/>
          <w:szCs w:val="21"/>
          <w:highlight w:val="none"/>
        </w:rPr>
        <w:t>商务</w:t>
      </w:r>
      <w:r>
        <w:rPr>
          <w:rFonts w:hint="eastAsia" w:ascii="宋体" w:hAnsi="宋体"/>
          <w:b/>
          <w:color w:val="auto"/>
          <w:szCs w:val="21"/>
          <w:highlight w:val="none"/>
        </w:rPr>
        <w:t>文件应</w:t>
      </w:r>
      <w:r>
        <w:rPr>
          <w:rFonts w:ascii="宋体" w:hAnsi="宋体"/>
          <w:b/>
          <w:color w:val="auto"/>
          <w:szCs w:val="21"/>
          <w:highlight w:val="none"/>
        </w:rPr>
        <w:t>包括下列内容</w:t>
      </w:r>
      <w:r>
        <w:rPr>
          <w:rFonts w:hint="eastAsia" w:ascii="宋体" w:hAnsi="宋体"/>
          <w:b/>
          <w:color w:val="auto"/>
          <w:szCs w:val="21"/>
          <w:highlight w:val="none"/>
        </w:rPr>
        <w:t>：</w:t>
      </w:r>
    </w:p>
    <w:p w14:paraId="2EFEB1A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（1）诚信声明；</w:t>
      </w:r>
    </w:p>
    <w:p w14:paraId="43ED6C7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（2）法定代表人授权委托书和委托代理人身份证扫描件(授权委托代理时提供)；当法定代表人参加投标时，仅需提供法定代表人的身份证扫描件；</w:t>
      </w:r>
    </w:p>
    <w:p w14:paraId="246475C4">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（3）足额缴纳农民工工资的承诺书；</w:t>
      </w:r>
    </w:p>
    <w:p w14:paraId="2E805960">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（4）安全防护、文明施工措施方案的承诺书；</w:t>
      </w:r>
    </w:p>
    <w:p w14:paraId="5FEAF46D">
      <w:pPr>
        <w:spacing w:line="460" w:lineRule="exact"/>
        <w:ind w:firstLine="435"/>
        <w:rPr>
          <w:rFonts w:ascii="宋体" w:hAnsi="宋体" w:cs="宋体"/>
          <w:color w:val="auto"/>
          <w:szCs w:val="21"/>
          <w:highlight w:val="none"/>
        </w:rPr>
      </w:pPr>
      <w:r>
        <w:rPr>
          <w:rFonts w:hint="eastAsia" w:ascii="宋体" w:hAnsi="宋体" w:cs="宋体"/>
          <w:color w:val="auto"/>
          <w:szCs w:val="21"/>
          <w:highlight w:val="none"/>
        </w:rPr>
        <w:t>（5）中小企业声明函；</w:t>
      </w:r>
    </w:p>
    <w:p w14:paraId="77CE98F9">
      <w:pPr>
        <w:spacing w:line="460" w:lineRule="exact"/>
        <w:ind w:firstLine="435"/>
        <w:rPr>
          <w:rFonts w:ascii="宋体" w:hAnsi="宋体" w:cs="宋体"/>
          <w:color w:val="auto"/>
          <w:szCs w:val="21"/>
          <w:highlight w:val="none"/>
        </w:rPr>
      </w:pPr>
      <w:r>
        <w:rPr>
          <w:rFonts w:hint="eastAsia" w:ascii="宋体" w:hAnsi="宋体" w:cs="宋体"/>
          <w:color w:val="auto"/>
          <w:szCs w:val="21"/>
          <w:highlight w:val="none"/>
        </w:rPr>
        <w:t>（6）监狱企业证明；</w:t>
      </w:r>
    </w:p>
    <w:p w14:paraId="1DE9DDBF">
      <w:pPr>
        <w:pStyle w:val="23"/>
        <w:spacing w:line="460" w:lineRule="exact"/>
        <w:ind w:firstLine="420" w:firstLineChars="200"/>
        <w:rPr>
          <w:rFonts w:hAnsi="宋体" w:cs="宋体"/>
          <w:color w:val="auto"/>
          <w:szCs w:val="21"/>
          <w:highlight w:val="none"/>
        </w:rPr>
      </w:pPr>
      <w:r>
        <w:rPr>
          <w:rFonts w:hint="eastAsia" w:hAnsi="宋体" w:cs="宋体"/>
          <w:color w:val="auto"/>
          <w:szCs w:val="21"/>
          <w:highlight w:val="none"/>
        </w:rPr>
        <w:t>（7）残疾人福利性单位声明函；</w:t>
      </w:r>
    </w:p>
    <w:p w14:paraId="2FA2EEEF">
      <w:pPr>
        <w:pStyle w:val="23"/>
        <w:spacing w:line="460" w:lineRule="exact"/>
        <w:ind w:firstLine="420" w:firstLineChars="200"/>
        <w:rPr>
          <w:rFonts w:hAnsi="宋体"/>
          <w:color w:val="auto"/>
          <w:szCs w:val="21"/>
          <w:highlight w:val="none"/>
        </w:rPr>
      </w:pPr>
      <w:r>
        <w:rPr>
          <w:rFonts w:hint="eastAsia" w:hAnsi="宋体" w:cs="宋体"/>
          <w:color w:val="auto"/>
          <w:szCs w:val="21"/>
          <w:highlight w:val="none"/>
        </w:rPr>
        <w:t>（8）</w:t>
      </w:r>
      <w:r>
        <w:rPr>
          <w:rFonts w:hint="eastAsia" w:hAnsi="宋体"/>
          <w:color w:val="auto"/>
          <w:szCs w:val="21"/>
          <w:highlight w:val="none"/>
        </w:rPr>
        <w:t>供应商认为</w:t>
      </w:r>
      <w:r>
        <w:rPr>
          <w:rFonts w:hint="eastAsia" w:hAnsi="宋体" w:cs="宋体"/>
          <w:color w:val="auto"/>
          <w:szCs w:val="21"/>
          <w:highlight w:val="none"/>
        </w:rPr>
        <w:t>评标办法中需</w:t>
      </w:r>
      <w:r>
        <w:rPr>
          <w:rFonts w:hint="eastAsia" w:hAnsi="宋体"/>
          <w:color w:val="auto"/>
          <w:szCs w:val="21"/>
          <w:highlight w:val="none"/>
        </w:rPr>
        <w:t>提供的其他资料。</w:t>
      </w:r>
    </w:p>
    <w:p w14:paraId="22255829">
      <w:pPr>
        <w:pStyle w:val="23"/>
        <w:adjustRightInd w:val="0"/>
        <w:snapToGrid w:val="0"/>
        <w:spacing w:line="460" w:lineRule="exact"/>
        <w:ind w:firstLine="413" w:firstLineChars="196"/>
        <w:jc w:val="left"/>
        <w:rPr>
          <w:rFonts w:hAnsi="宋体"/>
          <w:b/>
          <w:color w:val="auto"/>
          <w:kern w:val="0"/>
          <w:szCs w:val="21"/>
          <w:highlight w:val="none"/>
        </w:rPr>
      </w:pPr>
      <w:r>
        <w:rPr>
          <w:rFonts w:hint="eastAsia" w:hAnsi="宋体"/>
          <w:b/>
          <w:snapToGrid w:val="0"/>
          <w:color w:val="auto"/>
          <w:kern w:val="0"/>
          <w:szCs w:val="21"/>
          <w:highlight w:val="none"/>
        </w:rPr>
        <w:t>注：</w:t>
      </w:r>
      <w:r>
        <w:rPr>
          <w:rFonts w:hint="eastAsia" w:hAnsi="宋体"/>
          <w:b/>
          <w:color w:val="auto"/>
          <w:kern w:val="0"/>
          <w:szCs w:val="21"/>
          <w:highlight w:val="none"/>
        </w:rPr>
        <w:t>以上（1）～（4）材料须提供，否则视为无效磋商响应文件。</w:t>
      </w:r>
    </w:p>
    <w:p w14:paraId="0C235A3D">
      <w:pPr>
        <w:spacing w:line="460" w:lineRule="exact"/>
        <w:ind w:firstLine="413" w:firstLineChars="196"/>
        <w:rPr>
          <w:rFonts w:ascii="宋体" w:hAnsi="宋体"/>
          <w:b/>
          <w:color w:val="auto"/>
          <w:szCs w:val="21"/>
          <w:highlight w:val="none"/>
        </w:rPr>
      </w:pPr>
      <w:r>
        <w:rPr>
          <w:rFonts w:hint="eastAsia" w:ascii="宋体" w:hAnsi="宋体"/>
          <w:b/>
          <w:color w:val="auto"/>
          <w:szCs w:val="21"/>
          <w:highlight w:val="none"/>
        </w:rPr>
        <w:t>9.3.2技术文件应</w:t>
      </w:r>
      <w:r>
        <w:rPr>
          <w:rFonts w:ascii="宋体" w:hAnsi="宋体"/>
          <w:b/>
          <w:color w:val="auto"/>
          <w:szCs w:val="21"/>
          <w:highlight w:val="none"/>
        </w:rPr>
        <w:t>包括下列内容</w:t>
      </w:r>
      <w:r>
        <w:rPr>
          <w:rFonts w:hint="eastAsia" w:ascii="宋体" w:hAnsi="宋体"/>
          <w:b/>
          <w:color w:val="auto"/>
          <w:szCs w:val="21"/>
          <w:highlight w:val="none"/>
        </w:rPr>
        <w:t>：</w:t>
      </w:r>
    </w:p>
    <w:p w14:paraId="6722983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（1）项目管理机构</w:t>
      </w:r>
      <w:r>
        <w:rPr>
          <w:rFonts w:hint="eastAsia" w:ascii="宋体" w:hAnsi="宋体" w:cs="Courier New"/>
          <w:color w:val="auto"/>
          <w:spacing w:val="2"/>
          <w:szCs w:val="21"/>
          <w:highlight w:val="none"/>
        </w:rPr>
        <w:t>；</w:t>
      </w:r>
    </w:p>
    <w:p w14:paraId="7BEAC83F">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①项目管理机构配备情况表；</w:t>
      </w:r>
    </w:p>
    <w:p w14:paraId="13CFF3DE">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②拟投入本工程项目经理的简历表；</w:t>
      </w:r>
    </w:p>
    <w:p w14:paraId="5393EFE5">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③项目管理机构配备情况辅助说明资料。</w:t>
      </w:r>
    </w:p>
    <w:p w14:paraId="1DFDB376">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（2）施工组织设计</w:t>
      </w:r>
      <w:r>
        <w:rPr>
          <w:rFonts w:hint="eastAsia" w:ascii="宋体" w:hAnsi="宋体" w:cs="Courier New"/>
          <w:color w:val="auto"/>
          <w:spacing w:val="2"/>
          <w:szCs w:val="21"/>
          <w:highlight w:val="none"/>
        </w:rPr>
        <w:t>；</w:t>
      </w:r>
    </w:p>
    <w:p w14:paraId="611E1F9F">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（3）供应商认为需要提供的有关资料。</w:t>
      </w:r>
    </w:p>
    <w:p w14:paraId="131DF06A">
      <w:pPr>
        <w:pStyle w:val="23"/>
        <w:adjustRightInd w:val="0"/>
        <w:snapToGrid w:val="0"/>
        <w:spacing w:line="460" w:lineRule="exact"/>
        <w:ind w:firstLine="413" w:firstLineChars="196"/>
        <w:jc w:val="left"/>
        <w:rPr>
          <w:rFonts w:hAnsi="宋体"/>
          <w:b/>
          <w:color w:val="auto"/>
          <w:kern w:val="0"/>
          <w:szCs w:val="21"/>
          <w:highlight w:val="none"/>
        </w:rPr>
      </w:pPr>
      <w:r>
        <w:rPr>
          <w:rFonts w:hint="eastAsia" w:hAnsi="宋体" w:cs="宋体"/>
          <w:b/>
          <w:color w:val="auto"/>
          <w:szCs w:val="21"/>
          <w:highlight w:val="none"/>
        </w:rPr>
        <w:t>注：以上（1）～（2）材料须提供</w:t>
      </w:r>
      <w:r>
        <w:rPr>
          <w:rFonts w:hint="eastAsia" w:hAnsi="宋体"/>
          <w:b/>
          <w:color w:val="auto"/>
          <w:kern w:val="0"/>
          <w:szCs w:val="21"/>
          <w:highlight w:val="none"/>
        </w:rPr>
        <w:t>，否则视为无效磋商响应文件。</w:t>
      </w:r>
    </w:p>
    <w:p w14:paraId="4F69218F">
      <w:pPr>
        <w:pStyle w:val="23"/>
        <w:adjustRightInd w:val="0"/>
        <w:snapToGrid w:val="0"/>
        <w:spacing w:line="460" w:lineRule="exact"/>
        <w:ind w:firstLine="413" w:firstLineChars="196"/>
        <w:jc w:val="left"/>
        <w:rPr>
          <w:rFonts w:hAnsi="宋体"/>
          <w:b/>
          <w:color w:val="auto"/>
          <w:kern w:val="0"/>
          <w:szCs w:val="21"/>
          <w:highlight w:val="none"/>
        </w:rPr>
      </w:pPr>
      <w:r>
        <w:rPr>
          <w:rFonts w:hint="eastAsia" w:hAnsi="宋体"/>
          <w:b/>
          <w:color w:val="auto"/>
          <w:kern w:val="0"/>
          <w:szCs w:val="21"/>
          <w:highlight w:val="none"/>
        </w:rPr>
        <w:t>9.4报价文件</w:t>
      </w:r>
    </w:p>
    <w:p w14:paraId="579E722F">
      <w:pPr>
        <w:pStyle w:val="23"/>
        <w:adjustRightInd w:val="0"/>
        <w:snapToGrid w:val="0"/>
        <w:spacing w:line="460" w:lineRule="exact"/>
        <w:ind w:firstLine="420" w:firstLineChars="200"/>
        <w:jc w:val="left"/>
        <w:rPr>
          <w:rFonts w:hAnsi="宋体"/>
          <w:b/>
          <w:color w:val="auto"/>
          <w:kern w:val="0"/>
          <w:szCs w:val="21"/>
          <w:highlight w:val="none"/>
        </w:rPr>
      </w:pPr>
      <w:r>
        <w:rPr>
          <w:rFonts w:hint="eastAsia" w:hAnsi="宋体"/>
          <w:color w:val="auto"/>
          <w:szCs w:val="21"/>
          <w:highlight w:val="none"/>
        </w:rPr>
        <w:t>（1）磋商函；</w:t>
      </w:r>
    </w:p>
    <w:p w14:paraId="6DFB3D39">
      <w:pPr>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（2）已标价的工程量清单（必须按照采购人提供的工程量清单填写）；</w:t>
      </w:r>
    </w:p>
    <w:p w14:paraId="0052E46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w:t>
      </w:r>
      <w:bookmarkStart w:id="56" w:name="_Hlk9585414"/>
      <w:r>
        <w:rPr>
          <w:rFonts w:hint="eastAsia" w:ascii="宋体" w:hAnsi="宋体"/>
          <w:color w:val="auto"/>
          <w:szCs w:val="21"/>
          <w:highlight w:val="none"/>
        </w:rPr>
        <w:t>供应商针对报价需要说明的其他文件和说明</w:t>
      </w:r>
      <w:bookmarkEnd w:id="56"/>
      <w:r>
        <w:rPr>
          <w:rFonts w:hint="eastAsia" w:ascii="宋体" w:hAnsi="宋体"/>
          <w:color w:val="auto"/>
          <w:szCs w:val="21"/>
          <w:highlight w:val="none"/>
        </w:rPr>
        <w:t>。</w:t>
      </w:r>
    </w:p>
    <w:p w14:paraId="523C96BC">
      <w:pPr>
        <w:pStyle w:val="23"/>
        <w:adjustRightInd w:val="0"/>
        <w:snapToGrid w:val="0"/>
        <w:spacing w:line="460" w:lineRule="exact"/>
        <w:ind w:firstLine="413" w:firstLineChars="196"/>
        <w:jc w:val="left"/>
        <w:rPr>
          <w:rFonts w:hAnsi="宋体" w:cs="宋体"/>
          <w:b/>
          <w:color w:val="auto"/>
          <w:szCs w:val="21"/>
          <w:highlight w:val="none"/>
        </w:rPr>
      </w:pPr>
      <w:r>
        <w:rPr>
          <w:rFonts w:hint="eastAsia" w:hAnsi="宋体" w:cs="宋体"/>
          <w:b/>
          <w:color w:val="auto"/>
          <w:szCs w:val="21"/>
          <w:highlight w:val="none"/>
        </w:rPr>
        <w:t>注：以上（1）～（2）材料须提供</w:t>
      </w:r>
      <w:r>
        <w:rPr>
          <w:rFonts w:hint="eastAsia" w:hAnsi="宋体"/>
          <w:b/>
          <w:color w:val="auto"/>
          <w:kern w:val="0"/>
          <w:szCs w:val="21"/>
          <w:highlight w:val="none"/>
        </w:rPr>
        <w:t>，否则视为无效磋商响应文件。</w:t>
      </w:r>
      <w:bookmarkEnd w:id="55"/>
    </w:p>
    <w:bookmarkEnd w:id="52"/>
    <w:p w14:paraId="453E2BF5">
      <w:pPr>
        <w:pStyle w:val="4"/>
        <w:spacing w:before="0" w:after="0" w:line="460" w:lineRule="exact"/>
        <w:rPr>
          <w:rFonts w:ascii="宋体" w:hAnsi="宋体" w:eastAsia="宋体"/>
          <w:color w:val="auto"/>
          <w:sz w:val="21"/>
          <w:szCs w:val="21"/>
          <w:highlight w:val="none"/>
        </w:rPr>
      </w:pPr>
      <w:bookmarkStart w:id="57" w:name="_Toc80818624"/>
      <w:bookmarkStart w:id="58" w:name="_Toc346264275"/>
      <w:bookmarkStart w:id="59" w:name="_Toc18682812"/>
      <w:bookmarkStart w:id="60" w:name="_Toc15725"/>
      <w:bookmarkStart w:id="61" w:name="_Toc239659102"/>
      <w:r>
        <w:rPr>
          <w:rFonts w:ascii="宋体" w:hAnsi="宋体" w:eastAsia="宋体"/>
          <w:color w:val="auto"/>
          <w:sz w:val="21"/>
          <w:szCs w:val="21"/>
          <w:highlight w:val="none"/>
        </w:rPr>
        <w:t>10.磋商有效期</w:t>
      </w:r>
      <w:bookmarkEnd w:id="57"/>
      <w:bookmarkEnd w:id="58"/>
      <w:bookmarkEnd w:id="59"/>
      <w:bookmarkEnd w:id="60"/>
      <w:bookmarkEnd w:id="61"/>
    </w:p>
    <w:p w14:paraId="7C72EA5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10.1 在</w:t>
      </w:r>
      <w:r>
        <w:rPr>
          <w:rFonts w:ascii="宋体" w:hAnsi="宋体"/>
          <w:color w:val="auto"/>
          <w:szCs w:val="21"/>
          <w:highlight w:val="none"/>
        </w:rPr>
        <w:t>前附表第</w:t>
      </w:r>
      <w:r>
        <w:rPr>
          <w:rFonts w:hint="eastAsia" w:ascii="宋体" w:hAnsi="宋体"/>
          <w:color w:val="auto"/>
          <w:szCs w:val="21"/>
          <w:highlight w:val="none"/>
        </w:rPr>
        <w:t>10</w:t>
      </w:r>
      <w:r>
        <w:rPr>
          <w:rFonts w:ascii="宋体" w:hAnsi="宋体"/>
          <w:color w:val="auto"/>
          <w:szCs w:val="21"/>
          <w:highlight w:val="none"/>
        </w:rPr>
        <w:t>项</w:t>
      </w:r>
      <w:r>
        <w:rPr>
          <w:rFonts w:hint="eastAsia" w:ascii="宋体" w:hAnsi="宋体"/>
          <w:color w:val="auto"/>
          <w:szCs w:val="21"/>
          <w:highlight w:val="none"/>
        </w:rPr>
        <w:t>规定的磋商有效期内，供应商不得要求撤销或修改其响应文件，有效期不足的响应文件将被拒绝。</w:t>
      </w:r>
    </w:p>
    <w:p w14:paraId="53C6EE83">
      <w:pPr>
        <w:spacing w:line="460" w:lineRule="exact"/>
        <w:ind w:firstLine="409" w:firstLineChars="195"/>
        <w:rPr>
          <w:rFonts w:ascii="宋体" w:hAnsi="宋体"/>
          <w:color w:val="auto"/>
          <w:szCs w:val="21"/>
          <w:highlight w:val="none"/>
        </w:rPr>
      </w:pPr>
      <w:r>
        <w:rPr>
          <w:rFonts w:hint="eastAsia" w:ascii="宋体" w:hAnsi="宋体"/>
          <w:color w:val="auto"/>
          <w:szCs w:val="21"/>
          <w:highlight w:val="none"/>
        </w:rPr>
        <w:t>10.2在原定磋商有效期满之前，如果出现特殊情况，</w:t>
      </w:r>
      <w:r>
        <w:rPr>
          <w:rFonts w:ascii="宋体" w:hAnsi="宋体"/>
          <w:color w:val="auto"/>
          <w:szCs w:val="21"/>
          <w:highlight w:val="none"/>
        </w:rPr>
        <w:t>经</w:t>
      </w:r>
      <w:r>
        <w:rPr>
          <w:rFonts w:hint="eastAsia" w:ascii="宋体" w:hAnsi="宋体"/>
          <w:color w:val="auto"/>
          <w:szCs w:val="21"/>
          <w:highlight w:val="none"/>
        </w:rPr>
        <w:t>政府采购监督管理部门</w:t>
      </w:r>
      <w:r>
        <w:rPr>
          <w:rFonts w:ascii="宋体" w:hAnsi="宋体"/>
          <w:color w:val="auto"/>
          <w:szCs w:val="21"/>
          <w:highlight w:val="none"/>
        </w:rPr>
        <w:t>核准，</w:t>
      </w:r>
      <w:r>
        <w:rPr>
          <w:rFonts w:hint="eastAsia" w:ascii="宋体" w:hAnsi="宋体"/>
          <w:color w:val="auto"/>
          <w:szCs w:val="21"/>
          <w:highlight w:val="none"/>
        </w:rPr>
        <w:t>采购人可以书面形式向供应商提出延长磋商有效期的要求，供应商须以书面形式予以答复。同意延长磋商有效期的供应商不允许修改其响应文件，在延长期内本须知第10条的规定仍然适用。</w:t>
      </w:r>
    </w:p>
    <w:p w14:paraId="78C329F0">
      <w:pPr>
        <w:pStyle w:val="4"/>
        <w:spacing w:before="0" w:after="0" w:line="460" w:lineRule="exact"/>
        <w:rPr>
          <w:rFonts w:ascii="宋体" w:hAnsi="宋体" w:eastAsia="宋体"/>
          <w:color w:val="auto"/>
          <w:sz w:val="21"/>
          <w:szCs w:val="21"/>
          <w:highlight w:val="none"/>
        </w:rPr>
      </w:pPr>
      <w:bookmarkStart w:id="62" w:name="_Toc16039"/>
      <w:bookmarkStart w:id="63" w:name="_Toc80818625"/>
      <w:bookmarkStart w:id="64" w:name="_Toc18682813"/>
      <w:bookmarkStart w:id="65" w:name="_Toc239659103"/>
      <w:bookmarkStart w:id="66" w:name="_Toc346264276"/>
      <w:r>
        <w:rPr>
          <w:rFonts w:ascii="宋体" w:hAnsi="宋体" w:eastAsia="宋体"/>
          <w:color w:val="auto"/>
          <w:sz w:val="21"/>
          <w:szCs w:val="21"/>
          <w:highlight w:val="none"/>
        </w:rPr>
        <w:t>11.</w:t>
      </w:r>
      <w:r>
        <w:rPr>
          <w:rFonts w:hint="eastAsia" w:ascii="宋体" w:hAnsi="宋体" w:eastAsia="宋体"/>
          <w:color w:val="auto"/>
          <w:sz w:val="21"/>
          <w:szCs w:val="21"/>
          <w:highlight w:val="none"/>
        </w:rPr>
        <w:t>磋商</w:t>
      </w:r>
      <w:r>
        <w:rPr>
          <w:rFonts w:ascii="宋体" w:hAnsi="宋体" w:eastAsia="宋体"/>
          <w:color w:val="auto"/>
          <w:sz w:val="21"/>
          <w:szCs w:val="21"/>
          <w:highlight w:val="none"/>
        </w:rPr>
        <w:t>保证金</w:t>
      </w:r>
      <w:bookmarkEnd w:id="62"/>
      <w:bookmarkEnd w:id="63"/>
      <w:bookmarkEnd w:id="64"/>
      <w:bookmarkEnd w:id="65"/>
      <w:bookmarkEnd w:id="66"/>
    </w:p>
    <w:p w14:paraId="64D3D7A5">
      <w:pPr>
        <w:spacing w:line="460" w:lineRule="exact"/>
        <w:rPr>
          <w:rFonts w:ascii="宋体" w:hAnsi="宋体"/>
          <w:color w:val="auto"/>
          <w:szCs w:val="21"/>
          <w:highlight w:val="none"/>
        </w:rPr>
      </w:pPr>
      <w:r>
        <w:rPr>
          <w:rFonts w:hint="eastAsia" w:ascii="宋体" w:hAnsi="宋体"/>
          <w:color w:val="auto"/>
          <w:szCs w:val="21"/>
          <w:highlight w:val="none"/>
        </w:rPr>
        <w:t xml:space="preserve">    本项目不收取磋商保证金</w:t>
      </w:r>
    </w:p>
    <w:p w14:paraId="79AE9D3B">
      <w:pPr>
        <w:tabs>
          <w:tab w:val="left" w:pos="458"/>
        </w:tabs>
        <w:spacing w:line="460" w:lineRule="exact"/>
        <w:rPr>
          <w:rFonts w:ascii="宋体" w:hAnsi="宋体"/>
          <w:b/>
          <w:color w:val="auto"/>
          <w:szCs w:val="21"/>
          <w:highlight w:val="none"/>
        </w:rPr>
      </w:pPr>
      <w:bookmarkStart w:id="67" w:name="_Toc239659104"/>
      <w:r>
        <w:rPr>
          <w:rFonts w:ascii="宋体" w:hAnsi="宋体"/>
          <w:b/>
          <w:color w:val="auto"/>
          <w:szCs w:val="21"/>
          <w:highlight w:val="none"/>
        </w:rPr>
        <w:t>12.磋商预备</w:t>
      </w:r>
      <w:bookmarkEnd w:id="67"/>
    </w:p>
    <w:p w14:paraId="5D68B56C">
      <w:pPr>
        <w:spacing w:line="460" w:lineRule="exact"/>
        <w:rPr>
          <w:rFonts w:ascii="宋体" w:hAnsi="宋体"/>
          <w:color w:val="auto"/>
          <w:szCs w:val="21"/>
          <w:highlight w:val="none"/>
        </w:rPr>
      </w:pPr>
      <w:r>
        <w:rPr>
          <w:rFonts w:ascii="宋体" w:hAnsi="宋体"/>
          <w:color w:val="auto"/>
          <w:szCs w:val="21"/>
          <w:highlight w:val="none"/>
        </w:rPr>
        <w:t xml:space="preserve">    12.1 勘察现场</w:t>
      </w:r>
    </w:p>
    <w:p w14:paraId="3ED62A79">
      <w:pPr>
        <w:spacing w:line="460" w:lineRule="exact"/>
        <w:ind w:firstLine="420" w:firstLineChars="200"/>
        <w:rPr>
          <w:rFonts w:ascii="宋体" w:hAnsi="宋体"/>
          <w:color w:val="auto"/>
          <w:szCs w:val="21"/>
          <w:highlight w:val="none"/>
        </w:rPr>
      </w:pPr>
      <w:r>
        <w:rPr>
          <w:rFonts w:ascii="宋体" w:hAnsi="宋体"/>
          <w:color w:val="auto"/>
          <w:szCs w:val="21"/>
          <w:highlight w:val="none"/>
        </w:rPr>
        <w:t>12.1.1</w:t>
      </w:r>
      <w:r>
        <w:rPr>
          <w:rFonts w:hint="eastAsia" w:ascii="宋体" w:hAnsi="宋体"/>
          <w:color w:val="auto"/>
          <w:szCs w:val="21"/>
          <w:highlight w:val="none"/>
        </w:rPr>
        <w:t>采购人不组织现场踏勘</w:t>
      </w:r>
    </w:p>
    <w:p w14:paraId="643FB188">
      <w:pPr>
        <w:spacing w:line="460" w:lineRule="exact"/>
        <w:ind w:firstLine="480"/>
        <w:rPr>
          <w:rFonts w:ascii="宋体" w:hAnsi="宋体"/>
          <w:color w:val="auto"/>
          <w:szCs w:val="21"/>
          <w:highlight w:val="none"/>
        </w:rPr>
      </w:pPr>
      <w:r>
        <w:rPr>
          <w:rFonts w:ascii="宋体" w:hAnsi="宋体"/>
          <w:color w:val="auto"/>
          <w:szCs w:val="21"/>
          <w:highlight w:val="none"/>
        </w:rPr>
        <w:t>12.2 磋商答疑</w:t>
      </w:r>
    </w:p>
    <w:p w14:paraId="1DB03614">
      <w:pPr>
        <w:spacing w:line="460" w:lineRule="exact"/>
        <w:ind w:firstLine="480"/>
        <w:rPr>
          <w:rFonts w:ascii="宋体" w:hAnsi="宋体"/>
          <w:color w:val="auto"/>
          <w:szCs w:val="21"/>
          <w:highlight w:val="none"/>
        </w:rPr>
      </w:pPr>
      <w:r>
        <w:rPr>
          <w:rFonts w:ascii="宋体" w:hAnsi="宋体"/>
          <w:color w:val="auto"/>
          <w:szCs w:val="21"/>
          <w:highlight w:val="none"/>
        </w:rPr>
        <w:t xml:space="preserve">12.2.1 </w:t>
      </w:r>
      <w:r>
        <w:rPr>
          <w:rFonts w:hint="eastAsia" w:ascii="宋体" w:hAnsi="宋体"/>
          <w:color w:val="auto"/>
          <w:szCs w:val="21"/>
          <w:highlight w:val="none"/>
        </w:rPr>
        <w:t>供应商</w:t>
      </w:r>
      <w:r>
        <w:rPr>
          <w:rFonts w:ascii="宋体" w:hAnsi="宋体"/>
          <w:color w:val="auto"/>
          <w:szCs w:val="21"/>
          <w:highlight w:val="none"/>
        </w:rPr>
        <w:t>提出的与磋商有关的任何问题须在磋商截止日期前，以书面形式送达采购人处。如果</w:t>
      </w:r>
      <w:r>
        <w:rPr>
          <w:rFonts w:hint="eastAsia" w:ascii="宋体" w:hAnsi="宋体"/>
          <w:color w:val="auto"/>
          <w:szCs w:val="21"/>
          <w:highlight w:val="none"/>
        </w:rPr>
        <w:t>供应商</w:t>
      </w:r>
      <w:r>
        <w:rPr>
          <w:rFonts w:ascii="宋体" w:hAnsi="宋体"/>
          <w:color w:val="auto"/>
          <w:szCs w:val="21"/>
          <w:highlight w:val="none"/>
        </w:rPr>
        <w:t>在规定的时间内提出的问题在</w:t>
      </w:r>
      <w:r>
        <w:rPr>
          <w:rFonts w:hint="eastAsia" w:ascii="宋体" w:hAnsi="宋体"/>
          <w:color w:val="auto"/>
          <w:szCs w:val="21"/>
          <w:highlight w:val="none"/>
        </w:rPr>
        <w:t>采购</w:t>
      </w:r>
      <w:r>
        <w:rPr>
          <w:rFonts w:ascii="宋体" w:hAnsi="宋体"/>
          <w:color w:val="auto"/>
          <w:szCs w:val="21"/>
          <w:highlight w:val="none"/>
        </w:rPr>
        <w:t>补遗文件中未得到书面解答的，应立即以书面形式报告</w:t>
      </w:r>
      <w:r>
        <w:rPr>
          <w:rFonts w:hint="eastAsia" w:ascii="宋体" w:hAnsi="宋体"/>
          <w:color w:val="auto"/>
          <w:szCs w:val="21"/>
          <w:highlight w:val="none"/>
        </w:rPr>
        <w:t>政府采购监督管理部门</w:t>
      </w:r>
      <w:r>
        <w:rPr>
          <w:rFonts w:ascii="宋体" w:hAnsi="宋体"/>
          <w:color w:val="auto"/>
          <w:szCs w:val="21"/>
          <w:highlight w:val="none"/>
        </w:rPr>
        <w:t>，否则将视为提出的问题不再需要答复。</w:t>
      </w:r>
    </w:p>
    <w:p w14:paraId="7FE6F3C9">
      <w:pPr>
        <w:spacing w:line="460" w:lineRule="exact"/>
        <w:ind w:firstLine="435"/>
        <w:rPr>
          <w:rFonts w:ascii="宋体" w:hAnsi="宋体"/>
          <w:color w:val="auto"/>
          <w:szCs w:val="21"/>
          <w:highlight w:val="none"/>
        </w:rPr>
      </w:pPr>
      <w:r>
        <w:rPr>
          <w:rFonts w:ascii="宋体" w:hAnsi="宋体"/>
          <w:color w:val="auto"/>
          <w:szCs w:val="21"/>
          <w:highlight w:val="none"/>
        </w:rPr>
        <w:t>12.2.</w:t>
      </w:r>
      <w:r>
        <w:rPr>
          <w:rFonts w:hint="eastAsia" w:ascii="宋体" w:hAnsi="宋体"/>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采购</w:t>
      </w:r>
      <w:r>
        <w:rPr>
          <w:rFonts w:ascii="宋体" w:hAnsi="宋体"/>
          <w:color w:val="auto"/>
          <w:szCs w:val="21"/>
          <w:highlight w:val="none"/>
        </w:rPr>
        <w:t>补遗文件包括所有问题和答复，补遗文件将迅速提供给所有获得磋商文件的</w:t>
      </w:r>
      <w:r>
        <w:rPr>
          <w:rFonts w:hint="eastAsia" w:ascii="宋体" w:hAnsi="宋体"/>
          <w:color w:val="auto"/>
          <w:szCs w:val="21"/>
          <w:highlight w:val="none"/>
        </w:rPr>
        <w:t>供应商</w:t>
      </w:r>
      <w:r>
        <w:rPr>
          <w:rFonts w:ascii="宋体" w:hAnsi="宋体"/>
          <w:color w:val="auto"/>
          <w:szCs w:val="21"/>
          <w:highlight w:val="none"/>
        </w:rPr>
        <w:t>。由于</w:t>
      </w:r>
      <w:r>
        <w:rPr>
          <w:rFonts w:hint="eastAsia" w:ascii="宋体" w:hAnsi="宋体"/>
          <w:color w:val="auto"/>
          <w:szCs w:val="21"/>
          <w:highlight w:val="none"/>
        </w:rPr>
        <w:t>供应商</w:t>
      </w:r>
      <w:r>
        <w:rPr>
          <w:rFonts w:ascii="宋体" w:hAnsi="宋体"/>
          <w:color w:val="auto"/>
          <w:szCs w:val="21"/>
          <w:highlight w:val="none"/>
        </w:rPr>
        <w:t>书面提出而产生的对本须知4.1款中所列磋商文件的修改，由采购人按照本须知第6条的规定，以补充通知的方式发出。</w:t>
      </w:r>
    </w:p>
    <w:p w14:paraId="0DCA4067">
      <w:pPr>
        <w:pStyle w:val="4"/>
        <w:spacing w:before="0" w:after="0" w:line="460" w:lineRule="exact"/>
        <w:rPr>
          <w:rFonts w:ascii="宋体" w:hAnsi="宋体" w:eastAsia="宋体"/>
          <w:color w:val="auto"/>
          <w:sz w:val="21"/>
          <w:szCs w:val="21"/>
          <w:highlight w:val="none"/>
        </w:rPr>
      </w:pPr>
      <w:bookmarkStart w:id="68" w:name="_Toc80818626"/>
      <w:bookmarkStart w:id="69" w:name="_Toc18682814"/>
      <w:bookmarkStart w:id="70" w:name="_Toc20461"/>
      <w:bookmarkStart w:id="71" w:name="_Toc346264277"/>
      <w:bookmarkStart w:id="72" w:name="_Toc239659105"/>
      <w:r>
        <w:rPr>
          <w:rFonts w:ascii="宋体" w:hAnsi="宋体" w:eastAsia="宋体"/>
          <w:color w:val="auto"/>
          <w:sz w:val="21"/>
          <w:szCs w:val="21"/>
          <w:highlight w:val="none"/>
        </w:rPr>
        <w:t>13.</w:t>
      </w:r>
      <w:r>
        <w:rPr>
          <w:rFonts w:hint="eastAsia" w:ascii="宋体" w:hAnsi="宋体" w:eastAsia="宋体"/>
          <w:color w:val="auto"/>
          <w:sz w:val="21"/>
          <w:szCs w:val="21"/>
          <w:highlight w:val="none"/>
        </w:rPr>
        <w:t>响应文件</w:t>
      </w:r>
      <w:r>
        <w:rPr>
          <w:rFonts w:ascii="宋体" w:hAnsi="宋体" w:eastAsia="宋体"/>
          <w:color w:val="auto"/>
          <w:sz w:val="21"/>
          <w:szCs w:val="21"/>
          <w:highlight w:val="none"/>
        </w:rPr>
        <w:t>的份数和签署</w:t>
      </w:r>
      <w:bookmarkEnd w:id="68"/>
      <w:bookmarkEnd w:id="69"/>
      <w:bookmarkEnd w:id="70"/>
      <w:bookmarkEnd w:id="71"/>
      <w:bookmarkEnd w:id="72"/>
    </w:p>
    <w:p w14:paraId="50468983">
      <w:pPr>
        <w:spacing w:line="460" w:lineRule="exact"/>
        <w:ind w:firstLine="457" w:firstLineChars="218"/>
        <w:rPr>
          <w:rFonts w:ascii="宋体" w:hAnsi="宋体"/>
          <w:color w:val="auto"/>
          <w:szCs w:val="21"/>
          <w:highlight w:val="none"/>
        </w:rPr>
      </w:pPr>
      <w:r>
        <w:rPr>
          <w:rFonts w:ascii="宋体" w:hAnsi="宋体"/>
          <w:color w:val="auto"/>
          <w:szCs w:val="21"/>
          <w:highlight w:val="none"/>
        </w:rPr>
        <w:t xml:space="preserve">13.1 </w:t>
      </w:r>
      <w:r>
        <w:rPr>
          <w:rFonts w:hint="eastAsia" w:ascii="宋体" w:hAnsi="宋体"/>
          <w:color w:val="auto"/>
          <w:szCs w:val="21"/>
          <w:highlight w:val="none"/>
        </w:rPr>
        <w:t>供应商</w:t>
      </w:r>
      <w:r>
        <w:rPr>
          <w:rFonts w:ascii="宋体" w:hAnsi="宋体"/>
          <w:color w:val="auto"/>
          <w:szCs w:val="21"/>
          <w:highlight w:val="none"/>
        </w:rPr>
        <w:t>按本须知“前附表第</w:t>
      </w:r>
      <w:r>
        <w:rPr>
          <w:rFonts w:hint="eastAsia" w:ascii="宋体" w:hAnsi="宋体"/>
          <w:color w:val="auto"/>
          <w:szCs w:val="21"/>
          <w:highlight w:val="none"/>
        </w:rPr>
        <w:t>16</w:t>
      </w:r>
      <w:r>
        <w:rPr>
          <w:rFonts w:ascii="宋体" w:hAnsi="宋体"/>
          <w:color w:val="auto"/>
          <w:szCs w:val="21"/>
          <w:highlight w:val="none"/>
        </w:rPr>
        <w:t>项”的规定，编制</w:t>
      </w:r>
      <w:r>
        <w:rPr>
          <w:rFonts w:hint="eastAsia" w:ascii="宋体" w:hAnsi="宋体"/>
          <w:snapToGrid w:val="0"/>
          <w:color w:val="auto"/>
          <w:szCs w:val="21"/>
          <w:highlight w:val="none"/>
        </w:rPr>
        <w:t>电子加密响应文件及电子备份响应文件</w:t>
      </w:r>
      <w:r>
        <w:rPr>
          <w:rFonts w:ascii="宋体" w:hAnsi="宋体"/>
          <w:color w:val="auto"/>
          <w:szCs w:val="21"/>
          <w:highlight w:val="none"/>
        </w:rPr>
        <w:t>。</w:t>
      </w:r>
    </w:p>
    <w:p w14:paraId="2D85937A">
      <w:pPr>
        <w:spacing w:line="460" w:lineRule="exact"/>
        <w:ind w:firstLine="409" w:firstLineChars="195"/>
        <w:rPr>
          <w:rFonts w:ascii="宋体" w:hAnsi="宋体"/>
          <w:color w:val="auto"/>
          <w:szCs w:val="21"/>
          <w:highlight w:val="none"/>
        </w:rPr>
      </w:pPr>
      <w:r>
        <w:rPr>
          <w:rFonts w:ascii="宋体" w:hAnsi="宋体"/>
          <w:color w:val="auto"/>
          <w:szCs w:val="21"/>
          <w:highlight w:val="none"/>
        </w:rPr>
        <w:t>13.2</w:t>
      </w:r>
      <w:r>
        <w:rPr>
          <w:rFonts w:hint="eastAsia" w:ascii="宋体" w:hAnsi="宋体"/>
          <w:color w:val="auto"/>
          <w:szCs w:val="21"/>
          <w:highlight w:val="none"/>
        </w:rPr>
        <w:t>供应商应按本磋商文件规定的格式和顺序编制响应文件并标注页码，响应文件内容不完整、编排混乱导致磋商文件被误读、漏读或者查找不到相关内容的，是供应商的责任。供应商的响应文件应按磋商文件提供格式的规定位置加盖供应商单位公章，法定代表人或授权委托代理人签署。</w:t>
      </w:r>
    </w:p>
    <w:p w14:paraId="51AB41BA">
      <w:pPr>
        <w:adjustRightInd w:val="0"/>
        <w:snapToGrid w:val="0"/>
        <w:spacing w:line="460" w:lineRule="exact"/>
        <w:ind w:firstLine="420"/>
        <w:jc w:val="left"/>
        <w:rPr>
          <w:rFonts w:ascii="宋体" w:hAnsi="宋体" w:cs="仿宋_GB2312"/>
          <w:b/>
          <w:color w:val="auto"/>
          <w:kern w:val="0"/>
          <w:szCs w:val="21"/>
          <w:highlight w:val="none"/>
          <w:lang w:val="zh-CN"/>
        </w:rPr>
      </w:pPr>
      <w:bookmarkStart w:id="73" w:name="_Hlk87631003"/>
      <w:r>
        <w:rPr>
          <w:rFonts w:hint="eastAsia" w:ascii="宋体" w:hAnsi="宋体"/>
          <w:b/>
          <w:snapToGrid w:val="0"/>
          <w:color w:val="auto"/>
          <w:szCs w:val="21"/>
          <w:highlight w:val="none"/>
        </w:rPr>
        <w:t>响应文件（包含电子备份响应文件），其中电子响应文件中所须加盖单位公章部分均采用 CA 签章。若磋商文件中有专门标注的某关联点，并要求供应商在电子投标系统中作出磋商响应的，如供应商未对关联点进行响应或者在响应文件其它内容进行描述，造成电子评审不能查询的责任</w:t>
      </w:r>
      <w:r>
        <w:rPr>
          <w:rFonts w:hint="eastAsia" w:ascii="宋体" w:hAnsi="宋体" w:cs="仿宋_GB2312"/>
          <w:b/>
          <w:color w:val="auto"/>
          <w:kern w:val="0"/>
          <w:szCs w:val="21"/>
          <w:highlight w:val="none"/>
          <w:lang w:val="zh-CN"/>
        </w:rPr>
        <w:t>由</w:t>
      </w:r>
      <w:r>
        <w:rPr>
          <w:rFonts w:hint="eastAsia" w:ascii="宋体" w:hAnsi="宋体"/>
          <w:b/>
          <w:snapToGrid w:val="0"/>
          <w:color w:val="auto"/>
          <w:szCs w:val="21"/>
          <w:highlight w:val="none"/>
        </w:rPr>
        <w:t>供应商</w:t>
      </w:r>
      <w:r>
        <w:rPr>
          <w:rFonts w:hint="eastAsia" w:ascii="宋体" w:hAnsi="宋体" w:cs="仿宋_GB2312"/>
          <w:b/>
          <w:color w:val="auto"/>
          <w:kern w:val="0"/>
          <w:szCs w:val="21"/>
          <w:highlight w:val="none"/>
          <w:lang w:val="zh-CN"/>
        </w:rPr>
        <w:t>自行承担。</w:t>
      </w:r>
    </w:p>
    <w:bookmarkEnd w:id="73"/>
    <w:p w14:paraId="787FFA9B">
      <w:pPr>
        <w:spacing w:line="460" w:lineRule="exact"/>
        <w:ind w:firstLine="409" w:firstLineChars="195"/>
        <w:rPr>
          <w:rFonts w:ascii="宋体" w:hAnsi="宋体" w:cs="仿宋_GB2312"/>
          <w:color w:val="auto"/>
          <w:kern w:val="0"/>
          <w:szCs w:val="21"/>
          <w:highlight w:val="none"/>
          <w:lang w:val="zh-CN"/>
        </w:rPr>
      </w:pPr>
      <w:r>
        <w:rPr>
          <w:rFonts w:ascii="宋体" w:hAnsi="宋体"/>
          <w:color w:val="auto"/>
          <w:szCs w:val="21"/>
          <w:highlight w:val="none"/>
        </w:rPr>
        <w:t>13.3</w:t>
      </w:r>
      <w:r>
        <w:rPr>
          <w:rFonts w:hint="eastAsia" w:ascii="宋体" w:hAnsi="宋体" w:cs="仿宋_GB2312"/>
          <w:color w:val="auto"/>
          <w:kern w:val="0"/>
          <w:szCs w:val="21"/>
          <w:highlight w:val="none"/>
          <w:lang w:val="zh-CN"/>
        </w:rPr>
        <w:t>响应文件不得涂改，若有修改错漏处，须加盖单位公章或者法定代表人或授权委托人签</w:t>
      </w:r>
      <w:r>
        <w:rPr>
          <w:rFonts w:hint="eastAsia" w:ascii="宋体" w:hAnsi="宋体"/>
          <w:color w:val="auto"/>
          <w:szCs w:val="21"/>
          <w:highlight w:val="none"/>
        </w:rPr>
        <w:t>署</w:t>
      </w:r>
      <w:r>
        <w:rPr>
          <w:rFonts w:hint="eastAsia" w:ascii="宋体" w:hAnsi="宋体" w:cs="仿宋_GB2312"/>
          <w:color w:val="auto"/>
          <w:kern w:val="0"/>
          <w:szCs w:val="21"/>
          <w:highlight w:val="none"/>
          <w:lang w:val="zh-CN"/>
        </w:rPr>
        <w:t>。响应文件因扫描不清晰或乱码或表达不清所引起的后果由</w:t>
      </w:r>
      <w:r>
        <w:rPr>
          <w:rFonts w:hint="eastAsia" w:ascii="宋体" w:hAnsi="宋体"/>
          <w:color w:val="auto"/>
          <w:szCs w:val="21"/>
          <w:highlight w:val="none"/>
        </w:rPr>
        <w:t>供应商</w:t>
      </w:r>
      <w:r>
        <w:rPr>
          <w:rFonts w:hint="eastAsia" w:ascii="宋体" w:hAnsi="宋体" w:cs="仿宋_GB2312"/>
          <w:color w:val="auto"/>
          <w:kern w:val="0"/>
          <w:szCs w:val="21"/>
          <w:highlight w:val="none"/>
          <w:lang w:val="zh-CN"/>
        </w:rPr>
        <w:t>负责。</w:t>
      </w:r>
    </w:p>
    <w:p w14:paraId="2E68565B">
      <w:pPr>
        <w:adjustRightInd w:val="0"/>
        <w:snapToGrid w:val="0"/>
        <w:spacing w:line="460" w:lineRule="exact"/>
        <w:ind w:firstLine="420"/>
        <w:jc w:val="left"/>
        <w:rPr>
          <w:rFonts w:ascii="宋体" w:hAnsi="宋体" w:cs="仿宋_GB2312"/>
          <w:color w:val="auto"/>
          <w:kern w:val="0"/>
          <w:szCs w:val="21"/>
          <w:highlight w:val="none"/>
          <w:lang w:val="zh-CN"/>
        </w:rPr>
      </w:pPr>
      <w:bookmarkStart w:id="74" w:name="_Hlk87631030"/>
      <w:r>
        <w:rPr>
          <w:rFonts w:hint="eastAsia" w:ascii="宋体" w:hAnsi="宋体" w:cs="仿宋_GB2312"/>
          <w:color w:val="auto"/>
          <w:kern w:val="0"/>
          <w:szCs w:val="21"/>
          <w:highlight w:val="none"/>
          <w:lang w:val="zh-CN"/>
        </w:rPr>
        <w:t>13.4</w:t>
      </w:r>
      <w:r>
        <w:rPr>
          <w:rFonts w:hint="eastAsia" w:ascii="宋体" w:hAnsi="宋体"/>
          <w:color w:val="auto"/>
          <w:szCs w:val="21"/>
          <w:highlight w:val="none"/>
        </w:rPr>
        <w:t>供应商</w:t>
      </w:r>
      <w:r>
        <w:rPr>
          <w:rFonts w:hint="eastAsia" w:ascii="宋体" w:hAnsi="宋体" w:cs="仿宋_GB2312"/>
          <w:color w:val="auto"/>
          <w:kern w:val="0"/>
          <w:szCs w:val="21"/>
          <w:highlight w:val="none"/>
          <w:lang w:val="zh-CN"/>
        </w:rPr>
        <w:t>应将电子备份响应文件装入到一个响应文件袋内加以密封（要求文件袋无明显缝隙露出袋内文件），电子备份响应文件袋在每一封贴处密封签章（公章、密封章、法定代表人（负责人）、委托代理人签字等均可）。电子备份响应文件袋外层包装封面上应标记“供应商名称、供应商地址、项目名称、项目编号、所投分标及磋商截止时间前不得启封”字样。逾期送达或者未按照磋商文件要求密封的电子备份响应文件将被拒</w:t>
      </w:r>
      <w:r>
        <w:rPr>
          <w:rFonts w:hint="eastAsia" w:ascii="宋体" w:hAnsi="宋体" w:cs="Arial"/>
          <w:color w:val="auto"/>
          <w:kern w:val="0"/>
          <w:szCs w:val="21"/>
          <w:highlight w:val="none"/>
        </w:rPr>
        <w:t>收</w:t>
      </w:r>
      <w:r>
        <w:rPr>
          <w:rFonts w:hint="eastAsia" w:ascii="宋体" w:hAnsi="宋体" w:cs="仿宋_GB2312"/>
          <w:color w:val="auto"/>
          <w:kern w:val="0"/>
          <w:szCs w:val="21"/>
          <w:highlight w:val="none"/>
          <w:lang w:val="zh-CN"/>
        </w:rPr>
        <w:t>，由此造成电子备份响应文件被误投或提前拆封的风险由</w:t>
      </w:r>
      <w:r>
        <w:rPr>
          <w:rFonts w:hint="eastAsia" w:ascii="宋体" w:hAnsi="宋体"/>
          <w:color w:val="auto"/>
          <w:szCs w:val="21"/>
          <w:highlight w:val="none"/>
        </w:rPr>
        <w:t>供应商</w:t>
      </w:r>
      <w:r>
        <w:rPr>
          <w:rFonts w:hint="eastAsia" w:ascii="宋体" w:hAnsi="宋体" w:cs="仿宋_GB2312"/>
          <w:color w:val="auto"/>
          <w:kern w:val="0"/>
          <w:szCs w:val="21"/>
          <w:highlight w:val="none"/>
          <w:lang w:val="zh-CN"/>
        </w:rPr>
        <w:t>承担。</w:t>
      </w:r>
    </w:p>
    <w:bookmarkEnd w:id="74"/>
    <w:p w14:paraId="74E5487C">
      <w:pPr>
        <w:pStyle w:val="4"/>
        <w:spacing w:before="0" w:after="0" w:line="460" w:lineRule="exact"/>
        <w:rPr>
          <w:rFonts w:ascii="宋体" w:hAnsi="宋体" w:eastAsia="宋体"/>
          <w:color w:val="auto"/>
          <w:sz w:val="21"/>
          <w:szCs w:val="21"/>
          <w:highlight w:val="none"/>
        </w:rPr>
      </w:pPr>
      <w:bookmarkStart w:id="75" w:name="_Toc346264278"/>
      <w:bookmarkStart w:id="76" w:name="_Toc236"/>
      <w:bookmarkStart w:id="77" w:name="_Toc239659106"/>
      <w:bookmarkStart w:id="78" w:name="_Toc18682815"/>
      <w:bookmarkStart w:id="79" w:name="_Toc80818627"/>
      <w:r>
        <w:rPr>
          <w:rFonts w:ascii="宋体" w:hAnsi="宋体" w:eastAsia="宋体"/>
          <w:color w:val="auto"/>
          <w:sz w:val="21"/>
          <w:szCs w:val="21"/>
          <w:highlight w:val="none"/>
        </w:rPr>
        <w:t>14.</w:t>
      </w:r>
      <w:r>
        <w:rPr>
          <w:rFonts w:hint="eastAsia" w:ascii="宋体" w:hAnsi="宋体" w:eastAsia="宋体"/>
          <w:color w:val="auto"/>
          <w:sz w:val="21"/>
          <w:szCs w:val="21"/>
          <w:highlight w:val="none"/>
        </w:rPr>
        <w:t>响应文件</w:t>
      </w:r>
      <w:r>
        <w:rPr>
          <w:rFonts w:ascii="宋体" w:hAnsi="宋体" w:eastAsia="宋体"/>
          <w:color w:val="auto"/>
          <w:sz w:val="21"/>
          <w:szCs w:val="21"/>
          <w:highlight w:val="none"/>
        </w:rPr>
        <w:t>提交截止时间</w:t>
      </w:r>
      <w:bookmarkEnd w:id="75"/>
      <w:bookmarkEnd w:id="76"/>
      <w:bookmarkEnd w:id="77"/>
      <w:bookmarkEnd w:id="78"/>
      <w:bookmarkEnd w:id="79"/>
    </w:p>
    <w:p w14:paraId="16930D44">
      <w:pPr>
        <w:spacing w:line="460" w:lineRule="exact"/>
        <w:rPr>
          <w:rFonts w:ascii="宋体" w:hAnsi="宋体"/>
          <w:color w:val="auto"/>
          <w:szCs w:val="21"/>
          <w:highlight w:val="none"/>
        </w:rPr>
      </w:pPr>
      <w:r>
        <w:rPr>
          <w:rFonts w:ascii="宋体" w:hAnsi="宋体"/>
          <w:color w:val="auto"/>
          <w:szCs w:val="21"/>
          <w:highlight w:val="none"/>
        </w:rPr>
        <w:t xml:space="preserve">    14.1 </w:t>
      </w:r>
      <w:r>
        <w:rPr>
          <w:rFonts w:hint="eastAsia" w:ascii="宋体" w:hAnsi="宋体"/>
          <w:color w:val="auto"/>
          <w:szCs w:val="21"/>
          <w:highlight w:val="none"/>
        </w:rPr>
        <w:t>响应文件</w:t>
      </w:r>
      <w:r>
        <w:rPr>
          <w:rFonts w:ascii="宋体" w:hAnsi="宋体"/>
          <w:color w:val="auto"/>
          <w:szCs w:val="21"/>
          <w:highlight w:val="none"/>
        </w:rPr>
        <w:t>提交截止时间：</w:t>
      </w:r>
      <w:r>
        <w:rPr>
          <w:rFonts w:hint="eastAsia" w:ascii="宋体" w:hAnsi="宋体"/>
          <w:color w:val="auto"/>
          <w:szCs w:val="21"/>
          <w:highlight w:val="none"/>
        </w:rPr>
        <w:t>按</w:t>
      </w:r>
      <w:r>
        <w:rPr>
          <w:rFonts w:ascii="宋体" w:hAnsi="宋体"/>
          <w:color w:val="auto"/>
          <w:szCs w:val="21"/>
          <w:highlight w:val="none"/>
        </w:rPr>
        <w:t>本须知“前附表第</w:t>
      </w:r>
      <w:r>
        <w:rPr>
          <w:rFonts w:hint="eastAsia" w:ascii="宋体" w:hAnsi="宋体"/>
          <w:color w:val="auto"/>
          <w:szCs w:val="21"/>
          <w:highlight w:val="none"/>
        </w:rPr>
        <w:t>18</w:t>
      </w:r>
      <w:r>
        <w:rPr>
          <w:rFonts w:ascii="宋体" w:hAnsi="宋体"/>
          <w:color w:val="auto"/>
          <w:szCs w:val="21"/>
          <w:highlight w:val="none"/>
        </w:rPr>
        <w:t>项”的规定。</w:t>
      </w:r>
    </w:p>
    <w:p w14:paraId="053F4E6B">
      <w:pPr>
        <w:spacing w:line="460" w:lineRule="exact"/>
        <w:ind w:firstLine="435"/>
        <w:rPr>
          <w:rFonts w:ascii="宋体" w:hAnsi="宋体"/>
          <w:color w:val="auto"/>
          <w:szCs w:val="21"/>
          <w:highlight w:val="none"/>
        </w:rPr>
      </w:pPr>
      <w:r>
        <w:rPr>
          <w:rFonts w:ascii="宋体" w:hAnsi="宋体"/>
          <w:color w:val="auto"/>
          <w:szCs w:val="21"/>
          <w:highlight w:val="none"/>
        </w:rPr>
        <w:t>14.2 采购人可按本须知第6条规定以补充通知的方式，酌情延长提交</w:t>
      </w:r>
      <w:r>
        <w:rPr>
          <w:rFonts w:hint="eastAsia" w:ascii="宋体" w:hAnsi="宋体"/>
          <w:color w:val="auto"/>
          <w:szCs w:val="21"/>
          <w:highlight w:val="none"/>
        </w:rPr>
        <w:t>响应文件</w:t>
      </w:r>
      <w:r>
        <w:rPr>
          <w:rFonts w:ascii="宋体" w:hAnsi="宋体"/>
          <w:color w:val="auto"/>
          <w:szCs w:val="21"/>
          <w:highlight w:val="none"/>
        </w:rPr>
        <w:t>的截止时间。在上述情况下，采购人与</w:t>
      </w:r>
      <w:r>
        <w:rPr>
          <w:rFonts w:hint="eastAsia" w:ascii="宋体" w:hAnsi="宋体"/>
          <w:color w:val="auto"/>
          <w:szCs w:val="21"/>
          <w:highlight w:val="none"/>
        </w:rPr>
        <w:t>供应商</w:t>
      </w:r>
      <w:r>
        <w:rPr>
          <w:rFonts w:ascii="宋体" w:hAnsi="宋体"/>
          <w:color w:val="auto"/>
          <w:szCs w:val="21"/>
          <w:highlight w:val="none"/>
        </w:rPr>
        <w:t>的全部权力、责任和义务，将适用于延长后新的</w:t>
      </w:r>
      <w:r>
        <w:rPr>
          <w:rFonts w:hint="eastAsia" w:ascii="宋体" w:hAnsi="宋体"/>
          <w:color w:val="auto"/>
          <w:szCs w:val="21"/>
          <w:highlight w:val="none"/>
        </w:rPr>
        <w:t>响应文件</w:t>
      </w:r>
      <w:r>
        <w:rPr>
          <w:rFonts w:ascii="宋体" w:hAnsi="宋体"/>
          <w:color w:val="auto"/>
          <w:szCs w:val="21"/>
          <w:highlight w:val="none"/>
        </w:rPr>
        <w:t>提交截止时间。</w:t>
      </w:r>
    </w:p>
    <w:p w14:paraId="74664887">
      <w:pPr>
        <w:pStyle w:val="4"/>
        <w:spacing w:before="0" w:after="0" w:line="460" w:lineRule="exact"/>
        <w:rPr>
          <w:rFonts w:ascii="宋体" w:hAnsi="宋体" w:eastAsia="宋体"/>
          <w:color w:val="auto"/>
          <w:sz w:val="21"/>
          <w:szCs w:val="21"/>
          <w:highlight w:val="none"/>
        </w:rPr>
      </w:pPr>
      <w:bookmarkStart w:id="80" w:name="_Toc5228"/>
      <w:bookmarkStart w:id="81" w:name="_Toc18682816"/>
      <w:bookmarkStart w:id="82" w:name="_Toc80818628"/>
      <w:bookmarkStart w:id="83" w:name="_Toc239659107"/>
      <w:bookmarkStart w:id="84" w:name="_Toc346264279"/>
      <w:r>
        <w:rPr>
          <w:rFonts w:ascii="宋体" w:hAnsi="宋体" w:eastAsia="宋体"/>
          <w:color w:val="auto"/>
          <w:sz w:val="21"/>
          <w:szCs w:val="21"/>
          <w:highlight w:val="none"/>
        </w:rPr>
        <w:t>15.</w:t>
      </w:r>
      <w:r>
        <w:rPr>
          <w:rFonts w:hint="eastAsia" w:ascii="宋体" w:hAnsi="宋体" w:eastAsia="宋体"/>
          <w:color w:val="auto"/>
          <w:sz w:val="21"/>
          <w:szCs w:val="21"/>
          <w:highlight w:val="none"/>
        </w:rPr>
        <w:t>响应文件</w:t>
      </w:r>
      <w:r>
        <w:rPr>
          <w:rFonts w:ascii="宋体" w:hAnsi="宋体" w:eastAsia="宋体"/>
          <w:color w:val="auto"/>
          <w:sz w:val="21"/>
          <w:szCs w:val="21"/>
          <w:highlight w:val="none"/>
        </w:rPr>
        <w:t>的提交</w:t>
      </w:r>
      <w:bookmarkEnd w:id="80"/>
      <w:bookmarkEnd w:id="81"/>
      <w:bookmarkEnd w:id="82"/>
      <w:bookmarkEnd w:id="83"/>
      <w:bookmarkEnd w:id="84"/>
    </w:p>
    <w:p w14:paraId="2DB7BD90">
      <w:pPr>
        <w:spacing w:line="460" w:lineRule="exact"/>
        <w:ind w:firstLine="420" w:firstLineChars="200"/>
        <w:rPr>
          <w:rFonts w:ascii="宋体" w:hAnsi="宋体" w:cs="Arial"/>
          <w:color w:val="auto"/>
          <w:kern w:val="0"/>
          <w:szCs w:val="21"/>
          <w:highlight w:val="none"/>
        </w:rPr>
      </w:pPr>
      <w:r>
        <w:rPr>
          <w:rFonts w:hint="eastAsia" w:ascii="宋体" w:hAnsi="宋体" w:cs="Arial"/>
          <w:color w:val="auto"/>
          <w:kern w:val="0"/>
          <w:szCs w:val="21"/>
          <w:highlight w:val="none"/>
        </w:rPr>
        <w:t>15.1供应商应当在响应文件提交截止时间前将生成的“电子加密投标文件”上传提交至</w:t>
      </w:r>
      <w:r>
        <w:rPr>
          <w:rFonts w:hint="eastAsia" w:ascii="宋体" w:hAnsi="宋体" w:cs="Arial"/>
          <w:color w:val="auto"/>
          <w:kern w:val="0"/>
          <w:szCs w:val="21"/>
          <w:highlight w:val="none"/>
          <w:lang w:eastAsia="zh-CN"/>
        </w:rPr>
        <w:t>广西政府采购云</w:t>
      </w:r>
      <w:r>
        <w:rPr>
          <w:rFonts w:hint="eastAsia" w:ascii="宋体" w:hAnsi="宋体" w:cs="Arial"/>
          <w:color w:val="auto"/>
          <w:kern w:val="0"/>
          <w:szCs w:val="21"/>
          <w:highlight w:val="none"/>
        </w:rPr>
        <w:t>平台。</w:t>
      </w:r>
      <w:r>
        <w:rPr>
          <w:rFonts w:ascii="宋体" w:hAnsi="宋体" w:cs="Arial"/>
          <w:color w:val="auto"/>
          <w:kern w:val="0"/>
          <w:szCs w:val="21"/>
          <w:highlight w:val="none"/>
        </w:rPr>
        <w:t>因未注册入库、未办理CA数字证书、CA证书故障、操作不当等原因造成无法</w:t>
      </w:r>
      <w:r>
        <w:rPr>
          <w:rFonts w:hint="eastAsia" w:ascii="宋体" w:hAnsi="宋体" w:cs="Arial"/>
          <w:color w:val="auto"/>
          <w:kern w:val="0"/>
          <w:szCs w:val="21"/>
          <w:highlight w:val="none"/>
        </w:rPr>
        <w:t>响应</w:t>
      </w:r>
      <w:r>
        <w:rPr>
          <w:rFonts w:ascii="宋体" w:hAnsi="宋体" w:cs="Arial"/>
          <w:color w:val="auto"/>
          <w:kern w:val="0"/>
          <w:szCs w:val="21"/>
          <w:highlight w:val="none"/>
        </w:rPr>
        <w:t>或</w:t>
      </w:r>
      <w:r>
        <w:rPr>
          <w:rFonts w:hint="eastAsia" w:ascii="宋体" w:hAnsi="宋体" w:cs="Arial"/>
          <w:color w:val="auto"/>
          <w:kern w:val="0"/>
          <w:szCs w:val="21"/>
          <w:highlight w:val="none"/>
        </w:rPr>
        <w:t>响应</w:t>
      </w:r>
      <w:r>
        <w:rPr>
          <w:rFonts w:ascii="宋体" w:hAnsi="宋体" w:cs="Arial"/>
          <w:color w:val="auto"/>
          <w:kern w:val="0"/>
          <w:szCs w:val="21"/>
          <w:highlight w:val="none"/>
        </w:rPr>
        <w:t>失败等后果由</w:t>
      </w:r>
      <w:r>
        <w:rPr>
          <w:rFonts w:hint="eastAsia" w:ascii="宋体" w:hAnsi="宋体" w:cs="Arial"/>
          <w:color w:val="auto"/>
          <w:kern w:val="0"/>
          <w:szCs w:val="21"/>
          <w:highlight w:val="none"/>
        </w:rPr>
        <w:t>供应商</w:t>
      </w:r>
      <w:r>
        <w:rPr>
          <w:rFonts w:ascii="宋体" w:hAnsi="宋体" w:cs="Arial"/>
          <w:color w:val="auto"/>
          <w:kern w:val="0"/>
          <w:szCs w:val="21"/>
          <w:highlight w:val="none"/>
        </w:rPr>
        <w:t>自行承担。</w:t>
      </w:r>
    </w:p>
    <w:p w14:paraId="5A68268F">
      <w:pPr>
        <w:pStyle w:val="4"/>
        <w:spacing w:before="0" w:after="0" w:line="460" w:lineRule="exact"/>
        <w:rPr>
          <w:rFonts w:ascii="宋体" w:hAnsi="宋体" w:eastAsia="宋体"/>
          <w:color w:val="auto"/>
          <w:sz w:val="21"/>
          <w:szCs w:val="21"/>
          <w:highlight w:val="none"/>
        </w:rPr>
      </w:pPr>
      <w:bookmarkStart w:id="85" w:name="_Toc346264280"/>
      <w:bookmarkStart w:id="86" w:name="_Toc80818629"/>
      <w:bookmarkStart w:id="87" w:name="_Toc18682817"/>
      <w:bookmarkStart w:id="88" w:name="_Toc10145"/>
      <w:bookmarkStart w:id="89" w:name="_Toc239659108"/>
      <w:r>
        <w:rPr>
          <w:rFonts w:ascii="宋体" w:hAnsi="宋体" w:eastAsia="宋体"/>
          <w:color w:val="auto"/>
          <w:sz w:val="21"/>
          <w:szCs w:val="21"/>
          <w:highlight w:val="none"/>
        </w:rPr>
        <w:t>16.</w:t>
      </w:r>
      <w:r>
        <w:rPr>
          <w:rFonts w:hint="eastAsia" w:ascii="宋体" w:hAnsi="宋体" w:eastAsia="宋体"/>
          <w:color w:val="auto"/>
          <w:sz w:val="21"/>
          <w:szCs w:val="21"/>
          <w:highlight w:val="none"/>
        </w:rPr>
        <w:t>响应文件</w:t>
      </w:r>
      <w:r>
        <w:rPr>
          <w:rFonts w:ascii="宋体" w:hAnsi="宋体" w:eastAsia="宋体"/>
          <w:color w:val="auto"/>
          <w:sz w:val="21"/>
          <w:szCs w:val="21"/>
          <w:highlight w:val="none"/>
        </w:rPr>
        <w:t>的修改与撤回</w:t>
      </w:r>
      <w:bookmarkEnd w:id="85"/>
      <w:bookmarkEnd w:id="86"/>
      <w:bookmarkEnd w:id="87"/>
      <w:bookmarkEnd w:id="88"/>
      <w:bookmarkEnd w:id="89"/>
    </w:p>
    <w:p w14:paraId="27B2A843">
      <w:pPr>
        <w:spacing w:line="460" w:lineRule="exact"/>
        <w:rPr>
          <w:rFonts w:ascii="宋体" w:hAnsi="宋体" w:cs="Arial"/>
          <w:color w:val="auto"/>
          <w:kern w:val="0"/>
          <w:szCs w:val="21"/>
          <w:highlight w:val="none"/>
        </w:rPr>
      </w:pPr>
      <w:r>
        <w:rPr>
          <w:rFonts w:ascii="宋体" w:hAnsi="宋体"/>
          <w:color w:val="auto"/>
          <w:szCs w:val="21"/>
          <w:highlight w:val="none"/>
        </w:rPr>
        <w:t xml:space="preserve">   </w:t>
      </w:r>
      <w:bookmarkStart w:id="90" w:name="_Toc239659109"/>
      <w:bookmarkStart w:id="91" w:name="_Toc346264281"/>
      <w:bookmarkStart w:id="92" w:name="_Toc18682818"/>
      <w:r>
        <w:rPr>
          <w:rFonts w:hint="eastAsia" w:ascii="宋体" w:hAnsi="宋体" w:cs="Arial"/>
          <w:color w:val="auto"/>
          <w:kern w:val="0"/>
          <w:szCs w:val="21"/>
          <w:highlight w:val="none"/>
        </w:rPr>
        <w:t>响应文件提交截止时间前可以补充、修改或者撤回电子响应文件。补充或者修改电子响应文件的，应当先行撤回原文件，补充、修改后重新传输提交，响应文件提交截止时间前未完成传输的，视为撤回响应文件。</w:t>
      </w:r>
    </w:p>
    <w:p w14:paraId="09E6DCAC">
      <w:pPr>
        <w:spacing w:line="460" w:lineRule="exact"/>
        <w:rPr>
          <w:rFonts w:ascii="宋体" w:hAnsi="宋体"/>
          <w:b/>
          <w:bCs/>
          <w:color w:val="auto"/>
          <w:szCs w:val="21"/>
          <w:highlight w:val="none"/>
        </w:rPr>
      </w:pPr>
      <w:r>
        <w:rPr>
          <w:rFonts w:ascii="宋体" w:hAnsi="宋体"/>
          <w:b/>
          <w:bCs/>
          <w:color w:val="auto"/>
          <w:szCs w:val="21"/>
          <w:highlight w:val="none"/>
        </w:rPr>
        <w:t>17.</w:t>
      </w:r>
      <w:bookmarkEnd w:id="90"/>
      <w:bookmarkEnd w:id="91"/>
      <w:bookmarkEnd w:id="92"/>
      <w:r>
        <w:rPr>
          <w:rFonts w:hint="eastAsia" w:ascii="宋体" w:hAnsi="宋体"/>
          <w:b/>
          <w:bCs/>
          <w:color w:val="auto"/>
          <w:szCs w:val="21"/>
          <w:highlight w:val="none"/>
        </w:rPr>
        <w:t xml:space="preserve"> 响应文件</w:t>
      </w:r>
      <w:r>
        <w:rPr>
          <w:rFonts w:ascii="宋体" w:hAnsi="宋体"/>
          <w:b/>
          <w:bCs/>
          <w:color w:val="auto"/>
          <w:szCs w:val="21"/>
          <w:highlight w:val="none"/>
        </w:rPr>
        <w:t>的</w:t>
      </w:r>
      <w:r>
        <w:rPr>
          <w:rFonts w:hint="eastAsia" w:ascii="宋体" w:hAnsi="宋体"/>
          <w:b/>
          <w:bCs/>
          <w:color w:val="auto"/>
          <w:szCs w:val="21"/>
          <w:highlight w:val="none"/>
        </w:rPr>
        <w:t>解密</w:t>
      </w:r>
    </w:p>
    <w:p w14:paraId="65BFF70D">
      <w:pPr>
        <w:adjustRightInd w:val="0"/>
        <w:snapToGrid w:val="0"/>
        <w:spacing w:line="46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17.1采购代理机构按磋商文件规定的时间、地点通过“</w:t>
      </w:r>
      <w:r>
        <w:rPr>
          <w:rFonts w:hint="eastAsia" w:ascii="宋体" w:hAnsi="宋体" w:cs="Courier New"/>
          <w:color w:val="auto"/>
          <w:szCs w:val="21"/>
          <w:highlight w:val="none"/>
          <w:lang w:eastAsia="zh-CN"/>
        </w:rPr>
        <w:t>广西政府采购云</w:t>
      </w:r>
      <w:r>
        <w:rPr>
          <w:rFonts w:hint="eastAsia" w:ascii="宋体" w:hAnsi="宋体" w:cs="Courier New"/>
          <w:color w:val="auto"/>
          <w:szCs w:val="21"/>
          <w:highlight w:val="none"/>
        </w:rPr>
        <w:t>平台”组织磋商、开启响应文件，所有供应商均应当准时在线参加。供应商如不参加磋商会的，视同认可磋商结果，事后不得对采购相关人员、磋商过程和磋商结果提出异议，同时供应商因未在线参加磋商而导致响应文件无法按时解密等一切后果由供应商自己承担。本项目磋商过程实行全程录音、录像监控。</w:t>
      </w:r>
    </w:p>
    <w:p w14:paraId="070EECEA">
      <w:pPr>
        <w:adjustRightInd w:val="0"/>
        <w:snapToGrid w:val="0"/>
        <w:spacing w:line="46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17.2采购代理机构工作人员向各供应商发出电子加密响应文件【开始解密】通知，由供应商按响应文件规定的时间内自行进行响应文件解密。供应商在规定的时间内无法完成已递交的“电子加密投标文件”解密的，如已按规定递交了电子备份响应文件的，将由采购组织机构按“政府采购云平台”操作规范将备份响应文件上传至“政府采购云平台”，上传成功后，“电子加密投标文件”自动失效。如未提供备份电子响应文件，将不进行再次解密程序。无法在线解密视为供应商放弃磋商。在线解密时间为 30 分钟。</w:t>
      </w:r>
    </w:p>
    <w:p w14:paraId="1102AAC1">
      <w:pPr>
        <w:adjustRightInd w:val="0"/>
        <w:snapToGrid w:val="0"/>
        <w:spacing w:line="46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17.3响应</w:t>
      </w:r>
      <w:r>
        <w:rPr>
          <w:rFonts w:ascii="宋体" w:hAnsi="宋体" w:cs="Courier New"/>
          <w:color w:val="auto"/>
          <w:szCs w:val="21"/>
          <w:highlight w:val="none"/>
        </w:rPr>
        <w:t>文件解密结束，</w:t>
      </w:r>
      <w:r>
        <w:rPr>
          <w:rFonts w:hint="eastAsia" w:ascii="宋体" w:hAnsi="宋体" w:cs="Courier New"/>
          <w:color w:val="auto"/>
          <w:szCs w:val="21"/>
          <w:highlight w:val="none"/>
        </w:rPr>
        <w:t>磋商活动组织人员在线开</w:t>
      </w:r>
      <w:r>
        <w:rPr>
          <w:rFonts w:ascii="宋体" w:hAnsi="宋体" w:cs="Courier New"/>
          <w:color w:val="auto"/>
          <w:szCs w:val="21"/>
          <w:highlight w:val="none"/>
        </w:rPr>
        <w:t>启</w:t>
      </w:r>
      <w:r>
        <w:rPr>
          <w:rFonts w:hint="eastAsia" w:ascii="宋体" w:hAnsi="宋体" w:cs="Courier New"/>
          <w:color w:val="auto"/>
          <w:szCs w:val="21"/>
          <w:highlight w:val="none"/>
        </w:rPr>
        <w:t>报价文件。供应商在线制作响应文件时填写的报价金额</w:t>
      </w:r>
      <w:r>
        <w:rPr>
          <w:rFonts w:ascii="宋体" w:hAnsi="宋体" w:cs="Courier New"/>
          <w:color w:val="auto"/>
          <w:szCs w:val="21"/>
          <w:highlight w:val="none"/>
        </w:rPr>
        <w:t>与解密后“电子加密投标文件”中《</w:t>
      </w:r>
      <w:r>
        <w:rPr>
          <w:rFonts w:hint="eastAsia" w:ascii="宋体" w:hAnsi="宋体" w:cs="Courier New"/>
          <w:color w:val="auto"/>
          <w:szCs w:val="21"/>
          <w:highlight w:val="none"/>
        </w:rPr>
        <w:t>磋商函</w:t>
      </w:r>
      <w:r>
        <w:rPr>
          <w:rFonts w:ascii="宋体" w:hAnsi="宋体" w:cs="Courier New"/>
          <w:color w:val="auto"/>
          <w:szCs w:val="21"/>
          <w:highlight w:val="none"/>
        </w:rPr>
        <w:t>》填写的金额不一致的，以解密后“电子加密投标文件”中《</w:t>
      </w:r>
      <w:r>
        <w:rPr>
          <w:rFonts w:hint="eastAsia" w:ascii="宋体" w:hAnsi="宋体" w:cs="Courier New"/>
          <w:color w:val="auto"/>
          <w:szCs w:val="21"/>
          <w:highlight w:val="none"/>
        </w:rPr>
        <w:t>磋商函</w:t>
      </w:r>
      <w:r>
        <w:rPr>
          <w:rFonts w:ascii="宋体" w:hAnsi="宋体" w:cs="Courier New"/>
          <w:color w:val="auto"/>
          <w:szCs w:val="21"/>
          <w:highlight w:val="none"/>
        </w:rPr>
        <w:t>》填写的金额为准，</w:t>
      </w:r>
      <w:r>
        <w:rPr>
          <w:rFonts w:hint="eastAsia" w:ascii="宋体" w:hAnsi="宋体" w:cs="Courier New"/>
          <w:color w:val="auto"/>
          <w:szCs w:val="21"/>
          <w:highlight w:val="none"/>
        </w:rPr>
        <w:t>供应商</w:t>
      </w:r>
      <w:r>
        <w:rPr>
          <w:rFonts w:ascii="宋体" w:hAnsi="宋体" w:cs="Courier New"/>
          <w:color w:val="auto"/>
          <w:szCs w:val="21"/>
          <w:highlight w:val="none"/>
        </w:rPr>
        <w:t>拒绝接受此调整的，按无效</w:t>
      </w:r>
      <w:r>
        <w:rPr>
          <w:rFonts w:hint="eastAsia" w:ascii="宋体" w:hAnsi="宋体" w:cs="Courier New"/>
          <w:color w:val="auto"/>
          <w:szCs w:val="21"/>
          <w:highlight w:val="none"/>
        </w:rPr>
        <w:t>响应</w:t>
      </w:r>
      <w:r>
        <w:rPr>
          <w:rFonts w:ascii="宋体" w:hAnsi="宋体" w:cs="Courier New"/>
          <w:color w:val="auto"/>
          <w:szCs w:val="21"/>
          <w:highlight w:val="none"/>
        </w:rPr>
        <w:t>处理。</w:t>
      </w:r>
    </w:p>
    <w:p w14:paraId="6723DEAF">
      <w:pPr>
        <w:adjustRightInd w:val="0"/>
        <w:snapToGrid w:val="0"/>
        <w:spacing w:line="460" w:lineRule="exact"/>
        <w:ind w:firstLine="422" w:firstLineChars="200"/>
        <w:rPr>
          <w:rFonts w:ascii="宋体" w:hAnsi="宋体" w:cs="Arial"/>
          <w:color w:val="auto"/>
          <w:kern w:val="0"/>
          <w:szCs w:val="21"/>
          <w:highlight w:val="none"/>
        </w:rPr>
      </w:pPr>
      <w:r>
        <w:rPr>
          <w:rFonts w:ascii="宋体" w:hAnsi="宋体" w:cs="Courier New"/>
          <w:b/>
          <w:bCs/>
          <w:color w:val="auto"/>
          <w:szCs w:val="21"/>
          <w:highlight w:val="none"/>
        </w:rPr>
        <w:t>特别说明：如遇“</w:t>
      </w:r>
      <w:r>
        <w:rPr>
          <w:rFonts w:hint="eastAsia" w:ascii="宋体" w:hAnsi="宋体" w:cs="Courier New"/>
          <w:b/>
          <w:bCs/>
          <w:color w:val="auto"/>
          <w:szCs w:val="21"/>
          <w:highlight w:val="none"/>
          <w:lang w:eastAsia="zh-CN"/>
        </w:rPr>
        <w:t>广西政府采购云</w:t>
      </w:r>
      <w:r>
        <w:rPr>
          <w:rFonts w:ascii="宋体" w:hAnsi="宋体" w:cs="Courier New"/>
          <w:b/>
          <w:bCs/>
          <w:color w:val="auto"/>
          <w:szCs w:val="21"/>
          <w:highlight w:val="none"/>
        </w:rPr>
        <w:t>平台”电子化开标或评审程序调整的，按调整后程序执行。</w:t>
      </w:r>
    </w:p>
    <w:p w14:paraId="05EBF507">
      <w:pPr>
        <w:widowControl/>
        <w:spacing w:line="460" w:lineRule="exact"/>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rPr>
        <w:t>17.4在响应文件提交截止时间止提交响应文件的供应商不足 3 家时，不得开标，应当由供应商法定代表人或者委托代理人签字领回电子备份响应文件（电子备份响应文件采用邮寄方式提交的，以到付的方式寄回至原地址），除此之外采购人和采购代理机构对已提交的响应文件概不退回。</w:t>
      </w:r>
    </w:p>
    <w:p w14:paraId="3A7ED4B5">
      <w:pPr>
        <w:pStyle w:val="4"/>
        <w:spacing w:before="0" w:after="0" w:line="460" w:lineRule="exact"/>
        <w:rPr>
          <w:rFonts w:ascii="宋体" w:hAnsi="宋体" w:eastAsia="宋体"/>
          <w:color w:val="auto"/>
          <w:sz w:val="21"/>
          <w:szCs w:val="21"/>
          <w:highlight w:val="none"/>
        </w:rPr>
      </w:pPr>
      <w:bookmarkStart w:id="93" w:name="_Toc239659110"/>
      <w:bookmarkStart w:id="94" w:name="_Toc346264282"/>
      <w:bookmarkStart w:id="95" w:name="_Toc18682819"/>
      <w:bookmarkStart w:id="96" w:name="_Toc80818630"/>
      <w:bookmarkStart w:id="97" w:name="_Toc341"/>
      <w:r>
        <w:rPr>
          <w:rFonts w:ascii="宋体" w:hAnsi="宋体" w:eastAsia="宋体"/>
          <w:color w:val="auto"/>
          <w:sz w:val="21"/>
          <w:szCs w:val="21"/>
          <w:highlight w:val="none"/>
        </w:rPr>
        <w:t>18.评标内容的保密</w:t>
      </w:r>
      <w:bookmarkEnd w:id="93"/>
      <w:bookmarkEnd w:id="94"/>
      <w:bookmarkEnd w:id="95"/>
      <w:bookmarkEnd w:id="96"/>
      <w:bookmarkEnd w:id="97"/>
    </w:p>
    <w:p w14:paraId="3A3CCE4E">
      <w:pPr>
        <w:spacing w:line="460" w:lineRule="exact"/>
        <w:rPr>
          <w:rFonts w:ascii="宋体" w:hAnsi="宋体"/>
          <w:color w:val="auto"/>
          <w:szCs w:val="21"/>
          <w:highlight w:val="none"/>
        </w:rPr>
      </w:pPr>
      <w:r>
        <w:rPr>
          <w:rFonts w:ascii="宋体" w:hAnsi="宋体"/>
          <w:color w:val="auto"/>
          <w:szCs w:val="21"/>
          <w:highlight w:val="none"/>
        </w:rPr>
        <w:t xml:space="preserve">    18.1</w:t>
      </w:r>
      <w:r>
        <w:rPr>
          <w:rFonts w:hint="eastAsia" w:ascii="宋体" w:hAnsi="宋体"/>
          <w:color w:val="auto"/>
          <w:szCs w:val="21"/>
          <w:highlight w:val="none"/>
        </w:rPr>
        <w:t>采购人、采购代理机构应当按照政府采购法和政府采购竞争性磋商采购方式管理暂行办法的规定组织开展竞争性磋商，并采取必要措施，保证磋商在严格保密的情况下进行。任何单位和个人不得非法干预、影响磋商过程和结果。</w:t>
      </w:r>
    </w:p>
    <w:p w14:paraId="79848A99">
      <w:pPr>
        <w:spacing w:line="460" w:lineRule="exact"/>
        <w:ind w:firstLine="435"/>
        <w:rPr>
          <w:rFonts w:ascii="宋体" w:hAnsi="宋体"/>
          <w:color w:val="auto"/>
          <w:szCs w:val="21"/>
          <w:highlight w:val="none"/>
        </w:rPr>
      </w:pPr>
      <w:r>
        <w:rPr>
          <w:rFonts w:ascii="宋体" w:hAnsi="宋体"/>
          <w:color w:val="auto"/>
          <w:szCs w:val="21"/>
          <w:highlight w:val="none"/>
        </w:rPr>
        <w:t>18.2 在</w:t>
      </w:r>
      <w:r>
        <w:rPr>
          <w:rFonts w:hint="eastAsia" w:ascii="宋体" w:hAnsi="宋体"/>
          <w:color w:val="auto"/>
          <w:szCs w:val="21"/>
          <w:highlight w:val="none"/>
        </w:rPr>
        <w:t>响应文件</w:t>
      </w:r>
      <w:r>
        <w:rPr>
          <w:rFonts w:ascii="宋体" w:hAnsi="宋体"/>
          <w:color w:val="auto"/>
          <w:szCs w:val="21"/>
          <w:highlight w:val="none"/>
        </w:rPr>
        <w:t>的审查、澄清、评价和比较以及授予合同的过程中，</w:t>
      </w:r>
      <w:r>
        <w:rPr>
          <w:rFonts w:hint="eastAsia" w:ascii="宋体" w:hAnsi="宋体"/>
          <w:color w:val="auto"/>
          <w:szCs w:val="21"/>
          <w:highlight w:val="none"/>
        </w:rPr>
        <w:t>供应商</w:t>
      </w:r>
      <w:r>
        <w:rPr>
          <w:rFonts w:ascii="宋体" w:hAnsi="宋体"/>
          <w:color w:val="auto"/>
          <w:szCs w:val="21"/>
          <w:highlight w:val="none"/>
        </w:rPr>
        <w:t>对采购人和</w:t>
      </w:r>
      <w:r>
        <w:rPr>
          <w:rFonts w:hint="eastAsia" w:ascii="宋体" w:hAnsi="宋体"/>
          <w:bCs/>
          <w:color w:val="auto"/>
          <w:szCs w:val="21"/>
          <w:highlight w:val="none"/>
        </w:rPr>
        <w:t>磋商小组</w:t>
      </w:r>
      <w:r>
        <w:rPr>
          <w:rFonts w:ascii="宋体" w:hAnsi="宋体"/>
          <w:color w:val="auto"/>
          <w:szCs w:val="21"/>
          <w:highlight w:val="none"/>
        </w:rPr>
        <w:t>施加影响的任何行为，都将导致取消其磋商资格。</w:t>
      </w:r>
    </w:p>
    <w:p w14:paraId="5CF46436">
      <w:pPr>
        <w:pStyle w:val="4"/>
        <w:spacing w:before="0" w:after="0" w:line="460" w:lineRule="exact"/>
        <w:rPr>
          <w:rFonts w:ascii="宋体" w:hAnsi="宋体" w:eastAsia="宋体"/>
          <w:color w:val="auto"/>
          <w:sz w:val="21"/>
          <w:szCs w:val="21"/>
          <w:highlight w:val="none"/>
        </w:rPr>
      </w:pPr>
      <w:bookmarkStart w:id="98" w:name="_Toc346264283"/>
      <w:bookmarkStart w:id="99" w:name="_Toc1264"/>
      <w:bookmarkStart w:id="100" w:name="_Toc80818631"/>
      <w:bookmarkStart w:id="101" w:name="_Toc18682820"/>
      <w:bookmarkStart w:id="102" w:name="_Toc239659111"/>
      <w:r>
        <w:rPr>
          <w:rFonts w:ascii="宋体" w:hAnsi="宋体" w:eastAsia="宋体"/>
          <w:color w:val="auto"/>
          <w:sz w:val="21"/>
          <w:szCs w:val="21"/>
          <w:highlight w:val="none"/>
        </w:rPr>
        <w:t>19.</w:t>
      </w:r>
      <w:r>
        <w:rPr>
          <w:rFonts w:hint="eastAsia" w:ascii="宋体" w:hAnsi="宋体" w:eastAsia="宋体"/>
          <w:color w:val="auto"/>
          <w:sz w:val="21"/>
          <w:szCs w:val="21"/>
          <w:highlight w:val="none"/>
        </w:rPr>
        <w:t>响应文件</w:t>
      </w:r>
      <w:r>
        <w:rPr>
          <w:rFonts w:ascii="宋体" w:hAnsi="宋体" w:eastAsia="宋体"/>
          <w:color w:val="auto"/>
          <w:sz w:val="21"/>
          <w:szCs w:val="21"/>
          <w:highlight w:val="none"/>
        </w:rPr>
        <w:t>计算错误的修正</w:t>
      </w:r>
      <w:bookmarkEnd w:id="98"/>
      <w:bookmarkEnd w:id="99"/>
      <w:bookmarkEnd w:id="100"/>
      <w:bookmarkEnd w:id="101"/>
      <w:bookmarkEnd w:id="102"/>
    </w:p>
    <w:p w14:paraId="639AFD26">
      <w:pPr>
        <w:spacing w:line="460" w:lineRule="exact"/>
        <w:ind w:left="-15" w:leftChars="-7" w:firstLine="388" w:firstLineChars="185"/>
        <w:rPr>
          <w:rFonts w:ascii="宋体" w:hAnsi="宋体"/>
          <w:color w:val="auto"/>
          <w:szCs w:val="21"/>
          <w:highlight w:val="none"/>
        </w:rPr>
      </w:pPr>
      <w:r>
        <w:rPr>
          <w:rFonts w:ascii="宋体" w:hAnsi="宋体"/>
          <w:color w:val="auto"/>
          <w:szCs w:val="21"/>
          <w:highlight w:val="none"/>
        </w:rPr>
        <w:t>19.1</w:t>
      </w:r>
      <w:r>
        <w:rPr>
          <w:rFonts w:hint="eastAsia" w:ascii="宋体" w:hAnsi="宋体"/>
          <w:color w:val="auto"/>
          <w:szCs w:val="21"/>
          <w:highlight w:val="none"/>
        </w:rPr>
        <w:t xml:space="preserve"> </w:t>
      </w:r>
      <w:r>
        <w:rPr>
          <w:rFonts w:hint="eastAsia" w:ascii="宋体" w:hAnsi="宋体"/>
          <w:bCs/>
          <w:color w:val="auto"/>
          <w:szCs w:val="21"/>
          <w:highlight w:val="none"/>
        </w:rPr>
        <w:t>磋商小组</w:t>
      </w:r>
      <w:r>
        <w:rPr>
          <w:rFonts w:ascii="宋体" w:hAnsi="宋体"/>
          <w:color w:val="auto"/>
          <w:szCs w:val="21"/>
          <w:highlight w:val="none"/>
        </w:rPr>
        <w:t>将对确定为实质上响应磋商文件要求的</w:t>
      </w:r>
      <w:r>
        <w:rPr>
          <w:rFonts w:hint="eastAsia" w:ascii="宋体" w:hAnsi="宋体"/>
          <w:color w:val="auto"/>
          <w:szCs w:val="21"/>
          <w:highlight w:val="none"/>
        </w:rPr>
        <w:t>响应文件</w:t>
      </w:r>
      <w:r>
        <w:rPr>
          <w:rFonts w:ascii="宋体" w:hAnsi="宋体"/>
          <w:color w:val="auto"/>
          <w:szCs w:val="21"/>
          <w:highlight w:val="none"/>
        </w:rPr>
        <w:t>进行校核，看其是否有计算或表达上的错误，修正错误的原则如下：</w:t>
      </w:r>
    </w:p>
    <w:p w14:paraId="5D45A86E">
      <w:pPr>
        <w:spacing w:line="460" w:lineRule="exact"/>
        <w:ind w:left="-15" w:leftChars="-7" w:firstLine="388" w:firstLineChars="185"/>
        <w:rPr>
          <w:rFonts w:ascii="宋体" w:hAnsi="宋体"/>
          <w:color w:val="auto"/>
          <w:szCs w:val="21"/>
          <w:highlight w:val="none"/>
        </w:rPr>
      </w:pPr>
      <w:r>
        <w:rPr>
          <w:rFonts w:ascii="宋体" w:hAnsi="宋体"/>
          <w:color w:val="auto"/>
          <w:szCs w:val="21"/>
          <w:highlight w:val="none"/>
        </w:rPr>
        <w:t>19.1.1</w:t>
      </w:r>
      <w:r>
        <w:rPr>
          <w:rFonts w:hint="eastAsia" w:ascii="宋体" w:hAnsi="宋体"/>
          <w:color w:val="auto"/>
          <w:szCs w:val="21"/>
          <w:highlight w:val="none"/>
        </w:rPr>
        <w:t xml:space="preserve"> </w:t>
      </w:r>
      <w:r>
        <w:rPr>
          <w:rFonts w:ascii="宋体" w:hAnsi="宋体"/>
          <w:color w:val="auto"/>
          <w:szCs w:val="21"/>
          <w:highlight w:val="none"/>
        </w:rPr>
        <w:t>如果数字表示的金额和用文字表示的金额不一致时，应以文字表示的金额为准；</w:t>
      </w:r>
    </w:p>
    <w:p w14:paraId="10906D6D">
      <w:pPr>
        <w:spacing w:line="460" w:lineRule="exact"/>
        <w:ind w:left="-15" w:leftChars="-7" w:firstLine="388" w:firstLineChars="185"/>
        <w:rPr>
          <w:rFonts w:ascii="宋体" w:hAnsi="宋体"/>
          <w:color w:val="auto"/>
          <w:szCs w:val="21"/>
          <w:highlight w:val="none"/>
        </w:rPr>
      </w:pPr>
      <w:r>
        <w:rPr>
          <w:rFonts w:ascii="宋体" w:hAnsi="宋体"/>
          <w:color w:val="auto"/>
          <w:szCs w:val="21"/>
          <w:highlight w:val="none"/>
        </w:rPr>
        <w:t>19.1.2</w:t>
      </w:r>
      <w:r>
        <w:rPr>
          <w:rFonts w:hint="eastAsia" w:ascii="宋体" w:hAnsi="宋体"/>
          <w:color w:val="auto"/>
          <w:szCs w:val="21"/>
          <w:highlight w:val="none"/>
        </w:rPr>
        <w:t xml:space="preserve"> </w:t>
      </w:r>
      <w:r>
        <w:rPr>
          <w:rFonts w:ascii="宋体" w:hAnsi="宋体"/>
          <w:color w:val="auto"/>
          <w:szCs w:val="21"/>
          <w:highlight w:val="none"/>
        </w:rPr>
        <w:t>当单价与数量的乘积与合价不一致时，以单价为准，除非</w:t>
      </w:r>
      <w:r>
        <w:rPr>
          <w:rFonts w:hint="eastAsia" w:ascii="宋体" w:hAnsi="宋体"/>
          <w:bCs/>
          <w:color w:val="auto"/>
          <w:szCs w:val="21"/>
          <w:highlight w:val="none"/>
        </w:rPr>
        <w:t>磋商</w:t>
      </w:r>
      <w:r>
        <w:rPr>
          <w:rFonts w:hint="eastAsia" w:ascii="宋体" w:hAnsi="宋体"/>
          <w:color w:val="auto"/>
          <w:szCs w:val="21"/>
          <w:highlight w:val="none"/>
        </w:rPr>
        <w:t>小组</w:t>
      </w:r>
      <w:r>
        <w:rPr>
          <w:rFonts w:ascii="宋体" w:hAnsi="宋体"/>
          <w:color w:val="auto"/>
          <w:szCs w:val="21"/>
          <w:highlight w:val="none"/>
        </w:rPr>
        <w:t>认为单价有明显的小数点错误，此时应以标出的合价为准，并修改单价</w:t>
      </w:r>
      <w:r>
        <w:rPr>
          <w:rFonts w:hint="eastAsia" w:ascii="宋体" w:hAnsi="宋体"/>
          <w:color w:val="auto"/>
          <w:szCs w:val="21"/>
          <w:highlight w:val="none"/>
        </w:rPr>
        <w:t>；</w:t>
      </w:r>
    </w:p>
    <w:p w14:paraId="4736F7AA">
      <w:pPr>
        <w:spacing w:line="460" w:lineRule="exact"/>
        <w:ind w:left="-15" w:leftChars="-7" w:firstLine="388" w:firstLineChars="185"/>
        <w:rPr>
          <w:rFonts w:ascii="宋体" w:hAnsi="宋体"/>
          <w:color w:val="auto"/>
          <w:szCs w:val="21"/>
          <w:highlight w:val="none"/>
        </w:rPr>
      </w:pPr>
      <w:r>
        <w:rPr>
          <w:rFonts w:hint="eastAsia" w:ascii="宋体" w:hAnsi="宋体"/>
          <w:color w:val="auto"/>
          <w:szCs w:val="21"/>
          <w:highlight w:val="none"/>
        </w:rPr>
        <w:t>19.1.3 当分项乘积累计得出的总额与标出的总额不一致时，以标出的分项乘积为准，并修改标出的总额；</w:t>
      </w:r>
    </w:p>
    <w:p w14:paraId="4BBC7F9E">
      <w:pPr>
        <w:spacing w:line="460" w:lineRule="exact"/>
        <w:ind w:left="-15" w:leftChars="-7" w:firstLine="388" w:firstLineChars="185"/>
        <w:rPr>
          <w:rFonts w:ascii="宋体" w:hAnsi="宋体"/>
          <w:color w:val="auto"/>
          <w:szCs w:val="21"/>
          <w:highlight w:val="none"/>
        </w:rPr>
      </w:pPr>
      <w:r>
        <w:rPr>
          <w:rFonts w:ascii="宋体" w:hAnsi="宋体"/>
          <w:color w:val="auto"/>
          <w:szCs w:val="21"/>
          <w:highlight w:val="none"/>
        </w:rPr>
        <w:t>19.2 按上述修正错误的原则及方法调整或修正</w:t>
      </w:r>
      <w:r>
        <w:rPr>
          <w:rFonts w:hint="eastAsia" w:ascii="宋体" w:hAnsi="宋体"/>
          <w:color w:val="auto"/>
          <w:szCs w:val="21"/>
          <w:highlight w:val="none"/>
        </w:rPr>
        <w:t>响应文件</w:t>
      </w:r>
      <w:r>
        <w:rPr>
          <w:rFonts w:ascii="宋体" w:hAnsi="宋体"/>
          <w:color w:val="auto"/>
          <w:szCs w:val="21"/>
          <w:highlight w:val="none"/>
        </w:rPr>
        <w:t>的磋商报价，</w:t>
      </w:r>
      <w:r>
        <w:rPr>
          <w:rFonts w:hint="eastAsia" w:ascii="宋体" w:hAnsi="宋体"/>
          <w:color w:val="auto"/>
          <w:szCs w:val="21"/>
          <w:highlight w:val="none"/>
        </w:rPr>
        <w:t>在供应商确认</w:t>
      </w:r>
      <w:r>
        <w:rPr>
          <w:rFonts w:ascii="宋体" w:hAnsi="宋体"/>
          <w:color w:val="auto"/>
          <w:szCs w:val="21"/>
          <w:highlight w:val="none"/>
        </w:rPr>
        <w:t>后，调整或修正后的磋商报价对</w:t>
      </w:r>
      <w:r>
        <w:rPr>
          <w:rFonts w:hint="eastAsia" w:ascii="宋体" w:hAnsi="宋体"/>
          <w:color w:val="auto"/>
          <w:szCs w:val="21"/>
          <w:highlight w:val="none"/>
        </w:rPr>
        <w:t>供应商</w:t>
      </w:r>
      <w:r>
        <w:rPr>
          <w:rFonts w:ascii="宋体" w:hAnsi="宋体"/>
          <w:color w:val="auto"/>
          <w:szCs w:val="21"/>
          <w:highlight w:val="none"/>
        </w:rPr>
        <w:t>起约束作用。</w:t>
      </w:r>
    </w:p>
    <w:p w14:paraId="127E9807">
      <w:pPr>
        <w:spacing w:line="460" w:lineRule="exact"/>
        <w:ind w:left="-15" w:leftChars="-7" w:firstLine="390" w:firstLineChars="185"/>
        <w:rPr>
          <w:rFonts w:ascii="宋体" w:hAnsi="宋体"/>
          <w:color w:val="auto"/>
          <w:szCs w:val="21"/>
          <w:highlight w:val="none"/>
        </w:rPr>
      </w:pPr>
      <w:r>
        <w:rPr>
          <w:rFonts w:hint="eastAsia" w:ascii="宋体" w:hAnsi="宋体"/>
          <w:b/>
          <w:color w:val="auto"/>
          <w:szCs w:val="21"/>
          <w:highlight w:val="none"/>
        </w:rPr>
        <w:t>按上述修正错误的原则及方法调整或修正响应文件的磋商报价，供应商须在线同意并签字确认，调整后的磋商报价对供应商具有约束作用。如果供应商不接受修正后的报价，则其响应文件将作为无效响应处理。</w:t>
      </w:r>
    </w:p>
    <w:p w14:paraId="407B2B04">
      <w:pPr>
        <w:pStyle w:val="4"/>
        <w:spacing w:before="0" w:after="0" w:line="460" w:lineRule="exact"/>
        <w:rPr>
          <w:rFonts w:ascii="宋体" w:hAnsi="宋体" w:eastAsia="宋体"/>
          <w:color w:val="auto"/>
          <w:sz w:val="21"/>
          <w:szCs w:val="21"/>
          <w:highlight w:val="none"/>
        </w:rPr>
      </w:pPr>
      <w:bookmarkStart w:id="103" w:name="_Toc80818632"/>
      <w:bookmarkStart w:id="104" w:name="_Toc346264284"/>
      <w:bookmarkStart w:id="105" w:name="_Toc18682821"/>
      <w:bookmarkStart w:id="106" w:name="_Toc239659112"/>
      <w:bookmarkStart w:id="107" w:name="_Toc10216"/>
      <w:r>
        <w:rPr>
          <w:rFonts w:ascii="宋体" w:hAnsi="宋体" w:eastAsia="宋体"/>
          <w:color w:val="auto"/>
          <w:sz w:val="21"/>
          <w:szCs w:val="21"/>
          <w:highlight w:val="none"/>
        </w:rPr>
        <w:t>20.</w:t>
      </w:r>
      <w:r>
        <w:rPr>
          <w:rFonts w:hint="eastAsia" w:ascii="宋体" w:hAnsi="宋体" w:eastAsia="宋体"/>
          <w:color w:val="auto"/>
          <w:sz w:val="21"/>
          <w:szCs w:val="21"/>
          <w:highlight w:val="none"/>
        </w:rPr>
        <w:t>供应商</w:t>
      </w:r>
      <w:r>
        <w:rPr>
          <w:rFonts w:ascii="宋体" w:hAnsi="宋体" w:eastAsia="宋体"/>
          <w:color w:val="auto"/>
          <w:sz w:val="21"/>
          <w:szCs w:val="21"/>
          <w:highlight w:val="none"/>
        </w:rPr>
        <w:t>资格审查</w:t>
      </w:r>
      <w:bookmarkEnd w:id="103"/>
      <w:bookmarkEnd w:id="104"/>
      <w:bookmarkEnd w:id="105"/>
      <w:bookmarkEnd w:id="106"/>
      <w:bookmarkEnd w:id="107"/>
    </w:p>
    <w:p w14:paraId="7A7842A9">
      <w:pPr>
        <w:spacing w:line="460" w:lineRule="exact"/>
        <w:ind w:firstLine="457" w:firstLineChars="218"/>
        <w:rPr>
          <w:rFonts w:ascii="宋体" w:hAnsi="宋体"/>
          <w:color w:val="auto"/>
          <w:szCs w:val="21"/>
          <w:highlight w:val="none"/>
        </w:rPr>
      </w:pPr>
      <w:r>
        <w:rPr>
          <w:rFonts w:hint="eastAsia" w:ascii="宋体" w:hAnsi="宋体"/>
          <w:color w:val="auto"/>
          <w:szCs w:val="21"/>
          <w:highlight w:val="none"/>
        </w:rPr>
        <w:t>资格后审，只有通过资格审查才能进入符合性审查。所要提供的材料见本须知9.2条内容，资格审查资料有任何一项缺项或不合格者其资格审查视为不通过。</w:t>
      </w:r>
    </w:p>
    <w:p w14:paraId="02F3B7DD">
      <w:pPr>
        <w:pStyle w:val="4"/>
        <w:spacing w:before="0" w:after="0" w:line="460" w:lineRule="exact"/>
        <w:rPr>
          <w:rFonts w:ascii="宋体" w:hAnsi="宋体" w:eastAsia="宋体"/>
          <w:color w:val="auto"/>
          <w:sz w:val="21"/>
          <w:szCs w:val="21"/>
          <w:highlight w:val="none"/>
        </w:rPr>
      </w:pPr>
      <w:bookmarkStart w:id="108" w:name="_Toc18682822"/>
      <w:bookmarkStart w:id="109" w:name="_Toc120331586"/>
      <w:bookmarkStart w:id="110" w:name="_Toc239659113"/>
      <w:bookmarkStart w:id="111" w:name="_Toc174353376"/>
      <w:bookmarkStart w:id="112" w:name="_Toc346264285"/>
      <w:bookmarkStart w:id="113" w:name="_Toc21970"/>
      <w:bookmarkStart w:id="114" w:name="_Toc80818633"/>
      <w:r>
        <w:rPr>
          <w:rFonts w:ascii="宋体" w:hAnsi="宋体" w:eastAsia="宋体"/>
          <w:color w:val="auto"/>
          <w:sz w:val="21"/>
          <w:szCs w:val="21"/>
          <w:highlight w:val="none"/>
        </w:rPr>
        <w:t>21.</w:t>
      </w:r>
      <w:r>
        <w:rPr>
          <w:rFonts w:hint="eastAsia" w:ascii="宋体" w:hAnsi="宋体" w:eastAsia="宋体"/>
          <w:color w:val="auto"/>
          <w:sz w:val="21"/>
          <w:szCs w:val="21"/>
          <w:highlight w:val="none"/>
        </w:rPr>
        <w:t>响应文件</w:t>
      </w:r>
      <w:r>
        <w:rPr>
          <w:rFonts w:ascii="宋体" w:hAnsi="宋体" w:eastAsia="宋体"/>
          <w:color w:val="auto"/>
          <w:sz w:val="21"/>
          <w:szCs w:val="21"/>
          <w:highlight w:val="none"/>
        </w:rPr>
        <w:t>的</w:t>
      </w:r>
      <w:bookmarkEnd w:id="108"/>
      <w:bookmarkEnd w:id="109"/>
      <w:bookmarkEnd w:id="110"/>
      <w:bookmarkEnd w:id="111"/>
      <w:bookmarkEnd w:id="112"/>
      <w:r>
        <w:rPr>
          <w:rFonts w:hint="eastAsia" w:ascii="宋体" w:hAnsi="宋体" w:eastAsia="宋体"/>
          <w:color w:val="auto"/>
          <w:sz w:val="21"/>
          <w:szCs w:val="21"/>
          <w:highlight w:val="none"/>
        </w:rPr>
        <w:t>符合性鉴定</w:t>
      </w:r>
      <w:bookmarkEnd w:id="113"/>
      <w:bookmarkEnd w:id="114"/>
    </w:p>
    <w:p w14:paraId="2930470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21.1 对响应文件进行符合性鉴定。响应文件应实质上响应磋商文件的要求，应与磋商文件所有条款、条件和规定，无明显差异或保留。磋商小组对实质上不响应磋商文件要求的磋商予以拒绝，但磋商小组认定属于供应商疏忽、笔误所造成的差错，应当允许其在磋商结束之前在</w:t>
      </w:r>
      <w:r>
        <w:rPr>
          <w:rFonts w:hint="eastAsia" w:ascii="宋体" w:hAnsi="宋体"/>
          <w:color w:val="auto"/>
          <w:szCs w:val="21"/>
          <w:highlight w:val="none"/>
          <w:lang w:eastAsia="zh-CN"/>
        </w:rPr>
        <w:t>广西政府采购云</w:t>
      </w:r>
      <w:r>
        <w:rPr>
          <w:rFonts w:hint="eastAsia" w:ascii="宋体" w:hAnsi="宋体"/>
          <w:color w:val="auto"/>
          <w:szCs w:val="21"/>
          <w:highlight w:val="none"/>
        </w:rPr>
        <w:t>系统上进行修改或者补正并加盖单位公章。在磋商小组会发出询标函规定的回复限期内不补正或经补正后仍不符合磋商文件要求的，应认定其响应无效。供应商修改、补正响应文件后，不影响磋商小组对其响应文件所作的评价和评分结果。</w:t>
      </w:r>
    </w:p>
    <w:p w14:paraId="5D7D1160">
      <w:pPr>
        <w:spacing w:line="460" w:lineRule="exact"/>
        <w:ind w:firstLine="411" w:firstLineChars="196"/>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2 供应商或其响应文件有</w:t>
      </w:r>
      <w:r>
        <w:rPr>
          <w:rFonts w:ascii="宋体" w:hAnsi="宋体"/>
          <w:color w:val="auto"/>
          <w:szCs w:val="21"/>
          <w:highlight w:val="none"/>
        </w:rPr>
        <w:t>下列情况之一者</w:t>
      </w:r>
      <w:r>
        <w:rPr>
          <w:rFonts w:hint="eastAsia" w:ascii="宋体" w:hAnsi="宋体"/>
          <w:color w:val="auto"/>
          <w:szCs w:val="21"/>
          <w:highlight w:val="none"/>
        </w:rPr>
        <w:t>，其响应文件</w:t>
      </w:r>
      <w:r>
        <w:rPr>
          <w:rFonts w:ascii="宋体" w:hAnsi="宋体"/>
          <w:color w:val="auto"/>
          <w:szCs w:val="21"/>
          <w:highlight w:val="none"/>
        </w:rPr>
        <w:t>将视为无效</w:t>
      </w:r>
      <w:r>
        <w:rPr>
          <w:rFonts w:hint="eastAsia" w:ascii="宋体" w:hAnsi="宋体"/>
          <w:color w:val="auto"/>
          <w:szCs w:val="21"/>
          <w:highlight w:val="none"/>
        </w:rPr>
        <w:t>响应处理</w:t>
      </w:r>
      <w:r>
        <w:rPr>
          <w:rFonts w:ascii="宋体" w:hAnsi="宋体"/>
          <w:color w:val="auto"/>
          <w:szCs w:val="21"/>
          <w:highlight w:val="none"/>
        </w:rPr>
        <w:t>：</w:t>
      </w:r>
    </w:p>
    <w:p w14:paraId="296ABB40">
      <w:pPr>
        <w:spacing w:line="460" w:lineRule="exact"/>
        <w:ind w:firstLine="411" w:firstLineChars="196"/>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rPr>
        <w:t>1 未按</w:t>
      </w:r>
      <w:r>
        <w:rPr>
          <w:rFonts w:ascii="宋体" w:hAnsi="宋体"/>
          <w:color w:val="auto"/>
          <w:szCs w:val="21"/>
          <w:highlight w:val="none"/>
        </w:rPr>
        <w:t>本须知第9条规定的</w:t>
      </w:r>
      <w:r>
        <w:rPr>
          <w:rFonts w:hint="eastAsia" w:ascii="宋体" w:hAnsi="宋体"/>
          <w:color w:val="auto"/>
          <w:szCs w:val="21"/>
          <w:highlight w:val="none"/>
        </w:rPr>
        <w:t>响应文件必须提供的</w:t>
      </w:r>
      <w:r>
        <w:rPr>
          <w:rFonts w:ascii="宋体" w:hAnsi="宋体"/>
          <w:color w:val="auto"/>
          <w:szCs w:val="21"/>
          <w:highlight w:val="none"/>
        </w:rPr>
        <w:t>内容</w:t>
      </w:r>
      <w:r>
        <w:rPr>
          <w:rFonts w:hint="eastAsia" w:ascii="宋体" w:hAnsi="宋体"/>
          <w:color w:val="auto"/>
          <w:szCs w:val="21"/>
          <w:highlight w:val="none"/>
        </w:rPr>
        <w:t>组成，或</w:t>
      </w:r>
      <w:r>
        <w:rPr>
          <w:rFonts w:ascii="宋体" w:hAnsi="宋体"/>
          <w:color w:val="auto"/>
          <w:szCs w:val="21"/>
          <w:highlight w:val="none"/>
        </w:rPr>
        <w:t>未按本须知第13</w:t>
      </w:r>
      <w:r>
        <w:rPr>
          <w:rFonts w:hint="eastAsia" w:ascii="宋体" w:hAnsi="宋体"/>
          <w:color w:val="auto"/>
          <w:szCs w:val="21"/>
          <w:highlight w:val="none"/>
        </w:rPr>
        <w:t>条</w:t>
      </w:r>
      <w:r>
        <w:rPr>
          <w:rFonts w:ascii="宋体" w:hAnsi="宋体"/>
          <w:color w:val="auto"/>
          <w:szCs w:val="21"/>
          <w:highlight w:val="none"/>
        </w:rPr>
        <w:t>规定加盖</w:t>
      </w:r>
      <w:r>
        <w:rPr>
          <w:rFonts w:hint="eastAsia" w:ascii="宋体" w:hAnsi="宋体"/>
          <w:color w:val="auto"/>
          <w:szCs w:val="21"/>
          <w:highlight w:val="none"/>
        </w:rPr>
        <w:t>供应商单位公</w:t>
      </w:r>
      <w:r>
        <w:rPr>
          <w:rFonts w:ascii="宋体" w:hAnsi="宋体"/>
          <w:color w:val="auto"/>
          <w:szCs w:val="21"/>
          <w:highlight w:val="none"/>
        </w:rPr>
        <w:t>章</w:t>
      </w:r>
      <w:r>
        <w:rPr>
          <w:rFonts w:hint="eastAsia" w:ascii="宋体" w:hAnsi="宋体"/>
          <w:color w:val="auto"/>
          <w:szCs w:val="21"/>
          <w:highlight w:val="none"/>
        </w:rPr>
        <w:t>、</w:t>
      </w:r>
      <w:r>
        <w:rPr>
          <w:rFonts w:ascii="宋体" w:hAnsi="宋体"/>
          <w:color w:val="auto"/>
          <w:szCs w:val="21"/>
          <w:highlight w:val="none"/>
        </w:rPr>
        <w:t>未经法定代表人或其委托代理人签字的</w:t>
      </w:r>
      <w:r>
        <w:rPr>
          <w:rFonts w:hint="eastAsia" w:ascii="宋体" w:hAnsi="宋体"/>
          <w:color w:val="auto"/>
          <w:szCs w:val="21"/>
          <w:highlight w:val="none"/>
        </w:rPr>
        <w:t>；</w:t>
      </w:r>
    </w:p>
    <w:p w14:paraId="575E148E">
      <w:pPr>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 xml:space="preserve">21.2.2 </w:t>
      </w:r>
      <w:r>
        <w:rPr>
          <w:rFonts w:ascii="宋体" w:hAnsi="宋体"/>
          <w:color w:val="auto"/>
          <w:szCs w:val="21"/>
          <w:highlight w:val="none"/>
        </w:rPr>
        <w:t>由</w:t>
      </w:r>
      <w:r>
        <w:rPr>
          <w:rFonts w:hint="eastAsia" w:ascii="宋体" w:hAnsi="宋体"/>
          <w:color w:val="auto"/>
          <w:szCs w:val="21"/>
          <w:highlight w:val="none"/>
        </w:rPr>
        <w:t>授权</w:t>
      </w:r>
      <w:r>
        <w:rPr>
          <w:rFonts w:ascii="宋体" w:hAnsi="宋体"/>
          <w:color w:val="auto"/>
          <w:szCs w:val="21"/>
          <w:highlight w:val="none"/>
        </w:rPr>
        <w:t>委托代理人签字，但未随</w:t>
      </w:r>
      <w:r>
        <w:rPr>
          <w:rFonts w:hint="eastAsia" w:ascii="宋体" w:hAnsi="宋体"/>
          <w:color w:val="auto"/>
          <w:szCs w:val="21"/>
          <w:highlight w:val="none"/>
        </w:rPr>
        <w:t>响应文件</w:t>
      </w:r>
      <w:r>
        <w:rPr>
          <w:rFonts w:ascii="宋体" w:hAnsi="宋体"/>
          <w:color w:val="auto"/>
          <w:szCs w:val="21"/>
          <w:highlight w:val="none"/>
        </w:rPr>
        <w:t>一起提交有效的“授权委托书”原件的</w:t>
      </w:r>
      <w:r>
        <w:rPr>
          <w:rFonts w:hint="eastAsia" w:ascii="宋体" w:hAnsi="宋体"/>
          <w:color w:val="auto"/>
          <w:szCs w:val="21"/>
          <w:highlight w:val="none"/>
        </w:rPr>
        <w:t>，或者出具的身份证明与授权委托书中的信息不符</w:t>
      </w:r>
      <w:r>
        <w:rPr>
          <w:rFonts w:ascii="宋体" w:hAnsi="宋体"/>
          <w:color w:val="auto"/>
          <w:szCs w:val="21"/>
          <w:highlight w:val="none"/>
        </w:rPr>
        <w:t>；</w:t>
      </w:r>
    </w:p>
    <w:p w14:paraId="63884D5F">
      <w:pPr>
        <w:spacing w:line="46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21.2.3响应文件的实质性内容未使用中文表述、使用计量单位不符合磋商文件要求；或未采用人民币报价或者未按照磋商文件标明的币种报价。</w:t>
      </w:r>
    </w:p>
    <w:p w14:paraId="3079E14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21.2.4供应商磋商报价高于本工程的采购上限控制价的；或者被磋商小组视为“低于成本”或者“明显不合理并有可能影响服务质量或不能诚信履约”的；</w:t>
      </w:r>
    </w:p>
    <w:p w14:paraId="66394B1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21.2.5供应商未按照采购人提供的工程量清单格式编制，或修改了工程清单中的细目号、细目名称、单位、数量的；</w:t>
      </w:r>
    </w:p>
    <w:p w14:paraId="4B3C5BA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21.2.6修正后的报价，供应商不确认的；</w:t>
      </w:r>
    </w:p>
    <w:p w14:paraId="43FAAB29">
      <w:pPr>
        <w:spacing w:line="460" w:lineRule="exact"/>
        <w:ind w:firstLine="436"/>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rPr>
        <w:t>7响应文件</w:t>
      </w:r>
      <w:r>
        <w:rPr>
          <w:rFonts w:ascii="宋体" w:hAnsi="宋体"/>
          <w:color w:val="auto"/>
          <w:szCs w:val="21"/>
          <w:highlight w:val="none"/>
        </w:rPr>
        <w:t>内容</w:t>
      </w:r>
      <w:r>
        <w:rPr>
          <w:rFonts w:hint="eastAsia" w:ascii="宋体" w:hAnsi="宋体"/>
          <w:color w:val="auto"/>
          <w:szCs w:val="21"/>
          <w:highlight w:val="none"/>
        </w:rPr>
        <w:t>虚假的，或</w:t>
      </w:r>
      <w:r>
        <w:rPr>
          <w:rFonts w:ascii="宋体" w:hAnsi="宋体"/>
          <w:color w:val="auto"/>
          <w:szCs w:val="21"/>
          <w:highlight w:val="none"/>
        </w:rPr>
        <w:t>关键内容字迹模糊、</w:t>
      </w:r>
      <w:r>
        <w:rPr>
          <w:rFonts w:hint="eastAsia" w:ascii="宋体" w:hAnsi="宋体"/>
          <w:color w:val="auto"/>
          <w:szCs w:val="21"/>
          <w:highlight w:val="none"/>
        </w:rPr>
        <w:t>辨认</w:t>
      </w:r>
      <w:r>
        <w:rPr>
          <w:rFonts w:ascii="宋体" w:hAnsi="宋体"/>
          <w:color w:val="auto"/>
          <w:szCs w:val="21"/>
          <w:highlight w:val="none"/>
        </w:rPr>
        <w:t>不清</w:t>
      </w:r>
      <w:r>
        <w:rPr>
          <w:rFonts w:hint="eastAsia" w:ascii="宋体" w:hAnsi="宋体"/>
          <w:color w:val="auto"/>
          <w:szCs w:val="21"/>
          <w:highlight w:val="none"/>
        </w:rPr>
        <w:t>的</w:t>
      </w:r>
      <w:r>
        <w:rPr>
          <w:rFonts w:ascii="宋体" w:hAnsi="宋体"/>
          <w:color w:val="auto"/>
          <w:szCs w:val="21"/>
          <w:highlight w:val="none"/>
        </w:rPr>
        <w:t>；</w:t>
      </w:r>
    </w:p>
    <w:p w14:paraId="27456D17">
      <w:pPr>
        <w:spacing w:line="460" w:lineRule="exact"/>
        <w:ind w:firstLine="420" w:firstLineChars="200"/>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rPr>
        <w:t>8</w:t>
      </w:r>
      <w:r>
        <w:rPr>
          <w:rFonts w:ascii="宋体" w:hAnsi="宋体"/>
          <w:color w:val="auto"/>
          <w:szCs w:val="21"/>
          <w:highlight w:val="none"/>
        </w:rPr>
        <w:t xml:space="preserve"> </w:t>
      </w:r>
      <w:r>
        <w:rPr>
          <w:rFonts w:hint="eastAsia" w:ascii="宋体" w:hAnsi="宋体"/>
          <w:color w:val="auto"/>
          <w:szCs w:val="21"/>
          <w:highlight w:val="none"/>
        </w:rPr>
        <w:t>响应文件</w:t>
      </w:r>
      <w:r>
        <w:rPr>
          <w:rFonts w:ascii="宋体" w:hAnsi="宋体"/>
          <w:color w:val="auto"/>
          <w:szCs w:val="21"/>
          <w:highlight w:val="none"/>
        </w:rPr>
        <w:t>实质上没有响应磋商文件的</w:t>
      </w:r>
      <w:r>
        <w:rPr>
          <w:rFonts w:hint="eastAsia" w:ascii="宋体" w:hAnsi="宋体"/>
          <w:color w:val="auto"/>
          <w:szCs w:val="21"/>
          <w:highlight w:val="none"/>
        </w:rPr>
        <w:t>其它</w:t>
      </w:r>
      <w:r>
        <w:rPr>
          <w:rFonts w:ascii="宋体" w:hAnsi="宋体"/>
          <w:color w:val="auto"/>
          <w:szCs w:val="21"/>
          <w:highlight w:val="none"/>
        </w:rPr>
        <w:t>要求</w:t>
      </w:r>
      <w:r>
        <w:rPr>
          <w:rFonts w:hint="eastAsia" w:ascii="宋体" w:hAnsi="宋体"/>
          <w:color w:val="auto"/>
          <w:szCs w:val="21"/>
          <w:highlight w:val="none"/>
        </w:rPr>
        <w:t>的</w:t>
      </w:r>
      <w:r>
        <w:rPr>
          <w:rFonts w:ascii="宋体" w:hAnsi="宋体"/>
          <w:color w:val="auto"/>
          <w:szCs w:val="21"/>
          <w:highlight w:val="none"/>
        </w:rPr>
        <w:t>；</w:t>
      </w:r>
    </w:p>
    <w:p w14:paraId="7E8EC57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21.2.9供应商采用总价优惠、总价百分比优惠或以报价调整函的方式进行磋商报价的；</w:t>
      </w:r>
    </w:p>
    <w:p w14:paraId="4922284F">
      <w:pPr>
        <w:spacing w:line="460" w:lineRule="exact"/>
        <w:ind w:firstLine="420"/>
        <w:rPr>
          <w:rFonts w:ascii="宋体" w:hAnsi="宋体"/>
          <w:color w:val="auto"/>
          <w:szCs w:val="21"/>
          <w:highlight w:val="none"/>
        </w:rPr>
      </w:pPr>
      <w:r>
        <w:rPr>
          <w:rFonts w:hint="eastAsia" w:ascii="宋体" w:hAnsi="宋体"/>
          <w:color w:val="auto"/>
          <w:szCs w:val="21"/>
          <w:highlight w:val="none"/>
        </w:rPr>
        <w:t>21.2.10供应商不具备独立法人资格或作为独立法人资格但就本工程提交一个以上的响应文件的；</w:t>
      </w:r>
    </w:p>
    <w:p w14:paraId="5C861AB6">
      <w:pPr>
        <w:adjustRightInd w:val="0"/>
        <w:snapToGrid w:val="0"/>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21.2.11有下列情形之一的视为供应商相互串通磋商，响应文件将被视为无效:</w:t>
      </w:r>
    </w:p>
    <w:p w14:paraId="51DF0D4F">
      <w:pPr>
        <w:adjustRightInd w:val="0"/>
        <w:snapToGrid w:val="0"/>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（1）不同供应商的响应文件由同一单位或者个人编制；或不同供应商编制文件的IP地址一致的；</w:t>
      </w:r>
    </w:p>
    <w:p w14:paraId="1C8FA8D7">
      <w:pPr>
        <w:adjustRightInd w:val="0"/>
        <w:snapToGrid w:val="0"/>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（2）不同供应商委托同一单位或者个人办理磋商事宜；</w:t>
      </w:r>
    </w:p>
    <w:p w14:paraId="62713BA6">
      <w:pPr>
        <w:adjustRightInd w:val="0"/>
        <w:snapToGrid w:val="0"/>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（3）不同供应商的响应文件载明的项目管理成员或者联系人员为同一人；</w:t>
      </w:r>
    </w:p>
    <w:p w14:paraId="7505D7A8">
      <w:pPr>
        <w:adjustRightInd w:val="0"/>
        <w:snapToGrid w:val="0"/>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（4）不同供应商的响应文件异常一致或磋商报价呈规律性差异；</w:t>
      </w:r>
    </w:p>
    <w:p w14:paraId="06654ECB">
      <w:pPr>
        <w:adjustRightInd w:val="0"/>
        <w:snapToGrid w:val="0"/>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（5）不同供应商的响应文件资料相互混装；</w:t>
      </w:r>
    </w:p>
    <w:p w14:paraId="7895B390">
      <w:pPr>
        <w:adjustRightInd w:val="0"/>
        <w:snapToGrid w:val="0"/>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（6）不同供应商的磋商保证金从同一个单位或者个人账户转出。</w:t>
      </w:r>
    </w:p>
    <w:p w14:paraId="315BBF43">
      <w:pPr>
        <w:adjustRightInd w:val="0"/>
        <w:snapToGrid w:val="0"/>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21.2.12单位负责人为同一人或者存在直接控股、管理关系的不同供应商，参加同一合同项下的政府采购活动；</w:t>
      </w:r>
    </w:p>
    <w:p w14:paraId="70FA8015">
      <w:pPr>
        <w:adjustRightInd w:val="0"/>
        <w:snapToGrid w:val="0"/>
        <w:spacing w:line="460" w:lineRule="exact"/>
        <w:ind w:firstLine="413" w:firstLineChars="196"/>
        <w:rPr>
          <w:rFonts w:ascii="宋体" w:hAnsi="宋体"/>
          <w:b/>
          <w:color w:val="auto"/>
          <w:szCs w:val="21"/>
          <w:highlight w:val="none"/>
        </w:rPr>
      </w:pPr>
      <w:r>
        <w:rPr>
          <w:rFonts w:hint="eastAsia" w:ascii="宋体" w:hAnsi="宋体"/>
          <w:b/>
          <w:color w:val="auto"/>
          <w:szCs w:val="21"/>
          <w:highlight w:val="none"/>
        </w:rPr>
        <w:t>21.2.13其他响应无效的情形：</w:t>
      </w:r>
    </w:p>
    <w:p w14:paraId="00BA2231">
      <w:pPr>
        <w:adjustRightInd w:val="0"/>
        <w:snapToGrid w:val="0"/>
        <w:spacing w:line="460" w:lineRule="exact"/>
        <w:ind w:firstLine="413" w:firstLineChars="196"/>
        <w:rPr>
          <w:rFonts w:ascii="宋体" w:hAnsi="宋体"/>
          <w:b/>
          <w:color w:val="auto"/>
          <w:szCs w:val="21"/>
          <w:highlight w:val="none"/>
        </w:rPr>
      </w:pPr>
      <w:r>
        <w:rPr>
          <w:rFonts w:hint="eastAsia" w:ascii="宋体" w:hAnsi="宋体"/>
          <w:b/>
          <w:color w:val="auto"/>
          <w:szCs w:val="21"/>
          <w:highlight w:val="none"/>
        </w:rPr>
        <w:t>（1）响应</w:t>
      </w:r>
      <w:r>
        <w:rPr>
          <w:rFonts w:ascii="宋体" w:hAnsi="宋体"/>
          <w:b/>
          <w:color w:val="auto"/>
          <w:szCs w:val="21"/>
          <w:highlight w:val="none"/>
        </w:rPr>
        <w:t>文件未按</w:t>
      </w:r>
      <w:r>
        <w:rPr>
          <w:rFonts w:hint="eastAsia" w:ascii="宋体" w:hAnsi="宋体"/>
          <w:b/>
          <w:color w:val="auto"/>
          <w:szCs w:val="21"/>
          <w:highlight w:val="none"/>
        </w:rPr>
        <w:t>磋商</w:t>
      </w:r>
      <w:r>
        <w:rPr>
          <w:rFonts w:ascii="宋体" w:hAnsi="宋体"/>
          <w:b/>
          <w:color w:val="auto"/>
          <w:szCs w:val="21"/>
          <w:highlight w:val="none"/>
        </w:rPr>
        <w:t>文件要求签署</w:t>
      </w:r>
      <w:r>
        <w:rPr>
          <w:rFonts w:hint="eastAsia" w:ascii="宋体" w:hAnsi="宋体"/>
          <w:b/>
          <w:color w:val="auto"/>
          <w:szCs w:val="21"/>
          <w:highlight w:val="none"/>
        </w:rPr>
        <w:t>或</w:t>
      </w:r>
      <w:r>
        <w:rPr>
          <w:rFonts w:ascii="宋体" w:hAnsi="宋体"/>
          <w:b/>
          <w:color w:val="auto"/>
          <w:szCs w:val="21"/>
          <w:highlight w:val="none"/>
        </w:rPr>
        <w:t>CA电子签章的；</w:t>
      </w:r>
    </w:p>
    <w:p w14:paraId="18147A17">
      <w:pPr>
        <w:adjustRightInd w:val="0"/>
        <w:snapToGrid w:val="0"/>
        <w:spacing w:line="460" w:lineRule="exact"/>
        <w:ind w:firstLine="413" w:firstLineChars="196"/>
        <w:rPr>
          <w:rFonts w:ascii="宋体" w:hAnsi="宋体"/>
          <w:b/>
          <w:color w:val="auto"/>
          <w:szCs w:val="21"/>
          <w:highlight w:val="none"/>
        </w:rPr>
      </w:pPr>
      <w:r>
        <w:rPr>
          <w:rFonts w:hint="eastAsia" w:ascii="宋体" w:hAnsi="宋体"/>
          <w:b/>
          <w:color w:val="auto"/>
          <w:szCs w:val="21"/>
          <w:highlight w:val="none"/>
        </w:rPr>
        <w:t>（2）供应商</w:t>
      </w:r>
      <w:r>
        <w:rPr>
          <w:rFonts w:ascii="宋体" w:hAnsi="宋体"/>
          <w:b/>
          <w:color w:val="auto"/>
          <w:szCs w:val="21"/>
          <w:highlight w:val="none"/>
        </w:rPr>
        <w:t>提交两份或两份以上内容不同的</w:t>
      </w:r>
      <w:r>
        <w:rPr>
          <w:rFonts w:hint="eastAsia" w:ascii="宋体" w:hAnsi="宋体"/>
          <w:b/>
          <w:color w:val="auto"/>
          <w:szCs w:val="21"/>
          <w:highlight w:val="none"/>
        </w:rPr>
        <w:t>响应</w:t>
      </w:r>
      <w:r>
        <w:rPr>
          <w:rFonts w:ascii="宋体" w:hAnsi="宋体"/>
          <w:b/>
          <w:color w:val="auto"/>
          <w:szCs w:val="21"/>
          <w:highlight w:val="none"/>
        </w:rPr>
        <w:t>文件；</w:t>
      </w:r>
    </w:p>
    <w:p w14:paraId="097A74F1">
      <w:pPr>
        <w:adjustRightInd w:val="0"/>
        <w:snapToGrid w:val="0"/>
        <w:spacing w:line="460" w:lineRule="exact"/>
        <w:ind w:firstLine="413" w:firstLineChars="196"/>
        <w:rPr>
          <w:rFonts w:ascii="宋体" w:hAnsi="宋体"/>
          <w:b/>
          <w:color w:val="auto"/>
          <w:szCs w:val="21"/>
          <w:highlight w:val="none"/>
        </w:rPr>
      </w:pPr>
      <w:r>
        <w:rPr>
          <w:rFonts w:hint="eastAsia" w:ascii="宋体" w:hAnsi="宋体"/>
          <w:b/>
          <w:color w:val="auto"/>
          <w:szCs w:val="21"/>
          <w:highlight w:val="none"/>
        </w:rPr>
        <w:t>（3）供应商</w:t>
      </w:r>
      <w:r>
        <w:rPr>
          <w:rFonts w:ascii="宋体" w:hAnsi="宋体"/>
          <w:b/>
          <w:color w:val="auto"/>
          <w:szCs w:val="21"/>
          <w:highlight w:val="none"/>
        </w:rPr>
        <w:t>在线制作</w:t>
      </w:r>
      <w:r>
        <w:rPr>
          <w:rFonts w:hint="eastAsia" w:ascii="宋体" w:hAnsi="宋体"/>
          <w:b/>
          <w:color w:val="auto"/>
          <w:szCs w:val="21"/>
          <w:highlight w:val="none"/>
        </w:rPr>
        <w:t>响应</w:t>
      </w:r>
      <w:r>
        <w:rPr>
          <w:rFonts w:ascii="宋体" w:hAnsi="宋体"/>
          <w:b/>
          <w:color w:val="auto"/>
          <w:szCs w:val="21"/>
          <w:highlight w:val="none"/>
        </w:rPr>
        <w:t>文件时</w:t>
      </w:r>
      <w:r>
        <w:rPr>
          <w:rFonts w:hint="eastAsia" w:ascii="宋体" w:hAnsi="宋体"/>
          <w:b/>
          <w:color w:val="auto"/>
          <w:szCs w:val="21"/>
          <w:highlight w:val="none"/>
        </w:rPr>
        <w:t>填写的报价金额</w:t>
      </w:r>
      <w:r>
        <w:rPr>
          <w:rFonts w:ascii="宋体" w:hAnsi="宋体"/>
          <w:b/>
          <w:color w:val="auto"/>
          <w:szCs w:val="21"/>
          <w:highlight w:val="none"/>
        </w:rPr>
        <w:t>与解密后“电子加密投标文件”中《</w:t>
      </w:r>
      <w:r>
        <w:rPr>
          <w:rFonts w:hint="eastAsia" w:ascii="宋体" w:hAnsi="宋体"/>
          <w:b/>
          <w:color w:val="auto"/>
          <w:szCs w:val="21"/>
          <w:highlight w:val="none"/>
        </w:rPr>
        <w:t>磋商函</w:t>
      </w:r>
      <w:r>
        <w:rPr>
          <w:rFonts w:ascii="宋体" w:hAnsi="宋体"/>
          <w:b/>
          <w:color w:val="auto"/>
          <w:szCs w:val="21"/>
          <w:highlight w:val="none"/>
        </w:rPr>
        <w:t>》填写的金额不一致并拒绝按</w:t>
      </w:r>
      <w:r>
        <w:rPr>
          <w:rFonts w:hint="eastAsia" w:ascii="宋体" w:hAnsi="宋体"/>
          <w:b/>
          <w:color w:val="auto"/>
          <w:szCs w:val="21"/>
          <w:highlight w:val="none"/>
        </w:rPr>
        <w:t>磋商</w:t>
      </w:r>
      <w:r>
        <w:rPr>
          <w:rFonts w:ascii="宋体" w:hAnsi="宋体"/>
          <w:b/>
          <w:color w:val="auto"/>
          <w:szCs w:val="21"/>
          <w:highlight w:val="none"/>
        </w:rPr>
        <w:t>文件要求接受调整的；</w:t>
      </w:r>
    </w:p>
    <w:p w14:paraId="0E4332F8">
      <w:pPr>
        <w:adjustRightInd w:val="0"/>
        <w:snapToGrid w:val="0"/>
        <w:spacing w:line="460" w:lineRule="exact"/>
        <w:ind w:firstLine="413" w:firstLineChars="196"/>
        <w:rPr>
          <w:rFonts w:ascii="宋体" w:hAnsi="宋体"/>
          <w:b/>
          <w:color w:val="auto"/>
          <w:szCs w:val="21"/>
          <w:highlight w:val="none"/>
        </w:rPr>
      </w:pPr>
      <w:r>
        <w:rPr>
          <w:rFonts w:hint="eastAsia" w:ascii="宋体" w:hAnsi="宋体"/>
          <w:b/>
          <w:color w:val="auto"/>
          <w:szCs w:val="21"/>
          <w:highlight w:val="none"/>
        </w:rPr>
        <w:t>（4）</w:t>
      </w:r>
      <w:r>
        <w:rPr>
          <w:rFonts w:ascii="宋体" w:hAnsi="宋体"/>
          <w:b/>
          <w:color w:val="auto"/>
          <w:szCs w:val="21"/>
          <w:highlight w:val="none"/>
        </w:rPr>
        <w:t>法律、法规和</w:t>
      </w:r>
      <w:r>
        <w:rPr>
          <w:rFonts w:hint="eastAsia" w:ascii="宋体" w:hAnsi="宋体"/>
          <w:b/>
          <w:color w:val="auto"/>
          <w:szCs w:val="21"/>
          <w:highlight w:val="none"/>
        </w:rPr>
        <w:t>磋商</w:t>
      </w:r>
      <w:r>
        <w:rPr>
          <w:rFonts w:ascii="宋体" w:hAnsi="宋体"/>
          <w:b/>
          <w:color w:val="auto"/>
          <w:szCs w:val="21"/>
          <w:highlight w:val="none"/>
        </w:rPr>
        <w:t>文件规定的其他无效情形（或出现重大偏差）。</w:t>
      </w:r>
    </w:p>
    <w:p w14:paraId="73587D16">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21.3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BF66124">
      <w:pPr>
        <w:spacing w:line="460" w:lineRule="exact"/>
        <w:ind w:firstLine="420" w:firstLineChars="200"/>
        <w:rPr>
          <w:rFonts w:ascii="宋体" w:hAnsi="宋体"/>
          <w:color w:val="auto"/>
          <w:szCs w:val="21"/>
          <w:highlight w:val="none"/>
        </w:rPr>
      </w:pPr>
      <w:r>
        <w:rPr>
          <w:rFonts w:hint="eastAsia" w:ascii="宋体" w:hAnsi="宋体" w:cs="宋体"/>
          <w:color w:val="auto"/>
          <w:szCs w:val="21"/>
          <w:highlight w:val="none"/>
        </w:rPr>
        <w:t>21.4</w:t>
      </w:r>
      <w:r>
        <w:rPr>
          <w:rFonts w:hint="eastAsia" w:ascii="宋体" w:hAnsi="宋体"/>
          <w:color w:val="auto"/>
          <w:szCs w:val="21"/>
          <w:highlight w:val="none"/>
        </w:rPr>
        <w:t>通过符合性审查的合格供应商不足3家的，不得进入磋商环节，采购人或者采购代理机构应当重新开展采购活动。</w:t>
      </w:r>
    </w:p>
    <w:p w14:paraId="35FF7A24">
      <w:pPr>
        <w:pStyle w:val="2"/>
        <w:spacing w:before="0" w:after="0" w:line="460" w:lineRule="exact"/>
        <w:rPr>
          <w:rFonts w:ascii="宋体" w:hAnsi="宋体"/>
          <w:color w:val="auto"/>
          <w:sz w:val="21"/>
          <w:szCs w:val="21"/>
          <w:highlight w:val="none"/>
        </w:rPr>
      </w:pPr>
      <w:bookmarkStart w:id="115" w:name="_Toc18682823"/>
      <w:bookmarkStart w:id="116" w:name="_Toc80818634"/>
      <w:bookmarkStart w:id="117" w:name="_Toc26386"/>
      <w:bookmarkStart w:id="118" w:name="_Toc346264287"/>
      <w:bookmarkStart w:id="119" w:name="_Toc239659115"/>
      <w:r>
        <w:rPr>
          <w:rFonts w:hint="eastAsia" w:ascii="宋体" w:hAnsi="宋体"/>
          <w:color w:val="auto"/>
          <w:sz w:val="21"/>
          <w:szCs w:val="21"/>
          <w:highlight w:val="none"/>
        </w:rPr>
        <w:t>22.磋商与评标</w:t>
      </w:r>
      <w:bookmarkEnd w:id="115"/>
      <w:bookmarkEnd w:id="116"/>
      <w:bookmarkEnd w:id="117"/>
    </w:p>
    <w:p w14:paraId="1A67666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22.1磋商</w:t>
      </w:r>
    </w:p>
    <w:p w14:paraId="0BA2165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22.1.1截标后为与供应商磋商的时间，具体时间由采购代理机构另行通知。</w:t>
      </w:r>
    </w:p>
    <w:p w14:paraId="0AD3A20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22.1.2</w:t>
      </w:r>
      <w:r>
        <w:rPr>
          <w:rFonts w:ascii="宋体" w:hAnsi="宋体"/>
          <w:color w:val="auto"/>
          <w:szCs w:val="21"/>
          <w:highlight w:val="none"/>
        </w:rPr>
        <w:t xml:space="preserve"> 磋商小组共3人以上单数依法组成，其中评审专家人数不得少于磋商小组成员总数的2/3</w:t>
      </w:r>
      <w:r>
        <w:rPr>
          <w:rFonts w:hint="eastAsia" w:ascii="宋体" w:hAnsi="宋体"/>
          <w:color w:val="auto"/>
          <w:szCs w:val="21"/>
          <w:highlight w:val="none"/>
        </w:rPr>
        <w:t>。在整个磋商过程中，磋商小组将负责对全部响应文件进行审查、磋商及评</w:t>
      </w:r>
      <w:r>
        <w:rPr>
          <w:rFonts w:ascii="宋体" w:hAnsi="宋体"/>
          <w:color w:val="auto"/>
          <w:szCs w:val="21"/>
          <w:highlight w:val="none"/>
        </w:rPr>
        <w:t>审</w:t>
      </w:r>
      <w:r>
        <w:rPr>
          <w:rFonts w:hint="eastAsia" w:ascii="宋体" w:hAnsi="宋体"/>
          <w:color w:val="auto"/>
          <w:szCs w:val="21"/>
          <w:highlight w:val="none"/>
        </w:rPr>
        <w:t>工作。</w:t>
      </w:r>
    </w:p>
    <w:p w14:paraId="2FAF9483">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22.1.3采购代理机构将在本须知规定组织磋商小组与各供应商分别进行磋商。供应商可由1～3人组成参谈组，磋商中供应商成员之间意见不一致时，以供应商的法定代表人（或其委托代理人）的意见为准。</w:t>
      </w:r>
    </w:p>
    <w:p w14:paraId="6DD04A7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22.1.4</w:t>
      </w:r>
      <w:r>
        <w:rPr>
          <w:rFonts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219FB1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22.1.5由</w:t>
      </w:r>
      <w:r>
        <w:rPr>
          <w:rFonts w:ascii="宋体" w:hAnsi="宋体"/>
          <w:color w:val="auto"/>
          <w:szCs w:val="21"/>
          <w:highlight w:val="none"/>
        </w:rPr>
        <w:t>磋商小组</w:t>
      </w:r>
      <w:r>
        <w:rPr>
          <w:rFonts w:hint="eastAsia" w:ascii="宋体" w:hAnsi="宋体"/>
          <w:color w:val="auto"/>
          <w:szCs w:val="21"/>
          <w:highlight w:val="none"/>
        </w:rPr>
        <w:t>按照供应商须知前附表确定的顺序，集中与单一供应商分别进行磋商，给予所有参加磋商的供应商平等的磋商机会。由</w:t>
      </w:r>
      <w:r>
        <w:rPr>
          <w:rFonts w:ascii="宋体" w:hAnsi="宋体"/>
          <w:color w:val="auto"/>
          <w:szCs w:val="21"/>
          <w:highlight w:val="none"/>
        </w:rPr>
        <w:t>磋商小组</w:t>
      </w:r>
      <w:r>
        <w:rPr>
          <w:rFonts w:hint="eastAsia" w:ascii="宋体" w:hAnsi="宋体"/>
          <w:color w:val="auto"/>
          <w:szCs w:val="21"/>
          <w:highlight w:val="none"/>
        </w:rPr>
        <w:t>发起询标进行磋商，同时采购代理机构可通知各供应商，通知的联系方式以供应商在</w:t>
      </w:r>
      <w:r>
        <w:rPr>
          <w:rFonts w:hint="eastAsia" w:ascii="宋体" w:hAnsi="宋体"/>
          <w:color w:val="auto"/>
          <w:szCs w:val="21"/>
          <w:highlight w:val="none"/>
          <w:lang w:eastAsia="zh-CN"/>
        </w:rPr>
        <w:t>广西政府采购云</w:t>
      </w:r>
      <w:r>
        <w:rPr>
          <w:rFonts w:hint="eastAsia" w:ascii="宋体" w:hAnsi="宋体"/>
          <w:color w:val="auto"/>
          <w:szCs w:val="21"/>
          <w:highlight w:val="none"/>
        </w:rPr>
        <w:t>平台“获取采购文件”填写联系人的手机号为准，各供应商应在线关注询标信息并保证提供的联系方保持通讯畅通，接到在线询标信息后应在20分钟内进行询标回复；磋商结束后，供应商按磋商小组要求的时间内递交磋商时要求其就商务和技术条件作出的包含补充、修改、承诺、最终报价等内容的应答文件在线提交，应答文件必须由供应商的法定代表人或委托代理人签名或盖公章，应答文件构成响应文件的一部分。</w:t>
      </w:r>
    </w:p>
    <w:p w14:paraId="0EC0CAFE">
      <w:pPr>
        <w:spacing w:line="460" w:lineRule="exact"/>
        <w:ind w:firstLine="420" w:firstLineChars="200"/>
        <w:rPr>
          <w:rFonts w:ascii="宋体" w:hAnsi="宋体"/>
          <w:color w:val="auto"/>
          <w:szCs w:val="21"/>
          <w:highlight w:val="none"/>
        </w:rPr>
      </w:pPr>
      <w:r>
        <w:rPr>
          <w:rFonts w:ascii="宋体" w:hAnsi="宋体"/>
          <w:color w:val="auto"/>
          <w:szCs w:val="21"/>
          <w:highlight w:val="none"/>
        </w:rPr>
        <w:t>磋商小组应当要求所有实质性响应的供应商在规定时间内提交最后报价，提交最后报价的供应商不得少于3家。</w:t>
      </w:r>
    </w:p>
    <w:p w14:paraId="2C288D36">
      <w:pPr>
        <w:pStyle w:val="23"/>
        <w:snapToGrid w:val="0"/>
        <w:spacing w:line="460" w:lineRule="exact"/>
        <w:jc w:val="left"/>
        <w:rPr>
          <w:rFonts w:hAnsi="宋体"/>
          <w:color w:val="auto"/>
          <w:szCs w:val="21"/>
          <w:highlight w:val="none"/>
        </w:rPr>
      </w:pPr>
      <w:r>
        <w:rPr>
          <w:rFonts w:hint="eastAsia" w:hAnsi="宋体"/>
          <w:color w:val="auto"/>
          <w:szCs w:val="21"/>
          <w:highlight w:val="none"/>
        </w:rPr>
        <w:t xml:space="preserve">    22.1.6作最后报价时，</w:t>
      </w:r>
      <w:r>
        <w:rPr>
          <w:rFonts w:hint="eastAsia" w:hAnsi="宋体"/>
          <w:b/>
          <w:color w:val="auto"/>
          <w:szCs w:val="21"/>
          <w:highlight w:val="none"/>
        </w:rPr>
        <w:t>供应商的最终报价文件必须以采购代理机构提供的工程量清单的格式编制或填写</w:t>
      </w:r>
      <w:r>
        <w:rPr>
          <w:rFonts w:hint="eastAsia" w:hAnsi="宋体"/>
          <w:color w:val="auto"/>
          <w:szCs w:val="21"/>
          <w:highlight w:val="none"/>
        </w:rPr>
        <w:t>，供应商不得采用总价优惠、总价百分比优惠或以报价调整函的方式进行最终磋商报价，其优惠应直接体现在各项磋商报价的单价中。供应商须提前做好相关准备并按时递交最终报价文件（因供应商原因无法在磋商时联系的或供应商未在规定的时间内提供最终报价文件，则以供应商最近一次报价的有效磋商报价为准）。</w:t>
      </w:r>
    </w:p>
    <w:p w14:paraId="38F315DB">
      <w:pPr>
        <w:pStyle w:val="23"/>
        <w:snapToGrid w:val="0"/>
        <w:spacing w:line="460" w:lineRule="exact"/>
        <w:jc w:val="left"/>
        <w:rPr>
          <w:rFonts w:hAnsi="宋体"/>
          <w:color w:val="auto"/>
          <w:szCs w:val="21"/>
          <w:highlight w:val="none"/>
        </w:rPr>
      </w:pPr>
      <w:r>
        <w:rPr>
          <w:rFonts w:hint="eastAsia" w:hAnsi="宋体"/>
          <w:color w:val="auto"/>
          <w:szCs w:val="21"/>
          <w:highlight w:val="none"/>
        </w:rPr>
        <w:t xml:space="preserve">    22.1.7</w:t>
      </w:r>
      <w:r>
        <w:rPr>
          <w:rFonts w:hAnsi="宋体"/>
          <w:color w:val="auto"/>
          <w:szCs w:val="21"/>
          <w:highlight w:val="none"/>
        </w:rPr>
        <w:t>已提交响应文件的供应商，在提交最</w:t>
      </w:r>
      <w:r>
        <w:rPr>
          <w:rFonts w:hint="eastAsia" w:hAnsi="宋体"/>
          <w:color w:val="auto"/>
          <w:szCs w:val="21"/>
          <w:highlight w:val="none"/>
        </w:rPr>
        <w:t>终</w:t>
      </w:r>
      <w:r>
        <w:rPr>
          <w:rFonts w:hAnsi="宋体"/>
          <w:color w:val="auto"/>
          <w:szCs w:val="21"/>
          <w:highlight w:val="none"/>
        </w:rPr>
        <w:t>报价之前，可以根据磋商情况退出磋商。经磋商确定最终采购需求和提交最</w:t>
      </w:r>
      <w:r>
        <w:rPr>
          <w:rFonts w:hint="eastAsia" w:hAnsi="宋体"/>
          <w:color w:val="auto"/>
          <w:szCs w:val="21"/>
          <w:highlight w:val="none"/>
        </w:rPr>
        <w:t>终</w:t>
      </w:r>
      <w:r>
        <w:rPr>
          <w:rFonts w:hAnsi="宋体"/>
          <w:color w:val="auto"/>
          <w:szCs w:val="21"/>
          <w:highlight w:val="none"/>
        </w:rPr>
        <w:t>报价的供应商后，由磋商小组采用综合评分法对提交最</w:t>
      </w:r>
      <w:r>
        <w:rPr>
          <w:rFonts w:hint="eastAsia" w:hAnsi="宋体"/>
          <w:color w:val="auto"/>
          <w:szCs w:val="21"/>
          <w:highlight w:val="none"/>
        </w:rPr>
        <w:t>终</w:t>
      </w:r>
      <w:r>
        <w:rPr>
          <w:rFonts w:hAnsi="宋体"/>
          <w:color w:val="auto"/>
          <w:szCs w:val="21"/>
          <w:highlight w:val="none"/>
        </w:rPr>
        <w:t>报价的供应商的响应文件和最</w:t>
      </w:r>
      <w:r>
        <w:rPr>
          <w:rFonts w:hint="eastAsia" w:hAnsi="宋体"/>
          <w:color w:val="auto"/>
          <w:szCs w:val="21"/>
          <w:highlight w:val="none"/>
        </w:rPr>
        <w:t>终</w:t>
      </w:r>
      <w:r>
        <w:rPr>
          <w:rFonts w:hAnsi="宋体"/>
          <w:color w:val="auto"/>
          <w:szCs w:val="21"/>
          <w:highlight w:val="none"/>
        </w:rPr>
        <w:t>报价进行综合评分。</w:t>
      </w:r>
    </w:p>
    <w:p w14:paraId="1B24AAE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22.1.8</w:t>
      </w:r>
      <w:r>
        <w:rPr>
          <w:rFonts w:ascii="宋体" w:hAnsi="宋体"/>
          <w:color w:val="auto"/>
          <w:szCs w:val="21"/>
          <w:highlight w:val="none"/>
        </w:rPr>
        <w:t>磋商</w:t>
      </w:r>
      <w:r>
        <w:rPr>
          <w:rFonts w:hint="eastAsia" w:ascii="宋体" w:hAnsi="宋体"/>
          <w:color w:val="auto"/>
          <w:szCs w:val="21"/>
          <w:highlight w:val="none"/>
        </w:rPr>
        <w:t>结束后，</w:t>
      </w:r>
      <w:r>
        <w:rPr>
          <w:rFonts w:ascii="宋体" w:hAnsi="宋体"/>
          <w:color w:val="auto"/>
          <w:szCs w:val="21"/>
          <w:highlight w:val="none"/>
        </w:rPr>
        <w:t>磋商</w:t>
      </w:r>
      <w:r>
        <w:rPr>
          <w:rFonts w:hint="eastAsia" w:ascii="宋体" w:hAnsi="宋体"/>
          <w:color w:val="auto"/>
          <w:szCs w:val="21"/>
          <w:highlight w:val="none"/>
        </w:rPr>
        <w:t>小组不得再与供应商进行任何形式的商谈。</w:t>
      </w:r>
    </w:p>
    <w:p w14:paraId="6399D66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22.1.9</w:t>
      </w:r>
      <w:r>
        <w:rPr>
          <w:rFonts w:ascii="宋体" w:hAnsi="宋体"/>
          <w:color w:val="auto"/>
          <w:szCs w:val="21"/>
          <w:highlight w:val="none"/>
        </w:rPr>
        <w:t>磋商</w:t>
      </w:r>
      <w:r>
        <w:rPr>
          <w:rFonts w:hint="eastAsia" w:ascii="宋体" w:hAnsi="宋体"/>
          <w:color w:val="auto"/>
          <w:szCs w:val="21"/>
          <w:highlight w:val="none"/>
        </w:rPr>
        <w:t>的任何一方不得透露与</w:t>
      </w:r>
      <w:r>
        <w:rPr>
          <w:rFonts w:ascii="宋体" w:hAnsi="宋体"/>
          <w:color w:val="auto"/>
          <w:szCs w:val="21"/>
          <w:highlight w:val="none"/>
        </w:rPr>
        <w:t>磋商</w:t>
      </w:r>
      <w:r>
        <w:rPr>
          <w:rFonts w:hint="eastAsia" w:ascii="宋体" w:hAnsi="宋体"/>
          <w:color w:val="auto"/>
          <w:szCs w:val="21"/>
          <w:highlight w:val="none"/>
        </w:rPr>
        <w:t>有关的其他供应商的技术资料、价格和其他信息。</w:t>
      </w:r>
    </w:p>
    <w:p w14:paraId="6E8D469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22.2 评审</w:t>
      </w:r>
    </w:p>
    <w:p w14:paraId="1AF7D97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22.2.1本采购项目</w:t>
      </w:r>
      <w:r>
        <w:rPr>
          <w:rFonts w:hint="eastAsia" w:ascii="宋体" w:hAnsi="宋体"/>
          <w:color w:val="auto"/>
          <w:spacing w:val="2"/>
          <w:szCs w:val="21"/>
          <w:highlight w:val="none"/>
        </w:rPr>
        <w:t>对通过资格审查和符合性审查评审为合格的响应文件</w:t>
      </w:r>
      <w:r>
        <w:rPr>
          <w:rFonts w:hint="eastAsia" w:ascii="宋体" w:hAnsi="宋体"/>
          <w:color w:val="auto"/>
          <w:szCs w:val="21"/>
          <w:highlight w:val="none"/>
        </w:rPr>
        <w:t>采用</w:t>
      </w:r>
      <w:r>
        <w:rPr>
          <w:rFonts w:hint="eastAsia" w:ascii="宋体" w:hAnsi="宋体"/>
          <w:color w:val="auto"/>
          <w:spacing w:val="2"/>
          <w:szCs w:val="21"/>
          <w:highlight w:val="none"/>
        </w:rPr>
        <w:t>综合评分</w:t>
      </w:r>
      <w:r>
        <w:rPr>
          <w:rFonts w:ascii="宋体" w:hAnsi="宋体"/>
          <w:color w:val="auto"/>
          <w:spacing w:val="2"/>
          <w:szCs w:val="21"/>
          <w:highlight w:val="none"/>
        </w:rPr>
        <w:t>法</w:t>
      </w:r>
      <w:r>
        <w:rPr>
          <w:rFonts w:hint="eastAsia" w:ascii="宋体" w:hAnsi="宋体"/>
          <w:color w:val="auto"/>
          <w:szCs w:val="21"/>
          <w:highlight w:val="none"/>
        </w:rPr>
        <w:t>，评标依据为磋商文件和响应文件及</w:t>
      </w:r>
      <w:r>
        <w:rPr>
          <w:rFonts w:ascii="宋体" w:hAnsi="宋体"/>
          <w:color w:val="auto"/>
          <w:szCs w:val="21"/>
          <w:highlight w:val="none"/>
        </w:rPr>
        <w:t>磋商</w:t>
      </w:r>
      <w:r>
        <w:rPr>
          <w:rFonts w:hint="eastAsia" w:ascii="宋体" w:hAnsi="宋体"/>
          <w:color w:val="auto"/>
          <w:szCs w:val="21"/>
          <w:highlight w:val="none"/>
        </w:rPr>
        <w:t>应答文件。</w:t>
      </w:r>
    </w:p>
    <w:p w14:paraId="73F0758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22.2.2评标工作将采取封闭方式进行，</w:t>
      </w:r>
      <w:r>
        <w:rPr>
          <w:rFonts w:ascii="宋体" w:hAnsi="宋体"/>
          <w:color w:val="auto"/>
          <w:szCs w:val="21"/>
          <w:highlight w:val="none"/>
        </w:rPr>
        <w:t>磋商</w:t>
      </w:r>
      <w:r>
        <w:rPr>
          <w:rFonts w:hint="eastAsia" w:ascii="宋体" w:hAnsi="宋体"/>
          <w:color w:val="auto"/>
          <w:szCs w:val="21"/>
          <w:highlight w:val="none"/>
        </w:rPr>
        <w:t>小组成员和有关工作人员不得透露对响应文件的评审、比较和成交候选供应商的推荐情况以及与评标有关的其他情况。</w:t>
      </w:r>
    </w:p>
    <w:p w14:paraId="10961E3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22.3供应商在评标过程中，所进行的力图影响评标结果公正性的活动，将可能导致其成交资格被取消。</w:t>
      </w:r>
    </w:p>
    <w:p w14:paraId="3FC421E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22.4供应商磋商报价超出采购上限控制价则磋商无效。如果全部供应商的磋商报价均超出采购上限控制价，采购人不能支付的，由采购单位重新组织采购。</w:t>
      </w:r>
    </w:p>
    <w:p w14:paraId="70894EF3">
      <w:pPr>
        <w:pStyle w:val="4"/>
        <w:spacing w:before="0" w:after="0" w:line="460" w:lineRule="exact"/>
        <w:rPr>
          <w:rFonts w:ascii="宋体" w:hAnsi="宋体" w:eastAsia="宋体"/>
          <w:color w:val="auto"/>
          <w:sz w:val="21"/>
          <w:szCs w:val="21"/>
          <w:highlight w:val="none"/>
        </w:rPr>
      </w:pPr>
      <w:bookmarkStart w:id="120" w:name="_Toc18682824"/>
      <w:bookmarkStart w:id="121" w:name="_Toc1035"/>
      <w:bookmarkStart w:id="122" w:name="_Toc80818635"/>
      <w:r>
        <w:rPr>
          <w:rFonts w:hint="eastAsia" w:ascii="宋体" w:hAnsi="宋体" w:eastAsia="宋体"/>
          <w:color w:val="auto"/>
          <w:sz w:val="21"/>
          <w:szCs w:val="21"/>
          <w:highlight w:val="none"/>
        </w:rPr>
        <w:t>23.</w:t>
      </w:r>
      <w:bookmarkEnd w:id="118"/>
      <w:bookmarkEnd w:id="120"/>
      <w:r>
        <w:rPr>
          <w:rFonts w:hint="eastAsia" w:ascii="宋体" w:hAnsi="宋体" w:eastAsia="宋体"/>
          <w:color w:val="auto"/>
          <w:sz w:val="21"/>
          <w:szCs w:val="21"/>
          <w:highlight w:val="none"/>
        </w:rPr>
        <w:t xml:space="preserve"> 废标的情形</w:t>
      </w:r>
      <w:bookmarkEnd w:id="121"/>
      <w:bookmarkEnd w:id="122"/>
    </w:p>
    <w:p w14:paraId="7D693DB4">
      <w:pPr>
        <w:pStyle w:val="23"/>
        <w:spacing w:line="460" w:lineRule="exact"/>
        <w:ind w:left="525"/>
        <w:rPr>
          <w:rFonts w:hAnsi="宋体"/>
          <w:color w:val="auto"/>
          <w:szCs w:val="21"/>
          <w:highlight w:val="none"/>
        </w:rPr>
      </w:pPr>
      <w:r>
        <w:rPr>
          <w:rFonts w:hint="eastAsia" w:hAnsi="宋体"/>
          <w:color w:val="auto"/>
          <w:szCs w:val="21"/>
          <w:highlight w:val="none"/>
        </w:rPr>
        <w:t>属于下列情形之一的，应予废标：</w:t>
      </w:r>
    </w:p>
    <w:p w14:paraId="676272CC">
      <w:pPr>
        <w:tabs>
          <w:tab w:val="left" w:pos="975"/>
        </w:tabs>
        <w:snapToGrid w:val="0"/>
        <w:spacing w:line="440" w:lineRule="exact"/>
        <w:ind w:firstLine="411" w:firstLineChars="196"/>
        <w:jc w:val="left"/>
        <w:rPr>
          <w:rFonts w:ascii="宋体" w:hAnsi="宋体"/>
          <w:color w:val="auto"/>
          <w:szCs w:val="21"/>
          <w:highlight w:val="none"/>
        </w:rPr>
      </w:pPr>
      <w:r>
        <w:rPr>
          <w:rFonts w:hint="eastAsia" w:ascii="宋体" w:hAnsi="宋体"/>
          <w:color w:val="auto"/>
          <w:szCs w:val="21"/>
          <w:highlight w:val="none"/>
        </w:rPr>
        <w:t>（1）采购过程中符合要求的供应商或者报价未超过采购预算的供应商不足3家的；</w:t>
      </w:r>
    </w:p>
    <w:p w14:paraId="4A6407D5">
      <w:pPr>
        <w:tabs>
          <w:tab w:val="left" w:pos="975"/>
        </w:tabs>
        <w:snapToGrid w:val="0"/>
        <w:spacing w:line="440" w:lineRule="exact"/>
        <w:ind w:firstLine="411" w:firstLineChars="196"/>
        <w:jc w:val="left"/>
        <w:rPr>
          <w:rFonts w:ascii="宋体" w:hAnsi="宋体"/>
          <w:color w:val="auto"/>
          <w:szCs w:val="21"/>
          <w:highlight w:val="none"/>
        </w:rPr>
      </w:pPr>
      <w:r>
        <w:rPr>
          <w:rFonts w:hint="eastAsia" w:ascii="宋体" w:hAnsi="宋体"/>
          <w:color w:val="auto"/>
          <w:szCs w:val="21"/>
          <w:highlight w:val="none"/>
        </w:rPr>
        <w:t xml:space="preserve"> (2)出现影响采购公正的违法、违规行为的;</w:t>
      </w:r>
    </w:p>
    <w:p w14:paraId="2ED42F9C">
      <w:pPr>
        <w:tabs>
          <w:tab w:val="left" w:pos="975"/>
        </w:tabs>
        <w:snapToGrid w:val="0"/>
        <w:spacing w:line="440" w:lineRule="exact"/>
        <w:ind w:firstLine="411" w:firstLineChars="196"/>
        <w:jc w:val="left"/>
        <w:rPr>
          <w:rFonts w:ascii="宋体" w:hAnsi="宋体"/>
          <w:color w:val="auto"/>
          <w:szCs w:val="21"/>
          <w:highlight w:val="none"/>
        </w:rPr>
      </w:pPr>
      <w:r>
        <w:rPr>
          <w:rFonts w:hint="eastAsia" w:ascii="宋体" w:hAnsi="宋体"/>
          <w:color w:val="auto"/>
          <w:szCs w:val="21"/>
          <w:highlight w:val="none"/>
        </w:rPr>
        <w:t xml:space="preserve"> (3)磋商文件内容违反国家有关强制性规定的;</w:t>
      </w:r>
    </w:p>
    <w:p w14:paraId="3C0D279D">
      <w:pPr>
        <w:tabs>
          <w:tab w:val="left" w:pos="975"/>
        </w:tabs>
        <w:snapToGrid w:val="0"/>
        <w:spacing w:line="440" w:lineRule="exact"/>
        <w:ind w:firstLine="514" w:firstLineChars="245"/>
        <w:jc w:val="left"/>
        <w:rPr>
          <w:rFonts w:ascii="宋体" w:hAnsi="宋体"/>
          <w:color w:val="auto"/>
          <w:szCs w:val="21"/>
          <w:highlight w:val="none"/>
        </w:rPr>
      </w:pPr>
      <w:r>
        <w:rPr>
          <w:rFonts w:hint="eastAsia" w:ascii="宋体" w:hAnsi="宋体"/>
          <w:color w:val="auto"/>
          <w:szCs w:val="21"/>
          <w:highlight w:val="none"/>
        </w:rPr>
        <w:t>(4)因重大变故,采购任务取消的;</w:t>
      </w:r>
    </w:p>
    <w:p w14:paraId="4F77AA3D">
      <w:pPr>
        <w:pStyle w:val="4"/>
        <w:spacing w:before="0" w:after="0" w:line="460" w:lineRule="exact"/>
        <w:rPr>
          <w:rFonts w:ascii="宋体" w:hAnsi="宋体" w:eastAsia="宋体"/>
          <w:color w:val="auto"/>
          <w:sz w:val="21"/>
          <w:szCs w:val="21"/>
          <w:highlight w:val="none"/>
        </w:rPr>
      </w:pPr>
      <w:bookmarkStart w:id="123" w:name="_Toc346264288"/>
      <w:bookmarkStart w:id="124" w:name="_Toc18682825"/>
      <w:bookmarkStart w:id="125" w:name="_Toc80818636"/>
      <w:bookmarkStart w:id="126" w:name="_Toc5604"/>
      <w:r>
        <w:rPr>
          <w:rFonts w:ascii="宋体" w:hAnsi="宋体" w:eastAsia="宋体"/>
          <w:color w:val="auto"/>
          <w:sz w:val="21"/>
          <w:szCs w:val="21"/>
          <w:highlight w:val="none"/>
        </w:rPr>
        <w:t>2</w:t>
      </w:r>
      <w:r>
        <w:rPr>
          <w:rFonts w:hint="eastAsia" w:ascii="宋体" w:hAnsi="宋体" w:eastAsia="宋体"/>
          <w:color w:val="auto"/>
          <w:sz w:val="21"/>
          <w:szCs w:val="21"/>
          <w:highlight w:val="none"/>
        </w:rPr>
        <w:t>4</w:t>
      </w:r>
      <w:r>
        <w:rPr>
          <w:rFonts w:ascii="宋体" w:hAnsi="宋体" w:eastAsia="宋体"/>
          <w:color w:val="auto"/>
          <w:sz w:val="21"/>
          <w:szCs w:val="21"/>
          <w:highlight w:val="none"/>
        </w:rPr>
        <w:t>.</w:t>
      </w:r>
      <w:r>
        <w:rPr>
          <w:rFonts w:hint="eastAsia" w:ascii="宋体" w:hAnsi="宋体" w:eastAsia="宋体"/>
          <w:color w:val="auto"/>
          <w:sz w:val="21"/>
          <w:szCs w:val="21"/>
          <w:highlight w:val="none"/>
        </w:rPr>
        <w:t>成交</w:t>
      </w:r>
      <w:r>
        <w:rPr>
          <w:rFonts w:ascii="宋体" w:hAnsi="宋体" w:eastAsia="宋体"/>
          <w:color w:val="auto"/>
          <w:sz w:val="21"/>
          <w:szCs w:val="21"/>
          <w:highlight w:val="none"/>
        </w:rPr>
        <w:t>公告</w:t>
      </w:r>
      <w:bookmarkEnd w:id="119"/>
      <w:bookmarkEnd w:id="123"/>
      <w:bookmarkEnd w:id="124"/>
      <w:bookmarkEnd w:id="125"/>
      <w:bookmarkEnd w:id="126"/>
    </w:p>
    <w:p w14:paraId="2E469DD6">
      <w:pPr>
        <w:pStyle w:val="23"/>
        <w:spacing w:line="460" w:lineRule="exact"/>
        <w:ind w:left="53" w:leftChars="25" w:firstLine="371" w:firstLineChars="177"/>
        <w:rPr>
          <w:rFonts w:hAnsi="宋体" w:cs="宋体"/>
          <w:color w:val="auto"/>
          <w:szCs w:val="21"/>
          <w:highlight w:val="none"/>
        </w:rPr>
      </w:pPr>
      <w:bookmarkStart w:id="127" w:name="_Toc346264289"/>
      <w:bookmarkStart w:id="128" w:name="_Toc239659116"/>
      <w:r>
        <w:rPr>
          <w:rFonts w:hint="eastAsia" w:hAnsi="宋体" w:cs="宋体"/>
          <w:color w:val="auto"/>
          <w:szCs w:val="21"/>
          <w:highlight w:val="none"/>
        </w:rPr>
        <w:t>24.1采购代理机构将在评审结束后2个工作日内将评审报告送采购人，采购人收到采购代理机构提交的评审报告后，2个工作日内确定成交供应商。采购人确认后，成交结果将在发布竞争性磋商公告的网站上公布，同时向成交人发出成交通知书。</w:t>
      </w:r>
    </w:p>
    <w:p w14:paraId="689AE678">
      <w:pPr>
        <w:spacing w:line="460" w:lineRule="exact"/>
        <w:rPr>
          <w:rFonts w:ascii="宋体" w:hAnsi="宋体" w:cs="宋体"/>
          <w:color w:val="auto"/>
          <w:szCs w:val="21"/>
          <w:highlight w:val="none"/>
        </w:rPr>
      </w:pPr>
      <w:r>
        <w:rPr>
          <w:rFonts w:hint="eastAsia" w:ascii="宋体" w:hAnsi="宋体" w:cs="宋体"/>
          <w:color w:val="auto"/>
          <w:szCs w:val="21"/>
          <w:highlight w:val="none"/>
        </w:rPr>
        <w:t xml:space="preserve">    24.2 供应商如对成交公告有异议，可以在成交公告期限届满之日起7个工作日内以书面形式向采购人或采购代理机构提出质疑。采购人或采购代理机构将在收到供应商的书面形式质疑后7个工作日内做出答复，但答复的内容不得涉及商业密秘。</w:t>
      </w:r>
    </w:p>
    <w:p w14:paraId="47E9C8CF">
      <w:pPr>
        <w:pStyle w:val="23"/>
        <w:spacing w:line="460" w:lineRule="exact"/>
        <w:ind w:left="53" w:leftChars="25" w:firstLine="371" w:firstLineChars="177"/>
        <w:rPr>
          <w:rFonts w:hAnsi="宋体" w:cs="宋体"/>
          <w:color w:val="auto"/>
          <w:szCs w:val="21"/>
          <w:highlight w:val="none"/>
        </w:rPr>
      </w:pPr>
      <w:r>
        <w:rPr>
          <w:rFonts w:hint="eastAsia" w:hAnsi="宋体" w:cs="宋体"/>
          <w:color w:val="auto"/>
          <w:szCs w:val="21"/>
          <w:highlight w:val="none"/>
        </w:rPr>
        <w:t>24.3 质疑供应商必须首先经过质疑程序，在对采购人或采购代理机构的答复不满意，或者采购人或采购代理机构未在规定的时间内做出答复的，可以在答复期满后15个工作日内书面向同级政府采购监督管理部门投诉。</w:t>
      </w:r>
    </w:p>
    <w:p w14:paraId="24861B10">
      <w:pPr>
        <w:pStyle w:val="4"/>
        <w:spacing w:before="0" w:after="0" w:line="460" w:lineRule="exact"/>
        <w:rPr>
          <w:rFonts w:ascii="宋体" w:hAnsi="宋体" w:eastAsia="宋体"/>
          <w:color w:val="auto"/>
          <w:sz w:val="21"/>
          <w:szCs w:val="21"/>
          <w:highlight w:val="none"/>
        </w:rPr>
      </w:pPr>
      <w:bookmarkStart w:id="129" w:name="_Toc21826"/>
      <w:bookmarkStart w:id="130" w:name="_Toc18682826"/>
      <w:bookmarkStart w:id="131" w:name="_Toc80818637"/>
      <w:r>
        <w:rPr>
          <w:rFonts w:ascii="宋体" w:hAnsi="宋体" w:eastAsia="宋体"/>
          <w:color w:val="auto"/>
          <w:sz w:val="21"/>
          <w:szCs w:val="21"/>
          <w:highlight w:val="none"/>
        </w:rPr>
        <w:t>2</w:t>
      </w:r>
      <w:r>
        <w:rPr>
          <w:rFonts w:hint="eastAsia" w:ascii="宋体" w:hAnsi="宋体" w:eastAsia="宋体"/>
          <w:color w:val="auto"/>
          <w:sz w:val="21"/>
          <w:szCs w:val="21"/>
          <w:highlight w:val="none"/>
        </w:rPr>
        <w:t>5</w:t>
      </w:r>
      <w:r>
        <w:rPr>
          <w:rFonts w:ascii="宋体" w:hAnsi="宋体" w:eastAsia="宋体"/>
          <w:color w:val="auto"/>
          <w:sz w:val="21"/>
          <w:szCs w:val="21"/>
          <w:highlight w:val="none"/>
        </w:rPr>
        <w:t>.</w:t>
      </w:r>
      <w:r>
        <w:rPr>
          <w:rFonts w:hint="eastAsia" w:ascii="宋体" w:hAnsi="宋体" w:eastAsia="宋体"/>
          <w:color w:val="auto"/>
          <w:sz w:val="21"/>
          <w:szCs w:val="21"/>
          <w:highlight w:val="none"/>
        </w:rPr>
        <w:t>成交</w:t>
      </w:r>
      <w:r>
        <w:rPr>
          <w:rFonts w:ascii="宋体" w:hAnsi="宋体" w:eastAsia="宋体"/>
          <w:color w:val="auto"/>
          <w:sz w:val="21"/>
          <w:szCs w:val="21"/>
          <w:highlight w:val="none"/>
        </w:rPr>
        <w:t>通知书</w:t>
      </w:r>
      <w:bookmarkEnd w:id="127"/>
      <w:bookmarkEnd w:id="128"/>
      <w:bookmarkEnd w:id="129"/>
      <w:bookmarkEnd w:id="130"/>
      <w:bookmarkEnd w:id="131"/>
    </w:p>
    <w:p w14:paraId="48397BC6">
      <w:pPr>
        <w:spacing w:line="460" w:lineRule="exact"/>
        <w:ind w:left="229" w:leftChars="109" w:firstLine="210" w:firstLineChars="1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5</w:t>
      </w:r>
      <w:r>
        <w:rPr>
          <w:rFonts w:ascii="宋体" w:hAnsi="宋体"/>
          <w:color w:val="auto"/>
          <w:szCs w:val="21"/>
          <w:highlight w:val="none"/>
        </w:rPr>
        <w:t>.1 在发布</w:t>
      </w:r>
      <w:r>
        <w:rPr>
          <w:rFonts w:hint="eastAsia" w:ascii="宋体" w:hAnsi="宋体"/>
          <w:color w:val="auto"/>
          <w:szCs w:val="21"/>
          <w:highlight w:val="none"/>
        </w:rPr>
        <w:t>成交</w:t>
      </w:r>
      <w:r>
        <w:rPr>
          <w:rFonts w:ascii="宋体" w:hAnsi="宋体"/>
          <w:color w:val="auto"/>
          <w:szCs w:val="21"/>
          <w:highlight w:val="none"/>
        </w:rPr>
        <w:t>公告的同时，向</w:t>
      </w:r>
      <w:r>
        <w:rPr>
          <w:rFonts w:hint="eastAsia" w:ascii="宋体" w:hAnsi="宋体"/>
          <w:color w:val="auto"/>
          <w:szCs w:val="21"/>
          <w:highlight w:val="none"/>
        </w:rPr>
        <w:t>成交</w:t>
      </w:r>
      <w:r>
        <w:rPr>
          <w:rFonts w:ascii="宋体" w:hAnsi="宋体"/>
          <w:color w:val="auto"/>
          <w:szCs w:val="21"/>
          <w:highlight w:val="none"/>
        </w:rPr>
        <w:t>单位发出书面成交通知书。</w:t>
      </w:r>
    </w:p>
    <w:p w14:paraId="2815E6BB">
      <w:pPr>
        <w:spacing w:line="4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5</w:t>
      </w:r>
      <w:r>
        <w:rPr>
          <w:rFonts w:ascii="宋体" w:hAnsi="宋体"/>
          <w:color w:val="auto"/>
          <w:szCs w:val="21"/>
          <w:highlight w:val="none"/>
        </w:rPr>
        <w:t xml:space="preserve">.2 </w:t>
      </w:r>
      <w:r>
        <w:rPr>
          <w:rFonts w:hint="eastAsia" w:ascii="宋体" w:hAnsi="宋体"/>
          <w:color w:val="auto"/>
          <w:szCs w:val="21"/>
          <w:highlight w:val="none"/>
        </w:rPr>
        <w:t>成交</w:t>
      </w:r>
      <w:r>
        <w:rPr>
          <w:rFonts w:ascii="宋体" w:hAnsi="宋体"/>
          <w:color w:val="auto"/>
          <w:szCs w:val="21"/>
          <w:highlight w:val="none"/>
        </w:rPr>
        <w:t>通知书注明成交金额、</w:t>
      </w:r>
      <w:r>
        <w:rPr>
          <w:rFonts w:hint="eastAsia" w:ascii="宋体" w:hAnsi="宋体"/>
          <w:color w:val="auto"/>
          <w:szCs w:val="21"/>
          <w:highlight w:val="none"/>
        </w:rPr>
        <w:t>工期</w:t>
      </w:r>
      <w:r>
        <w:rPr>
          <w:rFonts w:ascii="宋体" w:hAnsi="宋体"/>
          <w:color w:val="auto"/>
          <w:szCs w:val="21"/>
          <w:highlight w:val="none"/>
        </w:rPr>
        <w:t>、质量及工程保修期等。</w:t>
      </w:r>
    </w:p>
    <w:p w14:paraId="24942339">
      <w:pPr>
        <w:spacing w:line="4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5</w:t>
      </w:r>
      <w:r>
        <w:rPr>
          <w:rFonts w:ascii="宋体" w:hAnsi="宋体"/>
          <w:color w:val="auto"/>
          <w:szCs w:val="21"/>
          <w:highlight w:val="none"/>
        </w:rPr>
        <w:t xml:space="preserve">.3 </w:t>
      </w:r>
      <w:r>
        <w:rPr>
          <w:rFonts w:hint="eastAsia" w:ascii="宋体" w:hAnsi="宋体"/>
          <w:color w:val="auto"/>
          <w:szCs w:val="21"/>
          <w:highlight w:val="none"/>
        </w:rPr>
        <w:t>成交</w:t>
      </w:r>
      <w:r>
        <w:rPr>
          <w:rFonts w:ascii="宋体" w:hAnsi="宋体"/>
          <w:color w:val="auto"/>
          <w:szCs w:val="21"/>
          <w:highlight w:val="none"/>
        </w:rPr>
        <w:t>通知书为合同的组成部分。</w:t>
      </w:r>
    </w:p>
    <w:p w14:paraId="68D86D9E">
      <w:pPr>
        <w:pStyle w:val="4"/>
        <w:spacing w:before="0" w:after="0" w:line="460" w:lineRule="exact"/>
        <w:rPr>
          <w:rFonts w:ascii="宋体" w:hAnsi="宋体" w:eastAsia="宋体"/>
          <w:color w:val="auto"/>
          <w:sz w:val="21"/>
          <w:szCs w:val="21"/>
          <w:highlight w:val="none"/>
        </w:rPr>
      </w:pPr>
      <w:bookmarkStart w:id="132" w:name="_Toc80818638"/>
      <w:bookmarkStart w:id="133" w:name="_Toc18682827"/>
      <w:bookmarkStart w:id="134" w:name="_Toc27353"/>
      <w:bookmarkStart w:id="135" w:name="_Toc346264290"/>
      <w:bookmarkStart w:id="136" w:name="_Toc239659117"/>
      <w:r>
        <w:rPr>
          <w:rFonts w:ascii="宋体" w:hAnsi="宋体" w:eastAsia="宋体"/>
          <w:color w:val="auto"/>
          <w:sz w:val="21"/>
          <w:szCs w:val="21"/>
          <w:highlight w:val="none"/>
        </w:rPr>
        <w:t>26.合同签订</w:t>
      </w:r>
      <w:bookmarkEnd w:id="132"/>
      <w:bookmarkEnd w:id="133"/>
      <w:bookmarkEnd w:id="134"/>
      <w:bookmarkEnd w:id="135"/>
      <w:bookmarkEnd w:id="136"/>
    </w:p>
    <w:p w14:paraId="519449C6">
      <w:pPr>
        <w:spacing w:line="460" w:lineRule="exact"/>
        <w:ind w:left="50" w:leftChars="24" w:firstLine="363" w:firstLineChars="173"/>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6</w:t>
      </w:r>
      <w:r>
        <w:rPr>
          <w:rFonts w:ascii="宋体" w:hAnsi="宋体"/>
          <w:color w:val="auto"/>
          <w:szCs w:val="21"/>
          <w:highlight w:val="none"/>
        </w:rPr>
        <w:t xml:space="preserve">.1 </w:t>
      </w:r>
      <w:r>
        <w:rPr>
          <w:rFonts w:hint="eastAsia" w:ascii="宋体" w:hAnsi="宋体"/>
          <w:color w:val="auto"/>
          <w:szCs w:val="21"/>
          <w:highlight w:val="none"/>
        </w:rPr>
        <w:t>成交</w:t>
      </w:r>
      <w:r>
        <w:rPr>
          <w:rFonts w:ascii="宋体" w:hAnsi="宋体"/>
          <w:color w:val="auto"/>
          <w:szCs w:val="21"/>
          <w:highlight w:val="none"/>
        </w:rPr>
        <w:t>单位应按约定的时间，由法定代表人或授权代表与</w:t>
      </w:r>
      <w:r>
        <w:rPr>
          <w:rFonts w:hint="eastAsia" w:ascii="宋体" w:hAnsi="宋体"/>
          <w:color w:val="auto"/>
          <w:szCs w:val="21"/>
          <w:highlight w:val="none"/>
        </w:rPr>
        <w:t>采购人</w:t>
      </w:r>
      <w:r>
        <w:rPr>
          <w:rFonts w:ascii="宋体" w:hAnsi="宋体"/>
          <w:color w:val="auto"/>
          <w:szCs w:val="21"/>
          <w:highlight w:val="none"/>
        </w:rPr>
        <w:t>代表签订合同。</w:t>
      </w:r>
      <w:r>
        <w:rPr>
          <w:rFonts w:hint="eastAsia" w:ascii="宋体" w:hAnsi="宋体"/>
          <w:color w:val="auto"/>
          <w:szCs w:val="21"/>
          <w:highlight w:val="none"/>
        </w:rPr>
        <w:t>如成交人不按规定签订合同，则采购人可以与排名在成交人之后的成交候选人依次递补签订合同或重新组织采购。拒绝签订政府采购合同的成交供应商不得参加对该项目重新开展的采购活动。</w:t>
      </w:r>
    </w:p>
    <w:p w14:paraId="430BDC28">
      <w:pPr>
        <w:spacing w:line="4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2合同签订必须符合</w:t>
      </w:r>
      <w:r>
        <w:rPr>
          <w:rFonts w:hint="eastAsia" w:ascii="宋体" w:hAnsi="宋体" w:cs="宋体"/>
          <w:color w:val="auto"/>
          <w:szCs w:val="21"/>
          <w:highlight w:val="none"/>
        </w:rPr>
        <w:t>《中华人民共和国政府采购法》、</w:t>
      </w:r>
      <w:r>
        <w:rPr>
          <w:rFonts w:hint="eastAsia" w:ascii="宋体" w:hAnsi="宋体" w:cs="Arial"/>
          <w:color w:val="auto"/>
          <w:szCs w:val="21"/>
          <w:highlight w:val="none"/>
        </w:rPr>
        <w:t>《中华人民共和国政府采购法实施条例》、</w:t>
      </w:r>
      <w:r>
        <w:rPr>
          <w:rFonts w:hint="eastAsia" w:ascii="宋体" w:hAnsi="宋体"/>
          <w:color w:val="auto"/>
          <w:szCs w:val="21"/>
          <w:highlight w:val="none"/>
        </w:rPr>
        <w:t>《政府采购竞争性磋商采购方式管理暂行办法》及《中华人民共和国民法典》的规定，否则由此造成的后果由采购人负责。</w:t>
      </w:r>
    </w:p>
    <w:p w14:paraId="2B452FE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26.3财政部门根据已备案的政府采购合同办理合同款项的支付，对未正式备案的政府采购合同，将不予办理合同价款的支付。</w:t>
      </w:r>
    </w:p>
    <w:p w14:paraId="7389A38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26.4</w:t>
      </w:r>
      <w:r>
        <w:rPr>
          <w:rFonts w:ascii="宋体" w:hAnsi="宋体"/>
          <w:color w:val="auto"/>
          <w:szCs w:val="21"/>
          <w:highlight w:val="none"/>
        </w:rPr>
        <w:t>如果</w:t>
      </w:r>
      <w:r>
        <w:rPr>
          <w:rFonts w:hint="eastAsia" w:ascii="宋体" w:hAnsi="宋体"/>
          <w:color w:val="auto"/>
          <w:szCs w:val="21"/>
          <w:highlight w:val="none"/>
        </w:rPr>
        <w:t>供应商</w:t>
      </w:r>
      <w:r>
        <w:rPr>
          <w:rFonts w:ascii="宋体" w:hAnsi="宋体"/>
          <w:color w:val="auto"/>
          <w:szCs w:val="21"/>
          <w:highlight w:val="none"/>
        </w:rPr>
        <w:t>不按本须知第2</w:t>
      </w:r>
      <w:r>
        <w:rPr>
          <w:rFonts w:hint="eastAsia" w:ascii="宋体" w:hAnsi="宋体"/>
          <w:color w:val="auto"/>
          <w:szCs w:val="21"/>
          <w:highlight w:val="none"/>
        </w:rPr>
        <w:t>6</w:t>
      </w:r>
      <w:r>
        <w:rPr>
          <w:rFonts w:ascii="宋体" w:hAnsi="宋体"/>
          <w:color w:val="auto"/>
          <w:szCs w:val="21"/>
          <w:highlight w:val="none"/>
        </w:rPr>
        <w:t>.1条的规定执行，采购人将有充分的理由废除授标。</w:t>
      </w:r>
    </w:p>
    <w:p w14:paraId="252812F5">
      <w:pPr>
        <w:pStyle w:val="4"/>
        <w:spacing w:before="0" w:after="0" w:line="460" w:lineRule="exact"/>
        <w:rPr>
          <w:rFonts w:ascii="宋体" w:hAnsi="宋体" w:eastAsia="宋体"/>
          <w:color w:val="auto"/>
          <w:sz w:val="21"/>
          <w:szCs w:val="21"/>
          <w:highlight w:val="none"/>
        </w:rPr>
      </w:pPr>
      <w:bookmarkStart w:id="137" w:name="_Toc239659118"/>
      <w:bookmarkStart w:id="138" w:name="_Toc80818639"/>
      <w:bookmarkStart w:id="139" w:name="_Toc22446"/>
      <w:bookmarkStart w:id="140" w:name="_Toc346264291"/>
      <w:bookmarkStart w:id="141" w:name="_Toc18682828"/>
      <w:r>
        <w:rPr>
          <w:rFonts w:ascii="宋体" w:hAnsi="宋体" w:eastAsia="宋体"/>
          <w:color w:val="auto"/>
          <w:sz w:val="21"/>
          <w:szCs w:val="21"/>
          <w:highlight w:val="none"/>
        </w:rPr>
        <w:t>2</w:t>
      </w:r>
      <w:bookmarkEnd w:id="137"/>
      <w:r>
        <w:rPr>
          <w:rFonts w:hint="eastAsia" w:ascii="宋体" w:hAnsi="宋体" w:eastAsia="宋体"/>
          <w:color w:val="auto"/>
          <w:sz w:val="21"/>
          <w:szCs w:val="21"/>
          <w:highlight w:val="none"/>
        </w:rPr>
        <w:t>7</w:t>
      </w:r>
      <w:r>
        <w:rPr>
          <w:rFonts w:ascii="宋体" w:hAnsi="宋体" w:eastAsia="宋体"/>
          <w:color w:val="auto"/>
          <w:sz w:val="21"/>
          <w:szCs w:val="21"/>
          <w:highlight w:val="none"/>
        </w:rPr>
        <w:t>.履约保证金</w:t>
      </w:r>
      <w:bookmarkEnd w:id="138"/>
      <w:bookmarkEnd w:id="139"/>
      <w:bookmarkEnd w:id="140"/>
      <w:bookmarkEnd w:id="141"/>
    </w:p>
    <w:p w14:paraId="4BC4A458">
      <w:pPr>
        <w:spacing w:line="460" w:lineRule="exact"/>
        <w:ind w:firstLine="420" w:firstLineChars="200"/>
        <w:jc w:val="left"/>
        <w:rPr>
          <w:rFonts w:ascii="宋体" w:hAnsi="宋体"/>
          <w:color w:val="auto"/>
          <w:szCs w:val="21"/>
          <w:highlight w:val="none"/>
        </w:rPr>
      </w:pPr>
      <w:bookmarkStart w:id="142" w:name="_Toc239659119"/>
      <w:r>
        <w:rPr>
          <w:rFonts w:hint="eastAsia" w:ascii="宋体" w:hAnsi="宋体"/>
          <w:color w:val="auto"/>
          <w:szCs w:val="21"/>
          <w:highlight w:val="none"/>
        </w:rPr>
        <w:t>27.1履约保证金按须知前附表的要求提交。如要求提交的，履约保证金如以</w:t>
      </w:r>
      <w:r>
        <w:rPr>
          <w:rFonts w:hint="eastAsia" w:ascii="宋体" w:hAnsi="宋体"/>
          <w:bCs/>
          <w:color w:val="auto"/>
          <w:szCs w:val="21"/>
          <w:highlight w:val="none"/>
        </w:rPr>
        <w:t>支票、汇票、本票、银行转帐、银行出具的保函或保险机构出具的保函、保险单、履约保证保险合同等非现金</w:t>
      </w:r>
      <w:r>
        <w:rPr>
          <w:rFonts w:hint="eastAsia" w:ascii="宋体" w:hAnsi="宋体"/>
          <w:color w:val="auto"/>
          <w:szCs w:val="21"/>
          <w:highlight w:val="none"/>
        </w:rPr>
        <w:t>方式提交，并在签订成交合同前一次性缴纳。如成交人未按规定缴纳履约保证金的，采购人有权取消其成交资格。</w:t>
      </w:r>
    </w:p>
    <w:p w14:paraId="326C47A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27.2 成交人如不按本章第27.1条要求提交履约保证金的，采购人有充分理由取消其成交资格。</w:t>
      </w:r>
    </w:p>
    <w:p w14:paraId="2962CB3D">
      <w:pPr>
        <w:spacing w:line="460" w:lineRule="exact"/>
        <w:ind w:firstLine="420" w:firstLineChars="200"/>
        <w:rPr>
          <w:rFonts w:ascii="宋体" w:hAnsi="宋体" w:cs="Courier New"/>
          <w:color w:val="auto"/>
          <w:spacing w:val="2"/>
          <w:szCs w:val="21"/>
          <w:highlight w:val="none"/>
        </w:rPr>
      </w:pPr>
      <w:r>
        <w:rPr>
          <w:rFonts w:hint="eastAsia" w:ascii="宋体" w:hAnsi="宋体"/>
          <w:color w:val="auto"/>
          <w:szCs w:val="21"/>
          <w:highlight w:val="none"/>
        </w:rPr>
        <w:t>27.3 工程竣工验收合格后，成交人按合同履约的，由成交人向采购人提交履约保证金退还申请，经采购人确认审批后履约保证金如数退还（不计利息）。如成交人不按双方签订的合同履约，则对其全部履约保证金不予退还，履</w:t>
      </w:r>
      <w:r>
        <w:rPr>
          <w:rFonts w:hint="eastAsia" w:ascii="宋体" w:hAnsi="宋体" w:cs="Courier New"/>
          <w:color w:val="auto"/>
          <w:spacing w:val="2"/>
          <w:szCs w:val="21"/>
          <w:highlight w:val="none"/>
        </w:rPr>
        <w:t>约保证金不足以赔偿的，按实际损失赔偿。</w:t>
      </w:r>
    </w:p>
    <w:p w14:paraId="5DD5B8F8">
      <w:pPr>
        <w:spacing w:line="460" w:lineRule="exact"/>
        <w:ind w:firstLine="428" w:firstLineChars="200"/>
        <w:rPr>
          <w:rFonts w:ascii="宋体" w:hAnsi="宋体"/>
          <w:color w:val="auto"/>
          <w:szCs w:val="21"/>
          <w:highlight w:val="none"/>
        </w:rPr>
      </w:pPr>
      <w:r>
        <w:rPr>
          <w:rFonts w:hint="eastAsia" w:ascii="宋体" w:hAnsi="宋体" w:cs="Courier New"/>
          <w:color w:val="auto"/>
          <w:spacing w:val="2"/>
          <w:szCs w:val="21"/>
          <w:highlight w:val="none"/>
        </w:rPr>
        <w:t>27.4 在履约保证金到期退还前，若成交人的开户名称、开户行、账号有更改的，请以书面形式通知</w:t>
      </w:r>
      <w:r>
        <w:rPr>
          <w:rFonts w:hint="eastAsia" w:ascii="宋体" w:hAnsi="宋体"/>
          <w:color w:val="auto"/>
          <w:szCs w:val="21"/>
          <w:highlight w:val="none"/>
        </w:rPr>
        <w:t>采购人</w:t>
      </w:r>
      <w:r>
        <w:rPr>
          <w:rFonts w:hint="eastAsia" w:ascii="宋体" w:hAnsi="宋体" w:cs="Courier New"/>
          <w:color w:val="auto"/>
          <w:spacing w:val="2"/>
          <w:szCs w:val="21"/>
          <w:highlight w:val="none"/>
        </w:rPr>
        <w:t>，否则由此产生的后果由成交人自行负责。</w:t>
      </w:r>
    </w:p>
    <w:p w14:paraId="5309D970">
      <w:pPr>
        <w:spacing w:line="460" w:lineRule="exact"/>
        <w:ind w:firstLine="420" w:firstLineChars="200"/>
        <w:rPr>
          <w:rFonts w:ascii="宋体" w:hAnsi="宋体"/>
          <w:color w:val="auto"/>
          <w:szCs w:val="21"/>
          <w:highlight w:val="none"/>
        </w:rPr>
      </w:pPr>
      <w:bookmarkStart w:id="143" w:name="_Toc346264292"/>
      <w:r>
        <w:rPr>
          <w:rFonts w:ascii="宋体" w:hAnsi="宋体"/>
          <w:color w:val="auto"/>
          <w:szCs w:val="21"/>
          <w:highlight w:val="none"/>
        </w:rPr>
        <w:t>2</w:t>
      </w:r>
      <w:r>
        <w:rPr>
          <w:rFonts w:hint="eastAsia" w:ascii="宋体" w:hAnsi="宋体"/>
          <w:color w:val="auto"/>
          <w:szCs w:val="21"/>
          <w:highlight w:val="none"/>
        </w:rPr>
        <w:t>8</w:t>
      </w:r>
      <w:r>
        <w:rPr>
          <w:rFonts w:ascii="宋体" w:hAnsi="宋体"/>
          <w:color w:val="auto"/>
          <w:szCs w:val="21"/>
          <w:highlight w:val="none"/>
        </w:rPr>
        <w:t>.解释权</w:t>
      </w:r>
      <w:bookmarkEnd w:id="142"/>
      <w:bookmarkEnd w:id="143"/>
    </w:p>
    <w:p w14:paraId="509D8E6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本磋商文件是根据《中华人民共和国政府采购法》、《中华人民共和国政府采购法实施条例》、《政府采购竞争性磋商采购方式管理暂行办法》及相关法律法规编制，解释权属</w:t>
      </w:r>
      <w:r>
        <w:rPr>
          <w:rFonts w:hint="eastAsia" w:ascii="宋体" w:hAnsi="宋体"/>
          <w:color w:val="auto"/>
          <w:szCs w:val="21"/>
          <w:highlight w:val="none"/>
          <w:lang w:eastAsia="zh-CN"/>
        </w:rPr>
        <w:t>广西新侨咨询有限公司</w:t>
      </w:r>
      <w:r>
        <w:rPr>
          <w:rFonts w:ascii="宋体" w:hAnsi="宋体"/>
          <w:color w:val="auto"/>
          <w:szCs w:val="21"/>
          <w:highlight w:val="none"/>
        </w:rPr>
        <w:t>。</w:t>
      </w:r>
    </w:p>
    <w:p w14:paraId="693102D6">
      <w:pPr>
        <w:pStyle w:val="3"/>
        <w:spacing w:line="500" w:lineRule="exact"/>
        <w:jc w:val="center"/>
        <w:rPr>
          <w:rFonts w:ascii="宋体" w:hAnsi="宋体" w:cs="宋体"/>
          <w:color w:val="auto"/>
          <w:highlight w:val="none"/>
        </w:rPr>
      </w:pPr>
      <w:bookmarkStart w:id="144" w:name="_Toc13050"/>
      <w:bookmarkStart w:id="145" w:name="_Toc337567543"/>
      <w:bookmarkStart w:id="146" w:name="_Toc168475883"/>
      <w:bookmarkStart w:id="147" w:name="_Toc168476286"/>
      <w:bookmarkStart w:id="148" w:name="_Toc229305402"/>
      <w:bookmarkStart w:id="149" w:name="_Toc144974826"/>
      <w:r>
        <w:rPr>
          <w:rFonts w:ascii="宋体" w:hAnsi="宋体" w:cs="宋体"/>
          <w:color w:val="auto"/>
          <w:highlight w:val="none"/>
        </w:rPr>
        <w:br w:type="page"/>
      </w:r>
      <w:bookmarkStart w:id="150" w:name="_Toc20054"/>
      <w:r>
        <w:rPr>
          <w:rFonts w:hint="eastAsia" w:ascii="宋体" w:hAnsi="宋体" w:cs="宋体"/>
          <w:color w:val="auto"/>
          <w:highlight w:val="none"/>
        </w:rPr>
        <w:t>第三章 合同条款及格式</w:t>
      </w:r>
      <w:bookmarkEnd w:id="144"/>
      <w:bookmarkEnd w:id="150"/>
    </w:p>
    <w:bookmarkEnd w:id="145"/>
    <w:bookmarkEnd w:id="146"/>
    <w:bookmarkEnd w:id="147"/>
    <w:bookmarkEnd w:id="148"/>
    <w:bookmarkEnd w:id="149"/>
    <w:p w14:paraId="0283C2C3">
      <w:pPr>
        <w:rPr>
          <w:rFonts w:ascii="宋体" w:hAnsi="宋体"/>
          <w:color w:val="auto"/>
          <w:highlight w:val="none"/>
        </w:rPr>
      </w:pPr>
      <w:bookmarkStart w:id="151" w:name="_Toc346264358"/>
    </w:p>
    <w:p w14:paraId="11BBD324">
      <w:pPr>
        <w:rPr>
          <w:rFonts w:ascii="宋体" w:hAnsi="宋体"/>
          <w:color w:val="auto"/>
          <w:highlight w:val="none"/>
        </w:rPr>
      </w:pPr>
    </w:p>
    <w:p w14:paraId="3FE7ECC5">
      <w:pPr>
        <w:widowControl/>
        <w:jc w:val="center"/>
        <w:rPr>
          <w:rFonts w:ascii="宋体" w:hAnsi="宋体"/>
          <w:color w:val="auto"/>
          <w:highlight w:val="none"/>
        </w:rPr>
      </w:pPr>
      <w:r>
        <w:rPr>
          <w:rFonts w:hint="eastAsia" w:ascii="宋体" w:hAnsi="宋体" w:cs="宋体"/>
          <w:b/>
          <w:color w:val="auto"/>
          <w:kern w:val="0"/>
          <w:sz w:val="44"/>
          <w:szCs w:val="44"/>
          <w:highlight w:val="none"/>
        </w:rPr>
        <w:t>__________________工程施工合同</w:t>
      </w:r>
    </w:p>
    <w:p w14:paraId="0BE37340">
      <w:pPr>
        <w:widowControl/>
        <w:jc w:val="left"/>
        <w:rPr>
          <w:rFonts w:ascii="宋体" w:hAnsi="宋体" w:cs="宋体"/>
          <w:color w:val="auto"/>
          <w:kern w:val="0"/>
          <w:sz w:val="30"/>
          <w:szCs w:val="30"/>
          <w:highlight w:val="none"/>
        </w:rPr>
      </w:pPr>
    </w:p>
    <w:p w14:paraId="12FD5177">
      <w:pPr>
        <w:widowControl/>
        <w:jc w:val="left"/>
        <w:rPr>
          <w:rFonts w:ascii="宋体" w:hAnsi="宋体" w:cs="宋体"/>
          <w:color w:val="auto"/>
          <w:kern w:val="0"/>
          <w:sz w:val="30"/>
          <w:szCs w:val="30"/>
          <w:highlight w:val="none"/>
        </w:rPr>
      </w:pPr>
    </w:p>
    <w:p w14:paraId="7E603D92">
      <w:pPr>
        <w:widowControl/>
        <w:jc w:val="left"/>
        <w:rPr>
          <w:rFonts w:ascii="宋体" w:hAnsi="宋体" w:cs="宋体"/>
          <w:color w:val="auto"/>
          <w:kern w:val="0"/>
          <w:sz w:val="30"/>
          <w:szCs w:val="30"/>
          <w:highlight w:val="none"/>
        </w:rPr>
      </w:pPr>
    </w:p>
    <w:p w14:paraId="4A2D5C53">
      <w:pPr>
        <w:widowControl/>
        <w:jc w:val="left"/>
        <w:rPr>
          <w:rFonts w:ascii="宋体" w:hAnsi="宋体" w:cs="宋体"/>
          <w:color w:val="auto"/>
          <w:kern w:val="0"/>
          <w:sz w:val="30"/>
          <w:szCs w:val="30"/>
          <w:highlight w:val="none"/>
        </w:rPr>
      </w:pPr>
    </w:p>
    <w:p w14:paraId="298A36E2">
      <w:pPr>
        <w:widowControl/>
        <w:jc w:val="left"/>
        <w:rPr>
          <w:rFonts w:ascii="宋体" w:hAnsi="宋体" w:cs="宋体"/>
          <w:color w:val="auto"/>
          <w:kern w:val="0"/>
          <w:sz w:val="30"/>
          <w:szCs w:val="30"/>
          <w:highlight w:val="none"/>
        </w:rPr>
      </w:pPr>
    </w:p>
    <w:p w14:paraId="3293EE85">
      <w:pPr>
        <w:widowControl/>
        <w:spacing w:line="720" w:lineRule="auto"/>
        <w:jc w:val="left"/>
        <w:rPr>
          <w:rFonts w:ascii="宋体" w:hAnsi="宋体"/>
          <w:color w:val="auto"/>
          <w:highlight w:val="none"/>
        </w:rPr>
      </w:pPr>
      <w:r>
        <w:rPr>
          <w:rFonts w:hint="eastAsia" w:ascii="宋体" w:hAnsi="宋体" w:cs="宋体"/>
          <w:color w:val="auto"/>
          <w:kern w:val="0"/>
          <w:sz w:val="30"/>
          <w:szCs w:val="30"/>
          <w:highlight w:val="none"/>
        </w:rPr>
        <w:t>发包方：</w:t>
      </w:r>
      <w:r>
        <w:rPr>
          <w:rFonts w:hint="eastAsia" w:ascii="宋体" w:hAnsi="宋体" w:cs="宋体"/>
          <w:b/>
          <w:color w:val="auto"/>
          <w:kern w:val="0"/>
          <w:sz w:val="44"/>
          <w:szCs w:val="44"/>
          <w:highlight w:val="none"/>
        </w:rPr>
        <w:t>__________________</w:t>
      </w:r>
      <w:r>
        <w:rPr>
          <w:rFonts w:ascii="宋体" w:hAnsi="宋体" w:cs="Calibri"/>
          <w:color w:val="auto"/>
          <w:kern w:val="0"/>
          <w:sz w:val="30"/>
          <w:szCs w:val="30"/>
          <w:highlight w:val="none"/>
        </w:rPr>
        <w:t xml:space="preserve"> </w:t>
      </w:r>
    </w:p>
    <w:p w14:paraId="5ECE3EF3">
      <w:pPr>
        <w:widowControl/>
        <w:spacing w:line="720" w:lineRule="auto"/>
        <w:jc w:val="left"/>
        <w:rPr>
          <w:rFonts w:ascii="宋体" w:hAnsi="宋体"/>
          <w:color w:val="auto"/>
          <w:highlight w:val="none"/>
        </w:rPr>
      </w:pPr>
      <w:r>
        <w:rPr>
          <w:rFonts w:hint="eastAsia" w:ascii="宋体" w:hAnsi="宋体" w:cs="宋体"/>
          <w:color w:val="auto"/>
          <w:kern w:val="0"/>
          <w:sz w:val="30"/>
          <w:szCs w:val="30"/>
          <w:highlight w:val="none"/>
        </w:rPr>
        <w:t>承包方：</w:t>
      </w:r>
      <w:r>
        <w:rPr>
          <w:rFonts w:hint="eastAsia" w:ascii="宋体" w:hAnsi="宋体" w:cs="宋体"/>
          <w:b/>
          <w:color w:val="auto"/>
          <w:kern w:val="0"/>
          <w:sz w:val="44"/>
          <w:szCs w:val="44"/>
          <w:highlight w:val="none"/>
        </w:rPr>
        <w:t>__________________</w:t>
      </w:r>
    </w:p>
    <w:p w14:paraId="640EF86B">
      <w:pPr>
        <w:widowControl/>
        <w:spacing w:line="720" w:lineRule="auto"/>
        <w:jc w:val="left"/>
        <w:rPr>
          <w:rFonts w:ascii="宋体" w:hAnsi="宋体"/>
          <w:color w:val="auto"/>
          <w:highlight w:val="none"/>
        </w:rPr>
      </w:pPr>
      <w:r>
        <w:rPr>
          <w:rFonts w:hint="eastAsia" w:ascii="宋体" w:hAnsi="宋体" w:cs="宋体"/>
          <w:color w:val="auto"/>
          <w:kern w:val="0"/>
          <w:sz w:val="30"/>
          <w:szCs w:val="30"/>
          <w:highlight w:val="none"/>
        </w:rPr>
        <w:t>工程地点：</w:t>
      </w:r>
      <w:r>
        <w:rPr>
          <w:rFonts w:hint="eastAsia" w:ascii="宋体" w:hAnsi="宋体" w:cs="宋体"/>
          <w:b/>
          <w:color w:val="auto"/>
          <w:kern w:val="0"/>
          <w:sz w:val="44"/>
          <w:szCs w:val="44"/>
          <w:highlight w:val="none"/>
        </w:rPr>
        <w:t>__________________</w:t>
      </w:r>
    </w:p>
    <w:p w14:paraId="03B6525C">
      <w:pPr>
        <w:widowControl/>
        <w:spacing w:line="720" w:lineRule="auto"/>
        <w:jc w:val="left"/>
        <w:rPr>
          <w:rFonts w:ascii="宋体" w:hAnsi="宋体" w:cs="宋体"/>
          <w:b/>
          <w:color w:val="auto"/>
          <w:kern w:val="0"/>
          <w:sz w:val="32"/>
          <w:szCs w:val="32"/>
          <w:highlight w:val="none"/>
        </w:rPr>
        <w:sectPr>
          <w:footerReference r:id="rId3" w:type="default"/>
          <w:pgSz w:w="11906" w:h="16838"/>
          <w:pgMar w:top="1304" w:right="722" w:bottom="1134" w:left="1304" w:header="851" w:footer="992" w:gutter="0"/>
          <w:cols w:space="720" w:num="1"/>
          <w:docGrid w:linePitch="312" w:charSpace="0"/>
        </w:sectPr>
      </w:pPr>
      <w:r>
        <w:rPr>
          <w:rFonts w:hint="eastAsia" w:ascii="宋体" w:hAnsi="宋体" w:cs="宋体"/>
          <w:color w:val="auto"/>
          <w:kern w:val="0"/>
          <w:sz w:val="30"/>
          <w:szCs w:val="30"/>
          <w:highlight w:val="none"/>
        </w:rPr>
        <w:t>签订日期：</w:t>
      </w:r>
      <w:r>
        <w:rPr>
          <w:rFonts w:ascii="宋体" w:hAnsi="宋体" w:cs="Calibri"/>
          <w:color w:val="auto"/>
          <w:kern w:val="0"/>
          <w:sz w:val="30"/>
          <w:szCs w:val="30"/>
          <w:highlight w:val="none"/>
        </w:rPr>
        <w:t xml:space="preserve"> </w:t>
      </w:r>
      <w:r>
        <w:rPr>
          <w:rFonts w:hint="eastAsia" w:ascii="宋体" w:hAnsi="宋体" w:cs="Calibri"/>
          <w:color w:val="auto"/>
          <w:kern w:val="0"/>
          <w:sz w:val="30"/>
          <w:szCs w:val="30"/>
          <w:highlight w:val="none"/>
        </w:rPr>
        <w:t xml:space="preserve"> </w:t>
      </w:r>
      <w:r>
        <w:rPr>
          <w:rFonts w:hint="eastAsia" w:ascii="宋体" w:hAnsi="宋体" w:cs="宋体"/>
          <w:color w:val="auto"/>
          <w:kern w:val="0"/>
          <w:sz w:val="30"/>
          <w:szCs w:val="30"/>
          <w:highlight w:val="none"/>
        </w:rPr>
        <w:t>年</w:t>
      </w:r>
      <w:r>
        <w:rPr>
          <w:rFonts w:ascii="宋体" w:hAnsi="宋体" w:cs="Calibri"/>
          <w:color w:val="auto"/>
          <w:kern w:val="0"/>
          <w:sz w:val="30"/>
          <w:szCs w:val="30"/>
          <w:highlight w:val="none"/>
        </w:rPr>
        <w:t xml:space="preserve"> </w:t>
      </w:r>
      <w:r>
        <w:rPr>
          <w:rFonts w:hint="eastAsia" w:ascii="宋体" w:hAnsi="宋体" w:cs="Calibri"/>
          <w:color w:val="auto"/>
          <w:kern w:val="0"/>
          <w:sz w:val="30"/>
          <w:szCs w:val="30"/>
          <w:highlight w:val="none"/>
        </w:rPr>
        <w:t xml:space="preserve"> </w:t>
      </w:r>
      <w:r>
        <w:rPr>
          <w:rFonts w:hint="eastAsia" w:ascii="宋体" w:hAnsi="宋体" w:cs="宋体"/>
          <w:color w:val="auto"/>
          <w:kern w:val="0"/>
          <w:sz w:val="30"/>
          <w:szCs w:val="30"/>
          <w:highlight w:val="none"/>
        </w:rPr>
        <w:t>月</w:t>
      </w:r>
      <w:r>
        <w:rPr>
          <w:rFonts w:ascii="宋体" w:hAnsi="宋体" w:cs="Calibri"/>
          <w:color w:val="auto"/>
          <w:kern w:val="0"/>
          <w:sz w:val="30"/>
          <w:szCs w:val="30"/>
          <w:highlight w:val="none"/>
        </w:rPr>
        <w:t xml:space="preserve"> </w:t>
      </w:r>
      <w:r>
        <w:rPr>
          <w:rFonts w:hint="eastAsia" w:ascii="宋体" w:hAnsi="宋体" w:cs="Calibri"/>
          <w:color w:val="auto"/>
          <w:kern w:val="0"/>
          <w:sz w:val="30"/>
          <w:szCs w:val="30"/>
          <w:highlight w:val="none"/>
        </w:rPr>
        <w:t xml:space="preserve"> </w:t>
      </w:r>
      <w:r>
        <w:rPr>
          <w:rFonts w:hint="eastAsia" w:ascii="宋体" w:hAnsi="宋体" w:cs="宋体"/>
          <w:color w:val="auto"/>
          <w:kern w:val="0"/>
          <w:sz w:val="30"/>
          <w:szCs w:val="30"/>
          <w:highlight w:val="none"/>
        </w:rPr>
        <w:t>日</w:t>
      </w:r>
      <w:r>
        <w:rPr>
          <w:rFonts w:hint="eastAsia" w:ascii="宋体" w:hAnsi="宋体" w:cs="宋体"/>
          <w:b/>
          <w:color w:val="auto"/>
          <w:kern w:val="0"/>
          <w:sz w:val="32"/>
          <w:szCs w:val="32"/>
          <w:highlight w:val="none"/>
        </w:rPr>
        <w:t xml:space="preserve"> </w:t>
      </w:r>
    </w:p>
    <w:p w14:paraId="06BD2E0F">
      <w:pPr>
        <w:rPr>
          <w:rFonts w:ascii="宋体" w:hAnsi="宋体"/>
          <w:color w:val="auto"/>
          <w:highlight w:val="none"/>
        </w:rPr>
      </w:pPr>
    </w:p>
    <w:p w14:paraId="4FC1D100">
      <w:pPr>
        <w:pStyle w:val="3"/>
        <w:tabs>
          <w:tab w:val="left" w:pos="1283"/>
        </w:tabs>
        <w:ind w:right="17"/>
        <w:jc w:val="center"/>
        <w:rPr>
          <w:rFonts w:ascii="宋体" w:hAnsi="宋体"/>
          <w:color w:val="auto"/>
          <w:sz w:val="25"/>
          <w:highlight w:val="none"/>
        </w:rPr>
      </w:pPr>
      <w:bookmarkStart w:id="152" w:name="_Toc8476"/>
      <w:r>
        <w:rPr>
          <w:rFonts w:ascii="宋体" w:hAnsi="宋体"/>
          <w:color w:val="auto"/>
          <w:highlight w:val="none"/>
        </w:rPr>
        <w:t>合同主要条款</w:t>
      </w:r>
      <w:bookmarkEnd w:id="152"/>
    </w:p>
    <w:p w14:paraId="27C5FE55">
      <w:pPr>
        <w:pStyle w:val="3"/>
        <w:kinsoku w:val="0"/>
        <w:overflowPunct w:val="0"/>
        <w:spacing w:line="240" w:lineRule="atLeast"/>
        <w:jc w:val="center"/>
        <w:rPr>
          <w:rFonts w:ascii="宋体" w:hAnsi="宋体"/>
          <w:color w:val="auto"/>
          <w:highlight w:val="none"/>
        </w:rPr>
      </w:pPr>
      <w:bookmarkStart w:id="153" w:name="第一部分_合同协议书"/>
      <w:bookmarkEnd w:id="153"/>
      <w:bookmarkStart w:id="154" w:name="_Toc31229"/>
      <w:r>
        <w:rPr>
          <w:rFonts w:ascii="宋体" w:hAnsi="宋体"/>
          <w:color w:val="auto"/>
          <w:highlight w:val="none"/>
        </w:rPr>
        <w:t>第一部分合同协议书</w:t>
      </w:r>
      <w:bookmarkEnd w:id="154"/>
    </w:p>
    <w:p w14:paraId="7DEE4625">
      <w:pPr>
        <w:spacing w:line="420" w:lineRule="exact"/>
        <w:rPr>
          <w:rFonts w:ascii="宋体" w:hAnsi="宋体"/>
          <w:color w:val="auto"/>
          <w:highlight w:val="none"/>
        </w:rPr>
      </w:pPr>
      <w:bookmarkStart w:id="155" w:name="_Toc184635071"/>
    </w:p>
    <w:bookmarkEnd w:id="155"/>
    <w:p w14:paraId="5761CE89">
      <w:pPr>
        <w:spacing w:line="360" w:lineRule="auto"/>
        <w:rPr>
          <w:rFonts w:ascii="宋体" w:hAnsi="宋体"/>
          <w:color w:val="auto"/>
          <w:szCs w:val="21"/>
          <w:highlight w:val="none"/>
          <w:u w:val="single"/>
        </w:rPr>
      </w:pPr>
      <w:r>
        <w:rPr>
          <w:rFonts w:ascii="宋体" w:hAnsi="宋体"/>
          <w:color w:val="auto"/>
          <w:szCs w:val="21"/>
          <w:highlight w:val="none"/>
        </w:rPr>
        <w:t>发包人（全称）：</w:t>
      </w:r>
      <w:r>
        <w:rPr>
          <w:rFonts w:hint="eastAsia" w:ascii="宋体" w:hAnsi="宋体"/>
          <w:color w:val="auto"/>
          <w:szCs w:val="21"/>
          <w:highlight w:val="none"/>
          <w:u w:val="single"/>
          <w:lang w:eastAsia="zh-CN"/>
        </w:rPr>
        <w:t>玉林市玉州区仁厚镇人民政府</w:t>
      </w:r>
      <w:r>
        <w:rPr>
          <w:rFonts w:hint="eastAsia" w:ascii="宋体" w:hAnsi="宋体"/>
          <w:color w:val="auto"/>
          <w:szCs w:val="21"/>
          <w:highlight w:val="none"/>
          <w:u w:val="single"/>
        </w:rPr>
        <w:t xml:space="preserve"> </w:t>
      </w:r>
    </w:p>
    <w:p w14:paraId="0CE8A45D">
      <w:pPr>
        <w:spacing w:line="360" w:lineRule="auto"/>
        <w:rPr>
          <w:rFonts w:ascii="宋体" w:hAnsi="宋体"/>
          <w:color w:val="auto"/>
          <w:szCs w:val="21"/>
          <w:highlight w:val="none"/>
          <w:u w:val="single"/>
        </w:rPr>
      </w:pPr>
      <w:r>
        <w:rPr>
          <w:rFonts w:ascii="宋体" w:hAnsi="宋体"/>
          <w:color w:val="auto"/>
          <w:szCs w:val="21"/>
          <w:highlight w:val="none"/>
        </w:rPr>
        <w:t>承包人（全称）：</w:t>
      </w:r>
      <w:r>
        <w:rPr>
          <w:rFonts w:ascii="宋体" w:hAnsi="宋体"/>
          <w:color w:val="auto"/>
          <w:szCs w:val="21"/>
          <w:highlight w:val="none"/>
          <w:u w:val="single"/>
        </w:rPr>
        <w:t></w:t>
      </w:r>
      <w:r>
        <w:rPr>
          <w:rFonts w:hint="eastAsia" w:ascii="宋体" w:hAnsi="宋体"/>
          <w:color w:val="auto"/>
          <w:szCs w:val="21"/>
          <w:highlight w:val="none"/>
          <w:u w:val="single"/>
        </w:rPr>
        <w:t xml:space="preserve">                           </w:t>
      </w:r>
    </w:p>
    <w:p w14:paraId="41A89ACD">
      <w:pPr>
        <w:pStyle w:val="249"/>
        <w:spacing w:line="360" w:lineRule="auto"/>
        <w:ind w:firstLine="525" w:firstLineChars="250"/>
        <w:rPr>
          <w:rFonts w:ascii="宋体" w:hAnsi="宋体"/>
          <w:color w:val="auto"/>
          <w:highlight w:val="none"/>
        </w:rPr>
      </w:pPr>
      <w:r>
        <w:rPr>
          <w:rFonts w:ascii="宋体" w:hAnsi="宋体"/>
          <w:color w:val="auto"/>
          <w:highlight w:val="none"/>
        </w:rPr>
        <w:t>根据《中华人民共和国合同法》、《中华人民共和国建筑法》及有关法律规定，遵循平等、自愿、公平和诚实信用的原则，双方就</w:t>
      </w:r>
      <w:r>
        <w:rPr>
          <w:rFonts w:hint="eastAsia" w:ascii="宋体" w:hAnsi="宋体"/>
          <w:color w:val="auto"/>
          <w:szCs w:val="21"/>
          <w:highlight w:val="none"/>
          <w:u w:val="single"/>
          <w:lang w:eastAsia="zh-CN"/>
        </w:rPr>
        <w:t xml:space="preserve">铁匠村广屋片东门小型桥梁、上罗村山谷塘片16社-23社小型农田水利项目 </w:t>
      </w:r>
      <w:r>
        <w:rPr>
          <w:rFonts w:ascii="宋体" w:hAnsi="宋体"/>
          <w:color w:val="auto"/>
          <w:highlight w:val="none"/>
        </w:rPr>
        <w:t>施工及有关事项协商一致，共同达成如下协议：</w:t>
      </w:r>
      <w:bookmarkStart w:id="156" w:name="_Toc351203481"/>
    </w:p>
    <w:p w14:paraId="7C6E6AFA">
      <w:pPr>
        <w:pStyle w:val="249"/>
        <w:spacing w:line="360" w:lineRule="auto"/>
        <w:ind w:firstLine="525" w:firstLineChars="250"/>
        <w:rPr>
          <w:rFonts w:ascii="宋体" w:hAnsi="宋体"/>
          <w:color w:val="auto"/>
          <w:highlight w:val="none"/>
        </w:rPr>
      </w:pPr>
      <w:r>
        <w:rPr>
          <w:rFonts w:ascii="宋体" w:hAnsi="宋体"/>
          <w:color w:val="auto"/>
          <w:highlight w:val="none"/>
        </w:rPr>
        <w:t>一、工程概况</w:t>
      </w:r>
      <w:bookmarkEnd w:id="156"/>
    </w:p>
    <w:p w14:paraId="5F666857">
      <w:pPr>
        <w:pStyle w:val="249"/>
        <w:spacing w:line="360" w:lineRule="auto"/>
        <w:ind w:firstLine="525" w:firstLineChars="250"/>
        <w:rPr>
          <w:rFonts w:ascii="宋体" w:hAnsi="宋体"/>
          <w:color w:val="auto"/>
          <w:highlight w:val="none"/>
        </w:rPr>
      </w:pPr>
      <w:r>
        <w:rPr>
          <w:rFonts w:ascii="宋体" w:hAnsi="宋体"/>
          <w:color w:val="auto"/>
          <w:highlight w:val="none"/>
        </w:rPr>
        <w:t>1. 工程名称：</w:t>
      </w:r>
      <w:r>
        <w:rPr>
          <w:rFonts w:hint="eastAsia" w:ascii="宋体" w:hAnsi="宋体"/>
          <w:color w:val="auto"/>
          <w:szCs w:val="21"/>
          <w:highlight w:val="none"/>
          <w:u w:val="single"/>
          <w:lang w:eastAsia="zh-CN"/>
        </w:rPr>
        <w:t xml:space="preserve">铁匠村广屋片东门小型桥梁、上罗村山谷塘片16社-23社小型农田水利项目 </w:t>
      </w:r>
      <w:r>
        <w:rPr>
          <w:rFonts w:hint="eastAsia" w:ascii="宋体" w:hAnsi="宋体"/>
          <w:color w:val="auto"/>
          <w:szCs w:val="21"/>
          <w:highlight w:val="none"/>
          <w:u w:val="single"/>
        </w:rPr>
        <w:t xml:space="preserve"> </w:t>
      </w:r>
    </w:p>
    <w:p w14:paraId="6EC34A82">
      <w:pPr>
        <w:pStyle w:val="249"/>
        <w:spacing w:line="360" w:lineRule="auto"/>
        <w:ind w:firstLine="525" w:firstLineChars="250"/>
        <w:rPr>
          <w:rFonts w:ascii="宋体" w:hAnsi="宋体"/>
          <w:color w:val="auto"/>
          <w:highlight w:val="none"/>
          <w:u w:val="single"/>
        </w:rPr>
      </w:pPr>
      <w:r>
        <w:rPr>
          <w:rFonts w:ascii="宋体" w:hAnsi="宋体"/>
          <w:color w:val="auto"/>
          <w:highlight w:val="none"/>
        </w:rPr>
        <w:t>2. 工程地点：</w:t>
      </w:r>
      <w:r>
        <w:rPr>
          <w:rFonts w:hint="eastAsia" w:ascii="宋体" w:hAnsi="宋体"/>
          <w:color w:val="auto"/>
          <w:szCs w:val="21"/>
          <w:highlight w:val="none"/>
          <w:u w:val="single"/>
          <w:lang w:eastAsia="zh-CN"/>
        </w:rPr>
        <w:t>玉林市仁厚镇荔枝村、下罗村、大卢村、仁厚村内</w:t>
      </w:r>
      <w:r>
        <w:rPr>
          <w:rFonts w:hint="eastAsia" w:ascii="宋体" w:hAnsi="宋体"/>
          <w:color w:val="auto"/>
          <w:szCs w:val="21"/>
          <w:highlight w:val="none"/>
          <w:u w:val="single"/>
        </w:rPr>
        <w:t xml:space="preserve"> </w:t>
      </w:r>
    </w:p>
    <w:p w14:paraId="02CC06A1">
      <w:pPr>
        <w:spacing w:line="360" w:lineRule="auto"/>
        <w:ind w:firstLine="411" w:firstLineChars="196"/>
        <w:rPr>
          <w:rFonts w:ascii="宋体" w:hAnsi="宋体"/>
          <w:bCs/>
          <w:color w:val="auto"/>
          <w:szCs w:val="21"/>
          <w:highlight w:val="none"/>
        </w:rPr>
      </w:pPr>
      <w:r>
        <w:rPr>
          <w:rFonts w:ascii="宋体" w:hAnsi="宋体"/>
          <w:bCs/>
          <w:color w:val="auto"/>
          <w:szCs w:val="21"/>
          <w:highlight w:val="none"/>
        </w:rPr>
        <w:t>3. 工程立项批准文号：</w:t>
      </w:r>
      <w:r>
        <w:rPr>
          <w:rFonts w:ascii="宋体" w:hAnsi="宋体"/>
          <w:color w:val="auto"/>
          <w:szCs w:val="21"/>
          <w:highlight w:val="none"/>
          <w:u w:val="single"/>
        </w:rPr>
        <w:t xml:space="preserve">              </w:t>
      </w:r>
      <w:r>
        <w:rPr>
          <w:rFonts w:ascii="宋体" w:hAnsi="宋体"/>
          <w:bCs/>
          <w:color w:val="auto"/>
          <w:szCs w:val="21"/>
          <w:highlight w:val="none"/>
        </w:rPr>
        <w:t>。</w:t>
      </w:r>
    </w:p>
    <w:p w14:paraId="10F9CF5D">
      <w:pPr>
        <w:spacing w:line="360" w:lineRule="auto"/>
        <w:ind w:firstLine="411" w:firstLineChars="196"/>
        <w:rPr>
          <w:rFonts w:ascii="宋体" w:hAnsi="宋体"/>
          <w:bCs/>
          <w:color w:val="auto"/>
          <w:szCs w:val="21"/>
          <w:highlight w:val="none"/>
        </w:rPr>
      </w:pPr>
      <w:r>
        <w:rPr>
          <w:rFonts w:ascii="宋体" w:hAnsi="宋体"/>
          <w:bCs/>
          <w:color w:val="auto"/>
          <w:szCs w:val="21"/>
          <w:highlight w:val="none"/>
        </w:rPr>
        <w:t>4. 资金来源：</w:t>
      </w:r>
      <w:r>
        <w:rPr>
          <w:rFonts w:hint="eastAsia" w:ascii="宋体" w:hAnsi="宋体"/>
          <w:color w:val="auto"/>
          <w:szCs w:val="21"/>
          <w:highlight w:val="none"/>
          <w:u w:val="single"/>
          <w:lang w:eastAsia="zh-CN"/>
        </w:rPr>
        <w:t>一般公共预算资金</w:t>
      </w:r>
      <w:r>
        <w:rPr>
          <w:rFonts w:ascii="宋体" w:hAnsi="宋体"/>
          <w:bCs/>
          <w:color w:val="auto"/>
          <w:szCs w:val="21"/>
          <w:highlight w:val="none"/>
        </w:rPr>
        <w:t>。</w:t>
      </w:r>
    </w:p>
    <w:p w14:paraId="79ADDBC1">
      <w:pPr>
        <w:spacing w:line="360" w:lineRule="auto"/>
        <w:ind w:firstLine="411" w:firstLineChars="196"/>
        <w:rPr>
          <w:rFonts w:ascii="宋体" w:hAnsi="宋体"/>
          <w:bCs/>
          <w:color w:val="auto"/>
          <w:szCs w:val="21"/>
          <w:highlight w:val="none"/>
          <w:u w:val="single"/>
        </w:rPr>
      </w:pPr>
      <w:r>
        <w:rPr>
          <w:rFonts w:ascii="宋体" w:hAnsi="宋体"/>
          <w:bCs/>
          <w:color w:val="auto"/>
          <w:szCs w:val="21"/>
          <w:highlight w:val="none"/>
        </w:rPr>
        <w:t>5. 工程内容</w:t>
      </w:r>
      <w:r>
        <w:rPr>
          <w:rFonts w:hint="eastAsia" w:ascii="宋体" w:hAnsi="宋体"/>
          <w:bCs/>
          <w:color w:val="auto"/>
          <w:szCs w:val="21"/>
          <w:highlight w:val="none"/>
        </w:rPr>
        <w:t>：</w:t>
      </w:r>
      <w:r>
        <w:rPr>
          <w:rFonts w:hint="eastAsia" w:ascii="宋体" w:hAnsi="宋体"/>
          <w:bCs/>
          <w:color w:val="auto"/>
          <w:szCs w:val="21"/>
          <w:highlight w:val="none"/>
          <w:u w:val="single"/>
        </w:rPr>
        <w:t>具体内容详见竞争性磋商采购文件和工程量清单所包含的全部内容</w:t>
      </w:r>
      <w:r>
        <w:rPr>
          <w:rFonts w:ascii="宋体" w:hAnsi="宋体"/>
          <w:bCs/>
          <w:color w:val="auto"/>
          <w:szCs w:val="21"/>
          <w:highlight w:val="none"/>
          <w:u w:val="single"/>
        </w:rPr>
        <w:t>。</w:t>
      </w:r>
    </w:p>
    <w:p w14:paraId="0ECAD175">
      <w:pPr>
        <w:spacing w:line="360" w:lineRule="auto"/>
        <w:ind w:firstLine="411" w:firstLineChars="196"/>
        <w:rPr>
          <w:rFonts w:ascii="宋体" w:hAnsi="宋体"/>
          <w:bCs/>
          <w:color w:val="auto"/>
          <w:szCs w:val="21"/>
          <w:highlight w:val="none"/>
        </w:rPr>
      </w:pPr>
      <w:r>
        <w:rPr>
          <w:rFonts w:ascii="宋体" w:hAnsi="宋体"/>
          <w:color w:val="auto"/>
          <w:szCs w:val="21"/>
          <w:highlight w:val="none"/>
        </w:rPr>
        <w:t>群体工程应附《承包人承揽工程项目一览表》（附件1）。</w:t>
      </w:r>
    </w:p>
    <w:p w14:paraId="56D37C71">
      <w:pPr>
        <w:spacing w:line="360" w:lineRule="auto"/>
        <w:rPr>
          <w:rFonts w:ascii="宋体" w:hAnsi="宋体"/>
          <w:bCs/>
          <w:color w:val="auto"/>
          <w:szCs w:val="21"/>
          <w:highlight w:val="none"/>
        </w:rPr>
      </w:pPr>
      <w:r>
        <w:rPr>
          <w:rFonts w:ascii="宋体" w:hAnsi="宋体"/>
          <w:bCs/>
          <w:color w:val="auto"/>
          <w:szCs w:val="21"/>
          <w:highlight w:val="none"/>
        </w:rPr>
        <w:t>6. 工程承包范围</w:t>
      </w:r>
      <w:r>
        <w:rPr>
          <w:rFonts w:ascii="宋体" w:hAnsi="宋体"/>
          <w:bCs/>
          <w:color w:val="auto"/>
          <w:szCs w:val="21"/>
          <w:highlight w:val="none"/>
          <w:u w:val="single"/>
        </w:rPr>
        <w:t>：</w:t>
      </w:r>
      <w:r>
        <w:rPr>
          <w:rFonts w:hint="eastAsia" w:ascii="宋体" w:hAnsi="宋体"/>
          <w:bCs/>
          <w:color w:val="auto"/>
          <w:szCs w:val="21"/>
          <w:highlight w:val="none"/>
          <w:u w:val="single"/>
        </w:rPr>
        <w:t>具体内容详见竞争性磋商采购文件和工程量清单所包含的全部内容</w:t>
      </w:r>
      <w:r>
        <w:rPr>
          <w:rFonts w:ascii="宋体" w:hAnsi="宋体"/>
          <w:bCs/>
          <w:color w:val="auto"/>
          <w:szCs w:val="21"/>
          <w:highlight w:val="none"/>
          <w:u w:val="single"/>
        </w:rPr>
        <w:t>。</w:t>
      </w:r>
    </w:p>
    <w:p w14:paraId="2F66A789">
      <w:pPr>
        <w:spacing w:line="360" w:lineRule="auto"/>
        <w:ind w:firstLine="407" w:firstLineChars="193"/>
        <w:rPr>
          <w:rFonts w:ascii="宋体" w:hAnsi="宋体"/>
          <w:b/>
          <w:bCs/>
          <w:color w:val="auto"/>
          <w:szCs w:val="21"/>
          <w:highlight w:val="none"/>
        </w:rPr>
      </w:pPr>
      <w:bookmarkStart w:id="157" w:name="_Toc351203482"/>
      <w:r>
        <w:rPr>
          <w:rFonts w:ascii="宋体" w:hAnsi="宋体"/>
          <w:b/>
          <w:bCs/>
          <w:color w:val="auto"/>
          <w:szCs w:val="21"/>
          <w:highlight w:val="none"/>
        </w:rPr>
        <w:t>二、合同工期</w:t>
      </w:r>
      <w:bookmarkEnd w:id="157"/>
    </w:p>
    <w:p w14:paraId="75A443A4">
      <w:pPr>
        <w:spacing w:line="360" w:lineRule="auto"/>
        <w:ind w:firstLine="459"/>
        <w:rPr>
          <w:rFonts w:ascii="宋体" w:hAnsi="宋体"/>
          <w:color w:val="auto"/>
          <w:szCs w:val="21"/>
          <w:highlight w:val="none"/>
        </w:rPr>
      </w:pPr>
      <w:r>
        <w:rPr>
          <w:rFonts w:ascii="宋体" w:hAnsi="宋体"/>
          <w:color w:val="auto"/>
          <w:szCs w:val="21"/>
          <w:highlight w:val="none"/>
        </w:rPr>
        <w:t>开工日期：</w:t>
      </w:r>
      <w:r>
        <w:rPr>
          <w:rFonts w:hint="eastAsia" w:ascii="宋体" w:hAnsi="宋体"/>
          <w:color w:val="auto"/>
          <w:szCs w:val="21"/>
          <w:highlight w:val="none"/>
        </w:rPr>
        <w:t xml:space="preserve">  </w:t>
      </w:r>
      <w:r>
        <w:rPr>
          <w:rFonts w:ascii="宋体" w:hAnsi="宋体"/>
          <w:color w:val="auto"/>
          <w:highlight w:val="none"/>
        </w:rPr>
        <w:t>年</w:t>
      </w:r>
      <w:r>
        <w:rPr>
          <w:rFonts w:hint="eastAsia" w:ascii="宋体" w:hAnsi="宋体"/>
          <w:color w:val="auto"/>
          <w:highlight w:val="none"/>
        </w:rPr>
        <w:t xml:space="preserve">  </w:t>
      </w:r>
      <w:r>
        <w:rPr>
          <w:rFonts w:ascii="宋体" w:hAnsi="宋体"/>
          <w:color w:val="auto"/>
          <w:highlight w:val="none"/>
        </w:rPr>
        <w:t>月</w:t>
      </w:r>
      <w:r>
        <w:rPr>
          <w:rFonts w:hint="eastAsia" w:ascii="宋体" w:hAnsi="宋体"/>
          <w:color w:val="auto"/>
          <w:highlight w:val="none"/>
        </w:rPr>
        <w:t xml:space="preserve">  </w:t>
      </w:r>
      <w:r>
        <w:rPr>
          <w:rFonts w:ascii="宋体" w:hAnsi="宋体"/>
          <w:color w:val="auto"/>
          <w:highlight w:val="none"/>
        </w:rPr>
        <w:t>日</w:t>
      </w:r>
      <w:r>
        <w:rPr>
          <w:rFonts w:ascii="宋体" w:hAnsi="宋体"/>
          <w:color w:val="auto"/>
          <w:szCs w:val="21"/>
          <w:highlight w:val="none"/>
        </w:rPr>
        <w:t>。（具体以发包人书面通知为准）</w:t>
      </w:r>
    </w:p>
    <w:p w14:paraId="7D50E218">
      <w:pPr>
        <w:spacing w:line="360" w:lineRule="auto"/>
        <w:ind w:firstLine="525" w:firstLineChars="250"/>
        <w:rPr>
          <w:rFonts w:ascii="宋体" w:hAnsi="宋体"/>
          <w:color w:val="auto"/>
          <w:highlight w:val="none"/>
        </w:rPr>
      </w:pPr>
      <w:r>
        <w:rPr>
          <w:rFonts w:ascii="宋体" w:hAnsi="宋体"/>
          <w:color w:val="auto"/>
          <w:szCs w:val="21"/>
          <w:highlight w:val="none"/>
        </w:rPr>
        <w:t>竣工日期：</w:t>
      </w:r>
      <w:r>
        <w:rPr>
          <w:rFonts w:hint="eastAsia" w:ascii="宋体" w:hAnsi="宋体"/>
          <w:color w:val="auto"/>
          <w:szCs w:val="21"/>
          <w:highlight w:val="none"/>
        </w:rPr>
        <w:t xml:space="preserve">  </w:t>
      </w:r>
      <w:r>
        <w:rPr>
          <w:rFonts w:ascii="宋体" w:hAnsi="宋体"/>
          <w:color w:val="auto"/>
          <w:highlight w:val="none"/>
        </w:rPr>
        <w:t>年</w:t>
      </w:r>
      <w:r>
        <w:rPr>
          <w:rFonts w:hint="eastAsia" w:ascii="宋体" w:hAnsi="宋体"/>
          <w:color w:val="auto"/>
          <w:highlight w:val="none"/>
        </w:rPr>
        <w:t xml:space="preserve">  </w:t>
      </w:r>
      <w:r>
        <w:rPr>
          <w:rFonts w:ascii="宋体" w:hAnsi="宋体"/>
          <w:color w:val="auto"/>
          <w:highlight w:val="none"/>
        </w:rPr>
        <w:t>月</w:t>
      </w:r>
      <w:r>
        <w:rPr>
          <w:rFonts w:hint="eastAsia" w:ascii="宋体" w:hAnsi="宋体"/>
          <w:color w:val="auto"/>
          <w:highlight w:val="none"/>
        </w:rPr>
        <w:t xml:space="preserve">  </w:t>
      </w:r>
      <w:r>
        <w:rPr>
          <w:rFonts w:ascii="宋体" w:hAnsi="宋体"/>
          <w:color w:val="auto"/>
          <w:highlight w:val="none"/>
        </w:rPr>
        <w:t>日</w:t>
      </w:r>
      <w:r>
        <w:rPr>
          <w:rFonts w:ascii="宋体" w:hAnsi="宋体"/>
          <w:color w:val="auto"/>
          <w:szCs w:val="21"/>
          <w:highlight w:val="none"/>
        </w:rPr>
        <w:t>。</w:t>
      </w:r>
    </w:p>
    <w:p w14:paraId="1B1802DE">
      <w:pPr>
        <w:spacing w:line="360" w:lineRule="auto"/>
        <w:ind w:firstLine="459"/>
        <w:rPr>
          <w:rFonts w:ascii="宋体" w:hAnsi="宋体"/>
          <w:color w:val="auto"/>
          <w:szCs w:val="21"/>
          <w:highlight w:val="none"/>
        </w:rPr>
      </w:pPr>
      <w:r>
        <w:rPr>
          <w:rFonts w:hint="eastAsia" w:ascii="宋体" w:hAnsi="宋体"/>
          <w:color w:val="auto"/>
          <w:szCs w:val="21"/>
          <w:highlight w:val="none"/>
        </w:rPr>
        <w:t>建设</w:t>
      </w:r>
      <w:r>
        <w:rPr>
          <w:rFonts w:ascii="宋体" w:hAnsi="宋体"/>
          <w:color w:val="auto"/>
          <w:szCs w:val="21"/>
          <w:highlight w:val="none"/>
        </w:rPr>
        <w:t>工期：</w:t>
      </w:r>
      <w:r>
        <w:rPr>
          <w:rFonts w:ascii="宋体" w:hAnsi="宋体"/>
          <w:color w:val="auto"/>
          <w:szCs w:val="21"/>
          <w:highlight w:val="none"/>
          <w:u w:val="single"/>
        </w:rPr>
        <w:t></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lang w:val="en-US"/>
        </w:rPr>
        <w:t>天（日历天）</w:t>
      </w:r>
      <w:r>
        <w:rPr>
          <w:rFonts w:ascii="宋体" w:hAnsi="宋体"/>
          <w:color w:val="auto"/>
          <w:szCs w:val="21"/>
          <w:highlight w:val="none"/>
        </w:rPr>
        <w:t>。</w:t>
      </w:r>
      <w:bookmarkStart w:id="158" w:name="_Toc351203483"/>
    </w:p>
    <w:p w14:paraId="4F8E1508">
      <w:pPr>
        <w:spacing w:line="360" w:lineRule="auto"/>
        <w:ind w:firstLine="459"/>
        <w:rPr>
          <w:rFonts w:ascii="宋体" w:hAnsi="宋体"/>
          <w:b/>
          <w:bCs/>
          <w:color w:val="auto"/>
          <w:szCs w:val="21"/>
          <w:highlight w:val="none"/>
        </w:rPr>
      </w:pPr>
      <w:r>
        <w:rPr>
          <w:rFonts w:ascii="宋体" w:hAnsi="宋体"/>
          <w:b/>
          <w:bCs/>
          <w:color w:val="auto"/>
          <w:szCs w:val="21"/>
          <w:highlight w:val="none"/>
        </w:rPr>
        <w:t>三、质量标准</w:t>
      </w:r>
      <w:bookmarkEnd w:id="158"/>
    </w:p>
    <w:p w14:paraId="63F6E402">
      <w:pPr>
        <w:spacing w:line="360" w:lineRule="auto"/>
        <w:ind w:firstLine="459"/>
        <w:rPr>
          <w:rFonts w:ascii="宋体" w:hAnsi="宋体"/>
          <w:color w:val="auto"/>
          <w:szCs w:val="21"/>
          <w:highlight w:val="none"/>
        </w:rPr>
      </w:pPr>
      <w:r>
        <w:rPr>
          <w:rFonts w:ascii="宋体" w:hAnsi="宋体"/>
          <w:color w:val="auto"/>
          <w:szCs w:val="21"/>
          <w:highlight w:val="none"/>
        </w:rPr>
        <w:t>工程质量符合</w:t>
      </w:r>
      <w:r>
        <w:rPr>
          <w:rFonts w:ascii="宋体" w:hAnsi="宋体"/>
          <w:color w:val="auto"/>
          <w:szCs w:val="21"/>
          <w:highlight w:val="none"/>
          <w:u w:val="single"/>
        </w:rPr>
        <w:t>合同</w:t>
      </w:r>
      <w:r>
        <w:rPr>
          <w:rFonts w:ascii="宋体" w:hAnsi="宋体"/>
          <w:color w:val="auto"/>
          <w:szCs w:val="21"/>
          <w:highlight w:val="none"/>
        </w:rPr>
        <w:t>标准。</w:t>
      </w:r>
    </w:p>
    <w:p w14:paraId="2F615319">
      <w:pPr>
        <w:spacing w:line="360" w:lineRule="auto"/>
        <w:ind w:firstLine="459"/>
        <w:rPr>
          <w:rFonts w:ascii="宋体" w:hAnsi="宋体"/>
          <w:b/>
          <w:bCs/>
          <w:color w:val="auto"/>
          <w:szCs w:val="21"/>
          <w:highlight w:val="none"/>
        </w:rPr>
      </w:pPr>
      <w:bookmarkStart w:id="159" w:name="_Toc351203484"/>
      <w:r>
        <w:rPr>
          <w:rFonts w:ascii="宋体" w:hAnsi="宋体"/>
          <w:b/>
          <w:bCs/>
          <w:color w:val="auto"/>
          <w:szCs w:val="21"/>
          <w:highlight w:val="none"/>
        </w:rPr>
        <w:t>四、签约合同价与合同价格形式</w:t>
      </w:r>
      <w:bookmarkEnd w:id="159"/>
    </w:p>
    <w:p w14:paraId="2D1DE132">
      <w:pPr>
        <w:spacing w:line="360" w:lineRule="auto"/>
        <w:ind w:firstLine="459"/>
        <w:rPr>
          <w:rFonts w:ascii="宋体" w:hAnsi="宋体"/>
          <w:color w:val="auto"/>
          <w:szCs w:val="21"/>
          <w:highlight w:val="none"/>
        </w:rPr>
      </w:pPr>
      <w:r>
        <w:rPr>
          <w:rFonts w:ascii="宋体" w:hAnsi="宋体"/>
          <w:color w:val="auto"/>
          <w:szCs w:val="21"/>
          <w:highlight w:val="none"/>
        </w:rPr>
        <w:t xml:space="preserve">1. </w:t>
      </w:r>
      <w:r>
        <w:rPr>
          <w:rFonts w:ascii="宋体" w:hAnsi="宋体"/>
          <w:color w:val="auto"/>
          <w:szCs w:val="21"/>
          <w:highlight w:val="none"/>
        </w:rPr>
        <w:t>签约合同价为</w:t>
      </w:r>
      <w:r>
        <w:rPr>
          <w:rFonts w:hint="eastAsia" w:ascii="宋体" w:hAnsi="宋体"/>
          <w:color w:val="auto"/>
          <w:szCs w:val="21"/>
          <w:highlight w:val="none"/>
        </w:rPr>
        <w:t>固定综合单价</w:t>
      </w:r>
      <w:r>
        <w:rPr>
          <w:rFonts w:ascii="宋体" w:hAnsi="宋体"/>
          <w:color w:val="auto"/>
          <w:szCs w:val="21"/>
          <w:highlight w:val="none"/>
        </w:rPr>
        <w:t>：</w:t>
      </w:r>
    </w:p>
    <w:p w14:paraId="1C3176AE">
      <w:pPr>
        <w:spacing w:line="360" w:lineRule="auto"/>
        <w:ind w:firstLine="525" w:firstLineChars="250"/>
        <w:rPr>
          <w:rFonts w:ascii="宋体" w:hAnsi="宋体"/>
          <w:color w:val="auto"/>
          <w:szCs w:val="21"/>
          <w:highlight w:val="none"/>
        </w:rPr>
      </w:pPr>
      <w:r>
        <w:rPr>
          <w:rFonts w:ascii="宋体" w:hAnsi="宋体"/>
          <w:color w:val="auto"/>
          <w:szCs w:val="21"/>
          <w:highlight w:val="none"/>
        </w:rPr>
        <w:t>人民币（大写）（¥元）；</w:t>
      </w:r>
    </w:p>
    <w:p w14:paraId="0DDE327A">
      <w:pPr>
        <w:spacing w:line="360" w:lineRule="auto"/>
        <w:ind w:firstLine="420" w:firstLineChars="200"/>
        <w:rPr>
          <w:rFonts w:ascii="宋体" w:hAnsi="宋体"/>
          <w:color w:val="auto"/>
          <w:szCs w:val="21"/>
          <w:highlight w:val="none"/>
        </w:rPr>
      </w:pPr>
      <w:r>
        <w:rPr>
          <w:rFonts w:ascii="宋体" w:hAnsi="宋体"/>
          <w:color w:val="auto"/>
          <w:szCs w:val="21"/>
          <w:highlight w:val="none"/>
        </w:rPr>
        <w:t>2. 合同价格形式：</w:t>
      </w:r>
      <w:r>
        <w:rPr>
          <w:rFonts w:ascii="宋体" w:hAnsi="宋体"/>
          <w:color w:val="auto"/>
          <w:szCs w:val="21"/>
          <w:highlight w:val="none"/>
          <w:u w:val="single"/>
        </w:rPr>
        <w:t xml:space="preserve">固定综合单价，包工包料 </w:t>
      </w:r>
      <w:r>
        <w:rPr>
          <w:rFonts w:ascii="宋体" w:hAnsi="宋体"/>
          <w:color w:val="auto"/>
          <w:szCs w:val="21"/>
          <w:highlight w:val="none"/>
        </w:rPr>
        <w:t>。</w:t>
      </w:r>
    </w:p>
    <w:p w14:paraId="6CEF2C2B">
      <w:pPr>
        <w:spacing w:line="360" w:lineRule="auto"/>
        <w:ind w:firstLine="422" w:firstLineChars="200"/>
        <w:rPr>
          <w:rFonts w:ascii="宋体" w:hAnsi="宋体"/>
          <w:b/>
          <w:bCs/>
          <w:color w:val="auto"/>
          <w:szCs w:val="21"/>
          <w:highlight w:val="none"/>
        </w:rPr>
      </w:pPr>
      <w:bookmarkStart w:id="160" w:name="_Toc351203485"/>
      <w:r>
        <w:rPr>
          <w:rFonts w:ascii="宋体" w:hAnsi="宋体"/>
          <w:b/>
          <w:bCs/>
          <w:color w:val="auto"/>
          <w:szCs w:val="21"/>
          <w:highlight w:val="none"/>
        </w:rPr>
        <w:t>五、</w:t>
      </w:r>
      <w:bookmarkEnd w:id="160"/>
      <w:r>
        <w:rPr>
          <w:rFonts w:ascii="宋体" w:hAnsi="宋体"/>
          <w:b/>
          <w:bCs/>
          <w:color w:val="auto"/>
          <w:szCs w:val="21"/>
          <w:highlight w:val="none"/>
        </w:rPr>
        <w:t>项目经理</w:t>
      </w:r>
    </w:p>
    <w:p w14:paraId="74E7DE07">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承包人项目经理：</w:t>
      </w:r>
      <w:r>
        <w:rPr>
          <w:rFonts w:ascii="宋体" w:hAnsi="宋体"/>
          <w:color w:val="auto"/>
          <w:szCs w:val="21"/>
          <w:highlight w:val="none"/>
          <w:u w:val="single"/>
        </w:rPr>
        <w:t></w:t>
      </w:r>
      <w:r>
        <w:rPr>
          <w:rFonts w:ascii="宋体" w:hAnsi="宋体"/>
          <w:color w:val="auto"/>
          <w:szCs w:val="21"/>
          <w:highlight w:val="none"/>
        </w:rPr>
        <w:t>。</w:t>
      </w:r>
    </w:p>
    <w:p w14:paraId="3C685312">
      <w:pPr>
        <w:spacing w:line="360" w:lineRule="auto"/>
        <w:ind w:firstLine="422" w:firstLineChars="200"/>
        <w:rPr>
          <w:rFonts w:ascii="宋体" w:hAnsi="宋体"/>
          <w:b/>
          <w:bCs/>
          <w:color w:val="auto"/>
          <w:szCs w:val="21"/>
          <w:highlight w:val="none"/>
        </w:rPr>
      </w:pPr>
      <w:bookmarkStart w:id="161" w:name="_Toc351203486"/>
      <w:r>
        <w:rPr>
          <w:rFonts w:ascii="宋体" w:hAnsi="宋体"/>
          <w:b/>
          <w:bCs/>
          <w:color w:val="auto"/>
          <w:szCs w:val="21"/>
          <w:highlight w:val="none"/>
        </w:rPr>
        <w:t>六、合同文件构成</w:t>
      </w:r>
      <w:bookmarkEnd w:id="161"/>
    </w:p>
    <w:p w14:paraId="560F98EB">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14:paraId="637F9C9A">
      <w:pPr>
        <w:adjustRightInd w:val="0"/>
        <w:spacing w:line="360" w:lineRule="auto"/>
        <w:ind w:firstLine="420" w:firstLineChars="200"/>
        <w:rPr>
          <w:rFonts w:ascii="宋体" w:hAnsi="宋体"/>
          <w:color w:val="auto"/>
          <w:szCs w:val="21"/>
          <w:highlight w:val="none"/>
        </w:rPr>
      </w:pPr>
      <w:r>
        <w:rPr>
          <w:rFonts w:ascii="宋体" w:hAnsi="宋体"/>
          <w:color w:val="auto"/>
          <w:szCs w:val="21"/>
          <w:highlight w:val="none"/>
        </w:rPr>
        <w:t>（1）中标通知书（如有）；</w:t>
      </w:r>
    </w:p>
    <w:p w14:paraId="41693508">
      <w:pPr>
        <w:adjustRightInd w:val="0"/>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（2）投标函及其附录（如有）； </w:t>
      </w:r>
    </w:p>
    <w:p w14:paraId="6C687B56">
      <w:pPr>
        <w:adjustRightInd w:val="0"/>
        <w:spacing w:line="360" w:lineRule="auto"/>
        <w:ind w:firstLine="420" w:firstLineChars="200"/>
        <w:rPr>
          <w:rFonts w:ascii="宋体" w:hAnsi="宋体"/>
          <w:color w:val="auto"/>
          <w:szCs w:val="21"/>
          <w:highlight w:val="none"/>
        </w:rPr>
      </w:pPr>
      <w:r>
        <w:rPr>
          <w:rFonts w:ascii="宋体" w:hAnsi="宋体"/>
          <w:color w:val="auto"/>
          <w:szCs w:val="21"/>
          <w:highlight w:val="none"/>
        </w:rPr>
        <w:t>（3）专用合同条款及其附件；</w:t>
      </w:r>
    </w:p>
    <w:p w14:paraId="6026007E">
      <w:pPr>
        <w:adjustRightInd w:val="0"/>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（4）已标价工程量清单或预算书； </w:t>
      </w:r>
    </w:p>
    <w:p w14:paraId="722ED4A9">
      <w:pPr>
        <w:adjustRightInd w:val="0"/>
        <w:spacing w:line="360" w:lineRule="auto"/>
        <w:ind w:firstLine="420" w:firstLineChars="200"/>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0ABB27CF">
      <w:pPr>
        <w:adjustRightInd w:val="0"/>
        <w:spacing w:line="360" w:lineRule="auto"/>
        <w:ind w:firstLine="420" w:firstLineChars="200"/>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69084069">
      <w:pPr>
        <w:adjustRightInd w:val="0"/>
        <w:spacing w:line="360" w:lineRule="auto"/>
        <w:ind w:firstLine="422" w:firstLineChars="200"/>
        <w:rPr>
          <w:rFonts w:ascii="宋体" w:hAnsi="宋体"/>
          <w:b/>
          <w:bCs/>
          <w:color w:val="auto"/>
          <w:szCs w:val="21"/>
          <w:highlight w:val="none"/>
        </w:rPr>
      </w:pPr>
      <w:bookmarkStart w:id="162" w:name="_Toc351203487"/>
      <w:r>
        <w:rPr>
          <w:rFonts w:ascii="宋体" w:hAnsi="宋体"/>
          <w:b/>
          <w:bCs/>
          <w:color w:val="auto"/>
          <w:szCs w:val="21"/>
          <w:highlight w:val="none"/>
        </w:rPr>
        <w:t>七、承诺</w:t>
      </w:r>
      <w:bookmarkEnd w:id="162"/>
    </w:p>
    <w:p w14:paraId="11E6AB96">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1. 发包人承诺按照法律规定履行项目审批手续、筹集工程建设资金并按照合同约定的期限和方式支付合同价款。</w:t>
      </w:r>
    </w:p>
    <w:p w14:paraId="0ED116A7">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539CACED">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3. 发包人和承包人通过招投标形式签订合同的，双方理解并承诺不再就同一工程另行签订与合同实质性内容相背离的协议。</w:t>
      </w:r>
      <w:bookmarkStart w:id="163" w:name="_Toc351203488"/>
    </w:p>
    <w:p w14:paraId="746E8484">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八、词语含义</w:t>
      </w:r>
      <w:bookmarkEnd w:id="163"/>
    </w:p>
    <w:p w14:paraId="2791BF4F">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6E81C6EA">
      <w:pPr>
        <w:spacing w:line="360" w:lineRule="auto"/>
        <w:ind w:firstLine="422" w:firstLineChars="200"/>
        <w:rPr>
          <w:rFonts w:ascii="宋体" w:hAnsi="宋体"/>
          <w:b/>
          <w:bCs/>
          <w:color w:val="auto"/>
          <w:szCs w:val="21"/>
          <w:highlight w:val="none"/>
        </w:rPr>
      </w:pPr>
      <w:bookmarkStart w:id="164" w:name="_Toc351203489"/>
      <w:r>
        <w:rPr>
          <w:rFonts w:ascii="宋体" w:hAnsi="宋体"/>
          <w:b/>
          <w:bCs/>
          <w:color w:val="auto"/>
          <w:szCs w:val="21"/>
          <w:highlight w:val="none"/>
        </w:rPr>
        <w:t>九、签订时间</w:t>
      </w:r>
      <w:bookmarkEnd w:id="164"/>
    </w:p>
    <w:p w14:paraId="70A0AA02">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ascii="宋体" w:hAnsi="宋体"/>
          <w:bCs/>
          <w:color w:val="auto"/>
          <w:szCs w:val="21"/>
          <w:highlight w:val="none"/>
          <w:u w:val="single"/>
        </w:rPr>
        <w:t xml:space="preserve"> </w:t>
      </w:r>
      <w:r>
        <w:rPr>
          <w:rFonts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ascii="宋体" w:hAnsi="宋体"/>
          <w:bCs/>
          <w:color w:val="auto"/>
          <w:szCs w:val="21"/>
          <w:highlight w:val="none"/>
        </w:rPr>
        <w:t>日签订。</w:t>
      </w:r>
    </w:p>
    <w:p w14:paraId="25EA22A5">
      <w:pPr>
        <w:spacing w:line="360" w:lineRule="auto"/>
        <w:ind w:firstLine="422" w:firstLineChars="200"/>
        <w:rPr>
          <w:rFonts w:ascii="宋体" w:hAnsi="宋体"/>
          <w:b/>
          <w:bCs/>
          <w:color w:val="auto"/>
          <w:szCs w:val="21"/>
          <w:highlight w:val="none"/>
        </w:rPr>
      </w:pPr>
      <w:bookmarkStart w:id="165" w:name="_Toc351203490"/>
      <w:r>
        <w:rPr>
          <w:rFonts w:ascii="宋体" w:hAnsi="宋体"/>
          <w:b/>
          <w:bCs/>
          <w:color w:val="auto"/>
          <w:szCs w:val="21"/>
          <w:highlight w:val="none"/>
        </w:rPr>
        <w:t>十、签订地点</w:t>
      </w:r>
      <w:bookmarkEnd w:id="165"/>
    </w:p>
    <w:p w14:paraId="5696E79B">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hint="eastAsia" w:ascii="宋体" w:hAnsi="宋体"/>
          <w:color w:val="auto"/>
          <w:szCs w:val="21"/>
          <w:highlight w:val="none"/>
          <w:u w:val="single"/>
          <w:lang w:eastAsia="zh-CN"/>
        </w:rPr>
        <w:t>玉林市玉州区仁厚镇人民政府</w:t>
      </w:r>
      <w:r>
        <w:rPr>
          <w:rFonts w:ascii="宋体" w:hAnsi="宋体"/>
          <w:bCs/>
          <w:color w:val="auto"/>
          <w:szCs w:val="21"/>
          <w:highlight w:val="none"/>
        </w:rPr>
        <w:t>签订。</w:t>
      </w:r>
    </w:p>
    <w:p w14:paraId="226B3A17">
      <w:pPr>
        <w:spacing w:line="360" w:lineRule="auto"/>
        <w:ind w:firstLine="422" w:firstLineChars="200"/>
        <w:rPr>
          <w:rFonts w:ascii="宋体" w:hAnsi="宋体"/>
          <w:b/>
          <w:bCs/>
          <w:color w:val="auto"/>
          <w:szCs w:val="21"/>
          <w:highlight w:val="none"/>
        </w:rPr>
      </w:pPr>
      <w:bookmarkStart w:id="166" w:name="_Toc351203491"/>
      <w:r>
        <w:rPr>
          <w:rFonts w:ascii="宋体" w:hAnsi="宋体"/>
          <w:b/>
          <w:bCs/>
          <w:color w:val="auto"/>
          <w:szCs w:val="21"/>
          <w:highlight w:val="none"/>
        </w:rPr>
        <w:t>十一、补充协议</w:t>
      </w:r>
      <w:bookmarkEnd w:id="166"/>
    </w:p>
    <w:p w14:paraId="3BD0E2BA">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14:paraId="1391D304">
      <w:pPr>
        <w:spacing w:line="360" w:lineRule="auto"/>
        <w:ind w:firstLine="422" w:firstLineChars="200"/>
        <w:rPr>
          <w:rFonts w:ascii="宋体" w:hAnsi="宋体"/>
          <w:b/>
          <w:bCs/>
          <w:color w:val="auto"/>
          <w:szCs w:val="21"/>
          <w:highlight w:val="none"/>
        </w:rPr>
      </w:pPr>
      <w:bookmarkStart w:id="167" w:name="_Toc351203492"/>
      <w:r>
        <w:rPr>
          <w:rFonts w:ascii="宋体" w:hAnsi="宋体"/>
          <w:b/>
          <w:bCs/>
          <w:color w:val="auto"/>
          <w:szCs w:val="21"/>
          <w:highlight w:val="none"/>
        </w:rPr>
        <w:t>十二、合同生效</w:t>
      </w:r>
      <w:bookmarkEnd w:id="167"/>
    </w:p>
    <w:p w14:paraId="52F034DE">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ascii="宋体" w:hAnsi="宋体"/>
          <w:b/>
          <w:color w:val="auto"/>
          <w:kern w:val="1"/>
          <w:szCs w:val="21"/>
          <w:highlight w:val="none"/>
          <w:u w:val="single"/>
        </w:rPr>
        <w:t>双方法定代表人或授权委托人签字并加盖单位公章</w:t>
      </w:r>
      <w:r>
        <w:rPr>
          <w:rFonts w:ascii="宋体" w:hAnsi="宋体"/>
          <w:bCs/>
          <w:color w:val="auto"/>
          <w:szCs w:val="21"/>
          <w:highlight w:val="none"/>
        </w:rPr>
        <w:t>生效。</w:t>
      </w:r>
    </w:p>
    <w:p w14:paraId="2BDC4015">
      <w:pPr>
        <w:spacing w:line="360" w:lineRule="auto"/>
        <w:ind w:firstLine="422" w:firstLineChars="200"/>
        <w:rPr>
          <w:rFonts w:ascii="宋体" w:hAnsi="宋体"/>
          <w:b/>
          <w:bCs/>
          <w:color w:val="auto"/>
          <w:szCs w:val="21"/>
          <w:highlight w:val="none"/>
        </w:rPr>
      </w:pPr>
      <w:bookmarkStart w:id="168" w:name="_Toc351203493"/>
      <w:r>
        <w:rPr>
          <w:rFonts w:ascii="宋体" w:hAnsi="宋体"/>
          <w:b/>
          <w:bCs/>
          <w:color w:val="auto"/>
          <w:szCs w:val="21"/>
          <w:highlight w:val="none"/>
        </w:rPr>
        <w:t>十三、合同份数</w:t>
      </w:r>
      <w:bookmarkEnd w:id="168"/>
    </w:p>
    <w:p w14:paraId="7949B919">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hint="eastAsia" w:ascii="宋体" w:hAnsi="宋体"/>
          <w:bCs/>
          <w:color w:val="auto"/>
          <w:szCs w:val="21"/>
          <w:highlight w:val="none"/>
          <w:u w:val="single"/>
        </w:rPr>
        <w:t>伍</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hint="eastAsia" w:ascii="宋体" w:hAnsi="宋体"/>
          <w:bCs/>
          <w:color w:val="auto"/>
          <w:szCs w:val="21"/>
          <w:highlight w:val="none"/>
          <w:u w:val="single"/>
        </w:rPr>
        <w:t>俩</w:t>
      </w:r>
      <w:r>
        <w:rPr>
          <w:rFonts w:ascii="宋体" w:hAnsi="宋体"/>
          <w:bCs/>
          <w:color w:val="auto"/>
          <w:szCs w:val="21"/>
          <w:highlight w:val="none"/>
        </w:rPr>
        <w:t>份，承包人执</w:t>
      </w:r>
      <w:r>
        <w:rPr>
          <w:rFonts w:hint="eastAsia" w:ascii="宋体" w:hAnsi="宋体"/>
          <w:bCs/>
          <w:color w:val="auto"/>
          <w:szCs w:val="21"/>
          <w:highlight w:val="none"/>
          <w:u w:val="single"/>
        </w:rPr>
        <w:t>俩</w:t>
      </w:r>
      <w:r>
        <w:rPr>
          <w:rFonts w:ascii="宋体" w:hAnsi="宋体"/>
          <w:bCs/>
          <w:color w:val="auto"/>
          <w:szCs w:val="21"/>
          <w:highlight w:val="none"/>
        </w:rPr>
        <w:t>份</w:t>
      </w:r>
      <w:r>
        <w:rPr>
          <w:rFonts w:hint="eastAsia" w:ascii="宋体" w:hAnsi="宋体"/>
          <w:bCs/>
          <w:color w:val="auto"/>
          <w:szCs w:val="21"/>
          <w:highlight w:val="none"/>
        </w:rPr>
        <w:t>、代理机构壹份</w:t>
      </w:r>
      <w:r>
        <w:rPr>
          <w:rFonts w:ascii="宋体" w:hAnsi="宋体"/>
          <w:bCs/>
          <w:color w:val="auto"/>
          <w:szCs w:val="21"/>
          <w:highlight w:val="none"/>
        </w:rPr>
        <w:t>。</w:t>
      </w:r>
    </w:p>
    <w:p w14:paraId="67883DB7">
      <w:pPr>
        <w:pStyle w:val="2"/>
        <w:rPr>
          <w:rFonts w:ascii="宋体" w:hAnsi="宋体"/>
          <w:color w:val="auto"/>
          <w:highlight w:val="none"/>
        </w:rPr>
      </w:pPr>
    </w:p>
    <w:tbl>
      <w:tblPr>
        <w:tblStyle w:val="44"/>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6DE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16" w:type="dxa"/>
            <w:vAlign w:val="center"/>
          </w:tcPr>
          <w:p w14:paraId="77E26986">
            <w:pPr>
              <w:snapToGrid w:val="0"/>
              <w:spacing w:line="400" w:lineRule="exact"/>
              <w:rPr>
                <w:rFonts w:ascii="宋体" w:hAnsi="宋体"/>
                <w:color w:val="auto"/>
                <w:szCs w:val="21"/>
                <w:highlight w:val="none"/>
              </w:rPr>
            </w:pPr>
            <w:r>
              <w:rPr>
                <w:rFonts w:ascii="宋体" w:hAnsi="宋体"/>
                <w:color w:val="auto"/>
                <w:szCs w:val="21"/>
                <w:highlight w:val="none"/>
              </w:rPr>
              <w:t xml:space="preserve">甲方（章）           </w:t>
            </w:r>
          </w:p>
          <w:p w14:paraId="42AD0F88">
            <w:pPr>
              <w:snapToGrid w:val="0"/>
              <w:spacing w:line="400" w:lineRule="exact"/>
              <w:rPr>
                <w:rFonts w:ascii="宋体" w:hAnsi="宋体"/>
                <w:color w:val="auto"/>
                <w:szCs w:val="21"/>
                <w:highlight w:val="none"/>
              </w:rPr>
            </w:pPr>
          </w:p>
          <w:p w14:paraId="0FD0C9E0">
            <w:pPr>
              <w:snapToGrid w:val="0"/>
              <w:spacing w:line="400" w:lineRule="exact"/>
              <w:ind w:firstLine="945" w:firstLineChars="450"/>
              <w:jc w:val="right"/>
              <w:rPr>
                <w:rFonts w:ascii="宋体" w:hAnsi="宋体"/>
                <w:color w:val="auto"/>
                <w:szCs w:val="21"/>
                <w:highlight w:val="none"/>
              </w:rPr>
            </w:pPr>
            <w:r>
              <w:rPr>
                <w:rFonts w:ascii="宋体" w:hAnsi="宋体"/>
                <w:color w:val="auto"/>
                <w:szCs w:val="21"/>
                <w:highlight w:val="none"/>
              </w:rPr>
              <w:t>年  月  日</w:t>
            </w:r>
          </w:p>
        </w:tc>
        <w:tc>
          <w:tcPr>
            <w:tcW w:w="4517" w:type="dxa"/>
            <w:vAlign w:val="center"/>
          </w:tcPr>
          <w:p w14:paraId="19783BD8">
            <w:pPr>
              <w:snapToGrid w:val="0"/>
              <w:spacing w:line="400" w:lineRule="exact"/>
              <w:rPr>
                <w:rFonts w:ascii="宋体" w:hAnsi="宋体"/>
                <w:color w:val="auto"/>
                <w:szCs w:val="21"/>
                <w:highlight w:val="none"/>
              </w:rPr>
            </w:pPr>
            <w:r>
              <w:rPr>
                <w:rFonts w:ascii="宋体" w:hAnsi="宋体"/>
                <w:color w:val="auto"/>
                <w:szCs w:val="21"/>
                <w:highlight w:val="none"/>
              </w:rPr>
              <w:t xml:space="preserve">乙方（章）              </w:t>
            </w:r>
          </w:p>
          <w:p w14:paraId="4313A29C">
            <w:pPr>
              <w:snapToGrid w:val="0"/>
              <w:spacing w:line="400" w:lineRule="exact"/>
              <w:rPr>
                <w:rFonts w:ascii="宋体" w:hAnsi="宋体"/>
                <w:color w:val="auto"/>
                <w:szCs w:val="21"/>
                <w:highlight w:val="none"/>
              </w:rPr>
            </w:pPr>
          </w:p>
          <w:p w14:paraId="054805DE">
            <w:pPr>
              <w:snapToGrid w:val="0"/>
              <w:spacing w:line="400" w:lineRule="exact"/>
              <w:jc w:val="right"/>
              <w:rPr>
                <w:rFonts w:ascii="宋体" w:hAnsi="宋体"/>
                <w:color w:val="auto"/>
                <w:szCs w:val="21"/>
                <w:highlight w:val="none"/>
              </w:rPr>
            </w:pPr>
            <w:r>
              <w:rPr>
                <w:rFonts w:ascii="宋体" w:hAnsi="宋体"/>
                <w:color w:val="auto"/>
                <w:szCs w:val="21"/>
                <w:highlight w:val="none"/>
              </w:rPr>
              <w:t>年  月  日</w:t>
            </w:r>
          </w:p>
        </w:tc>
      </w:tr>
      <w:tr w14:paraId="36F7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17144D0D">
            <w:pPr>
              <w:snapToGrid w:val="0"/>
              <w:spacing w:line="400" w:lineRule="exact"/>
              <w:rPr>
                <w:rFonts w:ascii="宋体" w:hAnsi="宋体"/>
                <w:color w:val="auto"/>
                <w:szCs w:val="21"/>
                <w:highlight w:val="none"/>
              </w:rPr>
            </w:pPr>
            <w:r>
              <w:rPr>
                <w:rFonts w:ascii="宋体" w:hAnsi="宋体"/>
                <w:color w:val="auto"/>
                <w:szCs w:val="21"/>
                <w:highlight w:val="none"/>
              </w:rPr>
              <w:t xml:space="preserve">单位地址： </w:t>
            </w:r>
          </w:p>
        </w:tc>
        <w:tc>
          <w:tcPr>
            <w:tcW w:w="4517" w:type="dxa"/>
            <w:vAlign w:val="center"/>
          </w:tcPr>
          <w:p w14:paraId="0222E44D">
            <w:pPr>
              <w:snapToGrid w:val="0"/>
              <w:spacing w:line="400" w:lineRule="exact"/>
              <w:rPr>
                <w:rFonts w:ascii="宋体" w:hAnsi="宋体"/>
                <w:color w:val="auto"/>
                <w:szCs w:val="21"/>
                <w:highlight w:val="none"/>
              </w:rPr>
            </w:pPr>
            <w:r>
              <w:rPr>
                <w:rFonts w:ascii="宋体" w:hAnsi="宋体"/>
                <w:color w:val="auto"/>
                <w:szCs w:val="21"/>
                <w:highlight w:val="none"/>
              </w:rPr>
              <w:t>单位地址：</w:t>
            </w:r>
          </w:p>
        </w:tc>
      </w:tr>
      <w:tr w14:paraId="268E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16" w:type="dxa"/>
            <w:vAlign w:val="center"/>
          </w:tcPr>
          <w:p w14:paraId="24A0E2DC">
            <w:pPr>
              <w:snapToGrid w:val="0"/>
              <w:spacing w:line="400" w:lineRule="exact"/>
              <w:rPr>
                <w:rFonts w:ascii="宋体" w:hAnsi="宋体"/>
                <w:color w:val="auto"/>
                <w:szCs w:val="21"/>
                <w:highlight w:val="none"/>
              </w:rPr>
            </w:pPr>
            <w:r>
              <w:rPr>
                <w:rFonts w:ascii="宋体" w:hAnsi="宋体"/>
                <w:color w:val="auto"/>
                <w:szCs w:val="21"/>
                <w:highlight w:val="none"/>
              </w:rPr>
              <w:t>法定代表人：</w:t>
            </w:r>
          </w:p>
        </w:tc>
        <w:tc>
          <w:tcPr>
            <w:tcW w:w="4517" w:type="dxa"/>
            <w:vAlign w:val="center"/>
          </w:tcPr>
          <w:p w14:paraId="5D7B1A2E">
            <w:pPr>
              <w:snapToGrid w:val="0"/>
              <w:spacing w:line="400" w:lineRule="exact"/>
              <w:rPr>
                <w:rFonts w:ascii="宋体" w:hAnsi="宋体"/>
                <w:color w:val="auto"/>
                <w:szCs w:val="21"/>
                <w:highlight w:val="none"/>
              </w:rPr>
            </w:pPr>
            <w:r>
              <w:rPr>
                <w:rFonts w:ascii="宋体" w:hAnsi="宋体"/>
                <w:color w:val="auto"/>
                <w:szCs w:val="21"/>
                <w:highlight w:val="none"/>
              </w:rPr>
              <w:t>法定代表人：</w:t>
            </w:r>
          </w:p>
        </w:tc>
      </w:tr>
      <w:tr w14:paraId="22FB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7A320911">
            <w:pPr>
              <w:snapToGrid w:val="0"/>
              <w:spacing w:line="400" w:lineRule="exact"/>
              <w:rPr>
                <w:rFonts w:ascii="宋体" w:hAnsi="宋体"/>
                <w:color w:val="auto"/>
                <w:szCs w:val="21"/>
                <w:highlight w:val="none"/>
              </w:rPr>
            </w:pPr>
            <w:r>
              <w:rPr>
                <w:rFonts w:ascii="宋体" w:hAnsi="宋体"/>
                <w:color w:val="auto"/>
                <w:szCs w:val="21"/>
                <w:highlight w:val="none"/>
              </w:rPr>
              <w:t>委托代理人：</w:t>
            </w:r>
          </w:p>
        </w:tc>
        <w:tc>
          <w:tcPr>
            <w:tcW w:w="4517" w:type="dxa"/>
            <w:vAlign w:val="center"/>
          </w:tcPr>
          <w:p w14:paraId="16B36965">
            <w:pPr>
              <w:snapToGrid w:val="0"/>
              <w:spacing w:line="400" w:lineRule="exact"/>
              <w:rPr>
                <w:rFonts w:ascii="宋体" w:hAnsi="宋体"/>
                <w:color w:val="auto"/>
                <w:szCs w:val="21"/>
                <w:highlight w:val="none"/>
              </w:rPr>
            </w:pPr>
            <w:r>
              <w:rPr>
                <w:rFonts w:ascii="宋体" w:hAnsi="宋体"/>
                <w:color w:val="auto"/>
                <w:szCs w:val="21"/>
                <w:highlight w:val="none"/>
              </w:rPr>
              <w:t>委托代理人</w:t>
            </w:r>
          </w:p>
        </w:tc>
      </w:tr>
      <w:tr w14:paraId="49FB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516" w:type="dxa"/>
            <w:vAlign w:val="center"/>
          </w:tcPr>
          <w:p w14:paraId="0A1F9397">
            <w:pPr>
              <w:snapToGrid w:val="0"/>
              <w:spacing w:line="400" w:lineRule="exact"/>
              <w:rPr>
                <w:rFonts w:ascii="宋体" w:hAnsi="宋体"/>
                <w:color w:val="auto"/>
                <w:szCs w:val="21"/>
                <w:highlight w:val="none"/>
              </w:rPr>
            </w:pPr>
            <w:r>
              <w:rPr>
                <w:rFonts w:ascii="宋体" w:hAnsi="宋体"/>
                <w:color w:val="auto"/>
                <w:szCs w:val="21"/>
                <w:highlight w:val="none"/>
              </w:rPr>
              <w:t xml:space="preserve">电话： </w:t>
            </w:r>
          </w:p>
        </w:tc>
        <w:tc>
          <w:tcPr>
            <w:tcW w:w="4517" w:type="dxa"/>
            <w:vAlign w:val="center"/>
          </w:tcPr>
          <w:p w14:paraId="41619B6F">
            <w:pPr>
              <w:snapToGrid w:val="0"/>
              <w:spacing w:line="400" w:lineRule="exact"/>
              <w:rPr>
                <w:rFonts w:ascii="宋体" w:hAnsi="宋体"/>
                <w:color w:val="auto"/>
                <w:szCs w:val="21"/>
                <w:highlight w:val="none"/>
              </w:rPr>
            </w:pPr>
            <w:r>
              <w:rPr>
                <w:rFonts w:ascii="宋体" w:hAnsi="宋体"/>
                <w:color w:val="auto"/>
                <w:szCs w:val="21"/>
                <w:highlight w:val="none"/>
              </w:rPr>
              <w:t>电话：</w:t>
            </w:r>
          </w:p>
        </w:tc>
      </w:tr>
      <w:tr w14:paraId="140E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22B10BA0">
            <w:pPr>
              <w:snapToGrid w:val="0"/>
              <w:spacing w:line="400" w:lineRule="exact"/>
              <w:rPr>
                <w:rFonts w:ascii="宋体" w:hAnsi="宋体"/>
                <w:color w:val="auto"/>
                <w:szCs w:val="21"/>
                <w:highlight w:val="none"/>
              </w:rPr>
            </w:pPr>
            <w:r>
              <w:rPr>
                <w:rFonts w:ascii="宋体" w:hAnsi="宋体"/>
                <w:color w:val="auto"/>
                <w:szCs w:val="21"/>
                <w:highlight w:val="none"/>
              </w:rPr>
              <w:t>电子邮箱：</w:t>
            </w:r>
          </w:p>
        </w:tc>
        <w:tc>
          <w:tcPr>
            <w:tcW w:w="4517" w:type="dxa"/>
            <w:vAlign w:val="center"/>
          </w:tcPr>
          <w:p w14:paraId="56EFD54D">
            <w:pPr>
              <w:snapToGrid w:val="0"/>
              <w:spacing w:line="400" w:lineRule="exact"/>
              <w:rPr>
                <w:rFonts w:ascii="宋体" w:hAnsi="宋体"/>
                <w:color w:val="auto"/>
                <w:szCs w:val="21"/>
                <w:highlight w:val="none"/>
              </w:rPr>
            </w:pPr>
            <w:r>
              <w:rPr>
                <w:rFonts w:ascii="宋体" w:hAnsi="宋体"/>
                <w:color w:val="auto"/>
                <w:szCs w:val="21"/>
                <w:highlight w:val="none"/>
              </w:rPr>
              <w:t>电子邮箱：</w:t>
            </w:r>
          </w:p>
        </w:tc>
      </w:tr>
      <w:tr w14:paraId="7400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4516" w:type="dxa"/>
            <w:vAlign w:val="center"/>
          </w:tcPr>
          <w:p w14:paraId="3282BBE1">
            <w:pPr>
              <w:snapToGrid w:val="0"/>
              <w:spacing w:line="400" w:lineRule="exact"/>
              <w:rPr>
                <w:rFonts w:ascii="宋体" w:hAnsi="宋体"/>
                <w:color w:val="auto"/>
                <w:szCs w:val="21"/>
                <w:highlight w:val="none"/>
              </w:rPr>
            </w:pPr>
            <w:r>
              <w:rPr>
                <w:rFonts w:ascii="宋体" w:hAnsi="宋体"/>
                <w:color w:val="auto"/>
                <w:szCs w:val="21"/>
                <w:highlight w:val="none"/>
              </w:rPr>
              <w:t xml:space="preserve">开户银行： </w:t>
            </w:r>
          </w:p>
        </w:tc>
        <w:tc>
          <w:tcPr>
            <w:tcW w:w="4517" w:type="dxa"/>
            <w:vAlign w:val="center"/>
          </w:tcPr>
          <w:p w14:paraId="748024B9">
            <w:pPr>
              <w:snapToGrid w:val="0"/>
              <w:spacing w:line="400" w:lineRule="exact"/>
              <w:rPr>
                <w:rFonts w:ascii="宋体" w:hAnsi="宋体"/>
                <w:color w:val="auto"/>
                <w:szCs w:val="21"/>
                <w:highlight w:val="none"/>
              </w:rPr>
            </w:pPr>
            <w:r>
              <w:rPr>
                <w:rFonts w:ascii="宋体" w:hAnsi="宋体"/>
                <w:color w:val="auto"/>
                <w:szCs w:val="21"/>
                <w:highlight w:val="none"/>
              </w:rPr>
              <w:t>开户银行：</w:t>
            </w:r>
          </w:p>
        </w:tc>
      </w:tr>
      <w:tr w14:paraId="407D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516" w:type="dxa"/>
            <w:vAlign w:val="center"/>
          </w:tcPr>
          <w:p w14:paraId="6AD5C710">
            <w:pPr>
              <w:snapToGrid w:val="0"/>
              <w:spacing w:line="400" w:lineRule="exact"/>
              <w:rPr>
                <w:rFonts w:ascii="宋体" w:hAnsi="宋体"/>
                <w:color w:val="auto"/>
                <w:szCs w:val="21"/>
                <w:highlight w:val="none"/>
              </w:rPr>
            </w:pPr>
            <w:r>
              <w:rPr>
                <w:rFonts w:ascii="宋体" w:hAnsi="宋体"/>
                <w:color w:val="auto"/>
                <w:szCs w:val="21"/>
                <w:highlight w:val="none"/>
              </w:rPr>
              <w:t xml:space="preserve">税号： </w:t>
            </w:r>
          </w:p>
        </w:tc>
        <w:tc>
          <w:tcPr>
            <w:tcW w:w="4517" w:type="dxa"/>
            <w:vAlign w:val="center"/>
          </w:tcPr>
          <w:p w14:paraId="51D9B00D">
            <w:pPr>
              <w:snapToGrid w:val="0"/>
              <w:spacing w:line="400" w:lineRule="exact"/>
              <w:rPr>
                <w:rFonts w:ascii="宋体" w:hAnsi="宋体"/>
                <w:color w:val="auto"/>
                <w:szCs w:val="21"/>
                <w:highlight w:val="none"/>
              </w:rPr>
            </w:pPr>
            <w:r>
              <w:rPr>
                <w:rFonts w:ascii="宋体" w:hAnsi="宋体"/>
                <w:color w:val="auto"/>
                <w:szCs w:val="21"/>
                <w:highlight w:val="none"/>
              </w:rPr>
              <w:t>税号：</w:t>
            </w:r>
          </w:p>
        </w:tc>
      </w:tr>
      <w:tr w14:paraId="6AF1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55D7E236">
            <w:pPr>
              <w:snapToGrid w:val="0"/>
              <w:spacing w:line="400" w:lineRule="exact"/>
              <w:rPr>
                <w:rFonts w:ascii="宋体" w:hAnsi="宋体"/>
                <w:color w:val="auto"/>
                <w:szCs w:val="21"/>
                <w:highlight w:val="none"/>
              </w:rPr>
            </w:pPr>
            <w:r>
              <w:rPr>
                <w:rFonts w:ascii="宋体" w:hAnsi="宋体"/>
                <w:color w:val="auto"/>
                <w:szCs w:val="21"/>
                <w:highlight w:val="none"/>
              </w:rPr>
              <w:t xml:space="preserve">账号： </w:t>
            </w:r>
          </w:p>
        </w:tc>
        <w:tc>
          <w:tcPr>
            <w:tcW w:w="4517" w:type="dxa"/>
            <w:vAlign w:val="center"/>
          </w:tcPr>
          <w:p w14:paraId="33599F95">
            <w:pPr>
              <w:snapToGrid w:val="0"/>
              <w:spacing w:line="400" w:lineRule="exact"/>
              <w:rPr>
                <w:rFonts w:ascii="宋体" w:hAnsi="宋体"/>
                <w:color w:val="auto"/>
                <w:szCs w:val="21"/>
                <w:highlight w:val="none"/>
              </w:rPr>
            </w:pPr>
            <w:r>
              <w:rPr>
                <w:rFonts w:ascii="宋体" w:hAnsi="宋体"/>
                <w:color w:val="auto"/>
                <w:szCs w:val="21"/>
                <w:highlight w:val="none"/>
              </w:rPr>
              <w:t>账号：</w:t>
            </w:r>
          </w:p>
        </w:tc>
      </w:tr>
      <w:tr w14:paraId="1C51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10ACB2D0">
            <w:pPr>
              <w:snapToGrid w:val="0"/>
              <w:spacing w:line="400" w:lineRule="exact"/>
              <w:rPr>
                <w:rFonts w:ascii="宋体" w:hAnsi="宋体"/>
                <w:color w:val="auto"/>
                <w:szCs w:val="21"/>
                <w:highlight w:val="none"/>
              </w:rPr>
            </w:pPr>
            <w:r>
              <w:rPr>
                <w:rFonts w:ascii="宋体" w:hAnsi="宋体"/>
                <w:color w:val="auto"/>
                <w:szCs w:val="21"/>
                <w:highlight w:val="none"/>
              </w:rPr>
              <w:t xml:space="preserve">邮政编码： </w:t>
            </w:r>
          </w:p>
        </w:tc>
        <w:tc>
          <w:tcPr>
            <w:tcW w:w="4517" w:type="dxa"/>
            <w:vAlign w:val="center"/>
          </w:tcPr>
          <w:p w14:paraId="0B45FA9B">
            <w:pPr>
              <w:snapToGrid w:val="0"/>
              <w:spacing w:line="400" w:lineRule="exact"/>
              <w:rPr>
                <w:rFonts w:ascii="宋体" w:hAnsi="宋体"/>
                <w:color w:val="auto"/>
                <w:szCs w:val="21"/>
                <w:highlight w:val="none"/>
              </w:rPr>
            </w:pPr>
            <w:r>
              <w:rPr>
                <w:rFonts w:ascii="宋体" w:hAnsi="宋体"/>
                <w:color w:val="auto"/>
                <w:szCs w:val="21"/>
                <w:highlight w:val="none"/>
              </w:rPr>
              <w:t>邮政编码：</w:t>
            </w:r>
          </w:p>
        </w:tc>
      </w:tr>
    </w:tbl>
    <w:p w14:paraId="38F003E6">
      <w:pPr>
        <w:rPr>
          <w:rFonts w:ascii="宋体" w:hAnsi="宋体"/>
          <w:color w:val="auto"/>
          <w:szCs w:val="21"/>
          <w:highlight w:val="none"/>
          <w:u w:val="single"/>
        </w:rPr>
      </w:pPr>
    </w:p>
    <w:p w14:paraId="3869E918">
      <w:pPr>
        <w:rPr>
          <w:rFonts w:ascii="宋体" w:hAnsi="宋体"/>
          <w:color w:val="auto"/>
          <w:highlight w:val="none"/>
        </w:rPr>
      </w:pPr>
      <w:r>
        <w:rPr>
          <w:rFonts w:ascii="宋体" w:hAnsi="宋体"/>
          <w:color w:val="auto"/>
          <w:szCs w:val="21"/>
          <w:highlight w:val="none"/>
        </w:rPr>
        <w:br w:type="page"/>
      </w:r>
    </w:p>
    <w:p w14:paraId="443E06D0">
      <w:pPr>
        <w:pStyle w:val="4"/>
        <w:jc w:val="center"/>
        <w:rPr>
          <w:rFonts w:ascii="宋体" w:hAnsi="宋体" w:eastAsia="宋体"/>
          <w:color w:val="auto"/>
          <w:highlight w:val="none"/>
        </w:rPr>
      </w:pPr>
      <w:bookmarkStart w:id="169" w:name="_Toc23406"/>
      <w:bookmarkStart w:id="170" w:name="_Toc351203494"/>
      <w:bookmarkStart w:id="171" w:name="_Toc533611448"/>
      <w:r>
        <w:rPr>
          <w:rFonts w:hint="eastAsia" w:ascii="宋体" w:hAnsi="宋体" w:eastAsia="宋体"/>
          <w:color w:val="auto"/>
          <w:highlight w:val="none"/>
        </w:rPr>
        <w:t>第二部分 通用合同条款</w:t>
      </w:r>
      <w:bookmarkEnd w:id="169"/>
      <w:bookmarkEnd w:id="170"/>
      <w:bookmarkEnd w:id="171"/>
      <w:bookmarkStart w:id="172" w:name="_Toc337558727"/>
    </w:p>
    <w:bookmarkEnd w:id="172"/>
    <w:p w14:paraId="72F7D485">
      <w:pPr>
        <w:spacing w:line="360" w:lineRule="auto"/>
        <w:ind w:firstLine="420" w:firstLineChars="200"/>
        <w:rPr>
          <w:rFonts w:ascii="宋体" w:hAnsi="宋体"/>
          <w:color w:val="auto"/>
          <w:szCs w:val="21"/>
          <w:highlight w:val="none"/>
        </w:rPr>
      </w:pPr>
    </w:p>
    <w:p w14:paraId="33AC76A2">
      <w:pPr>
        <w:spacing w:line="360" w:lineRule="auto"/>
        <w:ind w:firstLine="482" w:firstLineChars="200"/>
        <w:rPr>
          <w:rFonts w:ascii="宋体" w:hAnsi="宋体"/>
          <w:b/>
          <w:color w:val="auto"/>
          <w:sz w:val="24"/>
          <w:highlight w:val="none"/>
        </w:rPr>
      </w:pPr>
      <w:r>
        <w:rPr>
          <w:rFonts w:ascii="宋体" w:hAnsi="宋体"/>
          <w:b/>
          <w:color w:val="auto"/>
          <w:sz w:val="24"/>
          <w:highlight w:val="none"/>
        </w:rPr>
        <w:t>采用《建设工程施工合同（示范文本）》（GF—2013—0201）。</w:t>
      </w:r>
    </w:p>
    <w:p w14:paraId="1288D9B0">
      <w:pPr>
        <w:rPr>
          <w:rFonts w:ascii="宋体" w:hAnsi="宋体"/>
          <w:color w:val="auto"/>
          <w:highlight w:val="none"/>
        </w:rPr>
      </w:pPr>
    </w:p>
    <w:p w14:paraId="462E8E6C">
      <w:pPr>
        <w:rPr>
          <w:rFonts w:ascii="宋体" w:hAnsi="宋体"/>
          <w:color w:val="auto"/>
          <w:highlight w:val="none"/>
        </w:rPr>
      </w:pPr>
    </w:p>
    <w:p w14:paraId="3C648BD9">
      <w:pPr>
        <w:pStyle w:val="242"/>
        <w:spacing w:line="360" w:lineRule="auto"/>
        <w:jc w:val="center"/>
        <w:outlineLvl w:val="0"/>
        <w:rPr>
          <w:rFonts w:ascii="宋体" w:hAnsi="宋体"/>
          <w:b/>
          <w:bCs/>
          <w:color w:val="auto"/>
          <w:kern w:val="44"/>
          <w:sz w:val="30"/>
          <w:szCs w:val="30"/>
          <w:highlight w:val="none"/>
        </w:rPr>
      </w:pPr>
      <w:bookmarkStart w:id="173" w:name="_Toc407135193"/>
      <w:bookmarkStart w:id="174" w:name="_Toc389065257"/>
      <w:bookmarkStart w:id="175" w:name="_Toc5071"/>
      <w:bookmarkStart w:id="176" w:name="_Toc533611449"/>
      <w:bookmarkStart w:id="177" w:name="_Toc487632690"/>
      <w:r>
        <w:rPr>
          <w:rFonts w:hint="eastAsia" w:ascii="宋体" w:hAnsi="宋体" w:cs="黑体"/>
          <w:b/>
          <w:bCs/>
          <w:color w:val="auto"/>
          <w:kern w:val="44"/>
          <w:sz w:val="30"/>
          <w:szCs w:val="30"/>
          <w:highlight w:val="none"/>
        </w:rPr>
        <w:t>第三部分专用合同条款</w:t>
      </w:r>
      <w:bookmarkEnd w:id="173"/>
      <w:bookmarkEnd w:id="174"/>
      <w:bookmarkEnd w:id="175"/>
      <w:bookmarkEnd w:id="176"/>
      <w:bookmarkEnd w:id="177"/>
    </w:p>
    <w:p w14:paraId="70708B6E">
      <w:pPr>
        <w:pStyle w:val="4"/>
        <w:rPr>
          <w:rFonts w:ascii="宋体" w:hAnsi="宋体" w:eastAsia="宋体"/>
          <w:color w:val="auto"/>
          <w:sz w:val="24"/>
          <w:szCs w:val="24"/>
          <w:highlight w:val="none"/>
        </w:rPr>
      </w:pPr>
      <w:bookmarkStart w:id="178" w:name="_Toc373478339"/>
      <w:bookmarkStart w:id="179" w:name="_Toc395382494"/>
      <w:bookmarkStart w:id="180" w:name="_Toc533611450"/>
      <w:bookmarkStart w:id="181" w:name="_Toc373227692"/>
      <w:bookmarkStart w:id="182" w:name="_Toc389065258"/>
      <w:bookmarkStart w:id="183" w:name="_Toc12733"/>
      <w:bookmarkStart w:id="184" w:name="_Toc19141"/>
      <w:r>
        <w:rPr>
          <w:rFonts w:hint="eastAsia" w:ascii="宋体" w:hAnsi="宋体" w:eastAsia="宋体"/>
          <w:color w:val="auto"/>
          <w:sz w:val="24"/>
          <w:szCs w:val="24"/>
          <w:highlight w:val="none"/>
        </w:rPr>
        <w:t>1</w:t>
      </w:r>
      <w:bookmarkStart w:id="185" w:name="_Toc297120456"/>
      <w:bookmarkStart w:id="186" w:name="_Toc296503156"/>
      <w:bookmarkStart w:id="187" w:name="_Toc296890984"/>
      <w:bookmarkStart w:id="188" w:name="_Toc292559361"/>
      <w:bookmarkStart w:id="189" w:name="_Toc296347155"/>
      <w:bookmarkStart w:id="190" w:name="_Toc296346657"/>
      <w:bookmarkStart w:id="191" w:name="_Toc292559866"/>
      <w:bookmarkStart w:id="192" w:name="_Toc296891196"/>
      <w:bookmarkStart w:id="193" w:name="_Toc297048342"/>
      <w:bookmarkStart w:id="194" w:name="_Toc296944495"/>
      <w:r>
        <w:rPr>
          <w:rFonts w:hint="eastAsia" w:ascii="宋体" w:hAnsi="宋体" w:eastAsia="宋体"/>
          <w:color w:val="auto"/>
          <w:sz w:val="24"/>
          <w:szCs w:val="24"/>
          <w:highlight w:val="none"/>
        </w:rPr>
        <w:t>. 一般约定</w:t>
      </w:r>
      <w:bookmarkEnd w:id="178"/>
      <w:bookmarkEnd w:id="179"/>
      <w:bookmarkEnd w:id="180"/>
      <w:bookmarkEnd w:id="181"/>
      <w:bookmarkEnd w:id="182"/>
      <w:bookmarkEnd w:id="183"/>
      <w:bookmarkEnd w:id="184"/>
    </w:p>
    <w:bookmarkEnd w:id="185"/>
    <w:bookmarkEnd w:id="186"/>
    <w:bookmarkEnd w:id="187"/>
    <w:bookmarkEnd w:id="188"/>
    <w:bookmarkEnd w:id="189"/>
    <w:bookmarkEnd w:id="190"/>
    <w:bookmarkEnd w:id="191"/>
    <w:bookmarkEnd w:id="192"/>
    <w:bookmarkEnd w:id="193"/>
    <w:bookmarkEnd w:id="194"/>
    <w:p w14:paraId="482612C8">
      <w:pPr>
        <w:pStyle w:val="2"/>
        <w:rPr>
          <w:rFonts w:ascii="宋体" w:hAnsi="宋体"/>
          <w:color w:val="auto"/>
          <w:szCs w:val="24"/>
          <w:highlight w:val="none"/>
        </w:rPr>
      </w:pPr>
      <w:bookmarkStart w:id="195" w:name="_Toc533611451"/>
      <w:bookmarkStart w:id="196" w:name="_Toc21937"/>
      <w:bookmarkStart w:id="197" w:name="_Toc11060"/>
      <w:bookmarkStart w:id="198" w:name="_Toc389065259"/>
      <w:bookmarkStart w:id="199" w:name="_Toc373227693"/>
      <w:bookmarkStart w:id="200" w:name="_Toc395382495"/>
      <w:bookmarkStart w:id="201" w:name="_Toc373478340"/>
      <w:r>
        <w:rPr>
          <w:rFonts w:hint="eastAsia" w:ascii="宋体" w:hAnsi="宋体"/>
          <w:color w:val="auto"/>
          <w:szCs w:val="24"/>
          <w:highlight w:val="none"/>
        </w:rPr>
        <w:t>1.1 词语定义</w:t>
      </w:r>
      <w:bookmarkEnd w:id="195"/>
      <w:bookmarkEnd w:id="196"/>
      <w:bookmarkEnd w:id="197"/>
      <w:bookmarkEnd w:id="198"/>
      <w:bookmarkEnd w:id="199"/>
      <w:bookmarkEnd w:id="200"/>
      <w:bookmarkEnd w:id="201"/>
    </w:p>
    <w:p w14:paraId="30194D24">
      <w:pPr>
        <w:spacing w:line="360" w:lineRule="auto"/>
        <w:ind w:firstLine="480" w:firstLineChars="200"/>
        <w:rPr>
          <w:rFonts w:ascii="宋体" w:hAnsi="宋体"/>
          <w:color w:val="auto"/>
          <w:sz w:val="24"/>
          <w:highlight w:val="none"/>
        </w:rPr>
      </w:pPr>
      <w:r>
        <w:rPr>
          <w:rFonts w:ascii="宋体" w:hAnsi="宋体"/>
          <w:color w:val="auto"/>
          <w:sz w:val="24"/>
          <w:highlight w:val="none"/>
        </w:rPr>
        <w:t>1.1.1 合同</w:t>
      </w:r>
    </w:p>
    <w:p w14:paraId="63127E9F">
      <w:pPr>
        <w:spacing w:line="360" w:lineRule="auto"/>
        <w:ind w:firstLine="480" w:firstLineChars="200"/>
        <w:rPr>
          <w:rFonts w:ascii="宋体" w:hAnsi="宋体"/>
          <w:color w:val="auto"/>
          <w:sz w:val="24"/>
          <w:highlight w:val="none"/>
        </w:rPr>
      </w:pPr>
      <w:r>
        <w:rPr>
          <w:rFonts w:ascii="宋体" w:hAnsi="宋体"/>
          <w:color w:val="auto"/>
          <w:sz w:val="24"/>
          <w:highlight w:val="none"/>
        </w:rPr>
        <w:t>1.1.1.10 其他合同文件包括：</w:t>
      </w:r>
      <w:r>
        <w:rPr>
          <w:rFonts w:ascii="宋体" w:hAnsi="宋体"/>
          <w:color w:val="auto"/>
          <w:sz w:val="24"/>
          <w:highlight w:val="none"/>
          <w:u w:val="single"/>
        </w:rPr>
        <w:t xml:space="preserve"> 施工组织设计、专项方案、图纸会审记录、会议纪要、工程联系单、签证单、双方有关工程的洽商、变更、补充协议等</w:t>
      </w:r>
      <w:r>
        <w:rPr>
          <w:rFonts w:ascii="宋体" w:hAnsi="宋体" w:cs="MingLiU_HKSCS"/>
          <w:color w:val="auto"/>
          <w:sz w:val="24"/>
          <w:highlight w:val="none"/>
          <w:u w:val="single"/>
        </w:rPr>
        <w:t>双方约定的与工程施工有关的具有合同约束力的文件或书面协议</w:t>
      </w:r>
      <w:r>
        <w:rPr>
          <w:rFonts w:ascii="宋体" w:hAnsi="宋体"/>
          <w:color w:val="auto"/>
          <w:sz w:val="24"/>
          <w:highlight w:val="none"/>
        </w:rPr>
        <w:t>。</w:t>
      </w:r>
    </w:p>
    <w:p w14:paraId="773F4B79">
      <w:pPr>
        <w:spacing w:line="360" w:lineRule="auto"/>
        <w:ind w:firstLine="480" w:firstLineChars="200"/>
        <w:rPr>
          <w:rFonts w:ascii="宋体" w:hAnsi="宋体"/>
          <w:color w:val="auto"/>
          <w:sz w:val="24"/>
          <w:highlight w:val="none"/>
        </w:rPr>
      </w:pPr>
      <w:r>
        <w:rPr>
          <w:rFonts w:ascii="宋体" w:hAnsi="宋体"/>
          <w:color w:val="auto"/>
          <w:sz w:val="24"/>
          <w:highlight w:val="none"/>
        </w:rPr>
        <w:t>1.1.2 合同当事人及其他相关方</w:t>
      </w:r>
    </w:p>
    <w:p w14:paraId="07FF856C">
      <w:pPr>
        <w:spacing w:line="360" w:lineRule="auto"/>
        <w:ind w:firstLine="480" w:firstLineChars="200"/>
        <w:rPr>
          <w:rFonts w:ascii="宋体" w:hAnsi="宋体"/>
          <w:color w:val="auto"/>
          <w:sz w:val="24"/>
          <w:highlight w:val="none"/>
        </w:rPr>
      </w:pPr>
      <w:r>
        <w:rPr>
          <w:rFonts w:ascii="宋体" w:hAnsi="宋体"/>
          <w:color w:val="auto"/>
          <w:sz w:val="24"/>
          <w:highlight w:val="none"/>
        </w:rPr>
        <w:t>1.1.2.4 监理人：</w:t>
      </w:r>
    </w:p>
    <w:p w14:paraId="0AC590C8">
      <w:pPr>
        <w:spacing w:line="360" w:lineRule="auto"/>
        <w:ind w:firstLine="480" w:firstLineChars="200"/>
        <w:rPr>
          <w:rFonts w:ascii="宋体" w:hAnsi="宋体"/>
          <w:color w:val="auto"/>
          <w:sz w:val="24"/>
          <w:highlight w:val="none"/>
        </w:rPr>
      </w:pPr>
      <w:r>
        <w:rPr>
          <w:rFonts w:ascii="宋体" w:hAnsi="宋体"/>
          <w:color w:val="auto"/>
          <w:sz w:val="24"/>
          <w:highlight w:val="none"/>
        </w:rPr>
        <w:t>总监理工程师：</w:t>
      </w:r>
    </w:p>
    <w:p w14:paraId="581033A9">
      <w:pPr>
        <w:spacing w:line="360" w:lineRule="auto"/>
        <w:ind w:firstLine="480" w:firstLineChars="200"/>
        <w:rPr>
          <w:rFonts w:ascii="宋体" w:hAnsi="宋体"/>
          <w:color w:val="auto"/>
          <w:sz w:val="24"/>
          <w:highlight w:val="none"/>
        </w:rPr>
      </w:pPr>
      <w:r>
        <w:rPr>
          <w:rFonts w:ascii="宋体" w:hAnsi="宋体"/>
          <w:color w:val="auto"/>
          <w:sz w:val="24"/>
          <w:highlight w:val="none"/>
        </w:rPr>
        <w:t>姓    名：</w:t>
      </w:r>
      <w:r>
        <w:rPr>
          <w:rFonts w:ascii="宋体" w:hAnsi="宋体"/>
          <w:color w:val="auto"/>
          <w:sz w:val="24"/>
          <w:highlight w:val="none"/>
          <w:u w:val="single"/>
        </w:rPr>
        <w:t>　　　　　　　　　　</w:t>
      </w:r>
      <w:r>
        <w:rPr>
          <w:rFonts w:ascii="宋体" w:hAnsi="宋体"/>
          <w:color w:val="auto"/>
          <w:sz w:val="24"/>
          <w:highlight w:val="none"/>
        </w:rPr>
        <w:t>；</w:t>
      </w:r>
    </w:p>
    <w:p w14:paraId="08CB4547">
      <w:pPr>
        <w:spacing w:line="360" w:lineRule="auto"/>
        <w:ind w:firstLine="480" w:firstLineChars="200"/>
        <w:rPr>
          <w:rFonts w:ascii="宋体" w:hAnsi="宋体"/>
          <w:color w:val="auto"/>
          <w:sz w:val="24"/>
          <w:highlight w:val="none"/>
        </w:rPr>
      </w:pPr>
      <w:r>
        <w:rPr>
          <w:rFonts w:ascii="宋体" w:hAnsi="宋体"/>
          <w:color w:val="auto"/>
          <w:sz w:val="24"/>
          <w:highlight w:val="none"/>
        </w:rPr>
        <w:t>职    务：</w:t>
      </w:r>
      <w:r>
        <w:rPr>
          <w:rFonts w:ascii="宋体" w:hAnsi="宋体"/>
          <w:color w:val="auto"/>
          <w:sz w:val="24"/>
          <w:highlight w:val="none"/>
          <w:u w:val="single"/>
        </w:rPr>
        <w:t>　　　　　　　　　　　</w:t>
      </w:r>
      <w:r>
        <w:rPr>
          <w:rFonts w:ascii="宋体" w:hAnsi="宋体"/>
          <w:color w:val="auto"/>
          <w:sz w:val="24"/>
          <w:highlight w:val="none"/>
        </w:rPr>
        <w:t>；</w:t>
      </w:r>
    </w:p>
    <w:p w14:paraId="7B194995">
      <w:pPr>
        <w:spacing w:line="360" w:lineRule="auto"/>
        <w:ind w:firstLine="480" w:firstLineChars="200"/>
        <w:rPr>
          <w:rFonts w:ascii="宋体" w:hAnsi="宋体"/>
          <w:color w:val="auto"/>
          <w:sz w:val="24"/>
          <w:highlight w:val="none"/>
        </w:rPr>
      </w:pPr>
      <w:r>
        <w:rPr>
          <w:rFonts w:ascii="宋体" w:hAnsi="宋体"/>
          <w:color w:val="auto"/>
          <w:sz w:val="24"/>
          <w:highlight w:val="none"/>
        </w:rPr>
        <w:t>监理工程师执业资格证书号：</w:t>
      </w:r>
      <w:r>
        <w:rPr>
          <w:rFonts w:ascii="宋体" w:hAnsi="宋体"/>
          <w:color w:val="auto"/>
          <w:sz w:val="24"/>
          <w:highlight w:val="none"/>
          <w:u w:val="single"/>
        </w:rPr>
        <w:t>　</w:t>
      </w:r>
      <w:r>
        <w:rPr>
          <w:rFonts w:ascii="宋体" w:hAnsi="宋体"/>
          <w:color w:val="auto"/>
          <w:sz w:val="24"/>
          <w:highlight w:val="none"/>
        </w:rPr>
        <w:t>；</w:t>
      </w:r>
    </w:p>
    <w:p w14:paraId="462D0772">
      <w:pPr>
        <w:spacing w:line="360" w:lineRule="auto"/>
        <w:ind w:firstLine="480" w:firstLineChars="200"/>
        <w:rPr>
          <w:rFonts w:ascii="宋体" w:hAnsi="宋体"/>
          <w:color w:val="auto"/>
          <w:sz w:val="24"/>
          <w:highlight w:val="none"/>
        </w:rPr>
      </w:pPr>
      <w:r>
        <w:rPr>
          <w:rFonts w:ascii="宋体" w:hAnsi="宋体"/>
          <w:color w:val="auto"/>
          <w:sz w:val="24"/>
          <w:highlight w:val="none"/>
        </w:rPr>
        <w:t>联系电话：</w:t>
      </w:r>
      <w:r>
        <w:rPr>
          <w:rFonts w:ascii="宋体" w:hAnsi="宋体"/>
          <w:color w:val="auto"/>
          <w:sz w:val="24"/>
          <w:highlight w:val="none"/>
          <w:u w:val="single"/>
        </w:rPr>
        <w:t>　　　　　　　　　</w:t>
      </w:r>
      <w:r>
        <w:rPr>
          <w:rFonts w:ascii="宋体" w:hAnsi="宋体"/>
          <w:color w:val="auto"/>
          <w:sz w:val="24"/>
          <w:highlight w:val="none"/>
        </w:rPr>
        <w:t>；</w:t>
      </w:r>
    </w:p>
    <w:p w14:paraId="2569B9EC">
      <w:pPr>
        <w:spacing w:line="360" w:lineRule="auto"/>
        <w:ind w:firstLine="480" w:firstLineChars="200"/>
        <w:rPr>
          <w:rFonts w:ascii="宋体" w:hAnsi="宋体"/>
          <w:color w:val="auto"/>
          <w:sz w:val="24"/>
          <w:highlight w:val="none"/>
        </w:rPr>
      </w:pPr>
      <w:r>
        <w:rPr>
          <w:rFonts w:ascii="宋体" w:hAnsi="宋体"/>
          <w:color w:val="auto"/>
          <w:sz w:val="24"/>
          <w:highlight w:val="none"/>
        </w:rPr>
        <w:t>电子信箱：</w:t>
      </w:r>
      <w:r>
        <w:rPr>
          <w:rFonts w:ascii="宋体" w:hAnsi="宋体"/>
          <w:color w:val="auto"/>
          <w:sz w:val="24"/>
          <w:highlight w:val="none"/>
          <w:u w:val="single"/>
        </w:rPr>
        <w:t>　　　　　　　　　　　　　　　　</w:t>
      </w:r>
      <w:r>
        <w:rPr>
          <w:rFonts w:ascii="宋体" w:hAnsi="宋体"/>
          <w:color w:val="auto"/>
          <w:sz w:val="24"/>
          <w:highlight w:val="none"/>
        </w:rPr>
        <w:t>；</w:t>
      </w:r>
    </w:p>
    <w:p w14:paraId="41117ECE">
      <w:pPr>
        <w:spacing w:line="360" w:lineRule="auto"/>
        <w:ind w:firstLine="480" w:firstLineChars="200"/>
        <w:rPr>
          <w:rFonts w:ascii="宋体" w:hAnsi="宋体"/>
          <w:color w:val="auto"/>
          <w:sz w:val="24"/>
          <w:highlight w:val="none"/>
        </w:rPr>
      </w:pPr>
      <w:r>
        <w:rPr>
          <w:rFonts w:ascii="宋体" w:hAnsi="宋体"/>
          <w:color w:val="auto"/>
          <w:sz w:val="24"/>
          <w:highlight w:val="none"/>
        </w:rPr>
        <w:t>通信地址：；</w:t>
      </w:r>
    </w:p>
    <w:p w14:paraId="4198E8CB">
      <w:pPr>
        <w:spacing w:line="360" w:lineRule="auto"/>
        <w:ind w:firstLine="480" w:firstLineChars="200"/>
        <w:rPr>
          <w:rFonts w:ascii="宋体" w:hAnsi="宋体"/>
          <w:color w:val="auto"/>
          <w:sz w:val="24"/>
          <w:highlight w:val="none"/>
        </w:rPr>
      </w:pPr>
      <w:r>
        <w:rPr>
          <w:rFonts w:ascii="宋体" w:hAnsi="宋体"/>
          <w:color w:val="auto"/>
          <w:sz w:val="24"/>
          <w:highlight w:val="none"/>
        </w:rPr>
        <w:t>1.1.3 工程和设备</w:t>
      </w:r>
      <w:bookmarkStart w:id="202" w:name="_Toc373478341"/>
      <w:bookmarkStart w:id="203" w:name="_Toc389065260"/>
      <w:bookmarkStart w:id="204" w:name="_Toc24933"/>
      <w:bookmarkStart w:id="205" w:name="_Toc373227694"/>
      <w:bookmarkStart w:id="206" w:name="_Toc395382496"/>
    </w:p>
    <w:p w14:paraId="58036FA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1.1.3.7 作为施工现场组成部分的其他场所包括： </w:t>
      </w:r>
      <w:r>
        <w:rPr>
          <w:rFonts w:ascii="宋体" w:hAnsi="宋体"/>
          <w:color w:val="auto"/>
          <w:sz w:val="24"/>
          <w:highlight w:val="none"/>
          <w:u w:val="single"/>
        </w:rPr>
        <w:t xml:space="preserve"> 按本合同《通用条款》</w:t>
      </w:r>
      <w:r>
        <w:rPr>
          <w:rFonts w:ascii="宋体" w:hAnsi="宋体"/>
          <w:color w:val="auto"/>
          <w:sz w:val="24"/>
          <w:highlight w:val="none"/>
        </w:rPr>
        <w:t xml:space="preserve"> 。</w:t>
      </w:r>
    </w:p>
    <w:p w14:paraId="0EB913DE">
      <w:pPr>
        <w:spacing w:line="360" w:lineRule="auto"/>
        <w:ind w:firstLine="480" w:firstLineChars="200"/>
        <w:rPr>
          <w:rFonts w:ascii="宋体" w:hAnsi="宋体"/>
          <w:color w:val="auto"/>
          <w:sz w:val="24"/>
          <w:highlight w:val="none"/>
        </w:rPr>
      </w:pPr>
      <w:r>
        <w:rPr>
          <w:rFonts w:ascii="宋体" w:hAnsi="宋体"/>
          <w:color w:val="auto"/>
          <w:sz w:val="24"/>
          <w:highlight w:val="none"/>
        </w:rPr>
        <w:t>1.1.3.9 永久占地包括：</w:t>
      </w:r>
      <w:r>
        <w:rPr>
          <w:rFonts w:ascii="宋体" w:hAnsi="宋体"/>
          <w:color w:val="auto"/>
          <w:sz w:val="24"/>
          <w:highlight w:val="none"/>
          <w:u w:val="single"/>
        </w:rPr>
        <w:t>具体内容见双方确认的本工程规划红线图为准</w:t>
      </w:r>
      <w:r>
        <w:rPr>
          <w:rFonts w:ascii="宋体" w:hAnsi="宋体"/>
          <w:color w:val="auto"/>
          <w:sz w:val="24"/>
          <w:highlight w:val="none"/>
        </w:rPr>
        <w:t>。</w:t>
      </w:r>
    </w:p>
    <w:p w14:paraId="696B17E3">
      <w:pPr>
        <w:spacing w:line="360" w:lineRule="auto"/>
        <w:ind w:firstLine="480" w:firstLineChars="200"/>
        <w:rPr>
          <w:rFonts w:ascii="宋体" w:hAnsi="宋体"/>
          <w:color w:val="auto"/>
          <w:sz w:val="24"/>
          <w:highlight w:val="none"/>
        </w:rPr>
      </w:pPr>
      <w:r>
        <w:rPr>
          <w:rFonts w:ascii="宋体" w:hAnsi="宋体"/>
          <w:color w:val="auto"/>
          <w:sz w:val="24"/>
          <w:highlight w:val="none"/>
        </w:rPr>
        <w:t>1.1.3.10 临时占地包括：</w:t>
      </w:r>
      <w:r>
        <w:rPr>
          <w:rFonts w:ascii="宋体" w:hAnsi="宋体"/>
          <w:color w:val="auto"/>
          <w:sz w:val="24"/>
          <w:highlight w:val="none"/>
          <w:u w:val="single"/>
        </w:rPr>
        <w:t>发包人用地范围或发包人指定场地。</w:t>
      </w:r>
    </w:p>
    <w:p w14:paraId="72B0ADC2">
      <w:pPr>
        <w:pStyle w:val="2"/>
        <w:rPr>
          <w:rFonts w:ascii="宋体" w:hAnsi="宋体"/>
          <w:color w:val="auto"/>
          <w:szCs w:val="24"/>
          <w:highlight w:val="none"/>
        </w:rPr>
      </w:pPr>
      <w:bookmarkStart w:id="207" w:name="_Toc3000"/>
      <w:bookmarkStart w:id="208" w:name="_Toc533611452"/>
      <w:r>
        <w:rPr>
          <w:rFonts w:hint="eastAsia" w:ascii="宋体" w:hAnsi="宋体"/>
          <w:color w:val="auto"/>
          <w:szCs w:val="24"/>
          <w:highlight w:val="none"/>
        </w:rPr>
        <w:t>1.3 法律</w:t>
      </w:r>
      <w:bookmarkEnd w:id="202"/>
      <w:bookmarkEnd w:id="203"/>
      <w:bookmarkEnd w:id="204"/>
      <w:bookmarkEnd w:id="205"/>
      <w:bookmarkEnd w:id="206"/>
      <w:bookmarkEnd w:id="207"/>
      <w:bookmarkEnd w:id="208"/>
    </w:p>
    <w:p w14:paraId="17949B66">
      <w:pPr>
        <w:adjustRightInd w:val="0"/>
        <w:spacing w:line="360" w:lineRule="auto"/>
        <w:rPr>
          <w:rFonts w:ascii="宋体" w:hAnsi="宋体"/>
          <w:color w:val="auto"/>
          <w:sz w:val="24"/>
          <w:highlight w:val="none"/>
        </w:rPr>
      </w:pPr>
      <w:r>
        <w:rPr>
          <w:rFonts w:ascii="宋体" w:hAnsi="宋体"/>
          <w:color w:val="auto"/>
          <w:sz w:val="24"/>
          <w:highlight w:val="none"/>
        </w:rPr>
        <w:t>适用于合同的其他规范性文件：</w:t>
      </w:r>
      <w:r>
        <w:rPr>
          <w:rFonts w:ascii="宋体" w:hAnsi="宋体"/>
          <w:color w:val="auto"/>
          <w:sz w:val="24"/>
          <w:highlight w:val="none"/>
          <w:u w:val="single"/>
        </w:rPr>
        <w:t xml:space="preserve">   执行通用条款    </w:t>
      </w:r>
      <w:r>
        <w:rPr>
          <w:rFonts w:ascii="宋体" w:hAnsi="宋体"/>
          <w:color w:val="auto"/>
          <w:sz w:val="24"/>
          <w:highlight w:val="none"/>
        </w:rPr>
        <w:t>。</w:t>
      </w:r>
    </w:p>
    <w:p w14:paraId="11D054E4">
      <w:pPr>
        <w:pStyle w:val="2"/>
        <w:rPr>
          <w:rFonts w:ascii="宋体" w:hAnsi="宋体"/>
          <w:color w:val="auto"/>
          <w:szCs w:val="24"/>
          <w:highlight w:val="none"/>
        </w:rPr>
      </w:pPr>
      <w:bookmarkStart w:id="209" w:name="_Toc389065261"/>
      <w:bookmarkStart w:id="210" w:name="_Toc19786"/>
      <w:bookmarkStart w:id="211" w:name="_Toc28509"/>
      <w:bookmarkStart w:id="212" w:name="_Toc533611453"/>
      <w:bookmarkStart w:id="213" w:name="_Toc373478342"/>
      <w:bookmarkStart w:id="214" w:name="_Toc395382497"/>
      <w:bookmarkStart w:id="215" w:name="_Toc373227695"/>
      <w:r>
        <w:rPr>
          <w:rFonts w:hint="eastAsia" w:ascii="宋体" w:hAnsi="宋体"/>
          <w:color w:val="auto"/>
          <w:szCs w:val="24"/>
          <w:highlight w:val="none"/>
        </w:rPr>
        <w:t>1.4 标准和规范</w:t>
      </w:r>
      <w:bookmarkEnd w:id="209"/>
      <w:bookmarkEnd w:id="210"/>
      <w:bookmarkEnd w:id="211"/>
      <w:bookmarkEnd w:id="212"/>
      <w:bookmarkEnd w:id="213"/>
      <w:bookmarkEnd w:id="214"/>
      <w:bookmarkEnd w:id="215"/>
    </w:p>
    <w:p w14:paraId="47B48D43">
      <w:pPr>
        <w:spacing w:line="360" w:lineRule="auto"/>
        <w:rPr>
          <w:rFonts w:ascii="宋体" w:hAnsi="宋体"/>
          <w:color w:val="auto"/>
          <w:sz w:val="24"/>
          <w:highlight w:val="none"/>
        </w:rPr>
      </w:pPr>
      <w:r>
        <w:rPr>
          <w:rFonts w:ascii="宋体" w:hAnsi="宋体"/>
          <w:color w:val="auto"/>
          <w:sz w:val="24"/>
          <w:highlight w:val="none"/>
        </w:rPr>
        <w:t>1.4.1 适用于工程的标准规范包括：</w:t>
      </w:r>
      <w:r>
        <w:rPr>
          <w:rFonts w:ascii="宋体" w:hAnsi="宋体"/>
          <w:color w:val="auto"/>
          <w:sz w:val="24"/>
          <w:highlight w:val="none"/>
          <w:u w:val="single"/>
        </w:rPr>
        <w:t xml:space="preserve">   国家和地方现行的施工规范及技术标准   </w:t>
      </w:r>
      <w:r>
        <w:rPr>
          <w:rFonts w:ascii="宋体" w:hAnsi="宋体"/>
          <w:color w:val="auto"/>
          <w:sz w:val="24"/>
          <w:highlight w:val="none"/>
        </w:rPr>
        <w:t>。</w:t>
      </w:r>
    </w:p>
    <w:p w14:paraId="2E2E53BB">
      <w:pPr>
        <w:spacing w:line="360" w:lineRule="auto"/>
        <w:rPr>
          <w:rFonts w:ascii="宋体" w:hAnsi="宋体"/>
          <w:color w:val="auto"/>
          <w:sz w:val="24"/>
          <w:highlight w:val="none"/>
        </w:rPr>
      </w:pPr>
      <w:r>
        <w:rPr>
          <w:rFonts w:ascii="宋体" w:hAnsi="宋体"/>
          <w:color w:val="auto"/>
          <w:sz w:val="24"/>
          <w:highlight w:val="none"/>
        </w:rPr>
        <w:t>1.4.2 发包人提供国外标准、规范的名称：</w:t>
      </w:r>
      <w:r>
        <w:rPr>
          <w:rFonts w:ascii="宋体" w:hAnsi="宋体"/>
          <w:color w:val="auto"/>
          <w:sz w:val="24"/>
          <w:highlight w:val="none"/>
          <w:u w:val="single"/>
        </w:rPr>
        <w:t xml:space="preserve">                     /            </w:t>
      </w:r>
      <w:r>
        <w:rPr>
          <w:rFonts w:ascii="宋体" w:hAnsi="宋体"/>
          <w:color w:val="auto"/>
          <w:sz w:val="24"/>
          <w:highlight w:val="none"/>
        </w:rPr>
        <w:t>；</w:t>
      </w:r>
    </w:p>
    <w:p w14:paraId="1F49D849">
      <w:pPr>
        <w:spacing w:line="360" w:lineRule="auto"/>
        <w:ind w:firstLine="480" w:firstLineChars="200"/>
        <w:rPr>
          <w:rFonts w:ascii="宋体" w:hAnsi="宋体"/>
          <w:color w:val="auto"/>
          <w:sz w:val="24"/>
          <w:highlight w:val="none"/>
        </w:rPr>
      </w:pPr>
      <w:r>
        <w:rPr>
          <w:rFonts w:ascii="宋体" w:hAnsi="宋体"/>
          <w:color w:val="auto"/>
          <w:sz w:val="24"/>
          <w:highlight w:val="none"/>
        </w:rPr>
        <w:t>发包人提供国外标准、规范的份数：</w:t>
      </w:r>
      <w:r>
        <w:rPr>
          <w:rFonts w:ascii="宋体" w:hAnsi="宋体"/>
          <w:color w:val="auto"/>
          <w:sz w:val="24"/>
          <w:highlight w:val="none"/>
          <w:u w:val="single"/>
        </w:rPr>
        <w:t xml:space="preserve">           /           </w:t>
      </w:r>
      <w:r>
        <w:rPr>
          <w:rFonts w:ascii="宋体" w:hAnsi="宋体"/>
          <w:color w:val="auto"/>
          <w:sz w:val="24"/>
          <w:highlight w:val="none"/>
        </w:rPr>
        <w:t>；</w:t>
      </w:r>
    </w:p>
    <w:p w14:paraId="176E9F27">
      <w:pPr>
        <w:spacing w:line="360" w:lineRule="auto"/>
        <w:ind w:firstLine="480" w:firstLineChars="200"/>
        <w:rPr>
          <w:rFonts w:ascii="宋体" w:hAnsi="宋体"/>
          <w:color w:val="auto"/>
          <w:sz w:val="24"/>
          <w:highlight w:val="none"/>
        </w:rPr>
      </w:pPr>
      <w:r>
        <w:rPr>
          <w:rFonts w:ascii="宋体" w:hAnsi="宋体"/>
          <w:color w:val="auto"/>
          <w:sz w:val="24"/>
          <w:highlight w:val="none"/>
        </w:rPr>
        <w:t>发包人提供国外标准、规范的名称：</w:t>
      </w:r>
      <w:r>
        <w:rPr>
          <w:rFonts w:ascii="宋体" w:hAnsi="宋体"/>
          <w:color w:val="auto"/>
          <w:sz w:val="24"/>
          <w:highlight w:val="none"/>
          <w:u w:val="single"/>
        </w:rPr>
        <w:t xml:space="preserve">           /           </w:t>
      </w:r>
      <w:r>
        <w:rPr>
          <w:rFonts w:ascii="宋体" w:hAnsi="宋体"/>
          <w:color w:val="auto"/>
          <w:sz w:val="24"/>
          <w:highlight w:val="none"/>
        </w:rPr>
        <w:t>。</w:t>
      </w:r>
    </w:p>
    <w:p w14:paraId="4511A71D">
      <w:pPr>
        <w:spacing w:line="360" w:lineRule="auto"/>
        <w:ind w:firstLine="480" w:firstLineChars="200"/>
        <w:rPr>
          <w:rFonts w:ascii="宋体" w:hAnsi="宋体"/>
          <w:color w:val="auto"/>
          <w:sz w:val="24"/>
          <w:highlight w:val="none"/>
        </w:rPr>
      </w:pPr>
      <w:r>
        <w:rPr>
          <w:rFonts w:ascii="宋体" w:hAnsi="宋体"/>
          <w:color w:val="auto"/>
          <w:sz w:val="24"/>
          <w:highlight w:val="none"/>
        </w:rPr>
        <w:t>1.4.3 发包人对工程的技术标准和功能要求的特殊要求：</w:t>
      </w:r>
      <w:r>
        <w:rPr>
          <w:rFonts w:ascii="宋体" w:hAnsi="宋体"/>
          <w:color w:val="auto"/>
          <w:szCs w:val="21"/>
          <w:highlight w:val="none"/>
          <w:u w:val="single"/>
        </w:rPr>
        <w:t>如有，双方另行协商</w:t>
      </w:r>
      <w:r>
        <w:rPr>
          <w:rFonts w:ascii="宋体" w:hAnsi="宋体"/>
          <w:color w:val="auto"/>
          <w:sz w:val="24"/>
          <w:highlight w:val="none"/>
        </w:rPr>
        <w:t>。</w:t>
      </w:r>
    </w:p>
    <w:p w14:paraId="5CAD68BF">
      <w:pPr>
        <w:pStyle w:val="2"/>
        <w:rPr>
          <w:rFonts w:ascii="宋体" w:hAnsi="宋体"/>
          <w:color w:val="auto"/>
          <w:szCs w:val="24"/>
          <w:highlight w:val="none"/>
        </w:rPr>
      </w:pPr>
      <w:bookmarkStart w:id="216" w:name="_Toc395382498"/>
      <w:bookmarkStart w:id="217" w:name="_Toc373478343"/>
      <w:bookmarkStart w:id="218" w:name="_Toc24393"/>
      <w:bookmarkStart w:id="219" w:name="_Toc12555"/>
      <w:bookmarkStart w:id="220" w:name="_Toc533611454"/>
      <w:bookmarkStart w:id="221" w:name="_Toc389065262"/>
      <w:bookmarkStart w:id="222" w:name="_Toc373227696"/>
      <w:r>
        <w:rPr>
          <w:rFonts w:hint="eastAsia" w:ascii="宋体" w:hAnsi="宋体"/>
          <w:color w:val="auto"/>
          <w:szCs w:val="24"/>
          <w:highlight w:val="none"/>
        </w:rPr>
        <w:t>1.5 合同文件的优先顺序</w:t>
      </w:r>
      <w:bookmarkEnd w:id="216"/>
      <w:bookmarkEnd w:id="217"/>
      <w:bookmarkEnd w:id="218"/>
      <w:bookmarkEnd w:id="219"/>
      <w:bookmarkEnd w:id="220"/>
      <w:bookmarkEnd w:id="221"/>
      <w:bookmarkEnd w:id="222"/>
    </w:p>
    <w:p w14:paraId="146FD389">
      <w:pPr>
        <w:spacing w:line="360" w:lineRule="auto"/>
        <w:ind w:firstLine="480" w:firstLineChars="200"/>
        <w:rPr>
          <w:rFonts w:ascii="宋体" w:hAnsi="宋体"/>
          <w:color w:val="auto"/>
          <w:sz w:val="24"/>
          <w:highlight w:val="none"/>
        </w:rPr>
      </w:pPr>
      <w:r>
        <w:rPr>
          <w:rFonts w:ascii="宋体" w:hAnsi="宋体"/>
          <w:color w:val="auto"/>
          <w:sz w:val="24"/>
          <w:highlight w:val="none"/>
        </w:rPr>
        <w:t>合同文件组成及优先顺序为：</w:t>
      </w:r>
    </w:p>
    <w:p w14:paraId="485BE020">
      <w:pPr>
        <w:spacing w:line="360" w:lineRule="auto"/>
        <w:ind w:firstLine="480" w:firstLineChars="200"/>
        <w:rPr>
          <w:rFonts w:ascii="宋体" w:hAnsi="宋体"/>
          <w:color w:val="auto"/>
          <w:sz w:val="24"/>
          <w:highlight w:val="none"/>
        </w:rPr>
      </w:pPr>
      <w:r>
        <w:rPr>
          <w:rFonts w:ascii="宋体" w:hAnsi="宋体"/>
          <w:color w:val="auto"/>
          <w:sz w:val="24"/>
          <w:highlight w:val="none"/>
        </w:rPr>
        <w:t>（1）中标通知书（如果有）；</w:t>
      </w:r>
    </w:p>
    <w:p w14:paraId="001A2E09">
      <w:pPr>
        <w:spacing w:line="360" w:lineRule="auto"/>
        <w:ind w:firstLine="480" w:firstLineChars="200"/>
        <w:rPr>
          <w:rFonts w:ascii="宋体" w:hAnsi="宋体"/>
          <w:color w:val="auto"/>
          <w:sz w:val="24"/>
          <w:highlight w:val="none"/>
        </w:rPr>
      </w:pPr>
      <w:r>
        <w:rPr>
          <w:rFonts w:ascii="宋体" w:hAnsi="宋体"/>
          <w:color w:val="auto"/>
          <w:sz w:val="24"/>
          <w:highlight w:val="none"/>
        </w:rPr>
        <w:t>（2）投标函及其附录（如果有）；</w:t>
      </w:r>
    </w:p>
    <w:p w14:paraId="7EDFD101">
      <w:pPr>
        <w:spacing w:line="360" w:lineRule="auto"/>
        <w:ind w:firstLine="480" w:firstLineChars="200"/>
        <w:rPr>
          <w:rFonts w:ascii="宋体" w:hAnsi="宋体"/>
          <w:color w:val="auto"/>
          <w:sz w:val="24"/>
          <w:highlight w:val="none"/>
        </w:rPr>
      </w:pPr>
      <w:r>
        <w:rPr>
          <w:rFonts w:ascii="宋体" w:hAnsi="宋体"/>
          <w:color w:val="auto"/>
          <w:sz w:val="24"/>
          <w:highlight w:val="none"/>
        </w:rPr>
        <w:t>（3）专用合同条款及其附件；</w:t>
      </w:r>
    </w:p>
    <w:p w14:paraId="6D0C15D1">
      <w:pPr>
        <w:spacing w:line="360" w:lineRule="auto"/>
        <w:ind w:firstLine="480" w:firstLineChars="200"/>
        <w:rPr>
          <w:rFonts w:ascii="宋体" w:hAnsi="宋体"/>
          <w:color w:val="auto"/>
          <w:sz w:val="24"/>
          <w:highlight w:val="none"/>
        </w:rPr>
      </w:pPr>
      <w:r>
        <w:rPr>
          <w:rFonts w:ascii="宋体" w:hAnsi="宋体"/>
          <w:color w:val="auto"/>
          <w:sz w:val="24"/>
          <w:highlight w:val="none"/>
        </w:rPr>
        <w:t>（4）通用合同条款；</w:t>
      </w:r>
    </w:p>
    <w:p w14:paraId="21E97FE0">
      <w:pPr>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ascii="宋体" w:hAnsi="宋体"/>
          <w:color w:val="auto"/>
          <w:sz w:val="24"/>
          <w:highlight w:val="none"/>
          <w:u w:val="single"/>
        </w:rPr>
        <w:t xml:space="preserve">    技术标准和要求     </w:t>
      </w:r>
      <w:r>
        <w:rPr>
          <w:rFonts w:ascii="宋体" w:hAnsi="宋体"/>
          <w:color w:val="auto"/>
          <w:sz w:val="24"/>
          <w:highlight w:val="none"/>
        </w:rPr>
        <w:t>；</w:t>
      </w:r>
    </w:p>
    <w:p w14:paraId="6342EA51">
      <w:pPr>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ascii="宋体" w:hAnsi="宋体"/>
          <w:color w:val="auto"/>
          <w:sz w:val="24"/>
          <w:highlight w:val="none"/>
          <w:u w:val="single"/>
        </w:rPr>
        <w:t xml:space="preserve">    图纸  </w:t>
      </w:r>
      <w:r>
        <w:rPr>
          <w:rFonts w:ascii="宋体" w:hAnsi="宋体"/>
          <w:color w:val="auto"/>
          <w:sz w:val="24"/>
          <w:highlight w:val="none"/>
        </w:rPr>
        <w:t>；</w:t>
      </w:r>
    </w:p>
    <w:p w14:paraId="67C8C112">
      <w:pPr>
        <w:spacing w:line="360" w:lineRule="auto"/>
        <w:ind w:firstLine="480" w:firstLineChars="200"/>
        <w:rPr>
          <w:rFonts w:ascii="宋体" w:hAnsi="宋体"/>
          <w:color w:val="auto"/>
          <w:sz w:val="24"/>
          <w:highlight w:val="none"/>
        </w:rPr>
      </w:pPr>
      <w:r>
        <w:rPr>
          <w:rFonts w:ascii="宋体" w:hAnsi="宋体"/>
          <w:color w:val="auto"/>
          <w:sz w:val="24"/>
          <w:highlight w:val="none"/>
        </w:rPr>
        <w:t>（7）</w:t>
      </w:r>
      <w:r>
        <w:rPr>
          <w:rFonts w:ascii="宋体" w:hAnsi="宋体"/>
          <w:color w:val="auto"/>
          <w:sz w:val="24"/>
          <w:highlight w:val="none"/>
          <w:u w:val="single"/>
        </w:rPr>
        <w:t xml:space="preserve">    已标价工程量清单或预算书    </w:t>
      </w:r>
      <w:r>
        <w:rPr>
          <w:rFonts w:ascii="宋体" w:hAnsi="宋体"/>
          <w:color w:val="auto"/>
          <w:sz w:val="24"/>
          <w:highlight w:val="none"/>
        </w:rPr>
        <w:t>；</w:t>
      </w:r>
    </w:p>
    <w:p w14:paraId="295E1A6D">
      <w:pPr>
        <w:spacing w:line="360" w:lineRule="auto"/>
        <w:ind w:firstLine="480" w:firstLineChars="200"/>
        <w:rPr>
          <w:rFonts w:ascii="宋体" w:hAnsi="宋体"/>
          <w:color w:val="auto"/>
          <w:sz w:val="24"/>
          <w:highlight w:val="none"/>
        </w:rPr>
      </w:pPr>
      <w:r>
        <w:rPr>
          <w:rFonts w:ascii="宋体" w:hAnsi="宋体"/>
          <w:color w:val="auto"/>
          <w:sz w:val="24"/>
          <w:highlight w:val="none"/>
        </w:rPr>
        <w:t>（8）</w:t>
      </w:r>
      <w:r>
        <w:rPr>
          <w:rFonts w:ascii="宋体" w:hAnsi="宋体"/>
          <w:color w:val="auto"/>
          <w:sz w:val="24"/>
          <w:highlight w:val="none"/>
          <w:u w:val="single"/>
        </w:rPr>
        <w:t xml:space="preserve">    其他合同文件     </w:t>
      </w:r>
      <w:r>
        <w:rPr>
          <w:rFonts w:ascii="宋体" w:hAnsi="宋体"/>
          <w:color w:val="auto"/>
          <w:sz w:val="24"/>
          <w:highlight w:val="none"/>
        </w:rPr>
        <w:t>。</w:t>
      </w:r>
    </w:p>
    <w:p w14:paraId="03B15422">
      <w:pPr>
        <w:spacing w:line="360" w:lineRule="auto"/>
        <w:ind w:firstLine="480" w:firstLineChars="200"/>
        <w:rPr>
          <w:rFonts w:ascii="宋体" w:hAnsi="宋体"/>
          <w:color w:val="auto"/>
          <w:sz w:val="24"/>
          <w:highlight w:val="none"/>
        </w:rPr>
      </w:pPr>
      <w:r>
        <w:rPr>
          <w:rFonts w:ascii="宋体" w:hAnsi="宋体"/>
          <w:color w:val="auto"/>
          <w:sz w:val="24"/>
          <w:highlight w:val="none"/>
        </w:rPr>
        <w:t>（9）《建设工程工程量清单计价规范（GB5050-2013）》及其广西实施细则、《建设工程工程量清单计算规范（GB5854~50862-2013）》及其广西实施细则。</w:t>
      </w:r>
    </w:p>
    <w:p w14:paraId="1F85B338">
      <w:pPr>
        <w:pStyle w:val="2"/>
        <w:rPr>
          <w:rFonts w:ascii="宋体" w:hAnsi="宋体"/>
          <w:color w:val="auto"/>
          <w:szCs w:val="24"/>
          <w:highlight w:val="none"/>
        </w:rPr>
      </w:pPr>
      <w:bookmarkStart w:id="223" w:name="_Toc395382499"/>
      <w:bookmarkStart w:id="224" w:name="_Toc373478344"/>
      <w:bookmarkStart w:id="225" w:name="_Toc533611455"/>
      <w:bookmarkStart w:id="226" w:name="_Toc373227697"/>
      <w:bookmarkStart w:id="227" w:name="_Toc24628"/>
      <w:bookmarkStart w:id="228" w:name="_Toc389065263"/>
      <w:bookmarkStart w:id="229" w:name="_Toc29086"/>
      <w:r>
        <w:rPr>
          <w:rFonts w:hint="eastAsia" w:ascii="宋体" w:hAnsi="宋体"/>
          <w:color w:val="auto"/>
          <w:szCs w:val="24"/>
          <w:highlight w:val="none"/>
        </w:rPr>
        <w:t>1.6 图纸和承包人文件</w:t>
      </w:r>
      <w:bookmarkEnd w:id="223"/>
      <w:bookmarkEnd w:id="224"/>
      <w:bookmarkEnd w:id="225"/>
      <w:bookmarkEnd w:id="226"/>
      <w:bookmarkEnd w:id="227"/>
      <w:bookmarkEnd w:id="228"/>
      <w:bookmarkEnd w:id="229"/>
      <w:r>
        <w:rPr>
          <w:rFonts w:hint="eastAsia" w:ascii="宋体" w:hAnsi="宋体"/>
          <w:color w:val="auto"/>
          <w:szCs w:val="24"/>
          <w:highlight w:val="none"/>
        </w:rPr>
        <w:tab/>
      </w:r>
    </w:p>
    <w:p w14:paraId="15E775FC">
      <w:pPr>
        <w:spacing w:line="360" w:lineRule="auto"/>
        <w:ind w:firstLine="480" w:firstLineChars="200"/>
        <w:rPr>
          <w:rFonts w:ascii="宋体" w:hAnsi="宋体"/>
          <w:color w:val="auto"/>
          <w:sz w:val="24"/>
          <w:highlight w:val="none"/>
        </w:rPr>
      </w:pPr>
      <w:r>
        <w:rPr>
          <w:rFonts w:ascii="宋体" w:hAnsi="宋体"/>
          <w:color w:val="auto"/>
          <w:sz w:val="24"/>
          <w:highlight w:val="none"/>
        </w:rPr>
        <w:t>1.6.1 图纸的提供</w:t>
      </w:r>
    </w:p>
    <w:p w14:paraId="0CD1F850">
      <w:pPr>
        <w:spacing w:line="360" w:lineRule="auto"/>
        <w:ind w:firstLine="480" w:firstLineChars="200"/>
        <w:rPr>
          <w:rFonts w:ascii="宋体" w:hAnsi="宋体"/>
          <w:color w:val="auto"/>
          <w:sz w:val="24"/>
          <w:highlight w:val="none"/>
        </w:rPr>
      </w:pPr>
      <w:r>
        <w:rPr>
          <w:rFonts w:ascii="宋体" w:hAnsi="宋体"/>
          <w:color w:val="auto"/>
          <w:sz w:val="24"/>
          <w:highlight w:val="none"/>
        </w:rPr>
        <w:t>发包人向承包人提供图纸的期限：</w:t>
      </w:r>
      <w:r>
        <w:rPr>
          <w:rFonts w:ascii="宋体" w:hAnsi="宋体"/>
          <w:bCs/>
          <w:color w:val="auto"/>
          <w:sz w:val="24"/>
          <w:highlight w:val="none"/>
          <w:u w:val="single"/>
        </w:rPr>
        <w:t>合同生效后7天内</w:t>
      </w:r>
      <w:r>
        <w:rPr>
          <w:rFonts w:ascii="宋体" w:hAnsi="宋体"/>
          <w:color w:val="auto"/>
          <w:sz w:val="24"/>
          <w:highlight w:val="none"/>
        </w:rPr>
        <w:t>；</w:t>
      </w:r>
    </w:p>
    <w:p w14:paraId="480B6E14">
      <w:pPr>
        <w:spacing w:line="360" w:lineRule="auto"/>
        <w:ind w:firstLine="480" w:firstLineChars="200"/>
        <w:rPr>
          <w:rFonts w:ascii="宋体" w:hAnsi="宋体"/>
          <w:color w:val="auto"/>
          <w:sz w:val="24"/>
          <w:highlight w:val="none"/>
        </w:rPr>
      </w:pPr>
      <w:r>
        <w:rPr>
          <w:rFonts w:ascii="宋体" w:hAnsi="宋体"/>
          <w:color w:val="auto"/>
          <w:sz w:val="24"/>
          <w:highlight w:val="none"/>
        </w:rPr>
        <w:t>发包人向承包人提供图纸的数量</w:t>
      </w:r>
      <w:r>
        <w:rPr>
          <w:rFonts w:ascii="宋体" w:hAnsi="宋体"/>
          <w:b/>
          <w:color w:val="auto"/>
          <w:sz w:val="24"/>
          <w:highlight w:val="none"/>
        </w:rPr>
        <w:t>：</w:t>
      </w:r>
      <w:r>
        <w:rPr>
          <w:rFonts w:hint="eastAsia" w:ascii="宋体" w:hAnsi="宋体"/>
          <w:b/>
          <w:color w:val="auto"/>
          <w:sz w:val="24"/>
          <w:highlight w:val="none"/>
          <w:u w:val="single"/>
          <w:lang w:val="en-US" w:eastAsia="zh-CN"/>
        </w:rPr>
        <w:t xml:space="preserve">                </w:t>
      </w:r>
      <w:r>
        <w:rPr>
          <w:rFonts w:ascii="宋体" w:hAnsi="宋体"/>
          <w:color w:val="auto"/>
          <w:sz w:val="24"/>
          <w:highlight w:val="none"/>
        </w:rPr>
        <w:t>；</w:t>
      </w:r>
    </w:p>
    <w:p w14:paraId="5004EAD5">
      <w:pPr>
        <w:spacing w:line="360" w:lineRule="auto"/>
        <w:ind w:firstLine="480" w:firstLineChars="200"/>
        <w:rPr>
          <w:rFonts w:ascii="宋体" w:hAnsi="宋体"/>
          <w:color w:val="auto"/>
          <w:sz w:val="24"/>
          <w:highlight w:val="none"/>
        </w:rPr>
      </w:pPr>
      <w:r>
        <w:rPr>
          <w:rFonts w:ascii="宋体" w:hAnsi="宋体"/>
          <w:color w:val="auto"/>
          <w:sz w:val="24"/>
          <w:highlight w:val="none"/>
        </w:rPr>
        <w:t>发包人向承包人提供图纸的内容：</w:t>
      </w:r>
      <w:r>
        <w:rPr>
          <w:rFonts w:ascii="宋体" w:hAnsi="宋体"/>
          <w:color w:val="auto"/>
          <w:sz w:val="24"/>
          <w:highlight w:val="none"/>
          <w:u w:val="single"/>
        </w:rPr>
        <w:t xml:space="preserve">    全套完整施工图     </w:t>
      </w:r>
      <w:r>
        <w:rPr>
          <w:rFonts w:ascii="宋体" w:hAnsi="宋体"/>
          <w:color w:val="auto"/>
          <w:sz w:val="24"/>
          <w:highlight w:val="none"/>
        </w:rPr>
        <w:t>。</w:t>
      </w:r>
    </w:p>
    <w:p w14:paraId="41D3970E">
      <w:pPr>
        <w:spacing w:line="360" w:lineRule="auto"/>
        <w:ind w:firstLine="480" w:firstLineChars="200"/>
        <w:rPr>
          <w:rFonts w:ascii="宋体" w:hAnsi="宋体"/>
          <w:color w:val="auto"/>
          <w:sz w:val="24"/>
          <w:highlight w:val="none"/>
        </w:rPr>
      </w:pPr>
      <w:r>
        <w:rPr>
          <w:rFonts w:ascii="宋体" w:hAnsi="宋体"/>
          <w:color w:val="auto"/>
          <w:sz w:val="24"/>
          <w:highlight w:val="none"/>
        </w:rPr>
        <w:t>1.6.4 承包人文件</w:t>
      </w:r>
    </w:p>
    <w:p w14:paraId="7E22CE5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需要由承包人提供的文件，包括：</w:t>
      </w:r>
      <w:r>
        <w:rPr>
          <w:rFonts w:ascii="宋体" w:hAnsi="宋体"/>
          <w:color w:val="auto"/>
          <w:sz w:val="24"/>
          <w:highlight w:val="none"/>
          <w:u w:val="single"/>
        </w:rPr>
        <w:t>提供项目部组成人员名单及身份证明、项目部用章授权书、项目经理亲笔签字及盖执业印章图样（施工过程中来往文件均需项目经理签字和盖章）</w:t>
      </w:r>
      <w:r>
        <w:rPr>
          <w:rFonts w:ascii="宋体" w:hAnsi="宋体"/>
          <w:color w:val="auto"/>
          <w:sz w:val="24"/>
          <w:highlight w:val="none"/>
        </w:rPr>
        <w:t>；</w:t>
      </w:r>
    </w:p>
    <w:p w14:paraId="11F46782">
      <w:pPr>
        <w:spacing w:line="360" w:lineRule="auto"/>
        <w:ind w:firstLine="480" w:firstLineChars="200"/>
        <w:rPr>
          <w:rFonts w:ascii="宋体" w:hAnsi="宋体"/>
          <w:color w:val="auto"/>
          <w:sz w:val="24"/>
          <w:highlight w:val="none"/>
        </w:rPr>
      </w:pPr>
      <w:r>
        <w:rPr>
          <w:rFonts w:ascii="宋体" w:hAnsi="宋体"/>
          <w:color w:val="auto"/>
          <w:sz w:val="24"/>
          <w:highlight w:val="none"/>
        </w:rPr>
        <w:t>承包人提供的文件的期限为：</w:t>
      </w:r>
      <w:r>
        <w:rPr>
          <w:rFonts w:ascii="宋体" w:hAnsi="宋体"/>
          <w:bCs/>
          <w:color w:val="auto"/>
          <w:sz w:val="24"/>
          <w:highlight w:val="none"/>
          <w:u w:val="single"/>
        </w:rPr>
        <w:t>合同生效后7天内</w:t>
      </w:r>
      <w:r>
        <w:rPr>
          <w:rFonts w:ascii="宋体" w:hAnsi="宋体"/>
          <w:color w:val="auto"/>
          <w:sz w:val="24"/>
          <w:highlight w:val="none"/>
        </w:rPr>
        <w:t>；</w:t>
      </w:r>
    </w:p>
    <w:p w14:paraId="4FFD1452">
      <w:pPr>
        <w:spacing w:line="360" w:lineRule="auto"/>
        <w:ind w:firstLine="480" w:firstLineChars="200"/>
        <w:rPr>
          <w:rFonts w:ascii="宋体" w:hAnsi="宋体"/>
          <w:color w:val="auto"/>
          <w:sz w:val="24"/>
          <w:highlight w:val="none"/>
        </w:rPr>
      </w:pPr>
      <w:r>
        <w:rPr>
          <w:rFonts w:ascii="宋体" w:hAnsi="宋体"/>
          <w:color w:val="auto"/>
          <w:sz w:val="24"/>
          <w:highlight w:val="none"/>
        </w:rPr>
        <w:t>承包人提供的文件的数量为：</w:t>
      </w:r>
      <w:r>
        <w:rPr>
          <w:rFonts w:ascii="宋体" w:hAnsi="宋体"/>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single"/>
        </w:rPr>
        <w:t xml:space="preserve"> </w:t>
      </w:r>
      <w:r>
        <w:rPr>
          <w:rFonts w:ascii="宋体" w:hAnsi="宋体"/>
          <w:b/>
          <w:color w:val="auto"/>
          <w:sz w:val="24"/>
          <w:highlight w:val="none"/>
          <w:u w:val="single"/>
        </w:rPr>
        <w:t xml:space="preserve">  </w:t>
      </w:r>
      <w:r>
        <w:rPr>
          <w:rFonts w:ascii="宋体" w:hAnsi="宋体"/>
          <w:color w:val="auto"/>
          <w:sz w:val="24"/>
          <w:highlight w:val="none"/>
        </w:rPr>
        <w:t>；</w:t>
      </w:r>
    </w:p>
    <w:p w14:paraId="5870AF89">
      <w:pPr>
        <w:spacing w:line="360" w:lineRule="auto"/>
        <w:ind w:firstLine="480" w:firstLineChars="200"/>
        <w:rPr>
          <w:rFonts w:ascii="宋体" w:hAnsi="宋体"/>
          <w:color w:val="auto"/>
          <w:sz w:val="24"/>
          <w:highlight w:val="none"/>
        </w:rPr>
      </w:pPr>
      <w:r>
        <w:rPr>
          <w:rFonts w:ascii="宋体" w:hAnsi="宋体"/>
          <w:color w:val="auto"/>
          <w:sz w:val="24"/>
          <w:highlight w:val="none"/>
        </w:rPr>
        <w:t>承包人提供的文件的形式为：</w:t>
      </w:r>
      <w:r>
        <w:rPr>
          <w:rFonts w:ascii="宋体" w:hAnsi="宋体"/>
          <w:color w:val="auto"/>
          <w:sz w:val="24"/>
          <w:highlight w:val="none"/>
          <w:u w:val="single"/>
        </w:rPr>
        <w:t xml:space="preserve">   文本和电子版 </w:t>
      </w:r>
      <w:r>
        <w:rPr>
          <w:rFonts w:ascii="宋体" w:hAnsi="宋体"/>
          <w:color w:val="auto"/>
          <w:sz w:val="24"/>
          <w:highlight w:val="none"/>
        </w:rPr>
        <w:t>；</w:t>
      </w:r>
    </w:p>
    <w:p w14:paraId="2F70AD41">
      <w:pPr>
        <w:spacing w:line="360" w:lineRule="auto"/>
        <w:ind w:firstLine="480" w:firstLineChars="200"/>
        <w:rPr>
          <w:rFonts w:ascii="宋体" w:hAnsi="宋体"/>
          <w:color w:val="auto"/>
          <w:sz w:val="24"/>
          <w:highlight w:val="none"/>
        </w:rPr>
      </w:pPr>
      <w:r>
        <w:rPr>
          <w:rFonts w:ascii="宋体" w:hAnsi="宋体"/>
          <w:color w:val="auto"/>
          <w:sz w:val="24"/>
          <w:highlight w:val="none"/>
        </w:rPr>
        <w:t>发包人审批承包人文件的期限：</w:t>
      </w:r>
      <w:r>
        <w:rPr>
          <w:rFonts w:ascii="宋体" w:hAnsi="宋体"/>
          <w:color w:val="auto"/>
          <w:sz w:val="24"/>
          <w:highlight w:val="none"/>
          <w:u w:val="single"/>
        </w:rPr>
        <w:t>收到之日起7日内</w:t>
      </w:r>
      <w:r>
        <w:rPr>
          <w:rFonts w:ascii="宋体" w:hAnsi="宋体"/>
          <w:color w:val="auto"/>
          <w:sz w:val="24"/>
          <w:highlight w:val="none"/>
        </w:rPr>
        <w:t>。</w:t>
      </w:r>
    </w:p>
    <w:p w14:paraId="15427E6A">
      <w:pPr>
        <w:spacing w:line="360" w:lineRule="auto"/>
        <w:ind w:firstLine="480" w:firstLineChars="200"/>
        <w:rPr>
          <w:rFonts w:ascii="宋体" w:hAnsi="宋体"/>
          <w:color w:val="auto"/>
          <w:sz w:val="24"/>
          <w:highlight w:val="none"/>
        </w:rPr>
      </w:pPr>
      <w:r>
        <w:rPr>
          <w:rFonts w:ascii="宋体" w:hAnsi="宋体"/>
          <w:color w:val="auto"/>
          <w:sz w:val="24"/>
          <w:highlight w:val="none"/>
        </w:rPr>
        <w:t>1.6.5 现场图纸准备</w:t>
      </w:r>
    </w:p>
    <w:p w14:paraId="0CD39529">
      <w:pPr>
        <w:spacing w:line="360" w:lineRule="auto"/>
        <w:ind w:firstLine="480" w:firstLineChars="200"/>
        <w:rPr>
          <w:rFonts w:ascii="宋体" w:hAnsi="宋体"/>
          <w:color w:val="auto"/>
          <w:sz w:val="24"/>
          <w:highlight w:val="none"/>
        </w:rPr>
      </w:pPr>
      <w:r>
        <w:rPr>
          <w:rFonts w:ascii="宋体" w:hAnsi="宋体"/>
          <w:color w:val="auto"/>
          <w:sz w:val="24"/>
          <w:highlight w:val="none"/>
        </w:rPr>
        <w:t>关于现场图纸准备的约定：</w:t>
      </w:r>
      <w:r>
        <w:rPr>
          <w:rFonts w:ascii="宋体" w:hAnsi="宋体"/>
          <w:color w:val="auto"/>
          <w:sz w:val="24"/>
          <w:highlight w:val="none"/>
          <w:u w:val="single"/>
        </w:rPr>
        <w:t>按《通用条款》执行</w:t>
      </w:r>
      <w:r>
        <w:rPr>
          <w:rFonts w:ascii="宋体" w:hAnsi="宋体"/>
          <w:color w:val="auto"/>
          <w:sz w:val="24"/>
          <w:highlight w:val="none"/>
        </w:rPr>
        <w:t>。</w:t>
      </w:r>
    </w:p>
    <w:p w14:paraId="3CE08778">
      <w:pPr>
        <w:pStyle w:val="2"/>
        <w:rPr>
          <w:rFonts w:ascii="宋体" w:hAnsi="宋体"/>
          <w:color w:val="auto"/>
          <w:szCs w:val="24"/>
          <w:highlight w:val="none"/>
        </w:rPr>
      </w:pPr>
      <w:bookmarkStart w:id="230" w:name="_Toc31937"/>
      <w:bookmarkStart w:id="231" w:name="_Toc389065264"/>
      <w:bookmarkStart w:id="232" w:name="_Toc373227698"/>
      <w:bookmarkStart w:id="233" w:name="_Toc395382500"/>
      <w:bookmarkStart w:id="234" w:name="_Toc20715"/>
      <w:bookmarkStart w:id="235" w:name="_Toc533611456"/>
      <w:bookmarkStart w:id="236" w:name="_Toc373478345"/>
      <w:r>
        <w:rPr>
          <w:rFonts w:hint="eastAsia" w:ascii="宋体" w:hAnsi="宋体"/>
          <w:color w:val="auto"/>
          <w:szCs w:val="24"/>
          <w:highlight w:val="none"/>
        </w:rPr>
        <w:t>1.7 联络</w:t>
      </w:r>
      <w:bookmarkEnd w:id="230"/>
      <w:bookmarkEnd w:id="231"/>
      <w:bookmarkEnd w:id="232"/>
      <w:bookmarkEnd w:id="233"/>
      <w:bookmarkEnd w:id="234"/>
      <w:bookmarkEnd w:id="235"/>
      <w:bookmarkEnd w:id="236"/>
    </w:p>
    <w:p w14:paraId="57F64C76">
      <w:pPr>
        <w:spacing w:line="360" w:lineRule="auto"/>
        <w:ind w:firstLine="480" w:firstLineChars="200"/>
        <w:rPr>
          <w:rFonts w:ascii="宋体" w:hAnsi="宋体"/>
          <w:color w:val="auto"/>
          <w:sz w:val="24"/>
          <w:highlight w:val="none"/>
        </w:rPr>
      </w:pPr>
      <w:r>
        <w:rPr>
          <w:rFonts w:ascii="宋体" w:hAnsi="宋体"/>
          <w:color w:val="auto"/>
          <w:sz w:val="24"/>
          <w:highlight w:val="none"/>
        </w:rPr>
        <w:t>1.7.1发包人和承包人应当在</w:t>
      </w:r>
      <w:r>
        <w:rPr>
          <w:rFonts w:ascii="宋体" w:hAnsi="宋体"/>
          <w:color w:val="auto"/>
          <w:sz w:val="24"/>
          <w:highlight w:val="none"/>
          <w:u w:val="single"/>
        </w:rPr>
        <w:t xml:space="preserve">   7   </w:t>
      </w:r>
      <w:r>
        <w:rPr>
          <w:rFonts w:ascii="宋体" w:hAnsi="宋体"/>
          <w:color w:val="auto"/>
          <w:sz w:val="24"/>
          <w:highlight w:val="none"/>
        </w:rPr>
        <w:t>天内将与合同有关的通知、批准、证明、证书、指示、指令、要求、请求、同意、意见、确定和决定等书面函件送达对方当事人。</w:t>
      </w:r>
    </w:p>
    <w:p w14:paraId="19FCC545">
      <w:pPr>
        <w:spacing w:line="360" w:lineRule="auto"/>
        <w:ind w:firstLine="480" w:firstLineChars="200"/>
        <w:rPr>
          <w:rFonts w:ascii="宋体" w:hAnsi="宋体"/>
          <w:color w:val="auto"/>
          <w:sz w:val="24"/>
          <w:highlight w:val="none"/>
        </w:rPr>
      </w:pPr>
      <w:r>
        <w:rPr>
          <w:rFonts w:ascii="宋体" w:hAnsi="宋体"/>
          <w:color w:val="auto"/>
          <w:sz w:val="24"/>
          <w:highlight w:val="none"/>
        </w:rPr>
        <w:t>1.7.2 发包人接收文件的地点：</w:t>
      </w:r>
      <w:r>
        <w:rPr>
          <w:rFonts w:ascii="宋体" w:hAnsi="宋体"/>
          <w:color w:val="auto"/>
          <w:sz w:val="24"/>
          <w:highlight w:val="none"/>
          <w:u w:val="single"/>
        </w:rPr>
        <w:t>发包人单位办公所在地</w:t>
      </w:r>
      <w:r>
        <w:rPr>
          <w:rFonts w:ascii="宋体" w:hAnsi="宋体"/>
          <w:color w:val="auto"/>
          <w:sz w:val="24"/>
          <w:highlight w:val="none"/>
        </w:rPr>
        <w:t>；</w:t>
      </w:r>
      <w:bookmarkStart w:id="237" w:name="_Toc395382501"/>
      <w:bookmarkStart w:id="238" w:name="_Toc373227699"/>
      <w:bookmarkStart w:id="239" w:name="_Toc7122"/>
      <w:bookmarkStart w:id="240" w:name="_Toc389065265"/>
      <w:bookmarkStart w:id="241" w:name="_Toc373478346"/>
    </w:p>
    <w:p w14:paraId="64A2D720">
      <w:pPr>
        <w:spacing w:line="360" w:lineRule="auto"/>
        <w:ind w:firstLine="480" w:firstLineChars="200"/>
        <w:rPr>
          <w:rFonts w:ascii="宋体" w:hAnsi="宋体"/>
          <w:color w:val="auto"/>
          <w:sz w:val="24"/>
          <w:highlight w:val="none"/>
        </w:rPr>
      </w:pPr>
      <w:r>
        <w:rPr>
          <w:rFonts w:ascii="宋体" w:hAnsi="宋体"/>
          <w:color w:val="auto"/>
          <w:sz w:val="24"/>
          <w:highlight w:val="none"/>
        </w:rPr>
        <w:t>发包人指定的接收人为：</w:t>
      </w:r>
      <w:r>
        <w:rPr>
          <w:rFonts w:ascii="宋体" w:hAnsi="宋体"/>
          <w:color w:val="auto"/>
          <w:sz w:val="24"/>
          <w:highlight w:val="none"/>
          <w:u w:val="single"/>
        </w:rPr>
        <w:t>发包人派驻现场代表</w:t>
      </w:r>
      <w:r>
        <w:rPr>
          <w:rFonts w:ascii="宋体" w:hAnsi="宋体"/>
          <w:color w:val="auto"/>
          <w:sz w:val="24"/>
          <w:highlight w:val="none"/>
        </w:rPr>
        <w:t xml:space="preserve">  。</w:t>
      </w:r>
    </w:p>
    <w:p w14:paraId="470DB53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承包人接收文件的地点： </w:t>
      </w:r>
      <w:r>
        <w:rPr>
          <w:rFonts w:ascii="宋体" w:hAnsi="宋体"/>
          <w:color w:val="auto"/>
          <w:sz w:val="24"/>
          <w:highlight w:val="none"/>
          <w:u w:val="single"/>
        </w:rPr>
        <w:t xml:space="preserve">施工现场项目部 </w:t>
      </w:r>
      <w:r>
        <w:rPr>
          <w:rFonts w:ascii="宋体" w:hAnsi="宋体"/>
          <w:color w:val="auto"/>
          <w:sz w:val="24"/>
          <w:highlight w:val="none"/>
        </w:rPr>
        <w:t xml:space="preserve">  ；</w:t>
      </w:r>
    </w:p>
    <w:p w14:paraId="4EA39343">
      <w:pPr>
        <w:spacing w:line="360" w:lineRule="auto"/>
        <w:ind w:firstLine="480" w:firstLineChars="200"/>
        <w:rPr>
          <w:rFonts w:ascii="宋体" w:hAnsi="宋体"/>
          <w:color w:val="auto"/>
          <w:sz w:val="24"/>
          <w:highlight w:val="none"/>
        </w:rPr>
      </w:pPr>
      <w:r>
        <w:rPr>
          <w:rFonts w:ascii="宋体" w:hAnsi="宋体"/>
          <w:color w:val="auto"/>
          <w:sz w:val="24"/>
          <w:highlight w:val="none"/>
        </w:rPr>
        <w:t>承包人指定的接收人为：</w:t>
      </w:r>
      <w:r>
        <w:rPr>
          <w:rFonts w:ascii="宋体" w:hAnsi="宋体"/>
          <w:color w:val="auto"/>
          <w:sz w:val="24"/>
          <w:highlight w:val="none"/>
          <w:u w:val="single"/>
        </w:rPr>
        <w:t xml:space="preserve">承包人现场管理人员  </w:t>
      </w:r>
      <w:r>
        <w:rPr>
          <w:rFonts w:ascii="宋体" w:hAnsi="宋体"/>
          <w:color w:val="auto"/>
          <w:sz w:val="24"/>
          <w:highlight w:val="none"/>
        </w:rPr>
        <w:t>。</w:t>
      </w:r>
    </w:p>
    <w:p w14:paraId="1C0E6A17">
      <w:pPr>
        <w:spacing w:line="360" w:lineRule="auto"/>
        <w:ind w:firstLine="480" w:firstLineChars="200"/>
        <w:rPr>
          <w:rFonts w:ascii="宋体" w:hAnsi="宋体"/>
          <w:color w:val="auto"/>
          <w:sz w:val="24"/>
          <w:highlight w:val="none"/>
        </w:rPr>
      </w:pPr>
      <w:r>
        <w:rPr>
          <w:rFonts w:ascii="宋体" w:hAnsi="宋体"/>
          <w:color w:val="auto"/>
          <w:sz w:val="24"/>
          <w:highlight w:val="none"/>
        </w:rPr>
        <w:t>监理人接收文件的地点：</w:t>
      </w:r>
      <w:r>
        <w:rPr>
          <w:rFonts w:ascii="宋体" w:hAnsi="宋体"/>
          <w:color w:val="auto"/>
          <w:sz w:val="24"/>
          <w:highlight w:val="none"/>
          <w:u w:val="single"/>
        </w:rPr>
        <w:t xml:space="preserve">施工现场项目监理部  </w:t>
      </w:r>
      <w:r>
        <w:rPr>
          <w:rFonts w:ascii="宋体" w:hAnsi="宋体"/>
          <w:color w:val="auto"/>
          <w:sz w:val="24"/>
          <w:highlight w:val="none"/>
        </w:rPr>
        <w:t>；</w:t>
      </w:r>
    </w:p>
    <w:p w14:paraId="2D4A1B43">
      <w:pPr>
        <w:spacing w:line="360" w:lineRule="auto"/>
        <w:ind w:firstLine="480" w:firstLineChars="200"/>
        <w:rPr>
          <w:rFonts w:ascii="宋体" w:hAnsi="宋体"/>
          <w:color w:val="auto"/>
          <w:sz w:val="24"/>
          <w:highlight w:val="none"/>
        </w:rPr>
      </w:pPr>
      <w:r>
        <w:rPr>
          <w:rFonts w:ascii="宋体" w:hAnsi="宋体"/>
          <w:color w:val="auto"/>
          <w:sz w:val="24"/>
          <w:highlight w:val="none"/>
        </w:rPr>
        <w:t>监理人指定的接收人为：</w:t>
      </w:r>
      <w:r>
        <w:rPr>
          <w:rFonts w:ascii="宋体" w:hAnsi="宋体"/>
          <w:color w:val="auto"/>
          <w:sz w:val="24"/>
          <w:highlight w:val="none"/>
          <w:u w:val="single"/>
        </w:rPr>
        <w:t>总监或总监代表</w:t>
      </w:r>
      <w:r>
        <w:rPr>
          <w:rFonts w:ascii="宋体" w:hAnsi="宋体"/>
          <w:color w:val="auto"/>
          <w:sz w:val="24"/>
          <w:highlight w:val="none"/>
        </w:rPr>
        <w:t xml:space="preserve">   。</w:t>
      </w:r>
    </w:p>
    <w:p w14:paraId="310C2DFD">
      <w:pPr>
        <w:spacing w:line="360" w:lineRule="auto"/>
        <w:ind w:firstLine="480" w:firstLineChars="200"/>
        <w:rPr>
          <w:rFonts w:ascii="宋体" w:hAnsi="宋体"/>
          <w:color w:val="auto"/>
          <w:sz w:val="24"/>
          <w:highlight w:val="none"/>
        </w:rPr>
      </w:pPr>
      <w:r>
        <w:rPr>
          <w:rFonts w:ascii="宋体" w:hAnsi="宋体"/>
          <w:color w:val="auto"/>
          <w:sz w:val="24"/>
          <w:highlight w:val="none"/>
        </w:rPr>
        <w:t>1.10 交通运输</w:t>
      </w:r>
      <w:bookmarkEnd w:id="237"/>
      <w:bookmarkEnd w:id="238"/>
      <w:bookmarkEnd w:id="239"/>
      <w:bookmarkEnd w:id="240"/>
      <w:bookmarkEnd w:id="241"/>
    </w:p>
    <w:p w14:paraId="3A6A9F1B">
      <w:pPr>
        <w:spacing w:line="360" w:lineRule="auto"/>
        <w:ind w:firstLine="480" w:firstLineChars="200"/>
        <w:rPr>
          <w:rFonts w:ascii="宋体" w:hAnsi="宋体"/>
          <w:color w:val="auto"/>
          <w:sz w:val="24"/>
          <w:highlight w:val="none"/>
        </w:rPr>
      </w:pPr>
      <w:r>
        <w:rPr>
          <w:rFonts w:ascii="宋体" w:hAnsi="宋体"/>
          <w:color w:val="auto"/>
          <w:sz w:val="24"/>
          <w:highlight w:val="none"/>
        </w:rPr>
        <w:t>1</w:t>
      </w:r>
      <w:bookmarkStart w:id="242" w:name="_Toc303539100"/>
      <w:bookmarkStart w:id="243" w:name="_Toc312677986"/>
      <w:bookmarkStart w:id="244" w:name="_Toc300934943"/>
      <w:bookmarkStart w:id="245" w:name="_Toc318581155"/>
      <w:bookmarkStart w:id="246" w:name="_Toc304295521"/>
      <w:r>
        <w:rPr>
          <w:rFonts w:ascii="宋体" w:hAnsi="宋体"/>
          <w:color w:val="auto"/>
          <w:sz w:val="24"/>
          <w:highlight w:val="none"/>
        </w:rPr>
        <w:t>.10.1 出入现场的权利</w:t>
      </w:r>
    </w:p>
    <w:p w14:paraId="2B92A468">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关于出入现场的权利的约定：</w:t>
      </w:r>
      <w:r>
        <w:rPr>
          <w:rFonts w:ascii="宋体" w:hAnsi="宋体"/>
          <w:color w:val="auto"/>
          <w:sz w:val="24"/>
          <w:highlight w:val="none"/>
          <w:u w:val="single"/>
        </w:rPr>
        <w:t>开工前七天，发包人只需要负责办理完临时用地</w:t>
      </w:r>
      <w:r>
        <w:rPr>
          <w:rFonts w:ascii="宋体" w:hAnsi="宋体"/>
          <w:bCs/>
          <w:color w:val="auto"/>
          <w:sz w:val="24"/>
          <w:highlight w:val="none"/>
          <w:u w:val="single"/>
        </w:rPr>
        <w:t>申请批准手续即可</w:t>
      </w:r>
      <w:r>
        <w:rPr>
          <w:rFonts w:ascii="宋体" w:hAnsi="宋体"/>
          <w:color w:val="auto"/>
          <w:sz w:val="24"/>
          <w:highlight w:val="none"/>
        </w:rPr>
        <w:t>。</w:t>
      </w:r>
    </w:p>
    <w:bookmarkEnd w:id="242"/>
    <w:bookmarkEnd w:id="243"/>
    <w:bookmarkEnd w:id="244"/>
    <w:bookmarkEnd w:id="245"/>
    <w:bookmarkEnd w:id="246"/>
    <w:p w14:paraId="42EF3241">
      <w:pPr>
        <w:spacing w:line="360" w:lineRule="auto"/>
        <w:ind w:firstLine="480" w:firstLineChars="200"/>
        <w:rPr>
          <w:rFonts w:ascii="宋体" w:hAnsi="宋体"/>
          <w:color w:val="auto"/>
          <w:sz w:val="24"/>
          <w:highlight w:val="none"/>
        </w:rPr>
      </w:pPr>
      <w:r>
        <w:rPr>
          <w:rFonts w:ascii="宋体" w:hAnsi="宋体"/>
          <w:color w:val="auto"/>
          <w:sz w:val="24"/>
          <w:highlight w:val="none"/>
        </w:rPr>
        <w:t>1</w:t>
      </w:r>
      <w:bookmarkStart w:id="247" w:name="_Toc300934944"/>
      <w:bookmarkStart w:id="248" w:name="_Toc303539101"/>
      <w:bookmarkStart w:id="249" w:name="_Toc318581156"/>
      <w:bookmarkStart w:id="250" w:name="_Toc304295522"/>
      <w:bookmarkStart w:id="251" w:name="_Toc312677987"/>
      <w:r>
        <w:rPr>
          <w:rFonts w:ascii="宋体" w:hAnsi="宋体"/>
          <w:color w:val="auto"/>
          <w:sz w:val="24"/>
          <w:highlight w:val="none"/>
        </w:rPr>
        <w:t>.10.3 场内交通</w:t>
      </w:r>
    </w:p>
    <w:p w14:paraId="28A26FD5">
      <w:pPr>
        <w:spacing w:line="360" w:lineRule="auto"/>
        <w:ind w:firstLine="480" w:firstLineChars="200"/>
        <w:rPr>
          <w:rFonts w:ascii="宋体" w:hAnsi="宋体"/>
          <w:color w:val="auto"/>
          <w:sz w:val="24"/>
          <w:highlight w:val="none"/>
        </w:rPr>
      </w:pPr>
      <w:r>
        <w:rPr>
          <w:rFonts w:ascii="宋体" w:hAnsi="宋体"/>
          <w:color w:val="auto"/>
          <w:sz w:val="24"/>
          <w:highlight w:val="none"/>
        </w:rPr>
        <w:t>关于场外交通和场内交通的边界的约定：以双方确认的建筑红线为边界，公共道路的通道为现有道路施工条件，如果无现有的公用道路的，另外做好施工道路作为本次招标工程的施工道路。</w:t>
      </w:r>
    </w:p>
    <w:p w14:paraId="015A6AF8">
      <w:pPr>
        <w:spacing w:line="360" w:lineRule="auto"/>
        <w:ind w:firstLine="480" w:firstLineChars="200"/>
        <w:rPr>
          <w:rFonts w:ascii="宋体" w:hAnsi="宋体"/>
          <w:color w:val="auto"/>
          <w:sz w:val="24"/>
          <w:highlight w:val="none"/>
        </w:rPr>
      </w:pPr>
      <w:r>
        <w:rPr>
          <w:rFonts w:ascii="宋体" w:hAnsi="宋体"/>
          <w:color w:val="auto"/>
          <w:sz w:val="24"/>
          <w:highlight w:val="none"/>
        </w:rPr>
        <w:t>关于发包人向承包人免费提供满足工程施工需要的场内道路和交通设施的约定：开工前7天，公共道路的通道开通至施工场地外边缘即可，其余由承包人负责修建及保养等   。</w:t>
      </w:r>
      <w:bookmarkEnd w:id="247"/>
      <w:bookmarkEnd w:id="248"/>
      <w:bookmarkEnd w:id="249"/>
      <w:bookmarkEnd w:id="250"/>
      <w:bookmarkEnd w:id="251"/>
      <w:bookmarkStart w:id="252" w:name="_Toc318581157"/>
    </w:p>
    <w:p w14:paraId="76E644A8">
      <w:pPr>
        <w:spacing w:line="360" w:lineRule="auto"/>
        <w:ind w:firstLine="480" w:firstLineChars="200"/>
        <w:rPr>
          <w:rFonts w:ascii="宋体" w:hAnsi="宋体"/>
          <w:color w:val="auto"/>
          <w:sz w:val="24"/>
          <w:highlight w:val="none"/>
        </w:rPr>
      </w:pPr>
      <w:r>
        <w:rPr>
          <w:rFonts w:ascii="宋体" w:hAnsi="宋体"/>
          <w:color w:val="auto"/>
          <w:sz w:val="24"/>
          <w:highlight w:val="none"/>
        </w:rPr>
        <w:t>1.10.4 超大件和超重件的运输</w:t>
      </w:r>
    </w:p>
    <w:p w14:paraId="1B062518">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运输超大件或超重件所需的道路和桥梁临时加固改造费用和其他有关费用由</w:t>
      </w:r>
      <w:r>
        <w:rPr>
          <w:rFonts w:ascii="宋体" w:hAnsi="宋体"/>
          <w:color w:val="auto"/>
          <w:sz w:val="24"/>
          <w:highlight w:val="none"/>
          <w:u w:val="single"/>
        </w:rPr>
        <w:t xml:space="preserve">   承包人   </w:t>
      </w:r>
      <w:r>
        <w:rPr>
          <w:rFonts w:ascii="宋体" w:hAnsi="宋体"/>
          <w:color w:val="auto"/>
          <w:sz w:val="24"/>
          <w:highlight w:val="none"/>
        </w:rPr>
        <w:t>承担。</w:t>
      </w:r>
    </w:p>
    <w:bookmarkEnd w:id="252"/>
    <w:p w14:paraId="3558A0CB">
      <w:pPr>
        <w:pStyle w:val="2"/>
        <w:rPr>
          <w:rFonts w:ascii="宋体" w:hAnsi="宋体"/>
          <w:color w:val="auto"/>
          <w:szCs w:val="24"/>
          <w:highlight w:val="none"/>
        </w:rPr>
      </w:pPr>
      <w:bookmarkStart w:id="253" w:name="_Toc15789"/>
      <w:bookmarkStart w:id="254" w:name="_Toc395382502"/>
      <w:bookmarkStart w:id="255" w:name="_Toc373227700"/>
      <w:bookmarkStart w:id="256" w:name="_Toc7089"/>
      <w:bookmarkStart w:id="257" w:name="_Toc389065266"/>
      <w:bookmarkStart w:id="258" w:name="_Toc373478347"/>
      <w:bookmarkStart w:id="259" w:name="_Toc533611457"/>
      <w:r>
        <w:rPr>
          <w:rFonts w:hint="eastAsia" w:ascii="宋体" w:hAnsi="宋体"/>
          <w:color w:val="auto"/>
          <w:szCs w:val="24"/>
          <w:highlight w:val="none"/>
        </w:rPr>
        <w:t>1.11 知识产权</w:t>
      </w:r>
      <w:bookmarkEnd w:id="253"/>
      <w:bookmarkEnd w:id="254"/>
      <w:bookmarkEnd w:id="255"/>
      <w:bookmarkEnd w:id="256"/>
      <w:bookmarkEnd w:id="257"/>
      <w:bookmarkEnd w:id="258"/>
      <w:bookmarkEnd w:id="259"/>
    </w:p>
    <w:p w14:paraId="23FA793E">
      <w:pPr>
        <w:spacing w:line="360" w:lineRule="auto"/>
        <w:ind w:firstLine="480" w:firstLineChars="200"/>
        <w:rPr>
          <w:rFonts w:ascii="宋体" w:hAnsi="宋体"/>
          <w:color w:val="auto"/>
          <w:sz w:val="24"/>
          <w:highlight w:val="none"/>
        </w:rPr>
      </w:pPr>
      <w:r>
        <w:rPr>
          <w:rFonts w:ascii="宋体" w:hAnsi="宋体"/>
          <w:color w:val="auto"/>
          <w:sz w:val="24"/>
          <w:highlight w:val="none"/>
        </w:rPr>
        <w:t>1.11.1 关于发包人提供给承包人的图纸、发包人为实施工程自行编制或委托编制的技术规范以及反映发包人关于合同要求或其他类似性质的文件的著作权的归属：</w:t>
      </w:r>
      <w:r>
        <w:rPr>
          <w:rFonts w:ascii="宋体" w:hAnsi="宋体"/>
          <w:color w:val="auto"/>
          <w:sz w:val="24"/>
          <w:highlight w:val="none"/>
          <w:u w:val="single"/>
        </w:rPr>
        <w:t>属于发包人</w:t>
      </w:r>
      <w:r>
        <w:rPr>
          <w:rFonts w:ascii="宋体" w:hAnsi="宋体"/>
          <w:color w:val="auto"/>
          <w:sz w:val="24"/>
          <w:highlight w:val="none"/>
        </w:rPr>
        <w:t>。</w:t>
      </w:r>
    </w:p>
    <w:p w14:paraId="6A748152">
      <w:pPr>
        <w:spacing w:line="360" w:lineRule="auto"/>
        <w:ind w:firstLine="480" w:firstLineChars="200"/>
        <w:rPr>
          <w:rFonts w:ascii="宋体" w:hAnsi="宋体"/>
          <w:color w:val="auto"/>
          <w:sz w:val="24"/>
          <w:highlight w:val="none"/>
        </w:rPr>
      </w:pPr>
      <w:r>
        <w:rPr>
          <w:rFonts w:ascii="宋体" w:hAnsi="宋体"/>
          <w:color w:val="auto"/>
          <w:sz w:val="24"/>
          <w:highlight w:val="none"/>
        </w:rPr>
        <w:t>关于发包人提供的上述文件的使用限制的要求：</w:t>
      </w:r>
      <w:r>
        <w:rPr>
          <w:rFonts w:ascii="宋体" w:hAnsi="宋体"/>
          <w:color w:val="auto"/>
          <w:sz w:val="24"/>
          <w:highlight w:val="none"/>
          <w:u w:val="single"/>
        </w:rPr>
        <w:t>未经发包人同意，不得提供给任何第三方</w:t>
      </w:r>
      <w:r>
        <w:rPr>
          <w:rFonts w:ascii="宋体" w:hAnsi="宋体"/>
          <w:color w:val="auto"/>
          <w:sz w:val="24"/>
          <w:highlight w:val="none"/>
        </w:rPr>
        <w:t>。</w:t>
      </w:r>
    </w:p>
    <w:p w14:paraId="53AEFA1F">
      <w:pPr>
        <w:spacing w:line="360" w:lineRule="auto"/>
        <w:ind w:firstLine="480" w:firstLineChars="200"/>
        <w:rPr>
          <w:rFonts w:ascii="宋体" w:hAnsi="宋体"/>
          <w:color w:val="auto"/>
          <w:sz w:val="24"/>
          <w:highlight w:val="none"/>
        </w:rPr>
      </w:pPr>
      <w:r>
        <w:rPr>
          <w:rFonts w:ascii="宋体" w:hAnsi="宋体"/>
          <w:color w:val="auto"/>
          <w:sz w:val="24"/>
          <w:highlight w:val="none"/>
        </w:rPr>
        <w:t>1.11.2 关于承包人为实施工程所编制文件的著作权的归属：</w:t>
      </w:r>
      <w:r>
        <w:rPr>
          <w:rFonts w:ascii="宋体" w:hAnsi="宋体"/>
          <w:color w:val="auto"/>
          <w:sz w:val="24"/>
          <w:highlight w:val="none"/>
          <w:u w:val="single"/>
        </w:rPr>
        <w:t xml:space="preserve">  属于发包人    </w:t>
      </w:r>
      <w:r>
        <w:rPr>
          <w:rFonts w:ascii="宋体" w:hAnsi="宋体"/>
          <w:color w:val="auto"/>
          <w:sz w:val="24"/>
          <w:highlight w:val="none"/>
        </w:rPr>
        <w:t>。</w:t>
      </w:r>
    </w:p>
    <w:p w14:paraId="5764C33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关于承包人提供的上述文件的使用限制的要求：</w:t>
      </w:r>
      <w:r>
        <w:rPr>
          <w:rFonts w:ascii="宋体" w:hAnsi="宋体"/>
          <w:color w:val="auto"/>
          <w:sz w:val="24"/>
          <w:highlight w:val="none"/>
          <w:u w:val="single"/>
        </w:rPr>
        <w:t>未经发包人同意，不得提供给任何第三方</w:t>
      </w:r>
      <w:r>
        <w:rPr>
          <w:rFonts w:ascii="宋体" w:hAnsi="宋体"/>
          <w:color w:val="auto"/>
          <w:sz w:val="24"/>
          <w:highlight w:val="none"/>
        </w:rPr>
        <w:t>。</w:t>
      </w:r>
    </w:p>
    <w:p w14:paraId="4BB46754">
      <w:pPr>
        <w:spacing w:line="360" w:lineRule="auto"/>
        <w:ind w:firstLine="480" w:firstLineChars="200"/>
        <w:rPr>
          <w:rFonts w:ascii="宋体" w:hAnsi="宋体"/>
          <w:color w:val="auto"/>
          <w:sz w:val="24"/>
          <w:highlight w:val="none"/>
        </w:rPr>
      </w:pPr>
      <w:r>
        <w:rPr>
          <w:rFonts w:ascii="宋体" w:hAnsi="宋体"/>
          <w:color w:val="auto"/>
          <w:sz w:val="24"/>
          <w:highlight w:val="none"/>
        </w:rPr>
        <w:t>1.11.4 承包人在施工过程中所采用的专利、专有技术、技术秘密的使用费的承担方式：</w:t>
      </w:r>
      <w:r>
        <w:rPr>
          <w:rFonts w:ascii="宋体" w:hAnsi="宋体"/>
          <w:color w:val="auto"/>
          <w:sz w:val="24"/>
          <w:highlight w:val="none"/>
          <w:u w:val="single"/>
        </w:rPr>
        <w:t xml:space="preserve">                      由承包人承担                         </w:t>
      </w:r>
      <w:r>
        <w:rPr>
          <w:rFonts w:ascii="宋体" w:hAnsi="宋体"/>
          <w:color w:val="auto"/>
          <w:sz w:val="24"/>
          <w:highlight w:val="none"/>
        </w:rPr>
        <w:t>。</w:t>
      </w:r>
    </w:p>
    <w:p w14:paraId="7697571B">
      <w:pPr>
        <w:pStyle w:val="2"/>
        <w:rPr>
          <w:rFonts w:ascii="宋体" w:hAnsi="宋体"/>
          <w:color w:val="auto"/>
          <w:szCs w:val="24"/>
          <w:highlight w:val="none"/>
        </w:rPr>
      </w:pPr>
      <w:bookmarkStart w:id="260" w:name="_Toc389065267"/>
      <w:bookmarkStart w:id="261" w:name="_Toc373478348"/>
      <w:bookmarkStart w:id="262" w:name="_Toc373227701"/>
      <w:bookmarkStart w:id="263" w:name="_Toc860"/>
      <w:bookmarkStart w:id="264" w:name="_Toc395382503"/>
      <w:bookmarkStart w:id="265" w:name="_Toc533611458"/>
      <w:bookmarkStart w:id="266" w:name="_Toc18696"/>
      <w:r>
        <w:rPr>
          <w:rFonts w:hint="eastAsia" w:ascii="宋体" w:hAnsi="宋体"/>
          <w:color w:val="auto"/>
          <w:szCs w:val="24"/>
          <w:highlight w:val="none"/>
        </w:rPr>
        <w:t>1.13工程量清单错误的修正</w:t>
      </w:r>
      <w:bookmarkEnd w:id="260"/>
      <w:bookmarkEnd w:id="261"/>
      <w:bookmarkEnd w:id="262"/>
      <w:bookmarkEnd w:id="263"/>
      <w:bookmarkEnd w:id="264"/>
      <w:bookmarkEnd w:id="265"/>
      <w:bookmarkEnd w:id="266"/>
    </w:p>
    <w:p w14:paraId="5DF3B21C">
      <w:pPr>
        <w:pStyle w:val="180"/>
        <w:spacing w:line="360" w:lineRule="auto"/>
        <w:ind w:firstLine="480" w:firstLineChars="200"/>
        <w:rPr>
          <w:rFonts w:ascii="宋体" w:hAnsi="宋体"/>
          <w:color w:val="auto"/>
          <w:sz w:val="24"/>
          <w:szCs w:val="24"/>
          <w:highlight w:val="none"/>
        </w:rPr>
      </w:pPr>
      <w:bookmarkStart w:id="267" w:name="_Toc389065268"/>
      <w:bookmarkStart w:id="268" w:name="_Toc22461"/>
      <w:bookmarkStart w:id="269" w:name="_Toc373227702"/>
      <w:bookmarkStart w:id="270" w:name="_Toc395382504"/>
      <w:bookmarkStart w:id="271" w:name="_Toc373478349"/>
      <w:r>
        <w:rPr>
          <w:rFonts w:ascii="宋体" w:hAnsi="宋体"/>
          <w:color w:val="auto"/>
          <w:sz w:val="24"/>
          <w:szCs w:val="24"/>
          <w:highlight w:val="none"/>
        </w:rPr>
        <w:t>出现工程量清单工程量偏差时，是否调整合同价格：</w:t>
      </w:r>
      <w:r>
        <w:rPr>
          <w:rFonts w:hint="eastAsia" w:ascii="宋体" w:hAnsi="宋体"/>
          <w:color w:val="auto"/>
          <w:sz w:val="24"/>
          <w:szCs w:val="24"/>
          <w:highlight w:val="none"/>
          <w:u w:val="single"/>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由于招标工程量清单项目多列或重复列项的，按照投标人投标综合单价确定单价，并调整合同价格。除以上情况之外出现工程量清单错误的，不调整合同价格 </w:t>
      </w:r>
      <w:r>
        <w:rPr>
          <w:rFonts w:ascii="宋体" w:hAnsi="宋体"/>
          <w:color w:val="auto"/>
          <w:kern w:val="0"/>
          <w:sz w:val="24"/>
          <w:szCs w:val="24"/>
          <w:highlight w:val="none"/>
        </w:rPr>
        <w:t>。</w:t>
      </w:r>
    </w:p>
    <w:p w14:paraId="5F6D1CCE">
      <w:pPr>
        <w:pStyle w:val="18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允许调整合同价格的工程量偏差范围及其调整办法：</w:t>
      </w:r>
    </w:p>
    <w:p w14:paraId="75E30508">
      <w:pPr>
        <w:pStyle w:val="18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工程量按实调整，综合单价不变</w:t>
      </w:r>
      <w:r>
        <w:rPr>
          <w:rFonts w:ascii="宋体" w:hAnsi="宋体"/>
          <w:color w:val="auto"/>
          <w:kern w:val="0"/>
          <w:sz w:val="24"/>
          <w:szCs w:val="24"/>
          <w:highlight w:val="none"/>
        </w:rPr>
        <w:t>。</w:t>
      </w:r>
    </w:p>
    <w:p w14:paraId="7FACD804">
      <w:pPr>
        <w:pStyle w:val="4"/>
        <w:rPr>
          <w:rFonts w:ascii="宋体" w:hAnsi="宋体" w:eastAsia="宋体"/>
          <w:color w:val="auto"/>
          <w:sz w:val="24"/>
          <w:szCs w:val="24"/>
          <w:highlight w:val="none"/>
        </w:rPr>
      </w:pPr>
      <w:bookmarkStart w:id="272" w:name="_Toc259"/>
      <w:bookmarkStart w:id="273" w:name="_Toc533611459"/>
      <w:r>
        <w:rPr>
          <w:rFonts w:hint="eastAsia" w:ascii="宋体" w:hAnsi="宋体" w:eastAsia="宋体"/>
          <w:color w:val="auto"/>
          <w:sz w:val="24"/>
          <w:szCs w:val="24"/>
          <w:highlight w:val="none"/>
        </w:rPr>
        <w:t>2</w:t>
      </w:r>
      <w:bookmarkStart w:id="274" w:name="_Toc296890985"/>
      <w:bookmarkStart w:id="275" w:name="_Toc292559867"/>
      <w:bookmarkStart w:id="276" w:name="_Toc296347156"/>
      <w:bookmarkStart w:id="277" w:name="_Toc296944496"/>
      <w:bookmarkStart w:id="278" w:name="_Toc296346658"/>
      <w:bookmarkStart w:id="279" w:name="_Toc296891197"/>
      <w:bookmarkStart w:id="280" w:name="_Toc292559362"/>
      <w:bookmarkStart w:id="281" w:name="_Toc297120457"/>
      <w:bookmarkStart w:id="282" w:name="_Toc297048343"/>
      <w:bookmarkStart w:id="283" w:name="_Toc296503157"/>
      <w:r>
        <w:rPr>
          <w:rFonts w:hint="eastAsia" w:ascii="宋体" w:hAnsi="宋体" w:eastAsia="宋体"/>
          <w:color w:val="auto"/>
          <w:sz w:val="24"/>
          <w:szCs w:val="24"/>
          <w:highlight w:val="none"/>
        </w:rPr>
        <w:t>. 发包人</w:t>
      </w:r>
      <w:bookmarkEnd w:id="267"/>
      <w:bookmarkEnd w:id="268"/>
      <w:bookmarkEnd w:id="269"/>
      <w:bookmarkEnd w:id="270"/>
      <w:bookmarkEnd w:id="271"/>
      <w:bookmarkEnd w:id="272"/>
      <w:bookmarkEnd w:id="273"/>
    </w:p>
    <w:bookmarkEnd w:id="274"/>
    <w:bookmarkEnd w:id="275"/>
    <w:bookmarkEnd w:id="276"/>
    <w:bookmarkEnd w:id="277"/>
    <w:bookmarkEnd w:id="278"/>
    <w:bookmarkEnd w:id="279"/>
    <w:bookmarkEnd w:id="280"/>
    <w:bookmarkEnd w:id="281"/>
    <w:bookmarkEnd w:id="282"/>
    <w:bookmarkEnd w:id="283"/>
    <w:p w14:paraId="0AE11BD0">
      <w:pPr>
        <w:pStyle w:val="2"/>
        <w:rPr>
          <w:rFonts w:ascii="宋体" w:hAnsi="宋体"/>
          <w:color w:val="auto"/>
          <w:szCs w:val="24"/>
          <w:highlight w:val="none"/>
        </w:rPr>
      </w:pPr>
      <w:bookmarkStart w:id="284" w:name="_Toc373478350"/>
      <w:bookmarkStart w:id="285" w:name="_Toc13498"/>
      <w:bookmarkStart w:id="286" w:name="_Toc15805"/>
      <w:bookmarkStart w:id="287" w:name="_Toc533611460"/>
      <w:bookmarkStart w:id="288" w:name="_Toc395382505"/>
      <w:bookmarkStart w:id="289" w:name="_Toc389065269"/>
      <w:bookmarkStart w:id="290" w:name="_Toc373227703"/>
      <w:r>
        <w:rPr>
          <w:rFonts w:hint="eastAsia" w:ascii="宋体" w:hAnsi="宋体"/>
          <w:color w:val="auto"/>
          <w:szCs w:val="24"/>
          <w:highlight w:val="none"/>
        </w:rPr>
        <w:t>2.2 发包人代表</w:t>
      </w:r>
      <w:bookmarkEnd w:id="284"/>
      <w:bookmarkEnd w:id="285"/>
      <w:bookmarkEnd w:id="286"/>
      <w:bookmarkEnd w:id="287"/>
      <w:bookmarkEnd w:id="288"/>
      <w:bookmarkEnd w:id="289"/>
      <w:bookmarkEnd w:id="290"/>
    </w:p>
    <w:p w14:paraId="657A2A71">
      <w:pPr>
        <w:spacing w:line="360" w:lineRule="auto"/>
        <w:ind w:firstLine="480" w:firstLineChars="200"/>
        <w:rPr>
          <w:rFonts w:ascii="宋体" w:hAnsi="宋体"/>
          <w:color w:val="auto"/>
          <w:sz w:val="24"/>
          <w:highlight w:val="none"/>
        </w:rPr>
      </w:pPr>
      <w:r>
        <w:rPr>
          <w:rFonts w:ascii="宋体" w:hAnsi="宋体"/>
          <w:color w:val="auto"/>
          <w:sz w:val="24"/>
          <w:highlight w:val="none"/>
        </w:rPr>
        <w:t>发包人代表：</w:t>
      </w:r>
    </w:p>
    <w:p w14:paraId="1E25E8B8">
      <w:pPr>
        <w:spacing w:line="360" w:lineRule="auto"/>
        <w:ind w:firstLine="480" w:firstLineChars="200"/>
        <w:rPr>
          <w:rFonts w:ascii="宋体" w:hAnsi="宋体"/>
          <w:color w:val="auto"/>
          <w:sz w:val="24"/>
          <w:highlight w:val="none"/>
        </w:rPr>
      </w:pPr>
      <w:r>
        <w:rPr>
          <w:rFonts w:ascii="宋体" w:hAnsi="宋体"/>
          <w:color w:val="auto"/>
          <w:sz w:val="24"/>
          <w:highlight w:val="none"/>
        </w:rPr>
        <w:t>姓    名：；</w:t>
      </w:r>
    </w:p>
    <w:p w14:paraId="14CADB96">
      <w:pPr>
        <w:spacing w:line="360" w:lineRule="auto"/>
        <w:ind w:firstLine="480" w:firstLineChars="200"/>
        <w:rPr>
          <w:rFonts w:ascii="宋体" w:hAnsi="宋体"/>
          <w:color w:val="auto"/>
          <w:sz w:val="24"/>
          <w:highlight w:val="none"/>
        </w:rPr>
      </w:pPr>
      <w:r>
        <w:rPr>
          <w:rFonts w:ascii="宋体" w:hAnsi="宋体"/>
          <w:color w:val="auto"/>
          <w:sz w:val="24"/>
          <w:highlight w:val="none"/>
        </w:rPr>
        <w:t>职    务：；</w:t>
      </w:r>
    </w:p>
    <w:p w14:paraId="2F1A59A3">
      <w:pPr>
        <w:spacing w:line="360" w:lineRule="auto"/>
        <w:ind w:firstLine="480" w:firstLineChars="200"/>
        <w:rPr>
          <w:rFonts w:ascii="宋体" w:hAnsi="宋体"/>
          <w:color w:val="auto"/>
          <w:sz w:val="24"/>
          <w:highlight w:val="none"/>
        </w:rPr>
      </w:pPr>
      <w:r>
        <w:rPr>
          <w:rFonts w:ascii="宋体" w:hAnsi="宋体"/>
          <w:color w:val="auto"/>
          <w:sz w:val="24"/>
          <w:highlight w:val="none"/>
        </w:rPr>
        <w:t>联系电话：；</w:t>
      </w:r>
    </w:p>
    <w:p w14:paraId="73EA14AA">
      <w:pPr>
        <w:spacing w:line="360" w:lineRule="auto"/>
        <w:ind w:firstLine="480" w:firstLineChars="200"/>
        <w:rPr>
          <w:rFonts w:ascii="宋体" w:hAnsi="宋体"/>
          <w:color w:val="auto"/>
          <w:sz w:val="24"/>
          <w:highlight w:val="none"/>
        </w:rPr>
      </w:pPr>
      <w:r>
        <w:rPr>
          <w:rFonts w:ascii="宋体" w:hAnsi="宋体"/>
          <w:color w:val="auto"/>
          <w:sz w:val="24"/>
          <w:highlight w:val="none"/>
        </w:rPr>
        <w:t>电子信箱：；</w:t>
      </w:r>
    </w:p>
    <w:p w14:paraId="4BE9D8CC">
      <w:pPr>
        <w:spacing w:line="360" w:lineRule="auto"/>
        <w:ind w:firstLine="480" w:firstLineChars="200"/>
        <w:rPr>
          <w:rFonts w:ascii="宋体" w:hAnsi="宋体"/>
          <w:color w:val="auto"/>
          <w:sz w:val="24"/>
          <w:highlight w:val="none"/>
        </w:rPr>
      </w:pPr>
      <w:r>
        <w:rPr>
          <w:rFonts w:ascii="宋体" w:hAnsi="宋体"/>
          <w:color w:val="auto"/>
          <w:sz w:val="24"/>
          <w:highlight w:val="none"/>
        </w:rPr>
        <w:t>通信地址：</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691C697B">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发包人对发包人代表的授权范围如下：</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07099536">
      <w:pPr>
        <w:pStyle w:val="2"/>
        <w:rPr>
          <w:rFonts w:ascii="宋体" w:hAnsi="宋体"/>
          <w:color w:val="auto"/>
          <w:szCs w:val="24"/>
          <w:highlight w:val="none"/>
        </w:rPr>
      </w:pPr>
      <w:bookmarkStart w:id="291" w:name="_Toc395382506"/>
      <w:bookmarkStart w:id="292" w:name="_Toc533611461"/>
      <w:bookmarkStart w:id="293" w:name="_Toc373227704"/>
      <w:bookmarkStart w:id="294" w:name="_Toc11133"/>
      <w:bookmarkStart w:id="295" w:name="_Toc389065270"/>
      <w:bookmarkStart w:id="296" w:name="_Toc28691"/>
      <w:bookmarkStart w:id="297" w:name="_Toc373478351"/>
      <w:r>
        <w:rPr>
          <w:rFonts w:hint="eastAsia" w:ascii="宋体" w:hAnsi="宋体"/>
          <w:color w:val="auto"/>
          <w:szCs w:val="24"/>
          <w:highlight w:val="none"/>
        </w:rPr>
        <w:t>2.4 施工现场、施工条件和基础资料的提供</w:t>
      </w:r>
      <w:bookmarkEnd w:id="291"/>
      <w:bookmarkEnd w:id="292"/>
      <w:bookmarkEnd w:id="293"/>
      <w:bookmarkEnd w:id="294"/>
      <w:bookmarkEnd w:id="295"/>
      <w:bookmarkEnd w:id="296"/>
      <w:bookmarkEnd w:id="297"/>
    </w:p>
    <w:p w14:paraId="26FA7B2C">
      <w:pPr>
        <w:spacing w:line="360" w:lineRule="auto"/>
        <w:ind w:firstLine="480" w:firstLineChars="200"/>
        <w:rPr>
          <w:rFonts w:ascii="宋体" w:hAnsi="宋体"/>
          <w:color w:val="auto"/>
          <w:sz w:val="24"/>
          <w:highlight w:val="none"/>
        </w:rPr>
      </w:pPr>
      <w:r>
        <w:rPr>
          <w:rFonts w:ascii="宋体" w:hAnsi="宋体"/>
          <w:color w:val="auto"/>
          <w:sz w:val="24"/>
          <w:highlight w:val="none"/>
        </w:rPr>
        <w:t>2.4.1 提供施工现场</w:t>
      </w:r>
    </w:p>
    <w:p w14:paraId="2E0F07C5">
      <w:pPr>
        <w:spacing w:line="360" w:lineRule="auto"/>
        <w:ind w:firstLine="480" w:firstLineChars="200"/>
        <w:rPr>
          <w:rFonts w:ascii="宋体" w:hAnsi="宋体"/>
          <w:color w:val="auto"/>
          <w:sz w:val="24"/>
          <w:highlight w:val="none"/>
        </w:rPr>
      </w:pPr>
      <w:r>
        <w:rPr>
          <w:rFonts w:ascii="宋体" w:hAnsi="宋体"/>
          <w:color w:val="auto"/>
          <w:sz w:val="24"/>
          <w:highlight w:val="none"/>
        </w:rPr>
        <w:t>关于发包人移交施工现场的期限要求：</w:t>
      </w:r>
      <w:r>
        <w:rPr>
          <w:rFonts w:ascii="宋体" w:hAnsi="宋体"/>
          <w:color w:val="auto"/>
          <w:sz w:val="24"/>
          <w:highlight w:val="none"/>
          <w:u w:val="single"/>
        </w:rPr>
        <w:t xml:space="preserve">   　　承包人进场前7日        </w:t>
      </w:r>
      <w:r>
        <w:rPr>
          <w:rFonts w:ascii="宋体" w:hAnsi="宋体"/>
          <w:color w:val="auto"/>
          <w:sz w:val="24"/>
          <w:highlight w:val="none"/>
        </w:rPr>
        <w:t>。</w:t>
      </w:r>
    </w:p>
    <w:p w14:paraId="4DB0798C">
      <w:pPr>
        <w:spacing w:line="360" w:lineRule="auto"/>
        <w:ind w:firstLine="480" w:firstLineChars="200"/>
        <w:rPr>
          <w:rFonts w:ascii="宋体" w:hAnsi="宋体"/>
          <w:color w:val="auto"/>
          <w:sz w:val="24"/>
          <w:highlight w:val="none"/>
        </w:rPr>
      </w:pPr>
      <w:r>
        <w:rPr>
          <w:rFonts w:ascii="宋体" w:hAnsi="宋体"/>
          <w:color w:val="auto"/>
          <w:sz w:val="24"/>
          <w:highlight w:val="none"/>
        </w:rPr>
        <w:t>2.4.2 提供施工条件</w:t>
      </w:r>
    </w:p>
    <w:p w14:paraId="7BF4CEBD">
      <w:pPr>
        <w:spacing w:line="360" w:lineRule="auto"/>
        <w:ind w:firstLine="480" w:firstLineChars="200"/>
        <w:rPr>
          <w:rFonts w:ascii="宋体" w:hAnsi="宋体"/>
          <w:color w:val="auto"/>
          <w:sz w:val="24"/>
          <w:highlight w:val="none"/>
        </w:rPr>
      </w:pPr>
      <w:r>
        <w:rPr>
          <w:rFonts w:ascii="宋体" w:hAnsi="宋体"/>
          <w:color w:val="auto"/>
          <w:sz w:val="24"/>
          <w:highlight w:val="none"/>
        </w:rPr>
        <w:t>关于发包人应负责提供施工所需要的条件，包括：</w:t>
      </w:r>
    </w:p>
    <w:p w14:paraId="69624547">
      <w:pPr>
        <w:spacing w:line="360" w:lineRule="exact"/>
        <w:ind w:firstLine="480" w:firstLineChars="200"/>
        <w:rPr>
          <w:rFonts w:ascii="宋体" w:hAnsi="宋体"/>
          <w:color w:val="auto"/>
          <w:sz w:val="24"/>
          <w:highlight w:val="none"/>
        </w:rPr>
      </w:pPr>
      <w:r>
        <w:rPr>
          <w:rFonts w:ascii="宋体" w:hAnsi="宋体"/>
          <w:color w:val="auto"/>
          <w:sz w:val="24"/>
          <w:highlight w:val="none"/>
        </w:rPr>
        <w:t>（1）将施工所需的水、电、接至施工场地的时间、地点和供应要求：</w:t>
      </w:r>
      <w:r>
        <w:rPr>
          <w:rFonts w:ascii="宋体" w:hAnsi="宋体"/>
          <w:color w:val="auto"/>
          <w:sz w:val="24"/>
          <w:highlight w:val="none"/>
          <w:u w:val="single"/>
        </w:rPr>
        <w:t xml:space="preserve"> 发包人仅提供水电接口，费用承包人自理。   </w:t>
      </w:r>
    </w:p>
    <w:p w14:paraId="728E69A4">
      <w:pPr>
        <w:spacing w:line="360" w:lineRule="exact"/>
        <w:ind w:firstLine="480" w:firstLineChars="200"/>
        <w:rPr>
          <w:rFonts w:ascii="宋体" w:hAnsi="宋体"/>
          <w:color w:val="auto"/>
          <w:sz w:val="24"/>
          <w:highlight w:val="none"/>
        </w:rPr>
      </w:pPr>
      <w:r>
        <w:rPr>
          <w:rFonts w:ascii="宋体" w:hAnsi="宋体"/>
          <w:color w:val="auto"/>
          <w:sz w:val="24"/>
          <w:highlight w:val="none"/>
        </w:rPr>
        <w:t>（2）施工场地与公共道路的通道开通时间和要求：</w:t>
      </w:r>
      <w:r>
        <w:rPr>
          <w:rFonts w:ascii="宋体" w:hAnsi="宋体"/>
          <w:color w:val="auto"/>
          <w:sz w:val="24"/>
          <w:highlight w:val="none"/>
          <w:u w:val="single"/>
        </w:rPr>
        <w:t xml:space="preserve">  施工场地与公共道路的通道由承包人自行解决，费用承包人自理。 </w:t>
      </w:r>
    </w:p>
    <w:p w14:paraId="4B0C0205">
      <w:pPr>
        <w:spacing w:line="360" w:lineRule="exact"/>
        <w:ind w:firstLine="480" w:firstLineChars="200"/>
        <w:rPr>
          <w:rFonts w:ascii="宋体" w:hAnsi="宋体"/>
          <w:color w:val="auto"/>
          <w:sz w:val="24"/>
          <w:highlight w:val="none"/>
        </w:rPr>
      </w:pPr>
      <w:r>
        <w:rPr>
          <w:rFonts w:ascii="宋体" w:hAnsi="宋体"/>
          <w:color w:val="auto"/>
          <w:sz w:val="24"/>
          <w:highlight w:val="none"/>
        </w:rPr>
        <w:t>（3）工程地质和地下管线资料的提供时间：</w:t>
      </w:r>
      <w:r>
        <w:rPr>
          <w:rFonts w:ascii="宋体" w:hAnsi="宋体"/>
          <w:color w:val="auto"/>
          <w:sz w:val="24"/>
          <w:highlight w:val="none"/>
          <w:u w:val="single"/>
        </w:rPr>
        <w:t xml:space="preserve">  进场后三天内。已交底的场地内地下管线由承包人负责保护 。   </w:t>
      </w:r>
    </w:p>
    <w:p w14:paraId="6178A93A">
      <w:pPr>
        <w:spacing w:line="360" w:lineRule="exact"/>
        <w:ind w:firstLine="480" w:firstLineChars="200"/>
        <w:rPr>
          <w:rFonts w:ascii="宋体" w:hAnsi="宋体"/>
          <w:color w:val="auto"/>
          <w:sz w:val="24"/>
          <w:highlight w:val="none"/>
        </w:rPr>
      </w:pPr>
      <w:r>
        <w:rPr>
          <w:rFonts w:ascii="宋体" w:hAnsi="宋体"/>
          <w:color w:val="auto"/>
          <w:sz w:val="24"/>
          <w:highlight w:val="none"/>
        </w:rPr>
        <w:t>（4）由发包人办理的施工所需证件、批件的名称和完成时间：</w:t>
      </w:r>
      <w:r>
        <w:rPr>
          <w:rFonts w:ascii="宋体" w:hAnsi="宋体"/>
          <w:color w:val="auto"/>
          <w:sz w:val="24"/>
          <w:highlight w:val="none"/>
          <w:u w:val="single"/>
        </w:rPr>
        <w:t xml:space="preserve"> 有关批件由发包人按规定完成。   </w:t>
      </w:r>
    </w:p>
    <w:p w14:paraId="3C625698">
      <w:pPr>
        <w:spacing w:line="360" w:lineRule="exact"/>
        <w:ind w:firstLine="480" w:firstLineChars="200"/>
        <w:rPr>
          <w:rFonts w:ascii="宋体" w:hAnsi="宋体"/>
          <w:color w:val="auto"/>
          <w:sz w:val="24"/>
          <w:highlight w:val="none"/>
        </w:rPr>
      </w:pPr>
      <w:r>
        <w:rPr>
          <w:rFonts w:ascii="宋体" w:hAnsi="宋体"/>
          <w:color w:val="auto"/>
          <w:sz w:val="24"/>
          <w:highlight w:val="none"/>
        </w:rPr>
        <w:t>（5）水准点与座标控制点交验要求：</w:t>
      </w:r>
      <w:r>
        <w:rPr>
          <w:rFonts w:ascii="宋体" w:hAnsi="宋体"/>
          <w:color w:val="auto"/>
          <w:sz w:val="24"/>
          <w:highlight w:val="none"/>
          <w:u w:val="single"/>
        </w:rPr>
        <w:t xml:space="preserve"> 承包人进入工地后进行现场、书面交桩，承包人负责复核，承包人并对水准点和坐标控制点加以保护。 </w:t>
      </w:r>
    </w:p>
    <w:p w14:paraId="6A25C76B">
      <w:pPr>
        <w:spacing w:line="360" w:lineRule="exact"/>
        <w:ind w:firstLine="480" w:firstLineChars="200"/>
        <w:rPr>
          <w:rFonts w:ascii="宋体" w:hAnsi="宋体"/>
          <w:color w:val="auto"/>
          <w:sz w:val="24"/>
          <w:highlight w:val="none"/>
        </w:rPr>
      </w:pPr>
      <w:r>
        <w:rPr>
          <w:rFonts w:ascii="宋体" w:hAnsi="宋体"/>
          <w:color w:val="auto"/>
          <w:sz w:val="24"/>
          <w:highlight w:val="none"/>
        </w:rPr>
        <w:t>（6）图纸会审和设计交底时间：</w:t>
      </w:r>
      <w:r>
        <w:rPr>
          <w:rFonts w:ascii="宋体" w:hAnsi="宋体"/>
          <w:color w:val="auto"/>
          <w:sz w:val="24"/>
          <w:highlight w:val="none"/>
          <w:u w:val="single"/>
        </w:rPr>
        <w:t xml:space="preserve"> 图纸发出7天内，发包人负责组织设计单位、监理工程师向承包人进行技术交底。  </w:t>
      </w:r>
    </w:p>
    <w:p w14:paraId="67407BE4">
      <w:pPr>
        <w:spacing w:line="360" w:lineRule="exact"/>
        <w:ind w:firstLine="480" w:firstLineChars="200"/>
        <w:rPr>
          <w:rFonts w:ascii="宋体" w:hAnsi="宋体"/>
          <w:color w:val="auto"/>
          <w:sz w:val="24"/>
          <w:highlight w:val="none"/>
          <w:u w:val="single"/>
        </w:rPr>
      </w:pPr>
      <w:r>
        <w:rPr>
          <w:rFonts w:ascii="宋体" w:hAnsi="宋体"/>
          <w:color w:val="auto"/>
          <w:sz w:val="24"/>
          <w:highlight w:val="none"/>
        </w:rPr>
        <w:t>（7）协调处理施工场地周围地下管线和邻近建筑物、构筑物（含文物保护建筑）、古树名木的保护工作：</w:t>
      </w:r>
      <w:r>
        <w:rPr>
          <w:rFonts w:ascii="宋体" w:hAnsi="宋体"/>
          <w:color w:val="auto"/>
          <w:sz w:val="24"/>
          <w:highlight w:val="none"/>
          <w:u w:val="single"/>
        </w:rPr>
        <w:t xml:space="preserve">   由发包人负责按实际需要协调。 </w:t>
      </w:r>
    </w:p>
    <w:p w14:paraId="74C50A61">
      <w:pPr>
        <w:spacing w:line="360" w:lineRule="exact"/>
        <w:ind w:firstLine="480" w:firstLineChars="200"/>
        <w:rPr>
          <w:rFonts w:ascii="宋体" w:hAnsi="宋体"/>
          <w:color w:val="auto"/>
          <w:sz w:val="24"/>
          <w:highlight w:val="none"/>
        </w:rPr>
      </w:pPr>
      <w:r>
        <w:rPr>
          <w:rFonts w:ascii="宋体" w:hAnsi="宋体"/>
          <w:color w:val="auto"/>
          <w:sz w:val="24"/>
          <w:highlight w:val="none"/>
        </w:rPr>
        <w:t>（8）双方约定发包人应做的其他工作：</w:t>
      </w:r>
      <w:r>
        <w:rPr>
          <w:rFonts w:ascii="宋体" w:hAnsi="宋体"/>
          <w:color w:val="auto"/>
          <w:sz w:val="24"/>
          <w:highlight w:val="none"/>
          <w:u w:val="single"/>
        </w:rPr>
        <w:t>在开工前向承包人提供壹份</w:t>
      </w:r>
      <w:r>
        <w:rPr>
          <w:rFonts w:hint="eastAsia" w:ascii="宋体" w:hAnsi="宋体"/>
          <w:color w:val="auto"/>
          <w:sz w:val="24"/>
          <w:highlight w:val="none"/>
          <w:u w:val="single"/>
        </w:rPr>
        <w:t>监理</w:t>
      </w:r>
      <w:r>
        <w:rPr>
          <w:rFonts w:ascii="宋体" w:hAnsi="宋体"/>
          <w:color w:val="auto"/>
          <w:sz w:val="24"/>
          <w:highlight w:val="none"/>
          <w:u w:val="single"/>
        </w:rPr>
        <w:t xml:space="preserve">合同。 </w:t>
      </w:r>
    </w:p>
    <w:p w14:paraId="54B996FE">
      <w:pPr>
        <w:spacing w:line="360" w:lineRule="exact"/>
        <w:ind w:firstLine="480" w:firstLineChars="200"/>
        <w:rPr>
          <w:rFonts w:ascii="宋体" w:hAnsi="宋体"/>
          <w:color w:val="auto"/>
          <w:sz w:val="24"/>
          <w:highlight w:val="none"/>
        </w:rPr>
      </w:pPr>
      <w:r>
        <w:rPr>
          <w:rFonts w:ascii="宋体" w:hAnsi="宋体"/>
          <w:color w:val="auto"/>
          <w:sz w:val="24"/>
          <w:highlight w:val="none"/>
        </w:rPr>
        <w:t>（9）发包人委托承包人办理的工作：</w:t>
      </w:r>
      <w:r>
        <w:rPr>
          <w:rFonts w:ascii="宋体" w:hAnsi="宋体"/>
          <w:color w:val="auto"/>
          <w:sz w:val="24"/>
          <w:highlight w:val="none"/>
          <w:u w:val="single"/>
        </w:rPr>
        <w:t xml:space="preserve">    双方另行协商。    </w:t>
      </w:r>
    </w:p>
    <w:p w14:paraId="315AD82D">
      <w:pPr>
        <w:rPr>
          <w:rFonts w:ascii="宋体" w:hAnsi="宋体"/>
          <w:color w:val="auto"/>
          <w:highlight w:val="none"/>
        </w:rPr>
      </w:pPr>
      <w:bookmarkStart w:id="298" w:name="_Toc373227706"/>
      <w:bookmarkStart w:id="299" w:name="_Toc373478353"/>
      <w:bookmarkStart w:id="300" w:name="_Toc389065272"/>
      <w:bookmarkStart w:id="301" w:name="_Toc533611462"/>
      <w:bookmarkStart w:id="302" w:name="_Toc30537"/>
      <w:bookmarkStart w:id="303" w:name="_Toc395382508"/>
    </w:p>
    <w:p w14:paraId="404F2D75">
      <w:pPr>
        <w:pStyle w:val="4"/>
        <w:rPr>
          <w:rFonts w:ascii="宋体" w:hAnsi="宋体" w:eastAsia="宋体"/>
          <w:color w:val="auto"/>
          <w:sz w:val="24"/>
          <w:szCs w:val="24"/>
          <w:highlight w:val="none"/>
        </w:rPr>
      </w:pPr>
      <w:bookmarkStart w:id="304" w:name="_Toc16551"/>
      <w:r>
        <w:rPr>
          <w:rFonts w:hint="eastAsia" w:ascii="宋体" w:hAnsi="宋体" w:eastAsia="宋体"/>
          <w:color w:val="auto"/>
          <w:sz w:val="24"/>
          <w:szCs w:val="24"/>
          <w:highlight w:val="none"/>
        </w:rPr>
        <w:t>3</w:t>
      </w:r>
      <w:bookmarkStart w:id="305" w:name="_Toc297120458"/>
      <w:bookmarkStart w:id="306" w:name="_Toc296347157"/>
      <w:bookmarkStart w:id="307" w:name="_Toc292559363"/>
      <w:bookmarkStart w:id="308" w:name="_Toc296944497"/>
      <w:bookmarkStart w:id="309" w:name="_Toc296346659"/>
      <w:bookmarkStart w:id="310" w:name="_Toc296890986"/>
      <w:bookmarkStart w:id="311" w:name="_Toc292559868"/>
      <w:bookmarkStart w:id="312" w:name="_Toc296891198"/>
      <w:bookmarkStart w:id="313" w:name="_Toc297048344"/>
      <w:bookmarkStart w:id="314" w:name="_Toc296503158"/>
      <w:r>
        <w:rPr>
          <w:rFonts w:hint="eastAsia" w:ascii="宋体" w:hAnsi="宋体" w:eastAsia="宋体"/>
          <w:color w:val="auto"/>
          <w:sz w:val="24"/>
          <w:szCs w:val="24"/>
          <w:highlight w:val="none"/>
        </w:rPr>
        <w:t>. 承包人</w:t>
      </w:r>
      <w:bookmarkEnd w:id="298"/>
      <w:bookmarkEnd w:id="299"/>
      <w:bookmarkEnd w:id="300"/>
      <w:bookmarkEnd w:id="301"/>
      <w:bookmarkEnd w:id="302"/>
      <w:bookmarkEnd w:id="303"/>
      <w:bookmarkEnd w:id="304"/>
    </w:p>
    <w:bookmarkEnd w:id="305"/>
    <w:bookmarkEnd w:id="306"/>
    <w:bookmarkEnd w:id="307"/>
    <w:bookmarkEnd w:id="308"/>
    <w:bookmarkEnd w:id="309"/>
    <w:bookmarkEnd w:id="310"/>
    <w:bookmarkEnd w:id="311"/>
    <w:bookmarkEnd w:id="312"/>
    <w:bookmarkEnd w:id="313"/>
    <w:bookmarkEnd w:id="314"/>
    <w:p w14:paraId="650D1C4F">
      <w:pPr>
        <w:pStyle w:val="2"/>
        <w:rPr>
          <w:rFonts w:ascii="宋体" w:hAnsi="宋体"/>
          <w:color w:val="auto"/>
          <w:szCs w:val="24"/>
          <w:highlight w:val="none"/>
        </w:rPr>
      </w:pPr>
      <w:bookmarkStart w:id="315" w:name="_Toc533611463"/>
      <w:bookmarkStart w:id="316" w:name="_Toc373227707"/>
      <w:bookmarkStart w:id="317" w:name="_Toc18269"/>
      <w:bookmarkStart w:id="318" w:name="_Toc31376"/>
      <w:bookmarkStart w:id="319" w:name="_Toc389065273"/>
      <w:bookmarkStart w:id="320" w:name="_Toc395382509"/>
      <w:bookmarkStart w:id="321" w:name="_Toc373478354"/>
      <w:r>
        <w:rPr>
          <w:rFonts w:hint="eastAsia" w:ascii="宋体" w:hAnsi="宋体"/>
          <w:color w:val="auto"/>
          <w:szCs w:val="24"/>
          <w:highlight w:val="none"/>
        </w:rPr>
        <w:t>3.1 承包人的一般义务</w:t>
      </w:r>
      <w:bookmarkEnd w:id="315"/>
      <w:bookmarkEnd w:id="316"/>
      <w:bookmarkEnd w:id="317"/>
      <w:bookmarkEnd w:id="318"/>
      <w:bookmarkEnd w:id="319"/>
      <w:bookmarkEnd w:id="320"/>
      <w:bookmarkEnd w:id="321"/>
    </w:p>
    <w:p w14:paraId="23CAE726">
      <w:pPr>
        <w:spacing w:line="360" w:lineRule="auto"/>
        <w:ind w:firstLine="480" w:firstLineChars="200"/>
        <w:rPr>
          <w:rFonts w:ascii="宋体" w:hAnsi="宋体"/>
          <w:color w:val="auto"/>
          <w:sz w:val="24"/>
          <w:highlight w:val="none"/>
        </w:rPr>
      </w:pPr>
      <w:r>
        <w:rPr>
          <w:rFonts w:ascii="宋体" w:hAnsi="宋体"/>
          <w:color w:val="auto"/>
          <w:sz w:val="24"/>
          <w:highlight w:val="none"/>
        </w:rPr>
        <w:t>3.1.1承包人提交的竣工资料的内容：</w:t>
      </w:r>
    </w:p>
    <w:p w14:paraId="1DDFA2F0">
      <w:pPr>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 xml:space="preserve">包括工程质量保证资料、验收备案资料、竣工图等完整的竣工档案资料         </w:t>
      </w:r>
      <w:r>
        <w:rPr>
          <w:rFonts w:ascii="宋体" w:hAnsi="宋体"/>
          <w:color w:val="auto"/>
          <w:sz w:val="24"/>
          <w:highlight w:val="none"/>
        </w:rPr>
        <w:t>。</w:t>
      </w:r>
    </w:p>
    <w:p w14:paraId="686287E5">
      <w:pPr>
        <w:spacing w:line="360" w:lineRule="auto"/>
        <w:ind w:firstLine="480" w:firstLineChars="200"/>
        <w:rPr>
          <w:rFonts w:ascii="宋体" w:hAnsi="宋体"/>
          <w:color w:val="auto"/>
          <w:sz w:val="24"/>
          <w:highlight w:val="none"/>
        </w:rPr>
      </w:pPr>
      <w:r>
        <w:rPr>
          <w:rFonts w:ascii="宋体" w:hAnsi="宋体"/>
          <w:color w:val="auto"/>
          <w:sz w:val="24"/>
          <w:highlight w:val="none"/>
        </w:rPr>
        <w:t>承包人需要提交的竣工资料套数：</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224FC10B">
      <w:pPr>
        <w:spacing w:line="360" w:lineRule="auto"/>
        <w:ind w:left="424" w:leftChars="202"/>
        <w:rPr>
          <w:rFonts w:ascii="宋体" w:hAnsi="宋体"/>
          <w:color w:val="auto"/>
          <w:sz w:val="24"/>
          <w:highlight w:val="none"/>
        </w:rPr>
      </w:pPr>
      <w:r>
        <w:rPr>
          <w:rFonts w:ascii="宋体" w:hAnsi="宋体"/>
          <w:color w:val="auto"/>
          <w:sz w:val="24"/>
          <w:highlight w:val="none"/>
        </w:rPr>
        <w:t>承包人提交的竣工资料的费用承担：</w:t>
      </w:r>
      <w:r>
        <w:rPr>
          <w:rFonts w:ascii="宋体" w:hAnsi="宋体"/>
          <w:color w:val="auto"/>
          <w:sz w:val="24"/>
          <w:highlight w:val="none"/>
          <w:u w:val="single"/>
        </w:rPr>
        <w:t xml:space="preserve">     全部承担        </w:t>
      </w:r>
      <w:r>
        <w:rPr>
          <w:rFonts w:ascii="宋体" w:hAnsi="宋体"/>
          <w:color w:val="auto"/>
          <w:sz w:val="24"/>
          <w:highlight w:val="none"/>
        </w:rPr>
        <w:t>。</w:t>
      </w:r>
    </w:p>
    <w:p w14:paraId="2924AC46">
      <w:pPr>
        <w:spacing w:line="360" w:lineRule="auto"/>
        <w:ind w:left="424" w:leftChars="202"/>
        <w:rPr>
          <w:rFonts w:ascii="宋体" w:hAnsi="宋体"/>
          <w:color w:val="auto"/>
          <w:sz w:val="24"/>
          <w:highlight w:val="none"/>
        </w:rPr>
      </w:pPr>
      <w:r>
        <w:rPr>
          <w:rFonts w:ascii="宋体" w:hAnsi="宋体"/>
          <w:color w:val="auto"/>
          <w:sz w:val="24"/>
          <w:highlight w:val="none"/>
        </w:rPr>
        <w:t>承包人提交的竣工资料移交时间：</w:t>
      </w:r>
      <w:r>
        <w:rPr>
          <w:rFonts w:ascii="宋体" w:hAnsi="宋体"/>
          <w:color w:val="auto"/>
          <w:sz w:val="24"/>
          <w:highlight w:val="none"/>
          <w:u w:val="single"/>
        </w:rPr>
        <w:t xml:space="preserve">  竣工验收合格后28天内  </w:t>
      </w:r>
      <w:r>
        <w:rPr>
          <w:rFonts w:ascii="宋体" w:hAnsi="宋体"/>
          <w:color w:val="auto"/>
          <w:sz w:val="24"/>
          <w:highlight w:val="none"/>
        </w:rPr>
        <w:t>。</w:t>
      </w:r>
    </w:p>
    <w:p w14:paraId="26DB2712">
      <w:pPr>
        <w:spacing w:line="360" w:lineRule="auto"/>
        <w:ind w:firstLine="480" w:firstLineChars="200"/>
        <w:rPr>
          <w:rFonts w:ascii="宋体" w:hAnsi="宋体"/>
          <w:color w:val="auto"/>
          <w:sz w:val="24"/>
          <w:highlight w:val="none"/>
        </w:rPr>
      </w:pPr>
      <w:r>
        <w:rPr>
          <w:rFonts w:ascii="宋体" w:hAnsi="宋体"/>
          <w:color w:val="auto"/>
          <w:sz w:val="24"/>
          <w:highlight w:val="none"/>
        </w:rPr>
        <w:t>承包人提交的竣工资料形式要求：</w:t>
      </w:r>
      <w:r>
        <w:rPr>
          <w:rFonts w:ascii="宋体" w:hAnsi="宋体"/>
          <w:color w:val="auto"/>
          <w:sz w:val="24"/>
          <w:highlight w:val="none"/>
          <w:u w:val="single"/>
        </w:rPr>
        <w:t xml:space="preserve">           文本            </w:t>
      </w:r>
      <w:r>
        <w:rPr>
          <w:rFonts w:ascii="宋体" w:hAnsi="宋体"/>
          <w:color w:val="auto"/>
          <w:sz w:val="24"/>
          <w:highlight w:val="none"/>
        </w:rPr>
        <w:t>。</w:t>
      </w:r>
    </w:p>
    <w:p w14:paraId="15C7C8FB">
      <w:pPr>
        <w:spacing w:line="360" w:lineRule="auto"/>
        <w:ind w:firstLine="480" w:firstLineChars="200"/>
        <w:rPr>
          <w:rFonts w:ascii="宋体" w:hAnsi="宋体"/>
          <w:color w:val="auto"/>
          <w:sz w:val="24"/>
          <w:highlight w:val="none"/>
        </w:rPr>
      </w:pPr>
      <w:r>
        <w:rPr>
          <w:rFonts w:ascii="宋体" w:hAnsi="宋体"/>
          <w:color w:val="auto"/>
          <w:sz w:val="24"/>
          <w:highlight w:val="none"/>
        </w:rPr>
        <w:t>3.1.2承包人应履行的其他义务：</w:t>
      </w:r>
    </w:p>
    <w:p w14:paraId="5FA3256E">
      <w:pPr>
        <w:spacing w:line="360" w:lineRule="auto"/>
        <w:ind w:firstLine="480" w:firstLineChars="200"/>
        <w:rPr>
          <w:rFonts w:ascii="宋体" w:hAnsi="宋体"/>
          <w:bCs/>
          <w:color w:val="auto"/>
          <w:sz w:val="24"/>
          <w:highlight w:val="none"/>
          <w:u w:val="single"/>
        </w:rPr>
      </w:pPr>
      <w:r>
        <w:rPr>
          <w:rFonts w:ascii="宋体" w:hAnsi="宋体"/>
          <w:bCs/>
          <w:color w:val="auto"/>
          <w:sz w:val="24"/>
          <w:highlight w:val="none"/>
        </w:rPr>
        <w:t>（1）施工场地周围地下管线和邻近建筑物、构筑物（含文物保护建筑）、古树名木的保护要求及费用承担：</w:t>
      </w:r>
      <w:r>
        <w:rPr>
          <w:rFonts w:ascii="宋体" w:hAnsi="宋体"/>
          <w:bCs/>
          <w:color w:val="auto"/>
          <w:sz w:val="24"/>
          <w:highlight w:val="none"/>
          <w:u w:val="single"/>
        </w:rPr>
        <w:t>承包人施工时应探明并负责保护且承包费用，施工时如损坏地下管线、邻近建筑物、构筑物，所发生费用由承包人承担。</w:t>
      </w:r>
    </w:p>
    <w:p w14:paraId="534383FC">
      <w:pP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ascii="宋体" w:hAnsi="宋体"/>
          <w:bCs/>
          <w:color w:val="auto"/>
          <w:sz w:val="24"/>
          <w:highlight w:val="none"/>
          <w:u w:val="single"/>
        </w:rPr>
        <w:t>取土场及弃土场由承包人自行解决，但不得违反相关管理规定，并承担相关费用。</w:t>
      </w:r>
    </w:p>
    <w:p w14:paraId="51592583">
      <w:pPr>
        <w:spacing w:line="360" w:lineRule="auto"/>
        <w:ind w:firstLine="480" w:firstLineChars="200"/>
        <w:rPr>
          <w:rFonts w:ascii="宋体" w:hAnsi="宋体"/>
          <w:color w:val="auto"/>
          <w:sz w:val="24"/>
          <w:highlight w:val="none"/>
        </w:rPr>
      </w:pPr>
      <w:r>
        <w:rPr>
          <w:rFonts w:ascii="宋体" w:hAnsi="宋体"/>
          <w:color w:val="auto"/>
          <w:sz w:val="24"/>
          <w:highlight w:val="none"/>
        </w:rPr>
        <w:t>3.1.3承包人应按约定时间和要求，完成以下工作：</w:t>
      </w:r>
    </w:p>
    <w:p w14:paraId="56386767">
      <w:pPr>
        <w:pStyle w:val="250"/>
        <w:snapToGrid w:val="0"/>
        <w:spacing w:before="0" w:after="0" w:line="360" w:lineRule="auto"/>
        <w:ind w:left="0" w:right="30" w:firstLine="502"/>
        <w:rPr>
          <w:rFonts w:ascii="宋体" w:hAnsi="宋体"/>
          <w:color w:val="auto"/>
          <w:highlight w:val="none"/>
        </w:rPr>
      </w:pPr>
      <w:bookmarkStart w:id="322" w:name="_Toc373478355"/>
      <w:bookmarkStart w:id="323" w:name="_Toc395382510"/>
      <w:bookmarkStart w:id="324" w:name="_Toc373227708"/>
      <w:bookmarkStart w:id="325" w:name="_Toc389065274"/>
      <w:r>
        <w:rPr>
          <w:rFonts w:hint="eastAsia" w:ascii="宋体" w:hAnsi="宋体"/>
          <w:color w:val="auto"/>
          <w:highlight w:val="none"/>
        </w:rPr>
        <w:t>（1）需由设计资质等级和业务范围允许的承包人完成的设计文件提交时间：</w:t>
      </w:r>
      <w:r>
        <w:rPr>
          <w:rFonts w:hint="eastAsia" w:ascii="宋体" w:hAnsi="宋体"/>
          <w:color w:val="auto"/>
          <w:highlight w:val="none"/>
          <w:u w:val="single"/>
        </w:rPr>
        <w:t xml:space="preserve"> 无        </w:t>
      </w:r>
    </w:p>
    <w:p w14:paraId="60EA3F74">
      <w:pPr>
        <w:pStyle w:val="23"/>
        <w:adjustRightInd w:val="0"/>
        <w:snapToGrid w:val="0"/>
        <w:spacing w:line="360" w:lineRule="auto"/>
        <w:ind w:firstLine="502"/>
        <w:rPr>
          <w:rFonts w:hAnsi="宋体"/>
          <w:color w:val="auto"/>
          <w:sz w:val="24"/>
          <w:highlight w:val="none"/>
        </w:rPr>
      </w:pPr>
      <w:r>
        <w:rPr>
          <w:rFonts w:hint="eastAsia" w:hAnsi="宋体"/>
          <w:color w:val="auto"/>
          <w:sz w:val="24"/>
          <w:highlight w:val="none"/>
        </w:rPr>
        <w:t>（2）应提供计划、报表的名称及完成时间：</w:t>
      </w:r>
      <w:r>
        <w:rPr>
          <w:rFonts w:hint="eastAsia" w:hAnsi="宋体"/>
          <w:color w:val="auto"/>
          <w:sz w:val="24"/>
          <w:highlight w:val="none"/>
          <w:u w:val="single"/>
        </w:rPr>
        <w:t xml:space="preserve"> 合同签订后7天内向监理工程师和发包人提交符合合同工期要求的1、施工组织设计，2、工程进度计划3、管理人员名单、职称、职务、上岗证等（注：领取中标通知书前提交建设管理部门），4、安全文明施工措施，5、质量保证体系。每月25日提供当月完成工程量报表、次月计划完成工程量报表各两份。 </w:t>
      </w:r>
    </w:p>
    <w:p w14:paraId="1947805C">
      <w:pPr>
        <w:pStyle w:val="23"/>
        <w:adjustRightInd w:val="0"/>
        <w:snapToGrid w:val="0"/>
        <w:spacing w:line="360" w:lineRule="auto"/>
        <w:ind w:firstLine="480"/>
        <w:rPr>
          <w:rFonts w:hAnsi="宋体"/>
          <w:color w:val="auto"/>
          <w:sz w:val="24"/>
          <w:highlight w:val="none"/>
          <w:u w:val="single"/>
        </w:rPr>
      </w:pPr>
      <w:r>
        <w:rPr>
          <w:rFonts w:hint="eastAsia" w:hAnsi="宋体"/>
          <w:color w:val="auto"/>
          <w:sz w:val="24"/>
          <w:highlight w:val="none"/>
        </w:rPr>
        <w:t>（3）承担施工安全保卫工作及非夜间施工照明的责任和要求：</w:t>
      </w:r>
      <w:r>
        <w:rPr>
          <w:rFonts w:hint="eastAsia" w:hAnsi="宋体"/>
          <w:color w:val="auto"/>
          <w:sz w:val="24"/>
          <w:highlight w:val="none"/>
          <w:u w:val="single"/>
        </w:rPr>
        <w:t xml:space="preserve">  提供和维修非夜间施工使用的照明、安全标识、围栏等设施，保证过往车辆、行人安全，并负责施工现场安全保卫，费用由承包人承担。按国家及地方对施工防护的有关规定及通用条款9.1（3）条内容。</w:t>
      </w:r>
    </w:p>
    <w:p w14:paraId="4293BB51">
      <w:pPr>
        <w:pStyle w:val="23"/>
        <w:adjustRightInd w:val="0"/>
        <w:snapToGrid w:val="0"/>
        <w:spacing w:line="360" w:lineRule="auto"/>
        <w:ind w:firstLine="480"/>
        <w:rPr>
          <w:rFonts w:hAnsi="宋体"/>
          <w:color w:val="auto"/>
          <w:sz w:val="24"/>
          <w:highlight w:val="none"/>
        </w:rPr>
      </w:pPr>
      <w:r>
        <w:rPr>
          <w:rFonts w:hint="eastAsia" w:hAnsi="宋体"/>
          <w:color w:val="auto"/>
          <w:sz w:val="24"/>
          <w:highlight w:val="none"/>
        </w:rPr>
        <w:t>（4）向发包人提供的办公和生活房屋及设施的要求：</w:t>
      </w:r>
      <w:r>
        <w:rPr>
          <w:rFonts w:hint="eastAsia" w:hAnsi="宋体"/>
          <w:color w:val="auto"/>
          <w:sz w:val="24"/>
          <w:highlight w:val="none"/>
          <w:u w:val="single"/>
        </w:rPr>
        <w:t>由承包人提供1间施工现场办公室及生活宿舍 。</w:t>
      </w:r>
    </w:p>
    <w:p w14:paraId="2E1710E5">
      <w:pPr>
        <w:pStyle w:val="23"/>
        <w:adjustRightInd w:val="0"/>
        <w:snapToGrid w:val="0"/>
        <w:spacing w:line="360" w:lineRule="auto"/>
        <w:ind w:firstLine="480"/>
        <w:rPr>
          <w:rFonts w:hAnsi="宋体"/>
          <w:color w:val="auto"/>
          <w:sz w:val="24"/>
          <w:highlight w:val="none"/>
        </w:rPr>
      </w:pPr>
      <w:r>
        <w:rPr>
          <w:rFonts w:hint="eastAsia" w:hAnsi="宋体"/>
          <w:color w:val="auto"/>
          <w:sz w:val="24"/>
          <w:highlight w:val="none"/>
        </w:rPr>
        <w:t>（5）需承包人办理的有关施工场地交通、环卫和施工噪音管理等手续：</w:t>
      </w:r>
      <w:r>
        <w:rPr>
          <w:rFonts w:hint="eastAsia" w:hAnsi="宋体"/>
          <w:color w:val="auto"/>
          <w:sz w:val="24"/>
          <w:highlight w:val="none"/>
          <w:u w:val="single"/>
        </w:rPr>
        <w:t xml:space="preserve"> 1、通行证，2、环卫部门规定的施工场地卫生手续，3、城管部门手续，4、建设行政部门手续，5、施工噪音超标手续，6、项目临时工会手续。并承担相关费用。</w:t>
      </w:r>
    </w:p>
    <w:p w14:paraId="10A4BFC8">
      <w:pPr>
        <w:pStyle w:val="23"/>
        <w:adjustRightInd w:val="0"/>
        <w:snapToGrid w:val="0"/>
        <w:spacing w:line="360" w:lineRule="auto"/>
        <w:ind w:firstLine="480"/>
        <w:rPr>
          <w:rFonts w:hAnsi="宋体"/>
          <w:color w:val="auto"/>
          <w:sz w:val="24"/>
          <w:highlight w:val="none"/>
        </w:rPr>
      </w:pPr>
      <w:r>
        <w:rPr>
          <w:rFonts w:hint="eastAsia" w:hAnsi="宋体"/>
          <w:color w:val="auto"/>
          <w:sz w:val="24"/>
          <w:highlight w:val="none"/>
        </w:rPr>
        <w:t>（6）已完工程成品保护的特殊要求及费用承担：</w:t>
      </w:r>
      <w:r>
        <w:rPr>
          <w:rFonts w:hint="eastAsia" w:hAnsi="宋体"/>
          <w:color w:val="auto"/>
          <w:sz w:val="24"/>
          <w:highlight w:val="none"/>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p>
    <w:p w14:paraId="14F07541">
      <w:pPr>
        <w:pStyle w:val="23"/>
        <w:adjustRightInd w:val="0"/>
        <w:snapToGrid w:val="0"/>
        <w:spacing w:line="360" w:lineRule="auto"/>
        <w:ind w:firstLine="480"/>
        <w:rPr>
          <w:rFonts w:hAnsi="宋体"/>
          <w:color w:val="auto"/>
          <w:sz w:val="24"/>
          <w:highlight w:val="none"/>
        </w:rPr>
      </w:pPr>
      <w:r>
        <w:rPr>
          <w:rFonts w:hint="eastAsia" w:hAnsi="宋体"/>
          <w:color w:val="auto"/>
          <w:sz w:val="24"/>
          <w:highlight w:val="none"/>
        </w:rPr>
        <w:t>（7）施工场地周围地下管线和邻近建筑物、构筑物（含文物保护建筑）、古树名木的保护要求及费用承担：</w:t>
      </w:r>
      <w:r>
        <w:rPr>
          <w:rFonts w:hint="eastAsia" w:hAnsi="宋体"/>
          <w:color w:val="auto"/>
          <w:sz w:val="24"/>
          <w:highlight w:val="none"/>
          <w:u w:val="single"/>
        </w:rPr>
        <w:t xml:space="preserve">由承包人保护，费用按通用条款8.1.（8）执行。施工时如损坏地下管线、邻近建筑物、构筑物，所发生的费用由承包人承担。 </w:t>
      </w:r>
    </w:p>
    <w:p w14:paraId="1F1A451B">
      <w:pPr>
        <w:pStyle w:val="23"/>
        <w:adjustRightInd w:val="0"/>
        <w:snapToGrid w:val="0"/>
        <w:spacing w:line="360" w:lineRule="auto"/>
        <w:ind w:firstLine="480"/>
        <w:rPr>
          <w:rFonts w:hAnsi="宋体"/>
          <w:color w:val="auto"/>
          <w:sz w:val="24"/>
          <w:highlight w:val="none"/>
        </w:rPr>
      </w:pPr>
      <w:r>
        <w:rPr>
          <w:rFonts w:hint="eastAsia" w:hAnsi="宋体"/>
          <w:color w:val="auto"/>
          <w:sz w:val="24"/>
          <w:highlight w:val="none"/>
        </w:rPr>
        <w:t>（8）施工场地清洁卫生的要求：</w:t>
      </w:r>
      <w:r>
        <w:rPr>
          <w:rFonts w:hint="eastAsia" w:hAnsi="宋体"/>
          <w:color w:val="auto"/>
          <w:sz w:val="24"/>
          <w:highlight w:val="none"/>
          <w:u w:val="single"/>
        </w:rPr>
        <w:t xml:space="preserve"> 在施工期间对环境主要影响是机械声和废水、废渣、尘埃，对此承包人应采取相应的防治措施和严格管理，严格控制污染物排放，污染物排放前必须处理，达到排污标准后再排放。控制标准：《地面环境质量标准》GB3838-88Ⅱ。施工完毕后，承包人应及时将被破坏的场地，遵照监理工程师的指示进行清理、修正，并根据实际情况将场地恢复到原有状态。     </w:t>
      </w:r>
    </w:p>
    <w:p w14:paraId="064E8264">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（9）双方约定承包人应做的其他工作：</w:t>
      </w:r>
      <w:r>
        <w:rPr>
          <w:rFonts w:ascii="宋体" w:hAnsi="宋体"/>
          <w:color w:val="auto"/>
          <w:sz w:val="24"/>
          <w:highlight w:val="none"/>
          <w:u w:val="single"/>
        </w:rPr>
        <w:t xml:space="preserve"> 承包人在中标通知书发出之后三日内须提供相关证件（除中标通知书发放前已提交的除外），由发包人办理报建手续。否则发包人视为承包人自动放弃合同。 </w:t>
      </w:r>
    </w:p>
    <w:p w14:paraId="1A0BFB26">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（10）</w:t>
      </w:r>
      <w:r>
        <w:rPr>
          <w:rFonts w:ascii="宋体" w:hAnsi="宋体"/>
          <w:bCs/>
          <w:color w:val="auto"/>
          <w:sz w:val="24"/>
          <w:highlight w:val="none"/>
          <w:u w:val="single"/>
        </w:rPr>
        <w:t>因施工问题涉及交通、公路等部门的，承包人有义务与发包人一起协调。</w:t>
      </w:r>
    </w:p>
    <w:p w14:paraId="46909163">
      <w:pPr>
        <w:spacing w:line="400" w:lineRule="exact"/>
        <w:ind w:firstLine="480" w:firstLineChars="200"/>
        <w:rPr>
          <w:rFonts w:ascii="宋体" w:hAnsi="宋体"/>
          <w:bCs/>
          <w:color w:val="auto"/>
          <w:sz w:val="24"/>
          <w:highlight w:val="none"/>
          <w:u w:val="single"/>
        </w:rPr>
      </w:pPr>
      <w:r>
        <w:rPr>
          <w:rFonts w:ascii="宋体" w:hAnsi="宋体"/>
          <w:bCs/>
          <w:color w:val="auto"/>
          <w:sz w:val="24"/>
          <w:highlight w:val="none"/>
        </w:rPr>
        <w:t>（11）</w:t>
      </w:r>
      <w:r>
        <w:rPr>
          <w:rFonts w:ascii="宋体" w:hAnsi="宋体"/>
          <w:bCs/>
          <w:color w:val="auto"/>
          <w:sz w:val="24"/>
          <w:highlight w:val="none"/>
          <w:u w:val="single"/>
        </w:rPr>
        <w:t>合同当事人对文明施工的要求：安全防护、文明施工设施须按有关标准及制度执行。</w:t>
      </w:r>
    </w:p>
    <w:p w14:paraId="7D37F82F">
      <w:pPr>
        <w:pStyle w:val="2"/>
        <w:rPr>
          <w:rFonts w:ascii="宋体" w:hAnsi="宋体"/>
          <w:color w:val="auto"/>
          <w:szCs w:val="24"/>
          <w:highlight w:val="none"/>
        </w:rPr>
      </w:pPr>
      <w:bookmarkStart w:id="326" w:name="_Toc23141"/>
      <w:bookmarkStart w:id="327" w:name="_Toc533611464"/>
      <w:bookmarkStart w:id="328" w:name="_Toc31825"/>
      <w:r>
        <w:rPr>
          <w:rFonts w:hint="eastAsia" w:ascii="宋体" w:hAnsi="宋体"/>
          <w:color w:val="auto"/>
          <w:szCs w:val="24"/>
          <w:highlight w:val="none"/>
        </w:rPr>
        <w:t>3.2 项目经理</w:t>
      </w:r>
      <w:bookmarkEnd w:id="322"/>
      <w:bookmarkEnd w:id="323"/>
      <w:bookmarkEnd w:id="324"/>
      <w:bookmarkEnd w:id="325"/>
      <w:bookmarkEnd w:id="326"/>
      <w:bookmarkEnd w:id="327"/>
      <w:bookmarkEnd w:id="328"/>
    </w:p>
    <w:p w14:paraId="18FC281C">
      <w:pPr>
        <w:spacing w:line="360" w:lineRule="auto"/>
        <w:ind w:firstLine="480" w:firstLineChars="200"/>
        <w:rPr>
          <w:rFonts w:ascii="宋体" w:hAnsi="宋体"/>
          <w:color w:val="auto"/>
          <w:sz w:val="24"/>
          <w:highlight w:val="none"/>
        </w:rPr>
      </w:pPr>
      <w:r>
        <w:rPr>
          <w:rFonts w:ascii="宋体" w:hAnsi="宋体"/>
          <w:color w:val="auto"/>
          <w:sz w:val="24"/>
          <w:highlight w:val="none"/>
        </w:rPr>
        <w:t>3.2.1 项目经理：</w:t>
      </w:r>
    </w:p>
    <w:p w14:paraId="3D921BAC">
      <w:pPr>
        <w:spacing w:line="360" w:lineRule="auto"/>
        <w:ind w:firstLine="480" w:firstLineChars="200"/>
        <w:rPr>
          <w:rFonts w:ascii="宋体" w:hAnsi="宋体"/>
          <w:color w:val="auto"/>
          <w:sz w:val="24"/>
          <w:highlight w:val="none"/>
        </w:rPr>
      </w:pPr>
      <w:r>
        <w:rPr>
          <w:rFonts w:ascii="宋体" w:hAnsi="宋体"/>
          <w:color w:val="auto"/>
          <w:sz w:val="24"/>
          <w:highlight w:val="none"/>
        </w:rPr>
        <w:t>姓    名：</w:t>
      </w:r>
      <w:r>
        <w:rPr>
          <w:rFonts w:ascii="宋体" w:hAnsi="宋体"/>
          <w:color w:val="auto"/>
          <w:sz w:val="24"/>
          <w:highlight w:val="none"/>
          <w:u w:val="single"/>
        </w:rPr>
        <w:t xml:space="preserve"> 　　</w:t>
      </w:r>
      <w:r>
        <w:rPr>
          <w:rFonts w:ascii="宋体" w:hAnsi="宋体"/>
          <w:color w:val="auto"/>
          <w:sz w:val="24"/>
          <w:highlight w:val="none"/>
        </w:rPr>
        <w:t>；</w:t>
      </w:r>
    </w:p>
    <w:p w14:paraId="0F7E9B5C">
      <w:pPr>
        <w:spacing w:line="360" w:lineRule="auto"/>
        <w:ind w:firstLine="480" w:firstLineChars="200"/>
        <w:rPr>
          <w:rFonts w:ascii="宋体" w:hAnsi="宋体"/>
          <w:color w:val="auto"/>
          <w:sz w:val="24"/>
          <w:highlight w:val="none"/>
        </w:rPr>
      </w:pPr>
      <w:r>
        <w:rPr>
          <w:rFonts w:ascii="宋体" w:hAnsi="宋体"/>
          <w:color w:val="auto"/>
          <w:sz w:val="24"/>
          <w:highlight w:val="none"/>
        </w:rPr>
        <w:t>身份证号：</w:t>
      </w:r>
      <w:r>
        <w:rPr>
          <w:rFonts w:ascii="宋体" w:hAnsi="宋体"/>
          <w:color w:val="auto"/>
          <w:sz w:val="24"/>
          <w:highlight w:val="none"/>
          <w:u w:val="single"/>
        </w:rPr>
        <w:t>　</w:t>
      </w:r>
      <w:r>
        <w:rPr>
          <w:rFonts w:ascii="宋体" w:hAnsi="宋体"/>
          <w:color w:val="auto"/>
          <w:sz w:val="24"/>
          <w:highlight w:val="none"/>
        </w:rPr>
        <w:t>；</w:t>
      </w:r>
    </w:p>
    <w:p w14:paraId="729C452E">
      <w:pPr>
        <w:spacing w:line="360" w:lineRule="auto"/>
        <w:ind w:firstLine="480" w:firstLineChars="200"/>
        <w:rPr>
          <w:rFonts w:ascii="宋体" w:hAnsi="宋体"/>
          <w:color w:val="auto"/>
          <w:sz w:val="24"/>
          <w:highlight w:val="none"/>
        </w:rPr>
      </w:pPr>
      <w:r>
        <w:rPr>
          <w:rFonts w:ascii="宋体" w:hAnsi="宋体"/>
          <w:color w:val="auto"/>
          <w:sz w:val="24"/>
          <w:highlight w:val="none"/>
        </w:rPr>
        <w:t>建造师执业资格等级：</w:t>
      </w:r>
      <w:r>
        <w:rPr>
          <w:rFonts w:ascii="宋体" w:hAnsi="宋体"/>
          <w:color w:val="auto"/>
          <w:sz w:val="24"/>
          <w:highlight w:val="none"/>
          <w:u w:val="single"/>
        </w:rPr>
        <w:t>　　　　</w:t>
      </w:r>
      <w:r>
        <w:rPr>
          <w:rFonts w:ascii="宋体" w:hAnsi="宋体"/>
          <w:color w:val="auto"/>
          <w:sz w:val="24"/>
          <w:highlight w:val="none"/>
        </w:rPr>
        <w:t>；</w:t>
      </w:r>
    </w:p>
    <w:p w14:paraId="04F0F8DF">
      <w:pPr>
        <w:spacing w:line="360" w:lineRule="auto"/>
        <w:ind w:firstLine="480" w:firstLineChars="200"/>
        <w:rPr>
          <w:rFonts w:ascii="宋体" w:hAnsi="宋体"/>
          <w:color w:val="auto"/>
          <w:sz w:val="24"/>
          <w:highlight w:val="none"/>
        </w:rPr>
      </w:pPr>
      <w:r>
        <w:rPr>
          <w:rFonts w:ascii="宋体" w:hAnsi="宋体"/>
          <w:color w:val="auto"/>
          <w:sz w:val="24"/>
          <w:highlight w:val="none"/>
        </w:rPr>
        <w:t>建造师注册证书号：；</w:t>
      </w:r>
    </w:p>
    <w:p w14:paraId="07003E12">
      <w:pPr>
        <w:spacing w:line="360" w:lineRule="auto"/>
        <w:ind w:firstLine="480" w:firstLineChars="200"/>
        <w:rPr>
          <w:rFonts w:ascii="宋体" w:hAnsi="宋体"/>
          <w:color w:val="auto"/>
          <w:sz w:val="24"/>
          <w:highlight w:val="none"/>
        </w:rPr>
      </w:pPr>
      <w:r>
        <w:rPr>
          <w:rFonts w:ascii="宋体" w:hAnsi="宋体"/>
          <w:color w:val="auto"/>
          <w:sz w:val="24"/>
          <w:highlight w:val="none"/>
        </w:rPr>
        <w:t>建造师执业印章号：</w:t>
      </w:r>
      <w:r>
        <w:rPr>
          <w:rFonts w:ascii="宋体" w:hAnsi="宋体"/>
          <w:color w:val="auto"/>
          <w:sz w:val="24"/>
          <w:highlight w:val="none"/>
          <w:u w:val="single"/>
        </w:rPr>
        <w:t>　　</w:t>
      </w:r>
      <w:r>
        <w:rPr>
          <w:rFonts w:ascii="宋体" w:hAnsi="宋体"/>
          <w:color w:val="auto"/>
          <w:sz w:val="24"/>
          <w:highlight w:val="none"/>
        </w:rPr>
        <w:t>；</w:t>
      </w:r>
    </w:p>
    <w:p w14:paraId="4C2606CD">
      <w:pPr>
        <w:spacing w:line="360" w:lineRule="auto"/>
        <w:ind w:firstLine="480" w:firstLineChars="200"/>
        <w:rPr>
          <w:rFonts w:ascii="宋体" w:hAnsi="宋体"/>
          <w:color w:val="auto"/>
          <w:sz w:val="24"/>
          <w:highlight w:val="none"/>
        </w:rPr>
      </w:pPr>
      <w:r>
        <w:rPr>
          <w:rFonts w:ascii="宋体" w:hAnsi="宋体"/>
          <w:color w:val="auto"/>
          <w:sz w:val="24"/>
          <w:highlight w:val="none"/>
        </w:rPr>
        <w:t>安全生产考核合格证书号：</w:t>
      </w:r>
      <w:r>
        <w:rPr>
          <w:rFonts w:ascii="宋体" w:hAnsi="宋体"/>
          <w:color w:val="auto"/>
          <w:sz w:val="24"/>
          <w:highlight w:val="none"/>
          <w:u w:val="single"/>
        </w:rPr>
        <w:t>　</w:t>
      </w:r>
      <w:r>
        <w:rPr>
          <w:rFonts w:ascii="宋体" w:hAnsi="宋体"/>
          <w:color w:val="auto"/>
          <w:sz w:val="24"/>
          <w:highlight w:val="none"/>
        </w:rPr>
        <w:t>；</w:t>
      </w:r>
    </w:p>
    <w:p w14:paraId="730CCCE7">
      <w:pPr>
        <w:spacing w:line="360" w:lineRule="auto"/>
        <w:ind w:firstLine="480" w:firstLineChars="200"/>
        <w:rPr>
          <w:rFonts w:ascii="宋体" w:hAnsi="宋体"/>
          <w:color w:val="auto"/>
          <w:sz w:val="24"/>
          <w:highlight w:val="none"/>
        </w:rPr>
      </w:pPr>
      <w:r>
        <w:rPr>
          <w:rFonts w:ascii="宋体" w:hAnsi="宋体"/>
          <w:color w:val="auto"/>
          <w:sz w:val="24"/>
          <w:highlight w:val="none"/>
        </w:rPr>
        <w:t>联系电话：</w:t>
      </w:r>
      <w:r>
        <w:rPr>
          <w:rFonts w:ascii="宋体" w:hAnsi="宋体"/>
          <w:color w:val="auto"/>
          <w:sz w:val="24"/>
          <w:highlight w:val="none"/>
          <w:u w:val="single"/>
        </w:rPr>
        <w:t>　　　　　　　　　　  　　　    　　</w:t>
      </w:r>
      <w:r>
        <w:rPr>
          <w:rFonts w:ascii="宋体" w:hAnsi="宋体"/>
          <w:color w:val="auto"/>
          <w:sz w:val="24"/>
          <w:highlight w:val="none"/>
        </w:rPr>
        <w:t>；</w:t>
      </w:r>
    </w:p>
    <w:p w14:paraId="005CC8DA">
      <w:pPr>
        <w:spacing w:line="360" w:lineRule="auto"/>
        <w:ind w:firstLine="480" w:firstLineChars="200"/>
        <w:rPr>
          <w:rFonts w:ascii="宋体" w:hAnsi="宋体"/>
          <w:color w:val="auto"/>
          <w:sz w:val="24"/>
          <w:highlight w:val="none"/>
        </w:rPr>
      </w:pPr>
      <w:r>
        <w:rPr>
          <w:rFonts w:ascii="宋体" w:hAnsi="宋体"/>
          <w:color w:val="auto"/>
          <w:sz w:val="24"/>
          <w:highlight w:val="none"/>
        </w:rPr>
        <w:t>电子信箱：</w:t>
      </w:r>
      <w:r>
        <w:rPr>
          <w:rFonts w:ascii="宋体" w:hAnsi="宋体"/>
          <w:color w:val="auto"/>
          <w:sz w:val="24"/>
          <w:highlight w:val="none"/>
          <w:u w:val="single"/>
        </w:rPr>
        <w:t>　　　　　　　　  　　　　　　</w:t>
      </w:r>
      <w:r>
        <w:rPr>
          <w:rFonts w:ascii="宋体" w:hAnsi="宋体"/>
          <w:color w:val="auto"/>
          <w:sz w:val="24"/>
          <w:highlight w:val="none"/>
        </w:rPr>
        <w:t>；</w:t>
      </w:r>
    </w:p>
    <w:p w14:paraId="24A3697B">
      <w:pPr>
        <w:spacing w:line="360" w:lineRule="auto"/>
        <w:ind w:firstLine="480" w:firstLineChars="200"/>
        <w:rPr>
          <w:rFonts w:ascii="宋体" w:hAnsi="宋体"/>
          <w:color w:val="auto"/>
          <w:sz w:val="24"/>
          <w:highlight w:val="none"/>
        </w:rPr>
      </w:pPr>
      <w:r>
        <w:rPr>
          <w:rFonts w:ascii="宋体" w:hAnsi="宋体"/>
          <w:color w:val="auto"/>
          <w:sz w:val="24"/>
          <w:highlight w:val="none"/>
        </w:rPr>
        <w:t>通信地址：</w:t>
      </w:r>
      <w:r>
        <w:rPr>
          <w:rFonts w:ascii="宋体" w:hAnsi="宋体"/>
          <w:color w:val="auto"/>
          <w:sz w:val="24"/>
          <w:highlight w:val="none"/>
          <w:u w:val="single"/>
        </w:rPr>
        <w:t>　　　　　　　　　　　</w:t>
      </w:r>
      <w:r>
        <w:rPr>
          <w:rFonts w:ascii="宋体" w:hAnsi="宋体"/>
          <w:color w:val="auto"/>
          <w:sz w:val="24"/>
          <w:highlight w:val="none"/>
        </w:rPr>
        <w:t>；</w:t>
      </w:r>
    </w:p>
    <w:p w14:paraId="68CDCFA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承包人对项目经理的授权范围如下：  </w:t>
      </w:r>
      <w:r>
        <w:rPr>
          <w:rFonts w:ascii="宋体" w:hAnsi="宋体"/>
          <w:color w:val="auto"/>
          <w:sz w:val="24"/>
          <w:highlight w:val="none"/>
          <w:u w:val="single"/>
        </w:rPr>
        <w:t xml:space="preserve">　项目经理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的行为　　 </w:t>
      </w:r>
      <w:r>
        <w:rPr>
          <w:rFonts w:ascii="宋体" w:hAnsi="宋体"/>
          <w:color w:val="auto"/>
          <w:sz w:val="24"/>
          <w:highlight w:val="none"/>
        </w:rPr>
        <w:t>。</w:t>
      </w:r>
    </w:p>
    <w:p w14:paraId="063D0487">
      <w:pPr>
        <w:spacing w:line="360" w:lineRule="auto"/>
        <w:ind w:firstLine="480" w:firstLineChars="200"/>
        <w:rPr>
          <w:rFonts w:ascii="宋体" w:hAnsi="宋体"/>
          <w:color w:val="auto"/>
          <w:sz w:val="24"/>
          <w:highlight w:val="none"/>
        </w:rPr>
      </w:pPr>
      <w:r>
        <w:rPr>
          <w:rFonts w:ascii="宋体" w:hAnsi="宋体"/>
          <w:color w:val="auto"/>
          <w:sz w:val="24"/>
          <w:highlight w:val="none"/>
        </w:rPr>
        <w:t>关于项目经理每月在施工现场的时间要求：</w:t>
      </w:r>
      <w:r>
        <w:rPr>
          <w:rFonts w:ascii="宋体" w:hAnsi="宋体"/>
          <w:color w:val="auto"/>
          <w:sz w:val="24"/>
          <w:highlight w:val="none"/>
          <w:u w:val="single"/>
        </w:rPr>
        <w:t xml:space="preserve">   　双方另行确定          　</w:t>
      </w:r>
      <w:r>
        <w:rPr>
          <w:rFonts w:ascii="宋体" w:hAnsi="宋体"/>
          <w:color w:val="auto"/>
          <w:sz w:val="24"/>
          <w:highlight w:val="none"/>
        </w:rPr>
        <w:t>。</w:t>
      </w:r>
    </w:p>
    <w:p w14:paraId="7F9B06B9">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承包人未提交劳动合同，以及没有为项目经理缴纳社会保险证明的违约责任：</w:t>
      </w:r>
      <w:r>
        <w:rPr>
          <w:rFonts w:ascii="宋体" w:hAnsi="宋体"/>
          <w:color w:val="auto"/>
          <w:sz w:val="24"/>
          <w:highlight w:val="none"/>
          <w:u w:val="single"/>
        </w:rPr>
        <w:t xml:space="preserve">项目经理无权履行职责，发包人有权要求更换项目经理，由此增加的费用和（或）延误的工期由承包人承担，并按3.2.3条款处罚   </w:t>
      </w:r>
      <w:r>
        <w:rPr>
          <w:rFonts w:ascii="宋体" w:hAnsi="宋体"/>
          <w:color w:val="auto"/>
          <w:sz w:val="24"/>
          <w:highlight w:val="none"/>
        </w:rPr>
        <w:t>。</w:t>
      </w:r>
    </w:p>
    <w:p w14:paraId="3FE02D9F">
      <w:pPr>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项目经理和安全员未经批准，擅自离开施工现场的违约责任：项目经理和安全员每月在岗带班时间不得少于22个工作日，并做好考勤记录，随时接受发包人的不定期检查。如发现项目经理和安全员违约或不在岗，发包人有权处违约金</w:t>
      </w:r>
      <w:bookmarkStart w:id="329" w:name="_Hlk98923209"/>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bookmarkEnd w:id="329"/>
      <w:r>
        <w:rPr>
          <w:rFonts w:ascii="宋体" w:hAnsi="宋体"/>
          <w:color w:val="auto"/>
          <w:sz w:val="24"/>
          <w:highlight w:val="none"/>
          <w:u w:val="single"/>
        </w:rPr>
        <w:t>元/日（人民币） ，从当月（季）进度款中扣除 。</w:t>
      </w:r>
      <w:r>
        <w:rPr>
          <w:rFonts w:ascii="宋体" w:hAnsi="宋体"/>
          <w:color w:val="auto"/>
          <w:sz w:val="24"/>
          <w:highlight w:val="none"/>
        </w:rPr>
        <w:t>。</w:t>
      </w:r>
    </w:p>
    <w:p w14:paraId="532E094D">
      <w:pPr>
        <w:spacing w:line="360" w:lineRule="auto"/>
        <w:ind w:firstLine="480" w:firstLineChars="200"/>
        <w:rPr>
          <w:rFonts w:ascii="宋体" w:hAnsi="宋体"/>
          <w:color w:val="auto"/>
          <w:sz w:val="24"/>
          <w:highlight w:val="none"/>
        </w:rPr>
      </w:pPr>
      <w:r>
        <w:rPr>
          <w:rFonts w:ascii="宋体" w:hAnsi="宋体"/>
          <w:color w:val="auto"/>
          <w:sz w:val="24"/>
          <w:highlight w:val="none"/>
        </w:rPr>
        <w:t>3.2.3 承包人擅自更换项目经理的违约责任：</w:t>
      </w:r>
      <w:r>
        <w:rPr>
          <w:rFonts w:ascii="宋体" w:hAnsi="宋体"/>
          <w:color w:val="auto"/>
          <w:sz w:val="24"/>
          <w:highlight w:val="none"/>
          <w:u w:val="single"/>
        </w:rPr>
        <w:t>承包人项目经理必须与承包人投标时所承诺的人员一致，并在  （开工日期）  前到任。在监理人向承包人颁发（竣工证明材料名称）前，项目经理不得同时兼任其他任何项目的项目经理（符合桂建管﹝2013﹞17号和桂建管﹝2014﹞25号文除外）。未经发包人书面同意，承包人擅自更换项目经理的视为违约，违约金处</w:t>
      </w:r>
      <w:r>
        <w:rPr>
          <w:rFonts w:hint="eastAsia" w:ascii="宋体" w:hAnsi="宋体"/>
          <w:color w:val="auto"/>
          <w:sz w:val="24"/>
          <w:highlight w:val="none"/>
          <w:u w:val="single"/>
        </w:rPr>
        <w:t>/</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元/人•次（人民币）</w:t>
      </w:r>
      <w:r>
        <w:rPr>
          <w:rFonts w:ascii="宋体" w:hAnsi="宋体"/>
          <w:color w:val="auto"/>
          <w:sz w:val="24"/>
          <w:highlight w:val="none"/>
        </w:rPr>
        <w:t>。</w:t>
      </w:r>
    </w:p>
    <w:p w14:paraId="1B95702B">
      <w:pPr>
        <w:spacing w:line="360" w:lineRule="auto"/>
        <w:ind w:firstLine="480" w:firstLineChars="200"/>
        <w:rPr>
          <w:rFonts w:ascii="宋体" w:hAnsi="宋体"/>
          <w:color w:val="auto"/>
          <w:sz w:val="24"/>
          <w:highlight w:val="none"/>
        </w:rPr>
      </w:pPr>
      <w:r>
        <w:rPr>
          <w:rFonts w:ascii="宋体" w:hAnsi="宋体"/>
          <w:color w:val="auto"/>
          <w:sz w:val="24"/>
          <w:highlight w:val="none"/>
        </w:rPr>
        <w:t>3.2.4 承包人无正当理由拒绝更换项目经理的违约责任：</w:t>
      </w:r>
      <w:r>
        <w:rPr>
          <w:rFonts w:ascii="宋体" w:hAnsi="宋体"/>
          <w:color w:val="auto"/>
          <w:sz w:val="24"/>
          <w:highlight w:val="none"/>
          <w:u w:val="single"/>
        </w:rPr>
        <w:t>因承包人项目经理不称职，发包人要求调换而未及时调换的，视为承包人违约，必须向发包人交纳处罚金</w:t>
      </w:r>
      <w:r>
        <w:rPr>
          <w:rFonts w:hint="eastAsia" w:ascii="宋体" w:hAnsi="宋体"/>
          <w:color w:val="auto"/>
          <w:sz w:val="24"/>
          <w:highlight w:val="none"/>
          <w:u w:val="single"/>
        </w:rPr>
        <w:t>/</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元/人•次（人民币）</w:t>
      </w:r>
      <w:r>
        <w:rPr>
          <w:rFonts w:ascii="宋体" w:hAnsi="宋体"/>
          <w:color w:val="auto"/>
          <w:sz w:val="24"/>
          <w:highlight w:val="none"/>
        </w:rPr>
        <w:t>。</w:t>
      </w:r>
    </w:p>
    <w:p w14:paraId="069FE194">
      <w:pPr>
        <w:pStyle w:val="2"/>
        <w:rPr>
          <w:rFonts w:ascii="宋体" w:hAnsi="宋体"/>
          <w:color w:val="auto"/>
          <w:szCs w:val="24"/>
          <w:highlight w:val="none"/>
        </w:rPr>
      </w:pPr>
      <w:bookmarkStart w:id="330" w:name="_Toc28448"/>
      <w:bookmarkStart w:id="331" w:name="_Toc395382511"/>
      <w:bookmarkStart w:id="332" w:name="_Toc30427"/>
      <w:bookmarkStart w:id="333" w:name="_Toc533611465"/>
      <w:bookmarkStart w:id="334" w:name="_Toc373478356"/>
      <w:bookmarkStart w:id="335" w:name="_Toc389065275"/>
      <w:bookmarkStart w:id="336" w:name="_Toc373227709"/>
      <w:r>
        <w:rPr>
          <w:rFonts w:hint="eastAsia" w:ascii="宋体" w:hAnsi="宋体"/>
          <w:color w:val="auto"/>
          <w:szCs w:val="24"/>
          <w:highlight w:val="none"/>
        </w:rPr>
        <w:t>3.3 承包人人员</w:t>
      </w:r>
      <w:bookmarkEnd w:id="330"/>
      <w:bookmarkEnd w:id="331"/>
      <w:bookmarkEnd w:id="332"/>
      <w:bookmarkEnd w:id="333"/>
      <w:bookmarkEnd w:id="334"/>
      <w:bookmarkEnd w:id="335"/>
      <w:bookmarkEnd w:id="336"/>
    </w:p>
    <w:p w14:paraId="40B8B8DF">
      <w:pPr>
        <w:spacing w:line="360" w:lineRule="auto"/>
        <w:ind w:firstLine="480" w:firstLineChars="200"/>
        <w:rPr>
          <w:rFonts w:ascii="宋体" w:hAnsi="宋体"/>
          <w:color w:val="auto"/>
          <w:sz w:val="24"/>
          <w:highlight w:val="none"/>
        </w:rPr>
      </w:pPr>
      <w:r>
        <w:rPr>
          <w:rFonts w:ascii="宋体" w:hAnsi="宋体"/>
          <w:color w:val="auto"/>
          <w:sz w:val="24"/>
          <w:highlight w:val="none"/>
        </w:rPr>
        <w:t>3.3.1 承包人提交项目管理机构及施工现场管理人员安排报告（格式见合同附件3）的期限：</w:t>
      </w:r>
      <w:r>
        <w:rPr>
          <w:rFonts w:ascii="宋体" w:hAnsi="宋体"/>
          <w:color w:val="auto"/>
          <w:sz w:val="24"/>
          <w:highlight w:val="none"/>
          <w:u w:val="single"/>
        </w:rPr>
        <w:t xml:space="preserve">   在</w:t>
      </w:r>
      <w:r>
        <w:rPr>
          <w:rFonts w:hint="eastAsia" w:ascii="宋体" w:hAnsi="宋体"/>
          <w:color w:val="auto"/>
          <w:sz w:val="24"/>
          <w:highlight w:val="none"/>
          <w:u w:val="single"/>
        </w:rPr>
        <w:t>签订合同</w:t>
      </w:r>
      <w:r>
        <w:rPr>
          <w:rFonts w:ascii="宋体" w:hAnsi="宋体"/>
          <w:color w:val="auto"/>
          <w:sz w:val="24"/>
          <w:highlight w:val="none"/>
          <w:u w:val="single"/>
        </w:rPr>
        <w:t xml:space="preserve">之后三日 </w:t>
      </w:r>
      <w:r>
        <w:rPr>
          <w:rFonts w:ascii="宋体" w:hAnsi="宋体"/>
          <w:color w:val="auto"/>
          <w:sz w:val="24"/>
          <w:highlight w:val="none"/>
        </w:rPr>
        <w:t>。</w:t>
      </w:r>
    </w:p>
    <w:p w14:paraId="76824443">
      <w:pPr>
        <w:spacing w:line="360" w:lineRule="auto"/>
        <w:ind w:firstLine="480" w:firstLineChars="200"/>
        <w:rPr>
          <w:rFonts w:ascii="宋体" w:hAnsi="宋体"/>
          <w:color w:val="auto"/>
          <w:sz w:val="24"/>
          <w:highlight w:val="none"/>
        </w:rPr>
      </w:pPr>
      <w:r>
        <w:rPr>
          <w:rFonts w:ascii="宋体" w:hAnsi="宋体"/>
          <w:color w:val="auto"/>
          <w:sz w:val="24"/>
          <w:highlight w:val="none"/>
        </w:rPr>
        <w:t>3.3.3 承包人无正当理由拒绝撤换主要施工管理人员的违约责任：</w:t>
      </w:r>
      <w:r>
        <w:rPr>
          <w:rFonts w:ascii="宋体" w:hAnsi="宋体"/>
          <w:color w:val="auto"/>
          <w:sz w:val="24"/>
          <w:highlight w:val="none"/>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元/人•次（人民币）；专业工程师</w:t>
      </w:r>
      <w:r>
        <w:rPr>
          <w:rFonts w:hint="eastAsia" w:ascii="宋体" w:hAnsi="宋体"/>
          <w:color w:val="auto"/>
          <w:sz w:val="24"/>
          <w:highlight w:val="none"/>
          <w:u w:val="single"/>
        </w:rPr>
        <w:t>/</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元/人•次（人民币）</w:t>
      </w:r>
      <w:r>
        <w:rPr>
          <w:rFonts w:ascii="宋体" w:hAnsi="宋体"/>
          <w:color w:val="auto"/>
          <w:sz w:val="24"/>
          <w:highlight w:val="none"/>
        </w:rPr>
        <w:t>。</w:t>
      </w:r>
    </w:p>
    <w:p w14:paraId="47DD60B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3.3.4 承包人主要施工管理人员离开施工现场的批准要求：</w:t>
      </w:r>
      <w:r>
        <w:rPr>
          <w:rFonts w:ascii="宋体" w:hAnsi="宋体"/>
          <w:color w:val="auto"/>
          <w:sz w:val="24"/>
          <w:highlight w:val="none"/>
          <w:u w:val="single"/>
        </w:rPr>
        <w:t xml:space="preserve">   经业主代表批准   </w:t>
      </w:r>
      <w:r>
        <w:rPr>
          <w:rFonts w:ascii="宋体" w:hAnsi="宋体"/>
          <w:color w:val="auto"/>
          <w:sz w:val="24"/>
          <w:highlight w:val="none"/>
        </w:rPr>
        <w:t>。</w:t>
      </w:r>
    </w:p>
    <w:p w14:paraId="29533312">
      <w:pPr>
        <w:spacing w:line="360" w:lineRule="auto"/>
        <w:ind w:firstLine="480" w:firstLineChars="200"/>
        <w:rPr>
          <w:rFonts w:ascii="宋体" w:hAnsi="宋体"/>
          <w:color w:val="auto"/>
          <w:sz w:val="24"/>
          <w:highlight w:val="none"/>
        </w:rPr>
      </w:pPr>
      <w:r>
        <w:rPr>
          <w:rFonts w:ascii="宋体" w:hAnsi="宋体"/>
          <w:color w:val="auto"/>
          <w:sz w:val="24"/>
          <w:highlight w:val="none"/>
        </w:rPr>
        <w:t>3.3.5 承包人擅自更换主要施工管理人员的违约责任：</w:t>
      </w:r>
      <w:r>
        <w:rPr>
          <w:rFonts w:ascii="宋体" w:hAnsi="宋体"/>
          <w:color w:val="auto"/>
          <w:sz w:val="24"/>
          <w:highlight w:val="none"/>
          <w:u w:val="single"/>
        </w:rPr>
        <w:t>项目技术负责人、专职安全员及其承诺的其它在场管理人员未经发包人书面同意不准擅自更换，擅自更换项目技术负责人处</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元/人•次（人民币）违约金；擅自更换专职安全员处</w:t>
      </w:r>
      <w:r>
        <w:rPr>
          <w:rFonts w:hint="eastAsia" w:ascii="宋体" w:hAnsi="宋体"/>
          <w:color w:val="auto"/>
          <w:sz w:val="24"/>
          <w:highlight w:val="none"/>
          <w:u w:val="single"/>
        </w:rPr>
        <w:t>/</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元/人•次（人民币）违约金；擅自更换其它在场管理人员处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元/人•次（人民币）违约金</w:t>
      </w:r>
      <w:r>
        <w:rPr>
          <w:rFonts w:ascii="宋体" w:hAnsi="宋体"/>
          <w:color w:val="auto"/>
          <w:sz w:val="24"/>
          <w:highlight w:val="none"/>
        </w:rPr>
        <w:t>。</w:t>
      </w:r>
    </w:p>
    <w:p w14:paraId="59C0D8E4">
      <w:pPr>
        <w:spacing w:line="360" w:lineRule="auto"/>
        <w:ind w:firstLine="480" w:firstLineChars="200"/>
        <w:rPr>
          <w:rFonts w:ascii="宋体" w:hAnsi="宋体"/>
          <w:color w:val="auto"/>
          <w:sz w:val="24"/>
          <w:highlight w:val="none"/>
        </w:rPr>
      </w:pPr>
      <w:r>
        <w:rPr>
          <w:rFonts w:ascii="宋体" w:hAnsi="宋体"/>
          <w:color w:val="auto"/>
          <w:sz w:val="24"/>
          <w:highlight w:val="none"/>
        </w:rPr>
        <w:t>承包人主要施工管理人员擅自离开施工现场的违约责任：</w:t>
      </w:r>
      <w:r>
        <w:rPr>
          <w:rFonts w:ascii="宋体" w:hAnsi="宋体"/>
          <w:color w:val="auto"/>
          <w:sz w:val="24"/>
          <w:highlight w:val="none"/>
          <w:u w:val="single"/>
        </w:rPr>
        <w:t xml:space="preserve">未经发包人同意，项目技术负责人擅自离岗的，视为承包人违约，发包人有权处违约金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元/人•次（人民币）；未经发包人同意，专职安全员擅自离岗的，视为承包人违约，发包人有权处违约金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元/人•次（人民币）；其它在场管理人员擅自离岗的，视为承包人违约，发包人有权处违约金</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元/人•次（人民币）</w:t>
      </w:r>
      <w:r>
        <w:rPr>
          <w:rFonts w:ascii="宋体" w:hAnsi="宋体"/>
          <w:color w:val="auto"/>
          <w:sz w:val="24"/>
          <w:highlight w:val="none"/>
        </w:rPr>
        <w:t>。</w:t>
      </w:r>
    </w:p>
    <w:p w14:paraId="798AA42A">
      <w:pPr>
        <w:pStyle w:val="2"/>
        <w:rPr>
          <w:rFonts w:ascii="宋体" w:hAnsi="宋体"/>
          <w:color w:val="auto"/>
          <w:szCs w:val="24"/>
          <w:highlight w:val="none"/>
        </w:rPr>
      </w:pPr>
      <w:bookmarkStart w:id="337" w:name="_Toc373478357"/>
      <w:bookmarkStart w:id="338" w:name="_Toc23262"/>
      <w:bookmarkStart w:id="339" w:name="_Toc373227710"/>
      <w:bookmarkStart w:id="340" w:name="_Toc533611466"/>
      <w:bookmarkStart w:id="341" w:name="_Toc17101"/>
      <w:bookmarkStart w:id="342" w:name="_Toc389065276"/>
      <w:bookmarkStart w:id="343" w:name="_Toc395382512"/>
      <w:r>
        <w:rPr>
          <w:rFonts w:hint="eastAsia" w:ascii="宋体" w:hAnsi="宋体"/>
          <w:color w:val="auto"/>
          <w:szCs w:val="24"/>
          <w:highlight w:val="none"/>
        </w:rPr>
        <w:t>3</w:t>
      </w:r>
      <w:bookmarkStart w:id="344" w:name="_Toc296944498"/>
      <w:bookmarkStart w:id="345" w:name="_Toc292559869"/>
      <w:bookmarkStart w:id="346" w:name="_Toc296890987"/>
      <w:bookmarkStart w:id="347" w:name="_Toc296347158"/>
      <w:bookmarkStart w:id="348" w:name="_Toc297048345"/>
      <w:bookmarkStart w:id="349" w:name="_Toc296891199"/>
      <w:bookmarkStart w:id="350" w:name="_Toc297123492"/>
      <w:bookmarkStart w:id="351" w:name="_Toc312677988"/>
      <w:bookmarkStart w:id="352" w:name="_Toc296503159"/>
      <w:bookmarkStart w:id="353" w:name="_Toc300934945"/>
      <w:bookmarkStart w:id="354" w:name="_Toc292559364"/>
      <w:bookmarkStart w:id="355" w:name="_Toc296346660"/>
      <w:bookmarkStart w:id="356" w:name="_Toc297216151"/>
      <w:bookmarkStart w:id="357" w:name="_Toc304295523"/>
      <w:bookmarkStart w:id="358" w:name="_Toc303539102"/>
      <w:bookmarkStart w:id="359" w:name="_Toc297120459"/>
      <w:r>
        <w:rPr>
          <w:rFonts w:hint="eastAsia" w:ascii="宋体" w:hAnsi="宋体"/>
          <w:color w:val="auto"/>
          <w:szCs w:val="24"/>
          <w:highlight w:val="none"/>
        </w:rPr>
        <w:t>.5 分包</w:t>
      </w:r>
      <w:bookmarkEnd w:id="337"/>
      <w:bookmarkEnd w:id="338"/>
      <w:bookmarkEnd w:id="339"/>
      <w:bookmarkEnd w:id="340"/>
      <w:bookmarkEnd w:id="341"/>
      <w:bookmarkEnd w:id="342"/>
      <w:bookmarkEnd w:id="343"/>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14:paraId="5E996D77">
      <w:pPr>
        <w:spacing w:line="360" w:lineRule="auto"/>
        <w:ind w:firstLine="480" w:firstLineChars="200"/>
        <w:rPr>
          <w:rFonts w:ascii="宋体" w:hAnsi="宋体"/>
          <w:color w:val="auto"/>
          <w:sz w:val="24"/>
          <w:highlight w:val="none"/>
        </w:rPr>
      </w:pPr>
      <w:bookmarkStart w:id="360" w:name="_Toc373227711"/>
      <w:bookmarkStart w:id="361" w:name="_Toc389065277"/>
      <w:bookmarkStart w:id="362" w:name="_Toc373478358"/>
      <w:r>
        <w:rPr>
          <w:rFonts w:ascii="宋体" w:hAnsi="宋体"/>
          <w:color w:val="auto"/>
          <w:sz w:val="24"/>
          <w:highlight w:val="none"/>
        </w:rPr>
        <w:t>本项目不允许分包</w:t>
      </w:r>
    </w:p>
    <w:p w14:paraId="5E39731D">
      <w:pPr>
        <w:pStyle w:val="2"/>
        <w:rPr>
          <w:rFonts w:ascii="宋体" w:hAnsi="宋体"/>
          <w:color w:val="auto"/>
          <w:szCs w:val="24"/>
          <w:highlight w:val="none"/>
        </w:rPr>
      </w:pPr>
      <w:bookmarkStart w:id="363" w:name="_Toc8086"/>
      <w:bookmarkStart w:id="364" w:name="_Toc533611467"/>
      <w:bookmarkStart w:id="365" w:name="_Toc395382513"/>
      <w:bookmarkStart w:id="366" w:name="_Toc15205"/>
      <w:r>
        <w:rPr>
          <w:rFonts w:hint="eastAsia" w:ascii="宋体" w:hAnsi="宋体"/>
          <w:color w:val="auto"/>
          <w:szCs w:val="24"/>
          <w:highlight w:val="none"/>
        </w:rPr>
        <w:t>3.6 工程照管与成品、半成品保护</w:t>
      </w:r>
      <w:bookmarkEnd w:id="360"/>
      <w:bookmarkEnd w:id="361"/>
      <w:bookmarkEnd w:id="362"/>
      <w:bookmarkEnd w:id="363"/>
      <w:bookmarkEnd w:id="364"/>
      <w:bookmarkEnd w:id="365"/>
      <w:bookmarkEnd w:id="366"/>
    </w:p>
    <w:p w14:paraId="3A8D5508">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承包人负责照管工程及工程相关的材料、工程设备的起始时间：</w:t>
      </w:r>
      <w:r>
        <w:rPr>
          <w:rFonts w:ascii="宋体" w:hAnsi="宋体"/>
          <w:color w:val="auto"/>
          <w:sz w:val="24"/>
          <w:highlight w:val="none"/>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r>
        <w:rPr>
          <w:rFonts w:ascii="宋体" w:hAnsi="宋体"/>
          <w:color w:val="auto"/>
          <w:sz w:val="24"/>
          <w:highlight w:val="none"/>
        </w:rPr>
        <w:t>。</w:t>
      </w:r>
    </w:p>
    <w:p w14:paraId="55F6DC51">
      <w:pPr>
        <w:pStyle w:val="251"/>
        <w:spacing w:before="139"/>
        <w:rPr>
          <w:rFonts w:ascii="宋体" w:hAnsi="宋体"/>
          <w:color w:val="auto"/>
          <w:sz w:val="24"/>
          <w:highlight w:val="none"/>
        </w:rPr>
      </w:pPr>
      <w:bookmarkStart w:id="367" w:name="_Toc373478359"/>
      <w:bookmarkStart w:id="368" w:name="_Toc389065278"/>
      <w:bookmarkStart w:id="369" w:name="_Toc373227712"/>
      <w:bookmarkStart w:id="370" w:name="_Toc395382514"/>
      <w:bookmarkStart w:id="371" w:name="_Toc15102"/>
      <w:r>
        <w:rPr>
          <w:rFonts w:ascii="宋体" w:hAnsi="宋体"/>
          <w:color w:val="auto"/>
          <w:sz w:val="24"/>
          <w:highlight w:val="none"/>
        </w:rPr>
        <w:t>3.7承包人提供履约担保的形式、金额及期限的：</w:t>
      </w:r>
      <w:r>
        <w:rPr>
          <w:rFonts w:ascii="宋体" w:hAnsi="宋体"/>
          <w:color w:val="auto"/>
          <w:sz w:val="24"/>
          <w:highlight w:val="none"/>
          <w:u w:val="single"/>
        </w:rPr>
        <w:t>履约保证金的金额为</w:t>
      </w:r>
      <w:r>
        <w:rPr>
          <w:rFonts w:hint="eastAsia" w:ascii="宋体" w:hAnsi="宋体"/>
          <w:color w:val="auto"/>
          <w:sz w:val="24"/>
          <w:highlight w:val="none"/>
          <w:u w:val="single"/>
        </w:rPr>
        <w:t xml:space="preserve">：无 </w:t>
      </w:r>
      <w:r>
        <w:rPr>
          <w:rFonts w:ascii="宋体" w:hAnsi="宋体"/>
          <w:color w:val="auto"/>
          <w:sz w:val="24"/>
          <w:highlight w:val="none"/>
          <w:u w:val="single"/>
        </w:rPr>
        <w:t xml:space="preserve">   。</w:t>
      </w:r>
    </w:p>
    <w:p w14:paraId="0B9D7874">
      <w:pPr>
        <w:spacing w:line="360" w:lineRule="auto"/>
        <w:ind w:firstLine="480" w:firstLineChars="200"/>
        <w:rPr>
          <w:rFonts w:ascii="宋体" w:hAnsi="宋体"/>
          <w:color w:val="auto"/>
          <w:highlight w:val="none"/>
          <w:u w:val="single"/>
        </w:rPr>
      </w:pPr>
      <w:r>
        <w:rPr>
          <w:rFonts w:ascii="宋体" w:hAnsi="宋体"/>
          <w:color w:val="auto"/>
          <w:sz w:val="24"/>
          <w:highlight w:val="none"/>
          <w:u w:val="single"/>
        </w:rPr>
        <w:t>承包人在中标后7个工作日内，按</w:t>
      </w:r>
      <w:r>
        <w:rPr>
          <w:rFonts w:hint="eastAsia" w:ascii="宋体" w:hAnsi="宋体"/>
          <w:color w:val="auto"/>
          <w:sz w:val="24"/>
          <w:highlight w:val="none"/>
          <w:u w:val="single"/>
        </w:rPr>
        <w:t>玉林市</w:t>
      </w:r>
      <w:r>
        <w:rPr>
          <w:rFonts w:ascii="宋体" w:hAnsi="宋体"/>
          <w:color w:val="auto"/>
          <w:sz w:val="24"/>
          <w:highlight w:val="none"/>
          <w:u w:val="single"/>
        </w:rPr>
        <w:t>住房城乡建设行政主管部门规定将农民工工资保障金存入帐户。工程竣工验收结算经审定后，按照规定程序，将农民工工资保障金没有使用或剩余的金额退还给承包人。</w:t>
      </w:r>
      <w:bookmarkEnd w:id="367"/>
      <w:bookmarkEnd w:id="368"/>
      <w:bookmarkEnd w:id="369"/>
      <w:bookmarkEnd w:id="370"/>
      <w:bookmarkEnd w:id="371"/>
      <w:bookmarkStart w:id="372" w:name="_Toc373227713"/>
      <w:bookmarkStart w:id="373" w:name="_Toc389065279"/>
      <w:bookmarkStart w:id="374" w:name="_Toc373478360"/>
    </w:p>
    <w:p w14:paraId="42F0F544">
      <w:pPr>
        <w:pStyle w:val="18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承包人提供履约担保的形式、金额及期限的：</w:t>
      </w:r>
      <w:r>
        <w:rPr>
          <w:rFonts w:hint="eastAsia" w:ascii="宋体" w:hAnsi="宋体"/>
          <w:color w:val="auto"/>
          <w:sz w:val="24"/>
          <w:szCs w:val="24"/>
          <w:highlight w:val="none"/>
          <w:u w:val="single"/>
        </w:rPr>
        <w:t>无</w:t>
      </w:r>
      <w:r>
        <w:rPr>
          <w:rFonts w:ascii="宋体" w:hAnsi="宋体"/>
          <w:color w:val="auto"/>
          <w:sz w:val="24"/>
          <w:szCs w:val="24"/>
          <w:highlight w:val="none"/>
          <w:u w:val="single"/>
        </w:rPr>
        <w:t>。</w:t>
      </w:r>
    </w:p>
    <w:p w14:paraId="20619EC1">
      <w:pPr>
        <w:pStyle w:val="180"/>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承包人在中标后7个工作日内，按</w:t>
      </w:r>
      <w:r>
        <w:rPr>
          <w:rFonts w:hint="eastAsia" w:ascii="宋体" w:hAnsi="宋体"/>
          <w:color w:val="auto"/>
          <w:sz w:val="24"/>
          <w:szCs w:val="24"/>
          <w:highlight w:val="none"/>
          <w:u w:val="single"/>
        </w:rPr>
        <w:t>玉林市</w:t>
      </w:r>
      <w:r>
        <w:rPr>
          <w:rFonts w:ascii="宋体" w:hAnsi="宋体"/>
          <w:color w:val="auto"/>
          <w:sz w:val="24"/>
          <w:szCs w:val="24"/>
          <w:highlight w:val="none"/>
          <w:u w:val="single"/>
        </w:rPr>
        <w:t>（各市</w:t>
      </w:r>
      <w:r>
        <w:rPr>
          <w:rFonts w:hint="eastAsia" w:ascii="宋体" w:hAnsi="宋体"/>
          <w:color w:val="auto"/>
          <w:sz w:val="24"/>
          <w:szCs w:val="24"/>
          <w:highlight w:val="none"/>
          <w:u w:val="single"/>
        </w:rPr>
        <w:t>住房城乡</w:t>
      </w:r>
      <w:r>
        <w:rPr>
          <w:rFonts w:ascii="宋体" w:hAnsi="宋体"/>
          <w:color w:val="auto"/>
          <w:sz w:val="24"/>
          <w:szCs w:val="24"/>
          <w:highlight w:val="none"/>
          <w:u w:val="single"/>
        </w:rPr>
        <w:t>建设行政主管部门规定）规定将农民工工资保障金存入</w:t>
      </w:r>
      <w:r>
        <w:rPr>
          <w:rFonts w:hint="eastAsia" w:ascii="宋体" w:hAnsi="宋体"/>
          <w:color w:val="auto"/>
          <w:sz w:val="24"/>
          <w:szCs w:val="24"/>
          <w:highlight w:val="none"/>
          <w:u w:val="single"/>
        </w:rPr>
        <w:t>指定银行</w:t>
      </w:r>
      <w:r>
        <w:rPr>
          <w:rFonts w:ascii="宋体" w:hAnsi="宋体"/>
          <w:color w:val="auto"/>
          <w:sz w:val="24"/>
          <w:szCs w:val="24"/>
          <w:highlight w:val="none"/>
          <w:u w:val="single"/>
        </w:rPr>
        <w:t>帐户。工程竣工验收结算经审定后，按照规定程序，将农民工工资保障金没有使用或剩余的金额退还给承包人。</w:t>
      </w:r>
    </w:p>
    <w:p w14:paraId="3EBF4F28">
      <w:pPr>
        <w:pStyle w:val="4"/>
        <w:rPr>
          <w:rFonts w:ascii="宋体" w:hAnsi="宋体" w:eastAsia="宋体"/>
          <w:color w:val="auto"/>
          <w:sz w:val="24"/>
          <w:szCs w:val="24"/>
          <w:highlight w:val="none"/>
        </w:rPr>
      </w:pPr>
      <w:bookmarkStart w:id="375" w:name="_Toc533611468"/>
      <w:bookmarkStart w:id="376" w:name="_Toc395382515"/>
      <w:bookmarkStart w:id="377" w:name="_Toc31818"/>
      <w:bookmarkStart w:id="378" w:name="_Toc17412"/>
      <w:r>
        <w:rPr>
          <w:rFonts w:hint="eastAsia" w:ascii="宋体" w:hAnsi="宋体" w:eastAsia="宋体"/>
          <w:color w:val="auto"/>
          <w:sz w:val="24"/>
          <w:szCs w:val="24"/>
          <w:highlight w:val="none"/>
        </w:rPr>
        <w:t>4</w:t>
      </w:r>
      <w:bookmarkStart w:id="379" w:name="_Toc296944501"/>
      <w:bookmarkStart w:id="380" w:name="_Toc292559871"/>
      <w:bookmarkStart w:id="381" w:name="_Toc296503162"/>
      <w:bookmarkStart w:id="382" w:name="_Toc297120462"/>
      <w:bookmarkStart w:id="383" w:name="_Toc267251413"/>
      <w:bookmarkStart w:id="384" w:name="_Toc296890990"/>
      <w:bookmarkStart w:id="385" w:name="_Toc292559366"/>
      <w:bookmarkStart w:id="386" w:name="_Toc296346663"/>
      <w:bookmarkStart w:id="387" w:name="_Toc297048348"/>
      <w:bookmarkStart w:id="388" w:name="_Toc296347161"/>
      <w:bookmarkStart w:id="389" w:name="_Toc296891202"/>
      <w:r>
        <w:rPr>
          <w:rFonts w:hint="eastAsia" w:ascii="宋体" w:hAnsi="宋体" w:eastAsia="宋体"/>
          <w:color w:val="auto"/>
          <w:sz w:val="24"/>
          <w:szCs w:val="24"/>
          <w:highlight w:val="none"/>
        </w:rPr>
        <w:t>. 监</w:t>
      </w:r>
      <w:bookmarkEnd w:id="379"/>
      <w:bookmarkEnd w:id="380"/>
      <w:bookmarkEnd w:id="381"/>
      <w:bookmarkEnd w:id="382"/>
      <w:bookmarkEnd w:id="383"/>
      <w:bookmarkEnd w:id="384"/>
      <w:bookmarkEnd w:id="385"/>
      <w:bookmarkEnd w:id="386"/>
      <w:bookmarkEnd w:id="387"/>
      <w:bookmarkEnd w:id="388"/>
      <w:bookmarkEnd w:id="389"/>
      <w:r>
        <w:rPr>
          <w:rFonts w:hint="eastAsia" w:ascii="宋体" w:hAnsi="宋体" w:eastAsia="宋体"/>
          <w:color w:val="auto"/>
          <w:sz w:val="24"/>
          <w:szCs w:val="24"/>
          <w:highlight w:val="none"/>
        </w:rPr>
        <w:t>理人</w:t>
      </w:r>
      <w:bookmarkEnd w:id="372"/>
      <w:bookmarkEnd w:id="373"/>
      <w:bookmarkEnd w:id="374"/>
      <w:bookmarkEnd w:id="375"/>
      <w:bookmarkEnd w:id="376"/>
      <w:bookmarkEnd w:id="377"/>
      <w:bookmarkEnd w:id="378"/>
    </w:p>
    <w:p w14:paraId="0ED4061B">
      <w:pPr>
        <w:pStyle w:val="2"/>
        <w:rPr>
          <w:rFonts w:ascii="宋体" w:hAnsi="宋体"/>
          <w:color w:val="auto"/>
          <w:szCs w:val="24"/>
          <w:highlight w:val="none"/>
        </w:rPr>
      </w:pPr>
      <w:bookmarkStart w:id="390" w:name="_Toc389065280"/>
      <w:bookmarkStart w:id="391" w:name="_Toc395382516"/>
      <w:bookmarkStart w:id="392" w:name="_Toc23941"/>
      <w:bookmarkStart w:id="393" w:name="_Toc1458"/>
      <w:bookmarkStart w:id="394" w:name="_Toc373227714"/>
      <w:bookmarkStart w:id="395" w:name="_Toc533611469"/>
      <w:bookmarkStart w:id="396" w:name="_Toc373478361"/>
      <w:r>
        <w:rPr>
          <w:rFonts w:hint="eastAsia" w:ascii="宋体" w:hAnsi="宋体"/>
          <w:color w:val="auto"/>
          <w:szCs w:val="24"/>
          <w:highlight w:val="none"/>
        </w:rPr>
        <w:t>4.1 监理人的一般规定</w:t>
      </w:r>
      <w:bookmarkEnd w:id="390"/>
      <w:bookmarkEnd w:id="391"/>
      <w:bookmarkEnd w:id="392"/>
      <w:bookmarkEnd w:id="393"/>
      <w:bookmarkEnd w:id="394"/>
      <w:bookmarkEnd w:id="395"/>
      <w:bookmarkEnd w:id="396"/>
    </w:p>
    <w:p w14:paraId="1BE441D1">
      <w:pPr>
        <w:spacing w:line="360" w:lineRule="auto"/>
        <w:ind w:firstLine="480" w:firstLineChars="200"/>
        <w:rPr>
          <w:rFonts w:ascii="宋体" w:hAnsi="宋体"/>
          <w:color w:val="auto"/>
          <w:sz w:val="24"/>
          <w:highlight w:val="none"/>
        </w:rPr>
      </w:pPr>
      <w:r>
        <w:rPr>
          <w:rFonts w:ascii="宋体" w:hAnsi="宋体"/>
          <w:color w:val="auto"/>
          <w:sz w:val="24"/>
          <w:highlight w:val="none"/>
        </w:rPr>
        <w:t>关于监理人的监理内容：</w:t>
      </w:r>
      <w:r>
        <w:rPr>
          <w:rFonts w:ascii="宋体" w:hAnsi="宋体"/>
          <w:color w:val="auto"/>
          <w:sz w:val="24"/>
          <w:highlight w:val="none"/>
          <w:u w:val="single"/>
        </w:rPr>
        <w:t xml:space="preserve"> 质量、进度、投资三控制、合同、信息两管理、安全文明施工管理、工程建设各相关方的关系协调 </w:t>
      </w:r>
      <w:r>
        <w:rPr>
          <w:rFonts w:ascii="宋体" w:hAnsi="宋体"/>
          <w:color w:val="auto"/>
          <w:sz w:val="24"/>
          <w:highlight w:val="none"/>
        </w:rPr>
        <w:t>。</w:t>
      </w:r>
    </w:p>
    <w:p w14:paraId="4B550F6B">
      <w:pPr>
        <w:spacing w:line="360" w:lineRule="auto"/>
        <w:ind w:firstLine="480" w:firstLineChars="200"/>
        <w:rPr>
          <w:rFonts w:ascii="宋体" w:hAnsi="宋体"/>
          <w:color w:val="auto"/>
          <w:sz w:val="24"/>
          <w:highlight w:val="none"/>
        </w:rPr>
      </w:pPr>
      <w:r>
        <w:rPr>
          <w:rFonts w:ascii="宋体" w:hAnsi="宋体"/>
          <w:color w:val="auto"/>
          <w:sz w:val="24"/>
          <w:highlight w:val="none"/>
        </w:rPr>
        <w:t>关于监理人的监理权限：</w:t>
      </w:r>
      <w:r>
        <w:rPr>
          <w:rFonts w:ascii="宋体" w:hAnsi="宋体"/>
          <w:color w:val="auto"/>
          <w:sz w:val="24"/>
          <w:highlight w:val="none"/>
          <w:u w:val="single"/>
        </w:rPr>
        <w:t xml:space="preserve">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认之前应得到发包人的书面批准。4、工程内容和材料变更签证单监理只有证明权，无确认权  </w:t>
      </w:r>
      <w:r>
        <w:rPr>
          <w:rFonts w:ascii="宋体" w:hAnsi="宋体"/>
          <w:color w:val="auto"/>
          <w:sz w:val="24"/>
          <w:highlight w:val="none"/>
        </w:rPr>
        <w:t xml:space="preserve">。 </w:t>
      </w:r>
    </w:p>
    <w:p w14:paraId="2BC198A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关于监理人在施工现场的办公场所、生活场所的提供和费用承担的约定：</w:t>
      </w:r>
    </w:p>
    <w:p w14:paraId="1529F1FB">
      <w:pPr>
        <w:spacing w:line="360" w:lineRule="auto"/>
        <w:rPr>
          <w:rFonts w:ascii="宋体" w:hAnsi="宋体"/>
          <w:color w:val="auto"/>
          <w:sz w:val="24"/>
          <w:highlight w:val="none"/>
        </w:rPr>
      </w:pPr>
      <w:r>
        <w:rPr>
          <w:rFonts w:ascii="宋体" w:hAnsi="宋体"/>
          <w:color w:val="auto"/>
          <w:sz w:val="24"/>
          <w:highlight w:val="none"/>
          <w:u w:val="single"/>
        </w:rPr>
        <w:t xml:space="preserve">       由承包人提供，监理人无偿使用         </w:t>
      </w:r>
      <w:r>
        <w:rPr>
          <w:rFonts w:ascii="宋体" w:hAnsi="宋体"/>
          <w:color w:val="auto"/>
          <w:sz w:val="24"/>
          <w:highlight w:val="none"/>
        </w:rPr>
        <w:t>。</w:t>
      </w:r>
    </w:p>
    <w:p w14:paraId="55301F13">
      <w:pPr>
        <w:pStyle w:val="2"/>
        <w:rPr>
          <w:rFonts w:ascii="宋体" w:hAnsi="宋体"/>
          <w:color w:val="auto"/>
          <w:szCs w:val="24"/>
          <w:highlight w:val="none"/>
        </w:rPr>
      </w:pPr>
      <w:bookmarkStart w:id="397" w:name="_Toc395382517"/>
      <w:bookmarkStart w:id="398" w:name="_Toc373478362"/>
      <w:bookmarkStart w:id="399" w:name="_Toc3538"/>
      <w:bookmarkStart w:id="400" w:name="_Toc11260"/>
      <w:bookmarkStart w:id="401" w:name="_Toc373227715"/>
      <w:bookmarkStart w:id="402" w:name="_Toc533611470"/>
      <w:bookmarkStart w:id="403" w:name="_Toc389065281"/>
      <w:r>
        <w:rPr>
          <w:rFonts w:hint="eastAsia" w:ascii="宋体" w:hAnsi="宋体"/>
          <w:color w:val="auto"/>
          <w:szCs w:val="24"/>
          <w:highlight w:val="none"/>
        </w:rPr>
        <w:t>4.2 监理人员</w:t>
      </w:r>
      <w:bookmarkEnd w:id="397"/>
      <w:bookmarkEnd w:id="398"/>
      <w:bookmarkEnd w:id="399"/>
      <w:bookmarkEnd w:id="400"/>
      <w:bookmarkEnd w:id="401"/>
      <w:bookmarkEnd w:id="402"/>
      <w:bookmarkEnd w:id="403"/>
    </w:p>
    <w:p w14:paraId="4B7812FC">
      <w:pPr>
        <w:spacing w:line="360" w:lineRule="auto"/>
        <w:ind w:firstLine="480" w:firstLineChars="200"/>
        <w:rPr>
          <w:rFonts w:ascii="宋体" w:hAnsi="宋体"/>
          <w:color w:val="auto"/>
          <w:sz w:val="24"/>
          <w:highlight w:val="none"/>
        </w:rPr>
      </w:pPr>
      <w:r>
        <w:rPr>
          <w:rFonts w:ascii="宋体" w:hAnsi="宋体"/>
          <w:color w:val="auto"/>
          <w:sz w:val="24"/>
          <w:highlight w:val="none"/>
        </w:rPr>
        <w:t>总监理工程师：</w:t>
      </w:r>
    </w:p>
    <w:p w14:paraId="7A6FD6AA">
      <w:pPr>
        <w:spacing w:line="360" w:lineRule="auto"/>
        <w:ind w:firstLine="480" w:firstLineChars="200"/>
        <w:rPr>
          <w:rFonts w:ascii="宋体" w:hAnsi="宋体"/>
          <w:color w:val="auto"/>
          <w:sz w:val="24"/>
          <w:highlight w:val="none"/>
        </w:rPr>
      </w:pPr>
      <w:r>
        <w:rPr>
          <w:rFonts w:ascii="宋体" w:hAnsi="宋体"/>
          <w:color w:val="auto"/>
          <w:sz w:val="24"/>
          <w:highlight w:val="none"/>
        </w:rPr>
        <w:t>姓    名：</w:t>
      </w:r>
      <w:r>
        <w:rPr>
          <w:rFonts w:ascii="宋体" w:hAnsi="宋体"/>
          <w:color w:val="auto"/>
          <w:sz w:val="24"/>
          <w:highlight w:val="none"/>
          <w:u w:val="single"/>
        </w:rPr>
        <w:t>　　　　　　　　　　</w:t>
      </w:r>
      <w:r>
        <w:rPr>
          <w:rFonts w:ascii="宋体" w:hAnsi="宋体"/>
          <w:color w:val="auto"/>
          <w:sz w:val="24"/>
          <w:highlight w:val="none"/>
        </w:rPr>
        <w:t>；</w:t>
      </w:r>
    </w:p>
    <w:p w14:paraId="3A147C90">
      <w:pPr>
        <w:spacing w:line="360" w:lineRule="auto"/>
        <w:ind w:firstLine="480" w:firstLineChars="200"/>
        <w:rPr>
          <w:rFonts w:ascii="宋体" w:hAnsi="宋体"/>
          <w:color w:val="auto"/>
          <w:sz w:val="24"/>
          <w:highlight w:val="none"/>
        </w:rPr>
      </w:pPr>
      <w:r>
        <w:rPr>
          <w:rFonts w:ascii="宋体" w:hAnsi="宋体"/>
          <w:color w:val="auto"/>
          <w:sz w:val="24"/>
          <w:highlight w:val="none"/>
        </w:rPr>
        <w:t>职    务：</w:t>
      </w:r>
      <w:r>
        <w:rPr>
          <w:rFonts w:ascii="宋体" w:hAnsi="宋体"/>
          <w:color w:val="auto"/>
          <w:sz w:val="24"/>
          <w:highlight w:val="none"/>
          <w:u w:val="single"/>
        </w:rPr>
        <w:t>　　　　　　　　　　　</w:t>
      </w:r>
      <w:r>
        <w:rPr>
          <w:rFonts w:ascii="宋体" w:hAnsi="宋体"/>
          <w:color w:val="auto"/>
          <w:sz w:val="24"/>
          <w:highlight w:val="none"/>
        </w:rPr>
        <w:t>；</w:t>
      </w:r>
    </w:p>
    <w:p w14:paraId="311CF4BF">
      <w:pPr>
        <w:spacing w:line="360" w:lineRule="auto"/>
        <w:ind w:firstLine="480" w:firstLineChars="200"/>
        <w:rPr>
          <w:rFonts w:ascii="宋体" w:hAnsi="宋体"/>
          <w:color w:val="auto"/>
          <w:sz w:val="24"/>
          <w:highlight w:val="none"/>
        </w:rPr>
      </w:pPr>
      <w:r>
        <w:rPr>
          <w:rFonts w:ascii="宋体" w:hAnsi="宋体"/>
          <w:color w:val="auto"/>
          <w:sz w:val="24"/>
          <w:highlight w:val="none"/>
        </w:rPr>
        <w:t>监理工程师执业资格证书号：</w:t>
      </w:r>
      <w:r>
        <w:rPr>
          <w:rFonts w:ascii="宋体" w:hAnsi="宋体"/>
          <w:color w:val="auto"/>
          <w:sz w:val="24"/>
          <w:highlight w:val="none"/>
          <w:u w:val="single"/>
        </w:rPr>
        <w:t>　</w:t>
      </w:r>
      <w:r>
        <w:rPr>
          <w:rFonts w:ascii="宋体" w:hAnsi="宋体"/>
          <w:color w:val="auto"/>
          <w:sz w:val="24"/>
          <w:highlight w:val="none"/>
        </w:rPr>
        <w:t>；</w:t>
      </w:r>
    </w:p>
    <w:p w14:paraId="041DCF41">
      <w:pPr>
        <w:spacing w:line="360" w:lineRule="auto"/>
        <w:ind w:firstLine="480" w:firstLineChars="200"/>
        <w:rPr>
          <w:rFonts w:ascii="宋体" w:hAnsi="宋体"/>
          <w:color w:val="auto"/>
          <w:sz w:val="24"/>
          <w:highlight w:val="none"/>
        </w:rPr>
      </w:pPr>
      <w:r>
        <w:rPr>
          <w:rFonts w:ascii="宋体" w:hAnsi="宋体"/>
          <w:color w:val="auto"/>
          <w:sz w:val="24"/>
          <w:highlight w:val="none"/>
        </w:rPr>
        <w:t>广西建筑市场诚信卡卡号：；</w:t>
      </w:r>
    </w:p>
    <w:p w14:paraId="707E6A69">
      <w:pPr>
        <w:spacing w:line="360" w:lineRule="auto"/>
        <w:ind w:firstLine="480" w:firstLineChars="200"/>
        <w:rPr>
          <w:rFonts w:ascii="宋体" w:hAnsi="宋体"/>
          <w:color w:val="auto"/>
          <w:sz w:val="24"/>
          <w:highlight w:val="none"/>
        </w:rPr>
      </w:pPr>
      <w:r>
        <w:rPr>
          <w:rFonts w:ascii="宋体" w:hAnsi="宋体"/>
          <w:color w:val="auto"/>
          <w:sz w:val="24"/>
          <w:highlight w:val="none"/>
        </w:rPr>
        <w:t>联系电话：</w:t>
      </w:r>
      <w:r>
        <w:rPr>
          <w:rFonts w:ascii="宋体" w:hAnsi="宋体"/>
          <w:color w:val="auto"/>
          <w:sz w:val="24"/>
          <w:highlight w:val="none"/>
          <w:u w:val="single"/>
        </w:rPr>
        <w:t>　　　　　　　　　</w:t>
      </w:r>
      <w:r>
        <w:rPr>
          <w:rFonts w:ascii="宋体" w:hAnsi="宋体"/>
          <w:color w:val="auto"/>
          <w:sz w:val="24"/>
          <w:highlight w:val="none"/>
        </w:rPr>
        <w:t>；</w:t>
      </w:r>
    </w:p>
    <w:p w14:paraId="3B07D044">
      <w:pPr>
        <w:spacing w:line="360" w:lineRule="auto"/>
        <w:ind w:firstLine="480" w:firstLineChars="200"/>
        <w:rPr>
          <w:rFonts w:ascii="宋体" w:hAnsi="宋体"/>
          <w:color w:val="auto"/>
          <w:sz w:val="24"/>
          <w:highlight w:val="none"/>
        </w:rPr>
      </w:pPr>
      <w:r>
        <w:rPr>
          <w:rFonts w:ascii="宋体" w:hAnsi="宋体"/>
          <w:color w:val="auto"/>
          <w:sz w:val="24"/>
          <w:highlight w:val="none"/>
        </w:rPr>
        <w:t>电子信箱：</w:t>
      </w:r>
      <w:r>
        <w:rPr>
          <w:rFonts w:ascii="宋体" w:hAnsi="宋体"/>
          <w:color w:val="auto"/>
          <w:sz w:val="24"/>
          <w:highlight w:val="none"/>
          <w:u w:val="single"/>
        </w:rPr>
        <w:t>　　　　　　　　　　　　　　　　</w:t>
      </w:r>
      <w:r>
        <w:rPr>
          <w:rFonts w:ascii="宋体" w:hAnsi="宋体"/>
          <w:color w:val="auto"/>
          <w:sz w:val="24"/>
          <w:highlight w:val="none"/>
        </w:rPr>
        <w:t>；</w:t>
      </w:r>
    </w:p>
    <w:p w14:paraId="1587D833">
      <w:pPr>
        <w:spacing w:line="360" w:lineRule="auto"/>
        <w:ind w:firstLine="480" w:firstLineChars="200"/>
        <w:rPr>
          <w:rFonts w:ascii="宋体" w:hAnsi="宋体"/>
          <w:color w:val="auto"/>
          <w:sz w:val="24"/>
          <w:highlight w:val="none"/>
        </w:rPr>
      </w:pPr>
      <w:r>
        <w:rPr>
          <w:rFonts w:ascii="宋体" w:hAnsi="宋体"/>
          <w:color w:val="auto"/>
          <w:sz w:val="24"/>
          <w:highlight w:val="none"/>
        </w:rPr>
        <w:t>通信地址：；</w:t>
      </w:r>
    </w:p>
    <w:p w14:paraId="3B7C7F50">
      <w:pPr>
        <w:pStyle w:val="2"/>
        <w:rPr>
          <w:rFonts w:ascii="宋体" w:hAnsi="宋体"/>
          <w:color w:val="auto"/>
          <w:szCs w:val="24"/>
          <w:highlight w:val="none"/>
        </w:rPr>
      </w:pPr>
      <w:bookmarkStart w:id="404" w:name="_Toc533611471"/>
      <w:bookmarkStart w:id="405" w:name="_Toc373478363"/>
      <w:bookmarkStart w:id="406" w:name="_Toc9126"/>
      <w:bookmarkStart w:id="407" w:name="_Toc8594"/>
      <w:bookmarkStart w:id="408" w:name="_Toc389065282"/>
      <w:bookmarkStart w:id="409" w:name="_Toc373227716"/>
      <w:bookmarkStart w:id="410" w:name="_Toc395382518"/>
      <w:r>
        <w:rPr>
          <w:rFonts w:hint="eastAsia" w:ascii="宋体" w:hAnsi="宋体"/>
          <w:color w:val="auto"/>
          <w:szCs w:val="24"/>
          <w:highlight w:val="none"/>
        </w:rPr>
        <w:t>4.4 商定或确定</w:t>
      </w:r>
      <w:bookmarkEnd w:id="404"/>
      <w:bookmarkEnd w:id="405"/>
      <w:bookmarkEnd w:id="406"/>
      <w:bookmarkEnd w:id="407"/>
      <w:bookmarkEnd w:id="408"/>
      <w:bookmarkEnd w:id="409"/>
      <w:bookmarkEnd w:id="410"/>
    </w:p>
    <w:p w14:paraId="6D0DD85C">
      <w:pPr>
        <w:spacing w:line="360" w:lineRule="auto"/>
        <w:ind w:firstLine="480" w:firstLineChars="200"/>
        <w:rPr>
          <w:rFonts w:ascii="宋体" w:hAnsi="宋体"/>
          <w:color w:val="auto"/>
          <w:sz w:val="24"/>
          <w:highlight w:val="none"/>
        </w:rPr>
      </w:pPr>
      <w:bookmarkStart w:id="411" w:name="_Toc267251418"/>
      <w:r>
        <w:rPr>
          <w:rFonts w:ascii="宋体" w:hAnsi="宋体"/>
          <w:color w:val="auto"/>
          <w:sz w:val="24"/>
          <w:highlight w:val="none"/>
        </w:rPr>
        <w:t>在发包人和承包人不能通过协商达成一致意见时，发包人授权监理人对以下事项进行确定：</w:t>
      </w:r>
    </w:p>
    <w:p w14:paraId="07DFF3DF">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 xml:space="preserve">                  /                 </w:t>
      </w:r>
      <w:r>
        <w:rPr>
          <w:rFonts w:ascii="宋体" w:hAnsi="宋体"/>
          <w:color w:val="auto"/>
          <w:sz w:val="24"/>
          <w:highlight w:val="none"/>
        </w:rPr>
        <w:t>；</w:t>
      </w:r>
    </w:p>
    <w:p w14:paraId="712EF742">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ascii="宋体" w:hAnsi="宋体"/>
          <w:color w:val="auto"/>
          <w:sz w:val="24"/>
          <w:highlight w:val="none"/>
          <w:u w:val="single"/>
        </w:rPr>
        <w:t xml:space="preserve">                  /                 </w:t>
      </w:r>
      <w:r>
        <w:rPr>
          <w:rFonts w:ascii="宋体" w:hAnsi="宋体"/>
          <w:color w:val="auto"/>
          <w:sz w:val="24"/>
          <w:highlight w:val="none"/>
        </w:rPr>
        <w:t>；</w:t>
      </w:r>
    </w:p>
    <w:p w14:paraId="10668555">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ascii="宋体" w:hAnsi="宋体"/>
          <w:color w:val="auto"/>
          <w:sz w:val="24"/>
          <w:highlight w:val="none"/>
          <w:u w:val="single"/>
        </w:rPr>
        <w:t xml:space="preserve">                  /                 </w:t>
      </w:r>
      <w:r>
        <w:rPr>
          <w:rFonts w:ascii="宋体" w:hAnsi="宋体"/>
          <w:color w:val="auto"/>
          <w:sz w:val="24"/>
          <w:highlight w:val="none"/>
        </w:rPr>
        <w:t>。</w:t>
      </w:r>
    </w:p>
    <w:p w14:paraId="71C4C379">
      <w:pPr>
        <w:pStyle w:val="4"/>
        <w:rPr>
          <w:rFonts w:ascii="宋体" w:hAnsi="宋体" w:eastAsia="宋体"/>
          <w:color w:val="auto"/>
          <w:sz w:val="24"/>
          <w:szCs w:val="24"/>
          <w:highlight w:val="none"/>
        </w:rPr>
      </w:pPr>
      <w:bookmarkStart w:id="412" w:name="_Toc22145"/>
      <w:bookmarkStart w:id="413" w:name="_Toc395382519"/>
      <w:bookmarkStart w:id="414" w:name="_Toc373478364"/>
      <w:bookmarkStart w:id="415" w:name="_Toc533611472"/>
      <w:bookmarkStart w:id="416" w:name="_Toc389065283"/>
      <w:bookmarkStart w:id="417" w:name="_Toc14223"/>
      <w:bookmarkStart w:id="418" w:name="_Toc373227717"/>
      <w:r>
        <w:rPr>
          <w:rFonts w:hint="eastAsia" w:ascii="宋体" w:hAnsi="宋体" w:eastAsia="宋体"/>
          <w:color w:val="auto"/>
          <w:sz w:val="24"/>
          <w:szCs w:val="24"/>
          <w:highlight w:val="none"/>
        </w:rPr>
        <w:t>5</w:t>
      </w:r>
      <w:bookmarkEnd w:id="411"/>
      <w:bookmarkStart w:id="419" w:name="_Toc296890991"/>
      <w:bookmarkStart w:id="420" w:name="_Toc292559367"/>
      <w:bookmarkStart w:id="421" w:name="_Toc297120463"/>
      <w:bookmarkStart w:id="422" w:name="_Toc292559872"/>
      <w:bookmarkStart w:id="423" w:name="_Toc296891203"/>
      <w:bookmarkStart w:id="424" w:name="_Toc296503163"/>
      <w:bookmarkStart w:id="425" w:name="_Toc296347162"/>
      <w:bookmarkStart w:id="426" w:name="_Toc297048349"/>
      <w:bookmarkStart w:id="427" w:name="_Toc296944502"/>
      <w:bookmarkStart w:id="428" w:name="_Toc296346664"/>
      <w:r>
        <w:rPr>
          <w:rFonts w:hint="eastAsia" w:ascii="宋体" w:hAnsi="宋体" w:eastAsia="宋体"/>
          <w:color w:val="auto"/>
          <w:sz w:val="24"/>
          <w:szCs w:val="24"/>
          <w:highlight w:val="none"/>
        </w:rPr>
        <w:t>. 工程质量</w:t>
      </w:r>
      <w:bookmarkEnd w:id="412"/>
      <w:bookmarkEnd w:id="413"/>
      <w:bookmarkEnd w:id="414"/>
      <w:bookmarkEnd w:id="415"/>
      <w:bookmarkEnd w:id="416"/>
      <w:bookmarkEnd w:id="417"/>
      <w:bookmarkEnd w:id="418"/>
    </w:p>
    <w:p w14:paraId="2602BB90">
      <w:pPr>
        <w:pStyle w:val="2"/>
        <w:rPr>
          <w:rFonts w:ascii="宋体" w:hAnsi="宋体"/>
          <w:color w:val="auto"/>
          <w:szCs w:val="24"/>
          <w:highlight w:val="none"/>
        </w:rPr>
      </w:pPr>
      <w:bookmarkStart w:id="429" w:name="_Toc373478365"/>
      <w:bookmarkStart w:id="430" w:name="_Toc373227718"/>
      <w:bookmarkStart w:id="431" w:name="_Toc389065284"/>
      <w:bookmarkStart w:id="432" w:name="_Toc533611473"/>
      <w:bookmarkStart w:id="433" w:name="_Toc9244"/>
      <w:bookmarkStart w:id="434" w:name="_Toc395382520"/>
      <w:bookmarkStart w:id="435" w:name="_Toc1096"/>
      <w:r>
        <w:rPr>
          <w:rFonts w:hint="eastAsia" w:ascii="宋体" w:hAnsi="宋体"/>
          <w:color w:val="auto"/>
          <w:szCs w:val="24"/>
          <w:highlight w:val="none"/>
        </w:rPr>
        <w:t>5.1 质量要求</w:t>
      </w:r>
      <w:bookmarkEnd w:id="429"/>
      <w:bookmarkEnd w:id="430"/>
      <w:bookmarkEnd w:id="431"/>
      <w:bookmarkEnd w:id="432"/>
      <w:bookmarkEnd w:id="433"/>
      <w:bookmarkEnd w:id="434"/>
      <w:bookmarkEnd w:id="435"/>
    </w:p>
    <w:p w14:paraId="4AE0FD9D">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5</w:t>
      </w:r>
      <w:bookmarkStart w:id="436" w:name="_Toc297216155"/>
      <w:bookmarkStart w:id="437" w:name="_Toc303539106"/>
      <w:bookmarkStart w:id="438" w:name="_Toc297123496"/>
      <w:bookmarkStart w:id="439" w:name="_Toc304295527"/>
      <w:bookmarkStart w:id="440" w:name="_Toc300934949"/>
      <w:bookmarkStart w:id="441" w:name="_Toc312677997"/>
      <w:bookmarkStart w:id="442" w:name="_Toc318581164"/>
      <w:r>
        <w:rPr>
          <w:rFonts w:ascii="宋体" w:hAnsi="宋体"/>
          <w:color w:val="auto"/>
          <w:sz w:val="24"/>
          <w:highlight w:val="none"/>
        </w:rPr>
        <w:t>.1.1 特殊质量标准和要求：</w:t>
      </w:r>
      <w:r>
        <w:rPr>
          <w:rFonts w:ascii="宋体" w:hAnsi="宋体"/>
          <w:color w:val="auto"/>
          <w:szCs w:val="21"/>
          <w:highlight w:val="none"/>
          <w:u w:val="single"/>
        </w:rPr>
        <w:t>按本合同《通用条款》相关条款规定执行</w:t>
      </w:r>
      <w:r>
        <w:rPr>
          <w:rFonts w:ascii="宋体" w:hAnsi="宋体"/>
          <w:color w:val="auto"/>
          <w:sz w:val="24"/>
          <w:highlight w:val="none"/>
        </w:rPr>
        <w:t>。</w:t>
      </w:r>
    </w:p>
    <w:p w14:paraId="0A779830">
      <w:pPr>
        <w:spacing w:line="360" w:lineRule="auto"/>
        <w:ind w:firstLine="480" w:firstLineChars="200"/>
        <w:rPr>
          <w:rFonts w:ascii="宋体" w:hAnsi="宋体"/>
          <w:color w:val="auto"/>
          <w:sz w:val="24"/>
          <w:highlight w:val="none"/>
        </w:rPr>
      </w:pPr>
      <w:r>
        <w:rPr>
          <w:rFonts w:ascii="宋体" w:hAnsi="宋体"/>
          <w:color w:val="auto"/>
          <w:sz w:val="24"/>
          <w:highlight w:val="none"/>
        </w:rPr>
        <w:t>关于工程奖项的约定：</w:t>
      </w:r>
      <w:r>
        <w:rPr>
          <w:rFonts w:ascii="宋体" w:hAnsi="宋体"/>
          <w:color w:val="auto"/>
          <w:sz w:val="24"/>
          <w:highlight w:val="none"/>
          <w:u w:val="single"/>
        </w:rPr>
        <w:t xml:space="preserve">                 /                 </w:t>
      </w:r>
      <w:r>
        <w:rPr>
          <w:rFonts w:ascii="宋体" w:hAnsi="宋体"/>
          <w:color w:val="auto"/>
          <w:sz w:val="24"/>
          <w:highlight w:val="none"/>
        </w:rPr>
        <w:t>。</w:t>
      </w:r>
    </w:p>
    <w:p w14:paraId="05ADF457">
      <w:pPr>
        <w:spacing w:line="360" w:lineRule="auto"/>
        <w:ind w:firstLine="480" w:firstLineChars="200"/>
        <w:rPr>
          <w:rFonts w:ascii="宋体" w:hAnsi="宋体"/>
          <w:color w:val="auto"/>
          <w:sz w:val="24"/>
          <w:highlight w:val="none"/>
        </w:rPr>
      </w:pPr>
      <w:r>
        <w:rPr>
          <w:rFonts w:ascii="宋体" w:hAnsi="宋体"/>
          <w:color w:val="auto"/>
          <w:sz w:val="24"/>
          <w:highlight w:val="none"/>
        </w:rPr>
        <w:t>5.3 隐蔽工程检查</w:t>
      </w:r>
    </w:p>
    <w:p w14:paraId="210445E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5.3.2承包人提前通知监理人隐蔽工程检查的期限的约定：</w:t>
      </w:r>
      <w:r>
        <w:rPr>
          <w:rFonts w:ascii="宋体" w:hAnsi="宋体"/>
          <w:bCs/>
          <w:color w:val="auto"/>
          <w:sz w:val="24"/>
          <w:highlight w:val="non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00D032C0">
      <w:pPr>
        <w:spacing w:line="360" w:lineRule="auto"/>
        <w:ind w:firstLine="480" w:firstLineChars="200"/>
        <w:rPr>
          <w:rFonts w:ascii="宋体" w:hAnsi="宋体"/>
          <w:color w:val="auto"/>
          <w:sz w:val="24"/>
          <w:highlight w:val="none"/>
        </w:rPr>
      </w:pPr>
      <w:r>
        <w:rPr>
          <w:rFonts w:ascii="宋体" w:hAnsi="宋体"/>
          <w:color w:val="auto"/>
          <w:sz w:val="24"/>
          <w:highlight w:val="none"/>
        </w:rPr>
        <w:t>监理人不能按时进行检查时，应提前</w:t>
      </w:r>
      <w:r>
        <w:rPr>
          <w:rFonts w:ascii="宋体" w:hAnsi="宋体"/>
          <w:color w:val="auto"/>
          <w:sz w:val="24"/>
          <w:highlight w:val="none"/>
          <w:u w:val="single"/>
        </w:rPr>
        <w:t xml:space="preserve">    6   </w:t>
      </w:r>
      <w:r>
        <w:rPr>
          <w:rFonts w:ascii="宋体" w:hAnsi="宋体"/>
          <w:color w:val="auto"/>
          <w:sz w:val="24"/>
          <w:highlight w:val="none"/>
        </w:rPr>
        <w:t>小时提交书面延期要求。</w:t>
      </w:r>
    </w:p>
    <w:p w14:paraId="4DD96D57">
      <w:pPr>
        <w:spacing w:line="360" w:lineRule="auto"/>
        <w:ind w:firstLine="480" w:firstLineChars="200"/>
        <w:rPr>
          <w:rFonts w:ascii="宋体" w:hAnsi="宋体"/>
          <w:color w:val="auto"/>
          <w:sz w:val="24"/>
          <w:highlight w:val="none"/>
        </w:rPr>
      </w:pPr>
      <w:r>
        <w:rPr>
          <w:rFonts w:ascii="宋体" w:hAnsi="宋体"/>
          <w:color w:val="auto"/>
          <w:sz w:val="24"/>
          <w:highlight w:val="none"/>
        </w:rPr>
        <w:t>关于延期最长不得超过：</w:t>
      </w:r>
      <w:r>
        <w:rPr>
          <w:rFonts w:ascii="宋体" w:hAnsi="宋体"/>
          <w:color w:val="auto"/>
          <w:sz w:val="24"/>
          <w:highlight w:val="none"/>
          <w:u w:val="single"/>
        </w:rPr>
        <w:t xml:space="preserve">    12     </w:t>
      </w:r>
      <w:r>
        <w:rPr>
          <w:rFonts w:ascii="宋体" w:hAnsi="宋体"/>
          <w:color w:val="auto"/>
          <w:sz w:val="24"/>
          <w:highlight w:val="none"/>
        </w:rPr>
        <w:t>小时。</w:t>
      </w:r>
    </w:p>
    <w:p w14:paraId="78C33E9E">
      <w:pPr>
        <w:pStyle w:val="4"/>
        <w:rPr>
          <w:rFonts w:ascii="宋体" w:hAnsi="宋体" w:eastAsia="宋体"/>
          <w:color w:val="auto"/>
          <w:sz w:val="24"/>
          <w:szCs w:val="24"/>
          <w:highlight w:val="none"/>
        </w:rPr>
      </w:pPr>
      <w:bookmarkStart w:id="443" w:name="_Toc533611474"/>
      <w:bookmarkStart w:id="444" w:name="_Toc395382521"/>
      <w:bookmarkStart w:id="445" w:name="_Toc389065285"/>
      <w:bookmarkStart w:id="446" w:name="_Toc373227719"/>
      <w:bookmarkStart w:id="447" w:name="_Toc373478366"/>
      <w:bookmarkStart w:id="448" w:name="_Toc32569"/>
      <w:bookmarkStart w:id="449" w:name="_Toc22845"/>
      <w:r>
        <w:rPr>
          <w:rFonts w:hint="eastAsia" w:ascii="宋体" w:hAnsi="宋体" w:eastAsia="宋体"/>
          <w:color w:val="auto"/>
          <w:sz w:val="24"/>
          <w:szCs w:val="24"/>
          <w:highlight w:val="none"/>
        </w:rPr>
        <w:t>6. 安全文明施工与环境保护</w:t>
      </w:r>
      <w:bookmarkEnd w:id="443"/>
      <w:bookmarkEnd w:id="444"/>
      <w:bookmarkEnd w:id="445"/>
      <w:bookmarkEnd w:id="446"/>
      <w:bookmarkEnd w:id="447"/>
      <w:bookmarkEnd w:id="448"/>
      <w:bookmarkEnd w:id="449"/>
    </w:p>
    <w:p w14:paraId="2D7D1B4A">
      <w:pPr>
        <w:pStyle w:val="2"/>
        <w:rPr>
          <w:rFonts w:ascii="宋体" w:hAnsi="宋体"/>
          <w:color w:val="auto"/>
          <w:szCs w:val="24"/>
          <w:highlight w:val="none"/>
        </w:rPr>
      </w:pPr>
      <w:bookmarkStart w:id="450" w:name="_Toc389065286"/>
      <w:bookmarkStart w:id="451" w:name="_Toc373478367"/>
      <w:bookmarkStart w:id="452" w:name="_Toc395382522"/>
      <w:bookmarkStart w:id="453" w:name="_Toc373227720"/>
      <w:bookmarkStart w:id="454" w:name="_Toc13168"/>
      <w:bookmarkStart w:id="455" w:name="_Toc32452"/>
      <w:bookmarkStart w:id="456" w:name="_Toc533611475"/>
      <w:r>
        <w:rPr>
          <w:rFonts w:hint="eastAsia" w:ascii="宋体" w:hAnsi="宋体"/>
          <w:color w:val="auto"/>
          <w:szCs w:val="24"/>
          <w:highlight w:val="none"/>
        </w:rPr>
        <w:t>6.1 安全文明施工</w:t>
      </w:r>
      <w:bookmarkEnd w:id="450"/>
      <w:bookmarkEnd w:id="451"/>
      <w:bookmarkEnd w:id="452"/>
      <w:bookmarkEnd w:id="453"/>
      <w:bookmarkEnd w:id="454"/>
      <w:bookmarkEnd w:id="455"/>
      <w:bookmarkEnd w:id="456"/>
    </w:p>
    <w:p w14:paraId="53D47A44">
      <w:pPr>
        <w:spacing w:line="360" w:lineRule="auto"/>
        <w:ind w:firstLine="480" w:firstLineChars="200"/>
        <w:rPr>
          <w:rFonts w:ascii="宋体" w:hAnsi="宋体"/>
          <w:color w:val="auto"/>
          <w:sz w:val="24"/>
          <w:highlight w:val="none"/>
        </w:rPr>
      </w:pPr>
      <w:r>
        <w:rPr>
          <w:rFonts w:ascii="宋体" w:hAnsi="宋体"/>
          <w:color w:val="auto"/>
          <w:sz w:val="24"/>
          <w:highlight w:val="none"/>
        </w:rPr>
        <w:t>6.1.1 项目安全生产的达标目标及相应事项的约定：</w:t>
      </w:r>
      <w:r>
        <w:rPr>
          <w:rFonts w:ascii="宋体" w:hAnsi="宋体"/>
          <w:color w:val="auto"/>
          <w:sz w:val="24"/>
          <w:highlight w:val="none"/>
          <w:u w:val="single"/>
        </w:rPr>
        <w:t xml:space="preserve">  要求达到《建筑施工安全检查标准》（JGJ59-2011）的标准和符合《广西壮族自治区建筑工程安全防护、文明施工措施费及使用管理细则》（桂建质〔2015〕16号文）的要求</w:t>
      </w:r>
      <w:r>
        <w:rPr>
          <w:rFonts w:ascii="宋体" w:hAnsi="宋体"/>
          <w:color w:val="auto"/>
          <w:sz w:val="24"/>
          <w:highlight w:val="none"/>
        </w:rPr>
        <w:t>。</w:t>
      </w:r>
    </w:p>
    <w:p w14:paraId="32D8F000">
      <w:pPr>
        <w:spacing w:line="360" w:lineRule="auto"/>
        <w:ind w:firstLine="480" w:firstLineChars="200"/>
        <w:rPr>
          <w:rFonts w:ascii="宋体" w:hAnsi="宋体"/>
          <w:color w:val="auto"/>
          <w:sz w:val="24"/>
          <w:highlight w:val="none"/>
        </w:rPr>
      </w:pPr>
      <w:r>
        <w:rPr>
          <w:rFonts w:ascii="宋体" w:hAnsi="宋体"/>
          <w:color w:val="auto"/>
          <w:sz w:val="24"/>
          <w:highlight w:val="none"/>
        </w:rPr>
        <w:t>关于安全文明施工奖项的约定：</w:t>
      </w:r>
      <w:r>
        <w:rPr>
          <w:rFonts w:ascii="宋体" w:hAnsi="宋体"/>
          <w:color w:val="auto"/>
          <w:sz w:val="24"/>
          <w:highlight w:val="none"/>
          <w:u w:val="single"/>
        </w:rPr>
        <w:t xml:space="preserve">                /                 </w:t>
      </w:r>
      <w:r>
        <w:rPr>
          <w:rFonts w:ascii="宋体" w:hAnsi="宋体"/>
          <w:color w:val="auto"/>
          <w:sz w:val="24"/>
          <w:highlight w:val="none"/>
        </w:rPr>
        <w:t>。</w:t>
      </w:r>
    </w:p>
    <w:p w14:paraId="25333C5C">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6.1.4 关于治安保卫的特别约定：</w:t>
      </w:r>
      <w:r>
        <w:rPr>
          <w:rFonts w:ascii="宋体" w:hAnsi="宋体"/>
          <w:color w:val="auto"/>
          <w:sz w:val="24"/>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21D0BAE">
      <w:pPr>
        <w:spacing w:line="360" w:lineRule="auto"/>
        <w:ind w:firstLine="480" w:firstLineChars="200"/>
        <w:rPr>
          <w:rFonts w:ascii="宋体" w:hAnsi="宋体"/>
          <w:color w:val="auto"/>
          <w:sz w:val="24"/>
          <w:highlight w:val="none"/>
        </w:rPr>
      </w:pPr>
      <w:r>
        <w:rPr>
          <w:rFonts w:ascii="宋体" w:hAnsi="宋体"/>
          <w:color w:val="auto"/>
          <w:sz w:val="24"/>
          <w:highlight w:val="none"/>
        </w:rPr>
        <w:t>关于编制施工场地治安管理计划的约定：</w:t>
      </w:r>
      <w:r>
        <w:rPr>
          <w:rFonts w:ascii="宋体" w:hAnsi="宋体"/>
          <w:color w:val="auto"/>
          <w:sz w:val="24"/>
          <w:highlight w:val="none"/>
          <w:u w:val="single"/>
        </w:rPr>
        <w:t>承包人开工前三天提供施工场地治安管理计划</w:t>
      </w:r>
      <w:r>
        <w:rPr>
          <w:rFonts w:ascii="宋体" w:hAnsi="宋体"/>
          <w:color w:val="auto"/>
          <w:sz w:val="24"/>
          <w:highlight w:val="none"/>
        </w:rPr>
        <w:t>。</w:t>
      </w:r>
    </w:p>
    <w:p w14:paraId="6F5A441B">
      <w:pPr>
        <w:spacing w:line="360" w:lineRule="auto"/>
        <w:ind w:firstLine="480" w:firstLineChars="200"/>
        <w:rPr>
          <w:rFonts w:ascii="宋体" w:hAnsi="宋体"/>
          <w:color w:val="auto"/>
          <w:sz w:val="24"/>
          <w:highlight w:val="none"/>
        </w:rPr>
      </w:pPr>
      <w:r>
        <w:rPr>
          <w:rFonts w:ascii="宋体" w:hAnsi="宋体"/>
          <w:color w:val="auto"/>
          <w:sz w:val="24"/>
          <w:highlight w:val="none"/>
        </w:rPr>
        <w:t>6.1.5 文明施工</w:t>
      </w:r>
    </w:p>
    <w:p w14:paraId="03311CC1">
      <w:pPr>
        <w:spacing w:line="360" w:lineRule="auto"/>
        <w:ind w:firstLine="480" w:firstLineChars="200"/>
        <w:rPr>
          <w:rFonts w:ascii="宋体" w:hAnsi="宋体"/>
          <w:color w:val="auto"/>
          <w:sz w:val="24"/>
          <w:highlight w:val="none"/>
        </w:rPr>
      </w:pPr>
      <w:r>
        <w:rPr>
          <w:rFonts w:ascii="宋体" w:hAnsi="宋体"/>
          <w:color w:val="auto"/>
          <w:sz w:val="24"/>
          <w:highlight w:val="none"/>
        </w:rPr>
        <w:t>合同当事人对文明施工的要求：</w:t>
      </w:r>
      <w:r>
        <w:rPr>
          <w:rFonts w:ascii="宋体" w:hAnsi="宋体"/>
          <w:bCs/>
          <w:color w:val="auto"/>
          <w:sz w:val="24"/>
          <w:highlight w:val="none"/>
          <w:u w:val="single"/>
        </w:rPr>
        <w:t>安全防护、文明施工设施须按有关标准及制度执行。</w:t>
      </w:r>
      <w:r>
        <w:rPr>
          <w:rFonts w:ascii="宋体" w:hAnsi="宋体"/>
          <w:color w:val="auto"/>
          <w:sz w:val="24"/>
          <w:highlight w:val="none"/>
        </w:rPr>
        <w:t>。</w:t>
      </w:r>
    </w:p>
    <w:p w14:paraId="08866ED6">
      <w:pPr>
        <w:spacing w:line="360" w:lineRule="auto"/>
        <w:ind w:firstLine="480" w:firstLineChars="200"/>
        <w:rPr>
          <w:rFonts w:ascii="宋体" w:hAnsi="宋体"/>
          <w:color w:val="auto"/>
          <w:sz w:val="24"/>
          <w:highlight w:val="none"/>
        </w:rPr>
      </w:pPr>
      <w:r>
        <w:rPr>
          <w:rFonts w:ascii="宋体" w:hAnsi="宋体"/>
          <w:color w:val="auto"/>
          <w:sz w:val="24"/>
          <w:highlight w:val="none"/>
        </w:rPr>
        <w:t>6.1.6 关于安全文明施工费支付比例和支付期限的约定：</w:t>
      </w:r>
    </w:p>
    <w:p w14:paraId="2FAA3F8E">
      <w:pPr>
        <w:adjustRightInd w:val="0"/>
        <w:spacing w:line="360" w:lineRule="auto"/>
        <w:ind w:firstLine="482" w:firstLineChars="200"/>
        <w:rPr>
          <w:rFonts w:ascii="宋体" w:hAnsi="宋体"/>
          <w:b/>
          <w:color w:val="auto"/>
          <w:sz w:val="24"/>
          <w:highlight w:val="none"/>
        </w:rPr>
      </w:pPr>
      <w:r>
        <w:rPr>
          <w:rFonts w:ascii="宋体" w:hAnsi="宋体"/>
          <w:b/>
          <w:color w:val="auto"/>
          <w:sz w:val="24"/>
          <w:highlight w:val="none"/>
        </w:rPr>
        <w:t>（1）本合同价款已包含安全文明施工费元。</w:t>
      </w:r>
    </w:p>
    <w:p w14:paraId="131AA819">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（2）使用要求：专款专用。具体按《广西壮族自治区建筑工程安全防护、文明施工措施费及管理细则》（桂建质〔2015〕16号）和</w:t>
      </w:r>
      <w:r>
        <w:rPr>
          <w:rFonts w:ascii="宋体" w:hAnsi="宋体"/>
          <w:color w:val="auto"/>
          <w:sz w:val="24"/>
          <w:highlight w:val="none"/>
          <w:u w:val="single"/>
        </w:rPr>
        <w:t xml:space="preserve">     </w:t>
      </w:r>
      <w:r>
        <w:rPr>
          <w:rFonts w:hint="eastAsia" w:ascii="宋体" w:hAnsi="宋体"/>
          <w:color w:val="auto"/>
          <w:sz w:val="24"/>
          <w:highlight w:val="none"/>
          <w:u w:val="single"/>
        </w:rPr>
        <w:t>玉林市</w:t>
      </w:r>
      <w:r>
        <w:rPr>
          <w:rFonts w:ascii="宋体" w:hAnsi="宋体"/>
          <w:color w:val="auto"/>
          <w:sz w:val="24"/>
          <w:highlight w:val="none"/>
          <w:u w:val="single"/>
        </w:rPr>
        <w:t xml:space="preserve">      </w:t>
      </w:r>
      <w:r>
        <w:rPr>
          <w:rFonts w:ascii="宋体" w:hAnsi="宋体"/>
          <w:color w:val="auto"/>
          <w:sz w:val="24"/>
          <w:highlight w:val="none"/>
        </w:rPr>
        <w:t>相关规定执行。</w:t>
      </w:r>
    </w:p>
    <w:p w14:paraId="17A6C869">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（3）支付约定：</w:t>
      </w:r>
      <w:r>
        <w:rPr>
          <w:rFonts w:ascii="宋体" w:hAnsi="宋体"/>
          <w:b/>
          <w:bCs/>
          <w:color w:val="auto"/>
          <w:sz w:val="24"/>
          <w:highlight w:val="none"/>
          <w:u w:val="single"/>
        </w:rPr>
        <w:t>工程开工后28天内发包人必须通过转账方式预付给承包人安全文明施工费费用的50%，剩余费用按工程进度同期支付</w:t>
      </w:r>
      <w:r>
        <w:rPr>
          <w:rFonts w:ascii="宋体" w:hAnsi="宋体"/>
          <w:color w:val="auto"/>
          <w:sz w:val="24"/>
          <w:highlight w:val="none"/>
        </w:rPr>
        <w:t>。</w:t>
      </w:r>
    </w:p>
    <w:p w14:paraId="25FA25D1">
      <w:pPr>
        <w:pStyle w:val="2"/>
        <w:rPr>
          <w:rFonts w:ascii="宋体" w:hAnsi="宋体"/>
          <w:color w:val="auto"/>
          <w:szCs w:val="24"/>
          <w:highlight w:val="none"/>
        </w:rPr>
      </w:pPr>
      <w:bookmarkStart w:id="457" w:name="_Toc395382523"/>
      <w:bookmarkStart w:id="458" w:name="_Toc373227721"/>
      <w:bookmarkStart w:id="459" w:name="_Toc389065287"/>
      <w:bookmarkStart w:id="460" w:name="_Toc30574"/>
      <w:bookmarkStart w:id="461" w:name="_Toc533611476"/>
      <w:bookmarkStart w:id="462" w:name="_Toc14932"/>
      <w:bookmarkStart w:id="463" w:name="_Toc373478368"/>
      <w:r>
        <w:rPr>
          <w:rFonts w:hint="eastAsia" w:ascii="宋体" w:hAnsi="宋体"/>
          <w:color w:val="auto"/>
          <w:szCs w:val="24"/>
          <w:highlight w:val="none"/>
        </w:rPr>
        <w:t>6.3 环境保护</w:t>
      </w:r>
      <w:bookmarkEnd w:id="457"/>
      <w:bookmarkEnd w:id="458"/>
      <w:bookmarkEnd w:id="459"/>
      <w:bookmarkEnd w:id="460"/>
      <w:bookmarkEnd w:id="461"/>
      <w:bookmarkEnd w:id="462"/>
      <w:bookmarkEnd w:id="463"/>
    </w:p>
    <w:p w14:paraId="50ED6BE3">
      <w:pPr>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因施工需要，经发包人批准，由承包人办理有关施工场地交通、环卫和施工噪音管理等手续，费用由承包人负责。</w:t>
      </w:r>
    </w:p>
    <w:p w14:paraId="722D1E85">
      <w:pPr>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经过城市道路的施工车辆，必须按交警、城管、运输等部门相关规定执行。由于施工车辆造成的道路、环境等污染，其责任和费用均由承包人承担。</w:t>
      </w:r>
    </w:p>
    <w:bookmarkEnd w:id="436"/>
    <w:bookmarkEnd w:id="437"/>
    <w:bookmarkEnd w:id="438"/>
    <w:bookmarkEnd w:id="439"/>
    <w:bookmarkEnd w:id="440"/>
    <w:bookmarkEnd w:id="441"/>
    <w:bookmarkEnd w:id="442"/>
    <w:p w14:paraId="4BEC84DB">
      <w:pPr>
        <w:pStyle w:val="4"/>
        <w:rPr>
          <w:rFonts w:ascii="宋体" w:hAnsi="宋体" w:eastAsia="宋体"/>
          <w:color w:val="auto"/>
          <w:sz w:val="24"/>
          <w:szCs w:val="24"/>
          <w:highlight w:val="none"/>
        </w:rPr>
      </w:pPr>
      <w:bookmarkStart w:id="464" w:name="_Toc27071"/>
      <w:bookmarkStart w:id="465" w:name="_Toc373478369"/>
      <w:bookmarkStart w:id="466" w:name="_Toc395382524"/>
      <w:bookmarkStart w:id="467" w:name="_Toc373227722"/>
      <w:bookmarkStart w:id="468" w:name="_Toc533611477"/>
      <w:bookmarkStart w:id="469" w:name="_Toc17179"/>
      <w:bookmarkStart w:id="470" w:name="_Toc389065288"/>
      <w:r>
        <w:rPr>
          <w:rFonts w:hint="eastAsia" w:ascii="宋体" w:hAnsi="宋体" w:eastAsia="宋体"/>
          <w:color w:val="auto"/>
          <w:sz w:val="24"/>
          <w:szCs w:val="24"/>
          <w:highlight w:val="none"/>
        </w:rPr>
        <w:t>7. 工期和进度</w:t>
      </w:r>
      <w:bookmarkEnd w:id="464"/>
      <w:bookmarkEnd w:id="465"/>
      <w:bookmarkEnd w:id="466"/>
      <w:bookmarkEnd w:id="467"/>
      <w:bookmarkEnd w:id="468"/>
      <w:bookmarkEnd w:id="469"/>
      <w:bookmarkEnd w:id="470"/>
    </w:p>
    <w:p w14:paraId="58FD82AF">
      <w:pPr>
        <w:pStyle w:val="2"/>
        <w:rPr>
          <w:rFonts w:ascii="宋体" w:hAnsi="宋体"/>
          <w:color w:val="auto"/>
          <w:szCs w:val="24"/>
          <w:highlight w:val="none"/>
        </w:rPr>
      </w:pPr>
      <w:bookmarkStart w:id="471" w:name="_Toc373227723"/>
      <w:bookmarkStart w:id="472" w:name="_Toc533611478"/>
      <w:bookmarkStart w:id="473" w:name="_Toc30541"/>
      <w:bookmarkStart w:id="474" w:name="_Toc389065289"/>
      <w:bookmarkStart w:id="475" w:name="_Toc395382525"/>
      <w:bookmarkStart w:id="476" w:name="_Toc373478370"/>
      <w:bookmarkStart w:id="477" w:name="_Toc30363"/>
      <w:r>
        <w:rPr>
          <w:rFonts w:hint="eastAsia" w:ascii="宋体" w:hAnsi="宋体"/>
          <w:color w:val="auto"/>
          <w:szCs w:val="24"/>
          <w:highlight w:val="none"/>
        </w:rPr>
        <w:t>7.1 施工组织设计</w:t>
      </w:r>
      <w:bookmarkEnd w:id="471"/>
      <w:bookmarkEnd w:id="472"/>
      <w:bookmarkEnd w:id="473"/>
      <w:bookmarkEnd w:id="474"/>
      <w:bookmarkEnd w:id="475"/>
      <w:bookmarkEnd w:id="476"/>
      <w:bookmarkEnd w:id="477"/>
    </w:p>
    <w:p w14:paraId="357557C1">
      <w:pPr>
        <w:adjustRightInd w:val="0"/>
        <w:spacing w:line="360" w:lineRule="auto"/>
        <w:ind w:firstLine="480" w:firstLineChars="200"/>
        <w:rPr>
          <w:rFonts w:ascii="宋体" w:hAnsi="宋体"/>
          <w:color w:val="auto"/>
          <w:sz w:val="24"/>
          <w:highlight w:val="none"/>
          <w:u w:val="single"/>
        </w:rPr>
      </w:pPr>
      <w:r>
        <w:rPr>
          <w:rFonts w:ascii="宋体" w:hAnsi="宋体"/>
          <w:color w:val="auto"/>
          <w:sz w:val="24"/>
          <w:highlight w:val="none"/>
        </w:rPr>
        <w:t>7.1.1 合同当事人约定的施工组织设计应包括的其他内容：</w:t>
      </w:r>
      <w:r>
        <w:rPr>
          <w:rFonts w:ascii="宋体" w:hAnsi="宋体"/>
          <w:color w:val="auto"/>
          <w:sz w:val="24"/>
          <w:highlight w:val="none"/>
          <w:u w:val="single"/>
        </w:rPr>
        <w:t>按本合同《通用条款》相关规定执行</w:t>
      </w:r>
      <w:r>
        <w:rPr>
          <w:rFonts w:ascii="宋体" w:hAnsi="宋体"/>
          <w:color w:val="auto"/>
          <w:sz w:val="24"/>
          <w:highlight w:val="none"/>
        </w:rPr>
        <w:t>。</w:t>
      </w:r>
    </w:p>
    <w:p w14:paraId="3EDE7897">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7.1.2 施工组织设计的提交和修改</w:t>
      </w:r>
    </w:p>
    <w:p w14:paraId="7A3008F3">
      <w:pPr>
        <w:adjustRightInd w:val="0"/>
        <w:spacing w:line="360" w:lineRule="auto"/>
        <w:ind w:firstLine="480" w:firstLineChars="200"/>
        <w:rPr>
          <w:rFonts w:ascii="宋体" w:hAnsi="宋体"/>
          <w:color w:val="auto"/>
          <w:sz w:val="24"/>
          <w:highlight w:val="none"/>
          <w:u w:val="single"/>
        </w:rPr>
      </w:pPr>
      <w:r>
        <w:rPr>
          <w:rFonts w:ascii="宋体" w:hAnsi="宋体"/>
          <w:color w:val="auto"/>
          <w:sz w:val="24"/>
          <w:highlight w:val="none"/>
        </w:rPr>
        <w:t>承包人提交详细施工组织设计的期限的约定：</w:t>
      </w:r>
      <w:r>
        <w:rPr>
          <w:rFonts w:ascii="宋体" w:hAnsi="宋体"/>
          <w:color w:val="auto"/>
          <w:sz w:val="24"/>
          <w:highlight w:val="none"/>
          <w:u w:val="single"/>
        </w:rPr>
        <w:t xml:space="preserve">  承包人在收到中标通知书与发包人签订合同后 7 天内提交详细的施工组织设计和进度计划  </w:t>
      </w:r>
      <w:r>
        <w:rPr>
          <w:rFonts w:ascii="宋体" w:hAnsi="宋体"/>
          <w:color w:val="auto"/>
          <w:sz w:val="24"/>
          <w:highlight w:val="none"/>
        </w:rPr>
        <w:t>。</w:t>
      </w:r>
    </w:p>
    <w:p w14:paraId="3D02ABAD">
      <w:pPr>
        <w:spacing w:line="360" w:lineRule="auto"/>
        <w:ind w:firstLine="480" w:firstLineChars="200"/>
        <w:rPr>
          <w:rFonts w:ascii="宋体" w:hAnsi="宋体"/>
          <w:color w:val="auto"/>
          <w:sz w:val="24"/>
          <w:highlight w:val="none"/>
        </w:rPr>
      </w:pPr>
      <w:r>
        <w:rPr>
          <w:rFonts w:ascii="宋体" w:hAnsi="宋体"/>
          <w:color w:val="auto"/>
          <w:sz w:val="24"/>
          <w:highlight w:val="none"/>
        </w:rPr>
        <w:t>发包人和监理人在收到详细的施工组织设计后确认或提出修改意见的期限：</w:t>
      </w:r>
      <w:r>
        <w:rPr>
          <w:rFonts w:ascii="宋体" w:hAnsi="宋体"/>
          <w:color w:val="auto"/>
          <w:sz w:val="24"/>
          <w:highlight w:val="none"/>
          <w:u w:val="single"/>
        </w:rPr>
        <w:t xml:space="preserve"> 如有重大异议则应在3日内以书面形式送达承包人。监理工程师和发包人如在7日内未提供出异议的，自第8日开始视为同意 </w:t>
      </w:r>
      <w:r>
        <w:rPr>
          <w:rFonts w:ascii="宋体" w:hAnsi="宋体"/>
          <w:color w:val="auto"/>
          <w:sz w:val="24"/>
          <w:highlight w:val="none"/>
        </w:rPr>
        <w:t>。</w:t>
      </w:r>
    </w:p>
    <w:p w14:paraId="3721409B">
      <w:pPr>
        <w:pStyle w:val="2"/>
        <w:rPr>
          <w:rFonts w:ascii="宋体" w:hAnsi="宋体"/>
          <w:color w:val="auto"/>
          <w:szCs w:val="24"/>
          <w:highlight w:val="none"/>
        </w:rPr>
      </w:pPr>
      <w:bookmarkStart w:id="478" w:name="_Toc395382526"/>
      <w:bookmarkStart w:id="479" w:name="_Toc29903"/>
      <w:bookmarkStart w:id="480" w:name="_Toc373478371"/>
      <w:bookmarkStart w:id="481" w:name="_Toc373227724"/>
      <w:bookmarkStart w:id="482" w:name="_Toc16397"/>
      <w:bookmarkStart w:id="483" w:name="_Toc533611479"/>
      <w:bookmarkStart w:id="484" w:name="_Toc389065290"/>
      <w:r>
        <w:rPr>
          <w:rFonts w:hint="eastAsia" w:ascii="宋体" w:hAnsi="宋体"/>
          <w:color w:val="auto"/>
          <w:szCs w:val="24"/>
          <w:highlight w:val="none"/>
        </w:rPr>
        <w:t>7</w:t>
      </w:r>
      <w:bookmarkStart w:id="485" w:name="_Toc297123514"/>
      <w:bookmarkStart w:id="486" w:name="_Toc297216173"/>
      <w:bookmarkStart w:id="487" w:name="_Toc304295541"/>
      <w:bookmarkStart w:id="488" w:name="_Toc300934966"/>
      <w:bookmarkStart w:id="489" w:name="_Toc303539123"/>
      <w:bookmarkStart w:id="490" w:name="_Toc312677479"/>
      <w:bookmarkStart w:id="491" w:name="_Toc312678005"/>
      <w:r>
        <w:rPr>
          <w:rFonts w:hint="eastAsia" w:ascii="宋体" w:hAnsi="宋体"/>
          <w:color w:val="auto"/>
          <w:szCs w:val="24"/>
          <w:highlight w:val="none"/>
        </w:rPr>
        <w:t>.2 施工进度计划</w:t>
      </w:r>
      <w:bookmarkEnd w:id="478"/>
      <w:bookmarkEnd w:id="479"/>
      <w:bookmarkEnd w:id="480"/>
      <w:bookmarkEnd w:id="481"/>
      <w:bookmarkEnd w:id="482"/>
      <w:bookmarkEnd w:id="483"/>
      <w:bookmarkEnd w:id="484"/>
    </w:p>
    <w:p w14:paraId="7B351FA2">
      <w:pPr>
        <w:spacing w:line="360" w:lineRule="auto"/>
        <w:ind w:firstLine="480" w:firstLineChars="200"/>
        <w:rPr>
          <w:rFonts w:ascii="宋体" w:hAnsi="宋体"/>
          <w:color w:val="auto"/>
          <w:sz w:val="24"/>
          <w:highlight w:val="none"/>
        </w:rPr>
      </w:pPr>
      <w:r>
        <w:rPr>
          <w:rFonts w:ascii="宋体" w:hAnsi="宋体"/>
          <w:color w:val="auto"/>
          <w:sz w:val="24"/>
          <w:highlight w:val="none"/>
        </w:rPr>
        <w:t>7.2.2 施工进度计划的修订</w:t>
      </w:r>
    </w:p>
    <w:p w14:paraId="04FCF741">
      <w:pPr>
        <w:spacing w:line="360" w:lineRule="auto"/>
        <w:ind w:firstLine="480" w:firstLineChars="200"/>
        <w:rPr>
          <w:rFonts w:ascii="宋体" w:hAnsi="宋体"/>
          <w:color w:val="auto"/>
          <w:sz w:val="24"/>
          <w:highlight w:val="none"/>
        </w:rPr>
      </w:pPr>
      <w:r>
        <w:rPr>
          <w:rFonts w:ascii="宋体" w:hAnsi="宋体"/>
          <w:color w:val="auto"/>
          <w:sz w:val="24"/>
          <w:highlight w:val="none"/>
        </w:rPr>
        <w:t>发包人和监理人在收到修订的施工进度计划后确认或提出修改意见的期限：</w:t>
      </w:r>
      <w:r>
        <w:rPr>
          <w:rFonts w:ascii="宋体" w:hAnsi="宋体"/>
          <w:color w:val="auto"/>
          <w:sz w:val="24"/>
          <w:highlight w:val="none"/>
          <w:u w:val="single"/>
        </w:rPr>
        <w:t xml:space="preserve"> 如有重大异议则应在3日内以书面形式送达承包人。监理工程师和发包人如在7日内未提供出异议的，自第8日开始视为同意 </w:t>
      </w:r>
      <w:r>
        <w:rPr>
          <w:rFonts w:ascii="宋体" w:hAnsi="宋体"/>
          <w:color w:val="auto"/>
          <w:sz w:val="24"/>
          <w:highlight w:val="none"/>
        </w:rPr>
        <w:t>。</w:t>
      </w:r>
    </w:p>
    <w:p w14:paraId="22C05685">
      <w:pPr>
        <w:pStyle w:val="2"/>
        <w:rPr>
          <w:rFonts w:ascii="宋体" w:hAnsi="宋体"/>
          <w:color w:val="auto"/>
          <w:szCs w:val="24"/>
          <w:highlight w:val="none"/>
        </w:rPr>
      </w:pPr>
      <w:bookmarkStart w:id="492" w:name="_Toc373227725"/>
      <w:bookmarkStart w:id="493" w:name="_Toc20149"/>
      <w:bookmarkStart w:id="494" w:name="_Toc3985"/>
      <w:bookmarkStart w:id="495" w:name="_Toc373478372"/>
      <w:bookmarkStart w:id="496" w:name="_Toc395382527"/>
      <w:bookmarkStart w:id="497" w:name="_Toc533611480"/>
      <w:bookmarkStart w:id="498" w:name="_Toc389065291"/>
      <w:r>
        <w:rPr>
          <w:rFonts w:hint="eastAsia" w:ascii="宋体" w:hAnsi="宋体"/>
          <w:color w:val="auto"/>
          <w:szCs w:val="24"/>
          <w:highlight w:val="none"/>
        </w:rPr>
        <w:t>7.3 开工</w:t>
      </w:r>
      <w:bookmarkEnd w:id="492"/>
      <w:bookmarkEnd w:id="493"/>
      <w:bookmarkEnd w:id="494"/>
      <w:bookmarkEnd w:id="495"/>
      <w:bookmarkEnd w:id="496"/>
      <w:bookmarkEnd w:id="497"/>
      <w:bookmarkEnd w:id="498"/>
    </w:p>
    <w:p w14:paraId="3F00A488">
      <w:pPr>
        <w:spacing w:line="360" w:lineRule="auto"/>
        <w:ind w:firstLine="480" w:firstLineChars="200"/>
        <w:rPr>
          <w:rFonts w:ascii="宋体" w:hAnsi="宋体"/>
          <w:color w:val="auto"/>
          <w:sz w:val="24"/>
          <w:highlight w:val="none"/>
        </w:rPr>
      </w:pPr>
      <w:r>
        <w:rPr>
          <w:rFonts w:ascii="宋体" w:hAnsi="宋体"/>
          <w:color w:val="auto"/>
          <w:sz w:val="24"/>
          <w:highlight w:val="none"/>
        </w:rPr>
        <w:t>7.3.1 开工准备</w:t>
      </w:r>
    </w:p>
    <w:p w14:paraId="31960126">
      <w:pPr>
        <w:spacing w:line="360" w:lineRule="auto"/>
        <w:ind w:firstLine="426"/>
        <w:rPr>
          <w:rFonts w:ascii="宋体" w:hAnsi="宋体"/>
          <w:color w:val="auto"/>
          <w:sz w:val="24"/>
          <w:highlight w:val="none"/>
          <w:u w:val="single"/>
        </w:rPr>
      </w:pPr>
      <w:r>
        <w:rPr>
          <w:rFonts w:ascii="宋体" w:hAnsi="宋体"/>
          <w:color w:val="auto"/>
          <w:sz w:val="24"/>
          <w:highlight w:val="none"/>
        </w:rPr>
        <w:t>关于承包人提交工程开工报审表的期限：</w:t>
      </w:r>
      <w:r>
        <w:rPr>
          <w:rFonts w:ascii="宋体" w:hAnsi="宋体"/>
          <w:color w:val="auto"/>
          <w:sz w:val="24"/>
          <w:highlight w:val="none"/>
          <w:u w:val="single"/>
        </w:rPr>
        <w:t xml:space="preserve">   开工前14天内  </w:t>
      </w:r>
      <w:r>
        <w:rPr>
          <w:rFonts w:ascii="宋体" w:hAnsi="宋体"/>
          <w:color w:val="auto"/>
          <w:sz w:val="24"/>
          <w:highlight w:val="none"/>
        </w:rPr>
        <w:t>。</w:t>
      </w:r>
    </w:p>
    <w:p w14:paraId="3FCA67D9">
      <w:pPr>
        <w:spacing w:line="360" w:lineRule="auto"/>
        <w:ind w:firstLine="426"/>
        <w:rPr>
          <w:rFonts w:ascii="宋体" w:hAnsi="宋体"/>
          <w:color w:val="auto"/>
          <w:sz w:val="24"/>
          <w:highlight w:val="none"/>
          <w:u w:val="single"/>
        </w:rPr>
      </w:pPr>
      <w:r>
        <w:rPr>
          <w:rFonts w:ascii="宋体" w:hAnsi="宋体"/>
          <w:color w:val="auto"/>
          <w:sz w:val="24"/>
          <w:highlight w:val="none"/>
        </w:rPr>
        <w:t>关于发包人应完成的其他开工准备工作及期限：</w:t>
      </w:r>
      <w:r>
        <w:rPr>
          <w:rFonts w:ascii="宋体" w:hAnsi="宋体"/>
          <w:color w:val="auto"/>
          <w:sz w:val="24"/>
          <w:highlight w:val="none"/>
          <w:u w:val="single"/>
        </w:rPr>
        <w:t xml:space="preserve">  开工前7天内 </w:t>
      </w:r>
      <w:r>
        <w:rPr>
          <w:rFonts w:ascii="宋体" w:hAnsi="宋体"/>
          <w:color w:val="auto"/>
          <w:sz w:val="24"/>
          <w:highlight w:val="none"/>
        </w:rPr>
        <w:t>。</w:t>
      </w:r>
    </w:p>
    <w:p w14:paraId="423F81AA">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关于承包人应完成的其他开工准备工作及期限：</w:t>
      </w:r>
      <w:r>
        <w:rPr>
          <w:rFonts w:ascii="宋体" w:hAnsi="宋体"/>
          <w:color w:val="auto"/>
          <w:sz w:val="24"/>
          <w:highlight w:val="none"/>
          <w:u w:val="single"/>
        </w:rPr>
        <w:t xml:space="preserve"> 开工前7天内 </w:t>
      </w:r>
      <w:r>
        <w:rPr>
          <w:rFonts w:ascii="宋体" w:hAnsi="宋体"/>
          <w:color w:val="auto"/>
          <w:sz w:val="24"/>
          <w:highlight w:val="none"/>
        </w:rPr>
        <w:t>。</w:t>
      </w:r>
    </w:p>
    <w:p w14:paraId="4AD9EA02">
      <w:pPr>
        <w:spacing w:line="360" w:lineRule="auto"/>
        <w:ind w:firstLine="480" w:firstLineChars="200"/>
        <w:rPr>
          <w:rFonts w:ascii="宋体" w:hAnsi="宋体"/>
          <w:color w:val="auto"/>
          <w:sz w:val="24"/>
          <w:highlight w:val="none"/>
        </w:rPr>
      </w:pPr>
      <w:r>
        <w:rPr>
          <w:rFonts w:ascii="宋体" w:hAnsi="宋体"/>
          <w:color w:val="auto"/>
          <w:sz w:val="24"/>
          <w:highlight w:val="none"/>
        </w:rPr>
        <w:t>7.3.2 开工通知</w:t>
      </w:r>
    </w:p>
    <w:p w14:paraId="608E7B6F">
      <w:pPr>
        <w:spacing w:line="360" w:lineRule="auto"/>
        <w:ind w:firstLine="480" w:firstLineChars="200"/>
        <w:rPr>
          <w:rFonts w:ascii="宋体" w:hAnsi="宋体"/>
          <w:color w:val="auto"/>
          <w:sz w:val="24"/>
          <w:highlight w:val="none"/>
        </w:rPr>
      </w:pPr>
      <w:r>
        <w:rPr>
          <w:rFonts w:ascii="宋体" w:hAnsi="宋体"/>
          <w:color w:val="auto"/>
          <w:sz w:val="24"/>
          <w:highlight w:val="none"/>
        </w:rPr>
        <w:t>因发包人原因造成监理人未能在计划开工日期之日起</w:t>
      </w:r>
      <w:r>
        <w:rPr>
          <w:rFonts w:ascii="宋体" w:hAnsi="宋体"/>
          <w:color w:val="auto"/>
          <w:sz w:val="24"/>
          <w:highlight w:val="none"/>
          <w:u w:val="single"/>
        </w:rPr>
        <w:t xml:space="preserve"> 90 </w:t>
      </w:r>
      <w:r>
        <w:rPr>
          <w:rFonts w:ascii="宋体" w:hAnsi="宋体"/>
          <w:color w:val="auto"/>
          <w:sz w:val="24"/>
          <w:highlight w:val="none"/>
        </w:rPr>
        <w:t>天内发出开工通知的，承包人有权提出价格调整要求，或者解除合同。</w:t>
      </w:r>
    </w:p>
    <w:bookmarkEnd w:id="485"/>
    <w:bookmarkEnd w:id="486"/>
    <w:bookmarkEnd w:id="487"/>
    <w:bookmarkEnd w:id="488"/>
    <w:bookmarkEnd w:id="489"/>
    <w:bookmarkEnd w:id="490"/>
    <w:bookmarkEnd w:id="491"/>
    <w:p w14:paraId="20C33ADB">
      <w:pPr>
        <w:pStyle w:val="2"/>
        <w:rPr>
          <w:rFonts w:ascii="宋体" w:hAnsi="宋体"/>
          <w:color w:val="auto"/>
          <w:szCs w:val="24"/>
          <w:highlight w:val="none"/>
        </w:rPr>
      </w:pPr>
      <w:bookmarkStart w:id="499" w:name="_Toc15092"/>
      <w:bookmarkStart w:id="500" w:name="_Toc373478373"/>
      <w:bookmarkStart w:id="501" w:name="_Toc389065292"/>
      <w:bookmarkStart w:id="502" w:name="_Toc373227726"/>
      <w:bookmarkStart w:id="503" w:name="_Toc395382528"/>
      <w:bookmarkStart w:id="504" w:name="_Toc22121"/>
      <w:bookmarkStart w:id="505" w:name="_Toc533611481"/>
      <w:r>
        <w:rPr>
          <w:rFonts w:hint="eastAsia" w:ascii="宋体" w:hAnsi="宋体"/>
          <w:color w:val="auto"/>
          <w:szCs w:val="24"/>
          <w:highlight w:val="none"/>
        </w:rPr>
        <w:t>7.4 测量放线</w:t>
      </w:r>
      <w:bookmarkEnd w:id="499"/>
      <w:bookmarkEnd w:id="500"/>
      <w:bookmarkEnd w:id="501"/>
      <w:bookmarkEnd w:id="502"/>
      <w:bookmarkEnd w:id="503"/>
      <w:bookmarkEnd w:id="504"/>
      <w:bookmarkEnd w:id="505"/>
    </w:p>
    <w:p w14:paraId="6641F63A">
      <w:pPr>
        <w:spacing w:line="360" w:lineRule="auto"/>
        <w:ind w:firstLine="480" w:firstLineChars="200"/>
        <w:rPr>
          <w:rFonts w:ascii="宋体" w:hAnsi="宋体"/>
          <w:color w:val="auto"/>
          <w:sz w:val="24"/>
          <w:highlight w:val="none"/>
        </w:rPr>
      </w:pPr>
      <w:r>
        <w:rPr>
          <w:rFonts w:ascii="宋体" w:hAnsi="宋体"/>
          <w:color w:val="auto"/>
          <w:sz w:val="24"/>
          <w:highlight w:val="none"/>
        </w:rPr>
        <w:t>7.4.1发包人通过监理人向承包人提供测量基准点、基准线和水准点及其书面资料的期限：</w:t>
      </w:r>
    </w:p>
    <w:p w14:paraId="523D22F4">
      <w:pPr>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 xml:space="preserve">承包人进入工地后进行现场、书面交桩，承包人负责复核，承包人并对水准点和坐标控制点加以保护  </w:t>
      </w:r>
      <w:r>
        <w:rPr>
          <w:rFonts w:ascii="宋体" w:hAnsi="宋体"/>
          <w:color w:val="auto"/>
          <w:sz w:val="24"/>
          <w:highlight w:val="none"/>
        </w:rPr>
        <w:t>。</w:t>
      </w:r>
    </w:p>
    <w:p w14:paraId="7EFC41D7">
      <w:pPr>
        <w:pStyle w:val="2"/>
        <w:rPr>
          <w:rFonts w:ascii="宋体" w:hAnsi="宋体"/>
          <w:color w:val="auto"/>
          <w:szCs w:val="24"/>
          <w:highlight w:val="none"/>
        </w:rPr>
      </w:pPr>
      <w:bookmarkStart w:id="506" w:name="_Toc389065293"/>
      <w:bookmarkStart w:id="507" w:name="_Toc533611482"/>
      <w:bookmarkStart w:id="508" w:name="_Toc373478374"/>
      <w:bookmarkStart w:id="509" w:name="_Toc395382529"/>
      <w:bookmarkStart w:id="510" w:name="_Toc30440"/>
      <w:bookmarkStart w:id="511" w:name="_Toc373227727"/>
      <w:bookmarkStart w:id="512" w:name="_Toc29909"/>
      <w:r>
        <w:rPr>
          <w:rFonts w:hint="eastAsia" w:ascii="宋体" w:hAnsi="宋体"/>
          <w:color w:val="auto"/>
          <w:szCs w:val="24"/>
          <w:highlight w:val="none"/>
        </w:rPr>
        <w:t>7</w:t>
      </w:r>
      <w:bookmarkStart w:id="513" w:name="_Toc300934968"/>
      <w:bookmarkStart w:id="514" w:name="_Toc312677484"/>
      <w:bookmarkStart w:id="515" w:name="_Toc297123516"/>
      <w:bookmarkStart w:id="516" w:name="_Toc304295546"/>
      <w:bookmarkStart w:id="517" w:name="_Toc312678010"/>
      <w:bookmarkStart w:id="518" w:name="_Toc297216175"/>
      <w:bookmarkStart w:id="519" w:name="_Toc303539125"/>
      <w:r>
        <w:rPr>
          <w:rFonts w:hint="eastAsia" w:ascii="宋体" w:hAnsi="宋体"/>
          <w:color w:val="auto"/>
          <w:szCs w:val="24"/>
          <w:highlight w:val="none"/>
        </w:rPr>
        <w:t>.5 工期延误</w:t>
      </w:r>
      <w:bookmarkEnd w:id="506"/>
      <w:bookmarkEnd w:id="507"/>
      <w:bookmarkEnd w:id="508"/>
      <w:bookmarkEnd w:id="509"/>
      <w:bookmarkEnd w:id="510"/>
      <w:bookmarkEnd w:id="511"/>
      <w:bookmarkEnd w:id="512"/>
    </w:p>
    <w:bookmarkEnd w:id="513"/>
    <w:bookmarkEnd w:id="514"/>
    <w:bookmarkEnd w:id="515"/>
    <w:bookmarkEnd w:id="516"/>
    <w:bookmarkEnd w:id="517"/>
    <w:bookmarkEnd w:id="518"/>
    <w:bookmarkEnd w:id="519"/>
    <w:p w14:paraId="6A1AFF68">
      <w:pPr>
        <w:spacing w:line="360" w:lineRule="auto"/>
        <w:ind w:firstLine="480" w:firstLineChars="200"/>
        <w:rPr>
          <w:rFonts w:ascii="宋体" w:hAnsi="宋体"/>
          <w:color w:val="auto"/>
          <w:sz w:val="24"/>
          <w:highlight w:val="none"/>
        </w:rPr>
      </w:pPr>
      <w:r>
        <w:rPr>
          <w:rFonts w:ascii="宋体" w:hAnsi="宋体"/>
          <w:color w:val="auto"/>
          <w:sz w:val="24"/>
          <w:highlight w:val="none"/>
        </w:rPr>
        <w:t>7.5.1 因发包人原因导致工期延误</w:t>
      </w:r>
    </w:p>
    <w:p w14:paraId="518C7C78">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（7）因发包人原因导致工期延误的其他情形：</w:t>
      </w:r>
      <w:r>
        <w:rPr>
          <w:rFonts w:ascii="宋体" w:hAnsi="宋体"/>
          <w:color w:val="auto"/>
          <w:sz w:val="24"/>
          <w:highlight w:val="none"/>
          <w:u w:val="single"/>
        </w:rPr>
        <w:t xml:space="preserve">         /               </w:t>
      </w:r>
      <w:r>
        <w:rPr>
          <w:rFonts w:ascii="宋体" w:hAnsi="宋体"/>
          <w:color w:val="auto"/>
          <w:sz w:val="24"/>
          <w:highlight w:val="none"/>
        </w:rPr>
        <w:t>。</w:t>
      </w:r>
    </w:p>
    <w:p w14:paraId="18A7AA27">
      <w:pPr>
        <w:spacing w:line="360" w:lineRule="auto"/>
        <w:ind w:firstLine="480" w:firstLineChars="200"/>
        <w:rPr>
          <w:rFonts w:ascii="宋体" w:hAnsi="宋体"/>
          <w:color w:val="auto"/>
          <w:sz w:val="24"/>
          <w:highlight w:val="none"/>
        </w:rPr>
      </w:pPr>
      <w:r>
        <w:rPr>
          <w:rFonts w:ascii="宋体" w:hAnsi="宋体"/>
          <w:color w:val="auto"/>
          <w:sz w:val="24"/>
          <w:highlight w:val="none"/>
        </w:rPr>
        <w:t>7</w:t>
      </w:r>
      <w:bookmarkStart w:id="520" w:name="_Toc312677486"/>
      <w:bookmarkStart w:id="521" w:name="_Toc318581169"/>
      <w:bookmarkStart w:id="522" w:name="_Toc312678012"/>
      <w:bookmarkStart w:id="523" w:name="_Toc297216177"/>
      <w:bookmarkStart w:id="524" w:name="_Toc303539127"/>
      <w:bookmarkStart w:id="525" w:name="_Toc300934970"/>
      <w:bookmarkStart w:id="526" w:name="_Toc304295548"/>
      <w:bookmarkStart w:id="527" w:name="_Toc297123518"/>
      <w:r>
        <w:rPr>
          <w:rFonts w:ascii="宋体" w:hAnsi="宋体"/>
          <w:color w:val="auto"/>
          <w:sz w:val="24"/>
          <w:highlight w:val="none"/>
        </w:rPr>
        <w:t>.5.2 因承包人原因导致工期延误</w:t>
      </w:r>
    </w:p>
    <w:bookmarkEnd w:id="520"/>
    <w:bookmarkEnd w:id="521"/>
    <w:bookmarkEnd w:id="522"/>
    <w:p w14:paraId="5D6B3341">
      <w:pPr>
        <w:spacing w:line="360" w:lineRule="auto"/>
        <w:ind w:firstLine="420"/>
        <w:rPr>
          <w:rFonts w:ascii="宋体" w:hAnsi="宋体"/>
          <w:color w:val="auto"/>
          <w:sz w:val="24"/>
          <w:highlight w:val="none"/>
        </w:rPr>
      </w:pPr>
      <w:r>
        <w:rPr>
          <w:rFonts w:ascii="宋体" w:hAnsi="宋体"/>
          <w:color w:val="auto"/>
          <w:sz w:val="24"/>
          <w:highlight w:val="none"/>
        </w:rPr>
        <w:t>双方约定经监理工程师确认，工期相应顺延的情况：</w:t>
      </w:r>
    </w:p>
    <w:p w14:paraId="45464C59">
      <w:pPr>
        <w:spacing w:line="360" w:lineRule="auto"/>
        <w:ind w:firstLine="420"/>
        <w:rPr>
          <w:rFonts w:ascii="宋体" w:hAnsi="宋体"/>
          <w:color w:val="auto"/>
          <w:sz w:val="24"/>
          <w:highlight w:val="none"/>
          <w:u w:val="single"/>
        </w:rPr>
      </w:pPr>
      <w:r>
        <w:rPr>
          <w:rFonts w:ascii="宋体" w:hAnsi="宋体"/>
          <w:color w:val="auto"/>
          <w:sz w:val="24"/>
          <w:highlight w:val="none"/>
          <w:u w:val="single"/>
        </w:rPr>
        <w:t xml:space="preserve">  （1）每日白天（8：00—18：00）非承包人原因停水停电连续超过6个小时，经双方签字确认后，工期相应顺延。</w:t>
      </w:r>
    </w:p>
    <w:p w14:paraId="24DC1F2E">
      <w:pPr>
        <w:numPr>
          <w:ilvl w:val="0"/>
          <w:numId w:val="4"/>
        </w:numPr>
        <w:spacing w:line="360" w:lineRule="auto"/>
        <w:ind w:firstLine="420"/>
        <w:rPr>
          <w:rFonts w:ascii="宋体" w:hAnsi="宋体"/>
          <w:color w:val="auto"/>
          <w:sz w:val="24"/>
          <w:highlight w:val="none"/>
          <w:u w:val="single"/>
        </w:rPr>
      </w:pPr>
      <w:r>
        <w:rPr>
          <w:rFonts w:ascii="宋体" w:hAnsi="宋体"/>
          <w:color w:val="auto"/>
          <w:sz w:val="24"/>
          <w:highlight w:val="none"/>
          <w:u w:val="single"/>
        </w:rPr>
        <w:t>因政府行为连续停工一天以上的，工期可顺延。</w:t>
      </w:r>
    </w:p>
    <w:p w14:paraId="35D5D03D">
      <w:pPr>
        <w:numPr>
          <w:ilvl w:val="0"/>
          <w:numId w:val="4"/>
        </w:numPr>
        <w:spacing w:line="360" w:lineRule="auto"/>
        <w:ind w:firstLine="420"/>
        <w:rPr>
          <w:rFonts w:ascii="宋体" w:hAnsi="宋体"/>
          <w:color w:val="auto"/>
          <w:sz w:val="24"/>
          <w:highlight w:val="none"/>
        </w:rPr>
      </w:pPr>
      <w:r>
        <w:rPr>
          <w:rFonts w:ascii="宋体" w:hAnsi="宋体"/>
          <w:color w:val="auto"/>
          <w:sz w:val="24"/>
          <w:highlight w:val="none"/>
          <w:u w:val="single"/>
        </w:rPr>
        <w:t>通用条款7.5款约定的情况。</w:t>
      </w:r>
    </w:p>
    <w:p w14:paraId="5083C7F9">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因</w:t>
      </w:r>
      <w:bookmarkStart w:id="528" w:name="_Toc318581170"/>
      <w:bookmarkStart w:id="529" w:name="_Toc312678013"/>
      <w:bookmarkStart w:id="530" w:name="_Toc312677487"/>
      <w:r>
        <w:rPr>
          <w:rFonts w:ascii="宋体" w:hAnsi="宋体"/>
          <w:color w:val="auto"/>
          <w:sz w:val="24"/>
          <w:highlight w:val="none"/>
        </w:rPr>
        <w:t>承包人原因造成工期延误，逾期竣工违约金的计算方法为：</w:t>
      </w:r>
      <w:r>
        <w:rPr>
          <w:rFonts w:ascii="宋体" w:hAnsi="宋体"/>
          <w:color w:val="auto"/>
          <w:sz w:val="24"/>
          <w:highlight w:val="none"/>
          <w:u w:val="single"/>
        </w:rPr>
        <w:t>非上述原因，承包人不能按合同约定的时间竣工，承包人应承担违约责任。应向发包人支付误期赔偿费（每天赔偿金额为壹</w:t>
      </w:r>
      <w:r>
        <w:rPr>
          <w:rFonts w:hint="eastAsia" w:ascii="宋体" w:hAnsi="宋体"/>
          <w:color w:val="auto"/>
          <w:sz w:val="24"/>
          <w:highlight w:val="none"/>
          <w:u w:val="single"/>
        </w:rPr>
        <w:t>仟</w:t>
      </w:r>
      <w:r>
        <w:rPr>
          <w:rFonts w:ascii="宋体" w:hAnsi="宋体"/>
          <w:color w:val="auto"/>
          <w:sz w:val="24"/>
          <w:highlight w:val="none"/>
          <w:u w:val="single"/>
        </w:rPr>
        <w:t xml:space="preserve">元整 ），误期时间从规定竣工日期起直到全部工程或相应部分工程竣工验收各方签章日期之间的天数。发包人可从应向承包人支付的任何金额中扣除此项赔款费或其他方式收回此款，此赔偿款的支付并不能解除承包人应完成工程的责任或合同规定的其他责任。 </w:t>
      </w:r>
    </w:p>
    <w:bookmarkEnd w:id="523"/>
    <w:bookmarkEnd w:id="524"/>
    <w:bookmarkEnd w:id="525"/>
    <w:bookmarkEnd w:id="526"/>
    <w:bookmarkEnd w:id="527"/>
    <w:bookmarkEnd w:id="528"/>
    <w:bookmarkEnd w:id="529"/>
    <w:bookmarkEnd w:id="530"/>
    <w:p w14:paraId="0053B677">
      <w:pPr>
        <w:spacing w:line="360" w:lineRule="auto"/>
        <w:ind w:firstLine="480" w:firstLineChars="200"/>
        <w:rPr>
          <w:rFonts w:ascii="宋体" w:hAnsi="宋体"/>
          <w:color w:val="auto"/>
          <w:sz w:val="24"/>
          <w:highlight w:val="none"/>
        </w:rPr>
      </w:pPr>
      <w:r>
        <w:rPr>
          <w:rFonts w:ascii="宋体" w:hAnsi="宋体"/>
          <w:color w:val="auto"/>
          <w:sz w:val="24"/>
          <w:highlight w:val="none"/>
        </w:rPr>
        <w:t>因承包人原因造成工期延误，逾</w:t>
      </w:r>
      <w:bookmarkStart w:id="531" w:name="_Toc318581171"/>
      <w:bookmarkStart w:id="532" w:name="_Toc312678014"/>
      <w:r>
        <w:rPr>
          <w:rFonts w:ascii="宋体" w:hAnsi="宋体"/>
          <w:color w:val="auto"/>
          <w:sz w:val="24"/>
          <w:highlight w:val="none"/>
        </w:rPr>
        <w:t>期竣工违约金的上限：</w:t>
      </w:r>
      <w:r>
        <w:rPr>
          <w:rFonts w:ascii="宋体" w:hAnsi="宋体"/>
          <w:color w:val="auto"/>
          <w:sz w:val="24"/>
          <w:highlight w:val="none"/>
          <w:u w:val="single"/>
        </w:rPr>
        <w:t>合同价款的3%</w:t>
      </w:r>
      <w:r>
        <w:rPr>
          <w:rFonts w:ascii="宋体" w:hAnsi="宋体"/>
          <w:color w:val="auto"/>
          <w:sz w:val="24"/>
          <w:highlight w:val="none"/>
        </w:rPr>
        <w:t>。</w:t>
      </w:r>
    </w:p>
    <w:bookmarkEnd w:id="531"/>
    <w:bookmarkEnd w:id="532"/>
    <w:p w14:paraId="6B159381">
      <w:pPr>
        <w:pStyle w:val="2"/>
        <w:rPr>
          <w:rFonts w:ascii="宋体" w:hAnsi="宋体"/>
          <w:color w:val="auto"/>
          <w:szCs w:val="24"/>
          <w:highlight w:val="none"/>
        </w:rPr>
      </w:pPr>
      <w:bookmarkStart w:id="533" w:name="_Toc14026"/>
      <w:bookmarkStart w:id="534" w:name="_Toc373478375"/>
      <w:bookmarkStart w:id="535" w:name="_Toc533611483"/>
      <w:bookmarkStart w:id="536" w:name="_Toc395382530"/>
      <w:bookmarkStart w:id="537" w:name="_Toc17926"/>
      <w:bookmarkStart w:id="538" w:name="_Toc373227728"/>
      <w:bookmarkStart w:id="539" w:name="_Toc389065294"/>
      <w:r>
        <w:rPr>
          <w:rFonts w:hint="eastAsia" w:ascii="宋体" w:hAnsi="宋体"/>
          <w:color w:val="auto"/>
          <w:szCs w:val="24"/>
          <w:highlight w:val="none"/>
        </w:rPr>
        <w:t>7</w:t>
      </w:r>
      <w:bookmarkStart w:id="540" w:name="_Toc297216178"/>
      <w:bookmarkStart w:id="541" w:name="_Toc303539128"/>
      <w:bookmarkStart w:id="542" w:name="_Toc304295549"/>
      <w:bookmarkStart w:id="543" w:name="_Toc312678015"/>
      <w:bookmarkStart w:id="544" w:name="_Toc300934971"/>
      <w:bookmarkStart w:id="545" w:name="_Toc297123519"/>
      <w:r>
        <w:rPr>
          <w:rFonts w:hint="eastAsia" w:ascii="宋体" w:hAnsi="宋体"/>
          <w:color w:val="auto"/>
          <w:szCs w:val="24"/>
          <w:highlight w:val="none"/>
        </w:rPr>
        <w:t>.6 不</w:t>
      </w:r>
      <w:bookmarkEnd w:id="540"/>
      <w:bookmarkEnd w:id="541"/>
      <w:bookmarkEnd w:id="542"/>
      <w:bookmarkEnd w:id="543"/>
      <w:bookmarkEnd w:id="544"/>
      <w:bookmarkEnd w:id="545"/>
      <w:r>
        <w:rPr>
          <w:rFonts w:hint="eastAsia" w:ascii="宋体" w:hAnsi="宋体"/>
          <w:color w:val="auto"/>
          <w:szCs w:val="24"/>
          <w:highlight w:val="none"/>
        </w:rPr>
        <w:t>利物质条件</w:t>
      </w:r>
      <w:bookmarkEnd w:id="533"/>
      <w:bookmarkEnd w:id="534"/>
      <w:bookmarkEnd w:id="535"/>
      <w:bookmarkEnd w:id="536"/>
      <w:bookmarkEnd w:id="537"/>
      <w:bookmarkEnd w:id="538"/>
      <w:bookmarkEnd w:id="539"/>
    </w:p>
    <w:p w14:paraId="3116019E">
      <w:pPr>
        <w:spacing w:line="360" w:lineRule="auto"/>
        <w:ind w:firstLine="480" w:firstLineChars="200"/>
        <w:rPr>
          <w:rFonts w:ascii="宋体" w:hAnsi="宋体"/>
          <w:color w:val="auto"/>
          <w:sz w:val="24"/>
          <w:highlight w:val="none"/>
          <w:u w:val="single"/>
        </w:rPr>
      </w:pPr>
      <w:bookmarkStart w:id="546" w:name="_Toc318581172"/>
      <w:bookmarkStart w:id="547" w:name="_Toc297123520"/>
      <w:bookmarkStart w:id="548" w:name="_Toc300934972"/>
      <w:bookmarkStart w:id="549" w:name="_Toc312678016"/>
      <w:bookmarkStart w:id="550" w:name="_Toc297216179"/>
      <w:bookmarkStart w:id="551" w:name="_Toc304295550"/>
      <w:bookmarkStart w:id="552" w:name="_Toc303539129"/>
      <w:r>
        <w:rPr>
          <w:rFonts w:ascii="宋体" w:hAnsi="宋体"/>
          <w:color w:val="auto"/>
          <w:sz w:val="24"/>
          <w:highlight w:val="none"/>
        </w:rPr>
        <w:t>不利物质条件的其他情形和有关约定：</w:t>
      </w:r>
      <w:r>
        <w:rPr>
          <w:rFonts w:ascii="宋体" w:hAnsi="宋体"/>
          <w:color w:val="auto"/>
          <w:sz w:val="24"/>
          <w:highlight w:val="none"/>
          <w:u w:val="single"/>
        </w:rPr>
        <w:t>按本合同《通用条款》相关规定执行</w:t>
      </w:r>
      <w:r>
        <w:rPr>
          <w:rFonts w:ascii="宋体" w:hAnsi="宋体"/>
          <w:color w:val="auto"/>
          <w:sz w:val="24"/>
          <w:highlight w:val="none"/>
        </w:rPr>
        <w:t>。</w:t>
      </w:r>
    </w:p>
    <w:bookmarkEnd w:id="546"/>
    <w:bookmarkEnd w:id="547"/>
    <w:bookmarkEnd w:id="548"/>
    <w:bookmarkEnd w:id="549"/>
    <w:bookmarkEnd w:id="550"/>
    <w:bookmarkEnd w:id="551"/>
    <w:bookmarkEnd w:id="552"/>
    <w:p w14:paraId="1321EC23">
      <w:pPr>
        <w:pStyle w:val="2"/>
        <w:rPr>
          <w:rFonts w:ascii="宋体" w:hAnsi="宋体"/>
          <w:color w:val="auto"/>
          <w:szCs w:val="24"/>
          <w:highlight w:val="none"/>
        </w:rPr>
      </w:pPr>
      <w:bookmarkStart w:id="553" w:name="_Toc373478376"/>
      <w:bookmarkStart w:id="554" w:name="_Toc373227729"/>
      <w:bookmarkStart w:id="555" w:name="_Toc395382531"/>
      <w:bookmarkStart w:id="556" w:name="_Toc9705"/>
      <w:bookmarkStart w:id="557" w:name="_Toc533611484"/>
      <w:bookmarkStart w:id="558" w:name="_Toc20915"/>
      <w:bookmarkStart w:id="559" w:name="_Toc389065295"/>
      <w:r>
        <w:rPr>
          <w:rFonts w:hint="eastAsia" w:ascii="宋体" w:hAnsi="宋体"/>
          <w:color w:val="auto"/>
          <w:szCs w:val="24"/>
          <w:highlight w:val="none"/>
        </w:rPr>
        <w:t>7</w:t>
      </w:r>
      <w:bookmarkStart w:id="560" w:name="_Toc304295551"/>
      <w:bookmarkStart w:id="561" w:name="_Toc300934973"/>
      <w:bookmarkStart w:id="562" w:name="_Toc312678017"/>
      <w:bookmarkStart w:id="563" w:name="_Toc297216180"/>
      <w:bookmarkStart w:id="564" w:name="_Toc303539130"/>
      <w:bookmarkStart w:id="565" w:name="_Toc297123521"/>
      <w:r>
        <w:rPr>
          <w:rFonts w:hint="eastAsia" w:ascii="宋体" w:hAnsi="宋体"/>
          <w:color w:val="auto"/>
          <w:szCs w:val="24"/>
          <w:highlight w:val="none"/>
        </w:rPr>
        <w:t>.7 异常恶劣的气候条件</w:t>
      </w:r>
      <w:bookmarkEnd w:id="553"/>
      <w:bookmarkEnd w:id="554"/>
      <w:bookmarkEnd w:id="555"/>
      <w:bookmarkEnd w:id="556"/>
      <w:bookmarkEnd w:id="557"/>
      <w:bookmarkEnd w:id="558"/>
      <w:bookmarkEnd w:id="559"/>
    </w:p>
    <w:bookmarkEnd w:id="560"/>
    <w:bookmarkEnd w:id="561"/>
    <w:bookmarkEnd w:id="562"/>
    <w:bookmarkEnd w:id="563"/>
    <w:bookmarkEnd w:id="564"/>
    <w:bookmarkEnd w:id="565"/>
    <w:p w14:paraId="429F34D1">
      <w:pPr>
        <w:spacing w:line="360" w:lineRule="auto"/>
        <w:ind w:firstLine="480" w:firstLineChars="200"/>
        <w:rPr>
          <w:rFonts w:ascii="宋体" w:hAnsi="宋体"/>
          <w:color w:val="auto"/>
          <w:sz w:val="24"/>
          <w:highlight w:val="none"/>
        </w:rPr>
      </w:pPr>
      <w:r>
        <w:rPr>
          <w:rFonts w:ascii="宋体" w:hAnsi="宋体"/>
          <w:color w:val="auto"/>
          <w:sz w:val="24"/>
          <w:highlight w:val="none"/>
        </w:rPr>
        <w:t>发包人和承包人同意以下情形视为异常恶劣的气候条件：</w:t>
      </w:r>
    </w:p>
    <w:p w14:paraId="68E7CA8D">
      <w:pPr>
        <w:spacing w:line="360" w:lineRule="exact"/>
        <w:ind w:firstLine="480" w:firstLineChars="200"/>
        <w:rPr>
          <w:rFonts w:ascii="宋体" w:hAnsi="宋体"/>
          <w:color w:val="auto"/>
          <w:sz w:val="24"/>
          <w:highlight w:val="none"/>
          <w:u w:val="single"/>
        </w:rPr>
      </w:pPr>
      <w:bookmarkStart w:id="566" w:name="_Toc395382532"/>
      <w:bookmarkStart w:id="567" w:name="_Toc373478377"/>
      <w:bookmarkStart w:id="568" w:name="_Toc23564"/>
      <w:bookmarkStart w:id="569" w:name="_Toc373227730"/>
      <w:bookmarkStart w:id="570" w:name="_Toc389065296"/>
      <w:r>
        <w:rPr>
          <w:rFonts w:ascii="宋体" w:hAnsi="宋体"/>
          <w:color w:val="auto"/>
          <w:sz w:val="24"/>
          <w:highlight w:val="none"/>
          <w:u w:val="single"/>
        </w:rPr>
        <w:t>（1）中雨及以上的雨水</w:t>
      </w:r>
    </w:p>
    <w:p w14:paraId="694188AD">
      <w:pPr>
        <w:spacing w:line="360" w:lineRule="exact"/>
        <w:ind w:firstLine="480" w:firstLineChars="200"/>
        <w:rPr>
          <w:rFonts w:ascii="宋体" w:hAnsi="宋体"/>
          <w:color w:val="auto"/>
          <w:sz w:val="24"/>
          <w:highlight w:val="none"/>
          <w:u w:val="single"/>
        </w:rPr>
      </w:pPr>
      <w:r>
        <w:rPr>
          <w:rFonts w:ascii="宋体" w:hAnsi="宋体"/>
          <w:color w:val="auto"/>
          <w:sz w:val="24"/>
          <w:highlight w:val="none"/>
          <w:u w:val="single"/>
        </w:rPr>
        <w:t>（2）6级及以上的大风（以气象部门鉴定为准）</w:t>
      </w:r>
    </w:p>
    <w:p w14:paraId="25A741D9">
      <w:pPr>
        <w:spacing w:line="360" w:lineRule="exact"/>
        <w:ind w:firstLine="480" w:firstLineChars="200"/>
        <w:rPr>
          <w:rFonts w:ascii="宋体" w:hAnsi="宋体"/>
          <w:color w:val="auto"/>
          <w:sz w:val="24"/>
          <w:highlight w:val="none"/>
          <w:u w:val="single"/>
        </w:rPr>
      </w:pPr>
      <w:r>
        <w:rPr>
          <w:rFonts w:ascii="宋体" w:hAnsi="宋体"/>
          <w:color w:val="auto"/>
          <w:sz w:val="24"/>
          <w:highlight w:val="none"/>
          <w:u w:val="single"/>
        </w:rPr>
        <w:t>（3）日气温超过38 ℃的高温大于 2 天；</w:t>
      </w:r>
    </w:p>
    <w:p w14:paraId="65117235">
      <w:pPr>
        <w:spacing w:line="360" w:lineRule="exact"/>
        <w:ind w:firstLine="480" w:firstLineChars="200"/>
        <w:rPr>
          <w:rFonts w:ascii="宋体" w:hAnsi="宋体"/>
          <w:color w:val="auto"/>
          <w:sz w:val="24"/>
          <w:highlight w:val="none"/>
          <w:u w:val="single"/>
        </w:rPr>
      </w:pPr>
      <w:r>
        <w:rPr>
          <w:rFonts w:ascii="宋体" w:hAnsi="宋体"/>
          <w:color w:val="auto"/>
          <w:sz w:val="24"/>
          <w:highlight w:val="none"/>
          <w:u w:val="single"/>
        </w:rPr>
        <w:t>（4）日气温低于 -10℃的严寒大于 2 天。</w:t>
      </w:r>
    </w:p>
    <w:p w14:paraId="60546E8F">
      <w:pPr>
        <w:spacing w:line="360" w:lineRule="exact"/>
        <w:ind w:firstLine="480" w:firstLineChars="200"/>
        <w:rPr>
          <w:rFonts w:ascii="宋体" w:hAnsi="宋体"/>
          <w:color w:val="auto"/>
          <w:sz w:val="24"/>
          <w:highlight w:val="none"/>
          <w:u w:val="single"/>
        </w:rPr>
      </w:pPr>
      <w:r>
        <w:rPr>
          <w:rFonts w:ascii="宋体" w:hAnsi="宋体"/>
          <w:color w:val="auto"/>
          <w:sz w:val="24"/>
          <w:highlight w:val="none"/>
          <w:u w:val="single"/>
        </w:rPr>
        <w:t>（5）造成工程损坏的冰雹和大雪灾害；</w:t>
      </w:r>
    </w:p>
    <w:p w14:paraId="7F7C507B">
      <w:pPr>
        <w:spacing w:line="360" w:lineRule="exact"/>
        <w:ind w:firstLine="480" w:firstLineChars="200"/>
        <w:rPr>
          <w:rFonts w:ascii="宋体" w:hAnsi="宋体"/>
          <w:color w:val="auto"/>
          <w:sz w:val="24"/>
          <w:highlight w:val="none"/>
          <w:u w:val="single"/>
        </w:rPr>
      </w:pPr>
      <w:r>
        <w:rPr>
          <w:rFonts w:ascii="宋体" w:hAnsi="宋体"/>
          <w:color w:val="auto"/>
          <w:sz w:val="24"/>
          <w:highlight w:val="none"/>
          <w:u w:val="single"/>
        </w:rPr>
        <w:t>（6）6 级及以上的地震；</w:t>
      </w:r>
    </w:p>
    <w:p w14:paraId="60139B1C">
      <w:pPr>
        <w:spacing w:line="360" w:lineRule="exact"/>
        <w:ind w:firstLine="480" w:firstLineChars="200"/>
        <w:rPr>
          <w:rFonts w:ascii="宋体" w:hAnsi="宋体"/>
          <w:color w:val="auto"/>
          <w:sz w:val="24"/>
          <w:highlight w:val="none"/>
          <w:u w:val="single"/>
        </w:rPr>
      </w:pPr>
      <w:r>
        <w:rPr>
          <w:rFonts w:ascii="宋体" w:hAnsi="宋体"/>
          <w:color w:val="auto"/>
          <w:sz w:val="24"/>
          <w:highlight w:val="none"/>
          <w:u w:val="single"/>
        </w:rPr>
        <w:t>（7）20年一遇及以上的洪水；</w:t>
      </w:r>
    </w:p>
    <w:p w14:paraId="571878D8">
      <w:pPr>
        <w:spacing w:line="360" w:lineRule="exact"/>
        <w:ind w:firstLine="482" w:firstLineChars="200"/>
        <w:rPr>
          <w:rFonts w:ascii="宋体" w:hAnsi="宋体"/>
          <w:b/>
          <w:bCs/>
          <w:color w:val="auto"/>
          <w:sz w:val="24"/>
          <w:highlight w:val="none"/>
          <w:u w:val="single"/>
        </w:rPr>
      </w:pPr>
      <w:r>
        <w:rPr>
          <w:rFonts w:ascii="宋体" w:hAnsi="宋体"/>
          <w:b/>
          <w:bCs/>
          <w:color w:val="auto"/>
          <w:sz w:val="24"/>
          <w:highlight w:val="none"/>
          <w:u w:val="single"/>
        </w:rPr>
        <w:t>以有关部门发布的文件为准</w:t>
      </w:r>
      <w:r>
        <w:rPr>
          <w:rFonts w:ascii="宋体" w:hAnsi="宋体"/>
          <w:b/>
          <w:bCs/>
          <w:color w:val="auto"/>
          <w:sz w:val="24"/>
          <w:highlight w:val="none"/>
        </w:rPr>
        <w:t>。</w:t>
      </w:r>
    </w:p>
    <w:p w14:paraId="5DC0A250">
      <w:pPr>
        <w:pStyle w:val="2"/>
        <w:rPr>
          <w:rFonts w:ascii="宋体" w:hAnsi="宋体"/>
          <w:color w:val="auto"/>
          <w:szCs w:val="24"/>
          <w:highlight w:val="none"/>
        </w:rPr>
      </w:pPr>
      <w:bookmarkStart w:id="571" w:name="_Toc30009"/>
      <w:bookmarkStart w:id="572" w:name="_Toc533611485"/>
      <w:r>
        <w:rPr>
          <w:rFonts w:hint="eastAsia" w:ascii="宋体" w:hAnsi="宋体"/>
          <w:color w:val="auto"/>
          <w:szCs w:val="24"/>
          <w:highlight w:val="none"/>
        </w:rPr>
        <w:t>7.9 提前竣工</w:t>
      </w:r>
      <w:bookmarkEnd w:id="566"/>
      <w:bookmarkEnd w:id="567"/>
      <w:bookmarkEnd w:id="568"/>
      <w:bookmarkEnd w:id="569"/>
      <w:bookmarkEnd w:id="570"/>
      <w:bookmarkEnd w:id="571"/>
      <w:bookmarkEnd w:id="572"/>
    </w:p>
    <w:p w14:paraId="3D418BFB">
      <w:pPr>
        <w:spacing w:line="360" w:lineRule="auto"/>
        <w:ind w:firstLine="480" w:firstLineChars="200"/>
        <w:rPr>
          <w:rFonts w:ascii="宋体" w:hAnsi="宋体"/>
          <w:color w:val="auto"/>
          <w:sz w:val="24"/>
          <w:highlight w:val="none"/>
        </w:rPr>
      </w:pPr>
      <w:r>
        <w:rPr>
          <w:rFonts w:ascii="宋体" w:hAnsi="宋体"/>
          <w:color w:val="auto"/>
          <w:sz w:val="24"/>
          <w:highlight w:val="none"/>
        </w:rPr>
        <w:t>7.9.2提前竣工（赶工）增加费的计算方法：</w:t>
      </w:r>
      <w:r>
        <w:rPr>
          <w:rFonts w:ascii="宋体" w:hAnsi="宋体"/>
          <w:color w:val="auto"/>
          <w:sz w:val="24"/>
          <w:highlight w:val="none"/>
          <w:u w:val="single"/>
        </w:rPr>
        <w:t xml:space="preserve">               无             </w:t>
      </w:r>
      <w:r>
        <w:rPr>
          <w:rFonts w:ascii="宋体" w:hAnsi="宋体"/>
          <w:color w:val="auto"/>
          <w:sz w:val="24"/>
          <w:highlight w:val="none"/>
        </w:rPr>
        <w:t>。</w:t>
      </w:r>
    </w:p>
    <w:p w14:paraId="3A3C0144">
      <w:pPr>
        <w:pStyle w:val="4"/>
        <w:rPr>
          <w:rFonts w:ascii="宋体" w:hAnsi="宋体" w:eastAsia="宋体"/>
          <w:color w:val="auto"/>
          <w:sz w:val="24"/>
          <w:szCs w:val="24"/>
          <w:highlight w:val="none"/>
        </w:rPr>
      </w:pPr>
      <w:bookmarkStart w:id="573" w:name="_Toc389065297"/>
      <w:bookmarkStart w:id="574" w:name="_Toc373478378"/>
      <w:bookmarkStart w:id="575" w:name="_Toc533611486"/>
      <w:bookmarkStart w:id="576" w:name="_Toc25114"/>
      <w:bookmarkStart w:id="577" w:name="_Toc373227731"/>
      <w:bookmarkStart w:id="578" w:name="_Toc395382533"/>
      <w:bookmarkStart w:id="579" w:name="_Toc1965"/>
      <w:r>
        <w:rPr>
          <w:rFonts w:hint="eastAsia" w:ascii="宋体" w:hAnsi="宋体" w:eastAsia="宋体"/>
          <w:color w:val="auto"/>
          <w:sz w:val="24"/>
          <w:szCs w:val="24"/>
          <w:highlight w:val="none"/>
        </w:rPr>
        <w:t>8. 材料与设备</w:t>
      </w:r>
      <w:bookmarkEnd w:id="573"/>
      <w:bookmarkEnd w:id="574"/>
      <w:bookmarkEnd w:id="575"/>
      <w:bookmarkEnd w:id="576"/>
      <w:bookmarkEnd w:id="577"/>
      <w:bookmarkEnd w:id="578"/>
      <w:bookmarkEnd w:id="579"/>
    </w:p>
    <w:bookmarkEnd w:id="419"/>
    <w:bookmarkEnd w:id="420"/>
    <w:bookmarkEnd w:id="421"/>
    <w:bookmarkEnd w:id="422"/>
    <w:bookmarkEnd w:id="423"/>
    <w:bookmarkEnd w:id="424"/>
    <w:bookmarkEnd w:id="425"/>
    <w:bookmarkEnd w:id="426"/>
    <w:bookmarkEnd w:id="427"/>
    <w:bookmarkEnd w:id="428"/>
    <w:p w14:paraId="756928C7">
      <w:pPr>
        <w:pStyle w:val="2"/>
        <w:rPr>
          <w:rFonts w:ascii="宋体" w:hAnsi="宋体"/>
          <w:color w:val="auto"/>
          <w:szCs w:val="24"/>
          <w:highlight w:val="none"/>
        </w:rPr>
      </w:pPr>
      <w:bookmarkStart w:id="580" w:name="_Toc533611487"/>
      <w:bookmarkStart w:id="581" w:name="_Toc14480"/>
      <w:bookmarkStart w:id="582" w:name="_Toc395382534"/>
      <w:bookmarkStart w:id="583" w:name="_Toc373478379"/>
      <w:bookmarkStart w:id="584" w:name="_Toc373227732"/>
      <w:bookmarkStart w:id="585" w:name="_Toc27745"/>
      <w:bookmarkStart w:id="586" w:name="_Toc389065298"/>
      <w:r>
        <w:rPr>
          <w:rFonts w:hint="eastAsia" w:ascii="宋体" w:hAnsi="宋体"/>
          <w:color w:val="auto"/>
          <w:szCs w:val="24"/>
          <w:highlight w:val="none"/>
        </w:rPr>
        <w:t>8.2 承包人采购材料与工程设备</w:t>
      </w:r>
      <w:bookmarkEnd w:id="580"/>
      <w:bookmarkEnd w:id="581"/>
      <w:bookmarkEnd w:id="582"/>
      <w:bookmarkEnd w:id="583"/>
      <w:bookmarkEnd w:id="584"/>
      <w:bookmarkEnd w:id="585"/>
      <w:bookmarkEnd w:id="586"/>
    </w:p>
    <w:p w14:paraId="567142C6">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3EE4A848">
      <w:pPr>
        <w:pStyle w:val="2"/>
        <w:rPr>
          <w:rFonts w:ascii="宋体" w:hAnsi="宋体"/>
          <w:color w:val="auto"/>
          <w:szCs w:val="24"/>
          <w:highlight w:val="none"/>
        </w:rPr>
      </w:pPr>
      <w:bookmarkStart w:id="587" w:name="_Toc395382535"/>
      <w:bookmarkStart w:id="588" w:name="_Toc373478380"/>
      <w:bookmarkStart w:id="589" w:name="_Toc389065299"/>
      <w:bookmarkStart w:id="590" w:name="_Toc533611488"/>
      <w:bookmarkStart w:id="591" w:name="_Toc13201"/>
      <w:bookmarkStart w:id="592" w:name="_Toc373227733"/>
      <w:bookmarkStart w:id="593" w:name="_Toc21106"/>
      <w:r>
        <w:rPr>
          <w:rFonts w:hint="eastAsia" w:ascii="宋体" w:hAnsi="宋体"/>
          <w:color w:val="auto"/>
          <w:szCs w:val="24"/>
          <w:highlight w:val="none"/>
        </w:rPr>
        <w:t>8</w:t>
      </w:r>
      <w:bookmarkStart w:id="594" w:name="_Toc296891207"/>
      <w:bookmarkStart w:id="595" w:name="_Toc297216186"/>
      <w:bookmarkStart w:id="596" w:name="_Toc292559877"/>
      <w:bookmarkStart w:id="597" w:name="_Toc292559372"/>
      <w:bookmarkStart w:id="598" w:name="_Toc297048353"/>
      <w:bookmarkStart w:id="599" w:name="_Toc297123527"/>
      <w:bookmarkStart w:id="600" w:name="_Toc296944506"/>
      <w:bookmarkStart w:id="601" w:name="_Toc280868654"/>
      <w:bookmarkStart w:id="602" w:name="_Toc304295556"/>
      <w:bookmarkStart w:id="603" w:name="_Toc296347166"/>
      <w:bookmarkStart w:id="604" w:name="_Toc297120467"/>
      <w:bookmarkStart w:id="605" w:name="_Toc303539136"/>
      <w:bookmarkStart w:id="606" w:name="_Toc300934979"/>
      <w:bookmarkStart w:id="607" w:name="_Toc312678019"/>
      <w:bookmarkStart w:id="608" w:name="_Toc296890995"/>
      <w:bookmarkStart w:id="609" w:name="_Toc296503167"/>
      <w:bookmarkStart w:id="610" w:name="_Toc296346668"/>
      <w:bookmarkStart w:id="611" w:name="_Toc312677493"/>
      <w:bookmarkStart w:id="612" w:name="_Toc280868656"/>
      <w:bookmarkStart w:id="613" w:name="_Toc267251424"/>
      <w:bookmarkStart w:id="614" w:name="_Toc280868655"/>
      <w:r>
        <w:rPr>
          <w:rFonts w:hint="eastAsia" w:ascii="宋体" w:hAnsi="宋体"/>
          <w:color w:val="auto"/>
          <w:szCs w:val="24"/>
          <w:highlight w:val="none"/>
        </w:rPr>
        <w:t>.4 材料与工程设备的保管与使用</w:t>
      </w:r>
      <w:bookmarkEnd w:id="587"/>
      <w:bookmarkEnd w:id="588"/>
      <w:bookmarkEnd w:id="589"/>
      <w:bookmarkEnd w:id="590"/>
      <w:bookmarkEnd w:id="591"/>
      <w:bookmarkEnd w:id="592"/>
      <w:bookmarkEnd w:id="593"/>
    </w:p>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14:paraId="40E6477B">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8</w:t>
      </w:r>
      <w:bookmarkStart w:id="615" w:name="_Toc292559878"/>
      <w:bookmarkStart w:id="616" w:name="_Toc292559373"/>
      <w:bookmarkStart w:id="617" w:name="_Toc296890996"/>
      <w:bookmarkStart w:id="618" w:name="_Toc312678020"/>
      <w:bookmarkStart w:id="619" w:name="_Toc296503168"/>
      <w:bookmarkStart w:id="620" w:name="_Toc296347167"/>
      <w:bookmarkStart w:id="621" w:name="_Toc300934980"/>
      <w:bookmarkStart w:id="622" w:name="_Toc296891208"/>
      <w:bookmarkStart w:id="623" w:name="_Toc297123528"/>
      <w:bookmarkStart w:id="624" w:name="_Toc297120468"/>
      <w:bookmarkStart w:id="625" w:name="_Toc297216187"/>
      <w:bookmarkStart w:id="626" w:name="_Toc297048354"/>
      <w:bookmarkStart w:id="627" w:name="_Toc312677494"/>
      <w:bookmarkStart w:id="628" w:name="_Toc304295557"/>
      <w:bookmarkStart w:id="629" w:name="_Toc296944507"/>
      <w:bookmarkStart w:id="630" w:name="_Toc303539137"/>
      <w:bookmarkStart w:id="631" w:name="_Toc318581173"/>
      <w:bookmarkStart w:id="632" w:name="_Toc296346669"/>
      <w:r>
        <w:rPr>
          <w:rFonts w:ascii="宋体" w:hAnsi="宋体"/>
          <w:color w:val="auto"/>
          <w:sz w:val="24"/>
          <w:highlight w:val="none"/>
        </w:rPr>
        <w:t>.4.1发包人供应的材料设备的保管费用的承担：</w:t>
      </w:r>
      <w:r>
        <w:rPr>
          <w:rFonts w:ascii="宋体" w:hAnsi="宋体"/>
          <w:color w:val="auto"/>
          <w:sz w:val="24"/>
          <w:highlight w:val="none"/>
          <w:u w:val="single"/>
        </w:rPr>
        <w:t xml:space="preserve">   由承包人承担  </w:t>
      </w:r>
      <w:r>
        <w:rPr>
          <w:rFonts w:ascii="宋体" w:hAnsi="宋体"/>
          <w:color w:val="auto"/>
          <w:sz w:val="24"/>
          <w:highlight w:val="none"/>
        </w:rPr>
        <w:t>。</w:t>
      </w:r>
    </w:p>
    <w:bookmarkEnd w:id="615"/>
    <w:bookmarkEnd w:id="616"/>
    <w:p w14:paraId="16A82F4F">
      <w:pPr>
        <w:pStyle w:val="2"/>
        <w:rPr>
          <w:rFonts w:ascii="宋体" w:hAnsi="宋体"/>
          <w:color w:val="auto"/>
          <w:szCs w:val="24"/>
          <w:highlight w:val="none"/>
        </w:rPr>
      </w:pPr>
      <w:bookmarkStart w:id="633" w:name="_Toc373478381"/>
      <w:bookmarkStart w:id="634" w:name="_Toc17124"/>
      <w:bookmarkStart w:id="635" w:name="_Toc373227734"/>
      <w:bookmarkStart w:id="636" w:name="_Toc395382536"/>
      <w:bookmarkStart w:id="637" w:name="_Toc389065300"/>
      <w:bookmarkStart w:id="638" w:name="_Toc1620"/>
      <w:bookmarkStart w:id="639" w:name="_Toc533611489"/>
      <w:r>
        <w:rPr>
          <w:rFonts w:hint="eastAsia" w:ascii="宋体" w:hAnsi="宋体"/>
          <w:color w:val="auto"/>
          <w:szCs w:val="24"/>
          <w:highlight w:val="none"/>
        </w:rPr>
        <w:t>8.6 样品</w:t>
      </w:r>
      <w:bookmarkEnd w:id="633"/>
      <w:bookmarkEnd w:id="634"/>
      <w:bookmarkEnd w:id="635"/>
      <w:bookmarkEnd w:id="636"/>
      <w:bookmarkEnd w:id="637"/>
      <w:bookmarkEnd w:id="638"/>
      <w:bookmarkEnd w:id="639"/>
    </w:p>
    <w:p w14:paraId="5EC263CA">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8.6.1 样品的报送与封存</w:t>
      </w:r>
    </w:p>
    <w:p w14:paraId="7523B0A8">
      <w:pPr>
        <w:adjustRightInd w:val="0"/>
        <w:spacing w:line="360" w:lineRule="auto"/>
        <w:ind w:firstLine="480" w:firstLineChars="200"/>
        <w:rPr>
          <w:rFonts w:ascii="宋体" w:hAnsi="宋体"/>
          <w:color w:val="auto"/>
          <w:sz w:val="24"/>
          <w:highlight w:val="none"/>
          <w:u w:val="single"/>
        </w:rPr>
      </w:pPr>
      <w:r>
        <w:rPr>
          <w:rFonts w:ascii="宋体" w:hAnsi="宋体"/>
          <w:color w:val="auto"/>
          <w:sz w:val="24"/>
          <w:highlight w:val="none"/>
        </w:rPr>
        <w:t>需要承包人报送样品的材料或工程设备，样品的种类、名称、规格、数量要求：</w:t>
      </w:r>
      <w:r>
        <w:rPr>
          <w:rFonts w:ascii="宋体" w:hAnsi="宋体"/>
          <w:color w:val="auto"/>
          <w:sz w:val="24"/>
          <w:highlight w:val="none"/>
          <w:u w:val="single"/>
        </w:rPr>
        <w:t>主要材料涉及品种、款式、颜色等方面内容的，承包人应提交准备合格的材料样品送发包人选定。</w:t>
      </w:r>
    </w:p>
    <w:p w14:paraId="5EBF8FF1">
      <w:pPr>
        <w:pStyle w:val="2"/>
        <w:rPr>
          <w:rFonts w:ascii="宋体" w:hAnsi="宋体"/>
          <w:color w:val="auto"/>
          <w:szCs w:val="24"/>
          <w:highlight w:val="none"/>
        </w:rPr>
      </w:pPr>
      <w:bookmarkStart w:id="640" w:name="_Toc389065301"/>
      <w:bookmarkStart w:id="641" w:name="_Toc11277"/>
      <w:bookmarkStart w:id="642" w:name="_Toc395382537"/>
      <w:bookmarkStart w:id="643" w:name="_Toc533611490"/>
      <w:bookmarkStart w:id="644" w:name="_Toc373227735"/>
      <w:bookmarkStart w:id="645" w:name="_Toc17894"/>
      <w:bookmarkStart w:id="646" w:name="_Toc373478382"/>
      <w:r>
        <w:rPr>
          <w:rFonts w:hint="eastAsia" w:ascii="宋体" w:hAnsi="宋体"/>
          <w:color w:val="auto"/>
          <w:szCs w:val="24"/>
          <w:highlight w:val="none"/>
        </w:rPr>
        <w:t>8.8 施工设备和临时设施</w:t>
      </w:r>
      <w:bookmarkEnd w:id="640"/>
      <w:bookmarkEnd w:id="641"/>
      <w:bookmarkEnd w:id="642"/>
      <w:bookmarkEnd w:id="643"/>
      <w:bookmarkEnd w:id="644"/>
      <w:bookmarkEnd w:id="645"/>
      <w:bookmarkEnd w:id="646"/>
    </w:p>
    <w:p w14:paraId="1119C574">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8.8.1 承包人提供的施工设备和临时设施</w:t>
      </w:r>
    </w:p>
    <w:p w14:paraId="17E9E7E5">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6DF1E975">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关于修建临时设施费用承担的约定：</w:t>
      </w:r>
    </w:p>
    <w:p w14:paraId="2BECE42A">
      <w:pPr>
        <w:adjustRightInd w:val="0"/>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0B89E1CE">
      <w:pPr>
        <w:adjustRightInd w:val="0"/>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②承包人负责合同实施期间其合同段内临时交通道路（含场内外连接公共交通道路）和交通设施的修建、维修、养护和交通管理工作，并承担一切费用。</w:t>
      </w:r>
    </w:p>
    <w:p w14:paraId="1A264C18">
      <w:pPr>
        <w:adjustRightInd w:val="0"/>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5691AF1E">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8.8.2 发包人提供的施工设备和临时设施</w:t>
      </w:r>
    </w:p>
    <w:p w14:paraId="4679760E">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发包人提供的施工设备和临时设施：</w:t>
      </w:r>
      <w:r>
        <w:rPr>
          <w:rFonts w:ascii="宋体" w:hAnsi="宋体"/>
          <w:color w:val="auto"/>
          <w:sz w:val="24"/>
          <w:highlight w:val="none"/>
          <w:u w:val="single"/>
        </w:rPr>
        <w:t xml:space="preserve"> （1）发包人按承包人的施工现场总平面布置图的要求于开工前7天将水、电接至施工现场围墙内。若发包人未将以上管线外端接口接至承包人指定的位置，则由承包人将水、电、电讯线路延长接至施工现场，费用由发包人承担。（2）开工前5天将施工场地公共道路的通道通至施工场地，保证施工期间的畅通，并满足施工运输的需要 </w:t>
      </w:r>
      <w:r>
        <w:rPr>
          <w:rFonts w:ascii="宋体" w:hAnsi="宋体"/>
          <w:color w:val="auto"/>
          <w:sz w:val="24"/>
          <w:highlight w:val="none"/>
        </w:rPr>
        <w:t>。</w:t>
      </w:r>
    </w:p>
    <w:p w14:paraId="219A1392">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发包人提供的施工设备和临时设施的运行、维护、拆除、清运费用的承担人：</w:t>
      </w:r>
      <w:r>
        <w:rPr>
          <w:rFonts w:ascii="宋体" w:hAnsi="宋体"/>
          <w:color w:val="auto"/>
          <w:sz w:val="24"/>
          <w:highlight w:val="none"/>
          <w:u w:val="single"/>
        </w:rPr>
        <w:t xml:space="preserve"> 发包人  </w:t>
      </w:r>
      <w:r>
        <w:rPr>
          <w:rFonts w:ascii="宋体" w:hAnsi="宋体"/>
          <w:color w:val="auto"/>
          <w:sz w:val="24"/>
          <w:highlight w:val="none"/>
        </w:rPr>
        <w:t>。</w:t>
      </w:r>
    </w:p>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14:paraId="1ABA21B7">
      <w:pPr>
        <w:pStyle w:val="4"/>
        <w:rPr>
          <w:rFonts w:ascii="宋体" w:hAnsi="宋体" w:eastAsia="宋体"/>
          <w:color w:val="auto"/>
          <w:sz w:val="24"/>
          <w:szCs w:val="24"/>
          <w:highlight w:val="none"/>
        </w:rPr>
      </w:pPr>
      <w:bookmarkStart w:id="647" w:name="_Toc533611491"/>
      <w:bookmarkStart w:id="648" w:name="_Toc6599"/>
      <w:bookmarkStart w:id="649" w:name="_Toc395382538"/>
      <w:bookmarkStart w:id="650" w:name="_Toc389065302"/>
      <w:bookmarkStart w:id="651" w:name="_Toc5649"/>
      <w:bookmarkStart w:id="652" w:name="_Toc373478383"/>
      <w:bookmarkStart w:id="653" w:name="_Toc373227736"/>
      <w:r>
        <w:rPr>
          <w:rFonts w:hint="eastAsia" w:ascii="宋体" w:hAnsi="宋体" w:eastAsia="宋体"/>
          <w:color w:val="auto"/>
          <w:sz w:val="24"/>
          <w:szCs w:val="24"/>
          <w:highlight w:val="none"/>
        </w:rPr>
        <w:t>9</w:t>
      </w:r>
      <w:bookmarkEnd w:id="612"/>
      <w:bookmarkEnd w:id="613"/>
      <w:bookmarkEnd w:id="614"/>
      <w:bookmarkStart w:id="654" w:name="_Toc304295559"/>
      <w:bookmarkStart w:id="655" w:name="_Toc303539139"/>
      <w:bookmarkStart w:id="656" w:name="_Toc297216192"/>
      <w:bookmarkStart w:id="657" w:name="_Toc312677495"/>
      <w:bookmarkStart w:id="658" w:name="_Toc300934982"/>
      <w:bookmarkStart w:id="659" w:name="_Toc312678021"/>
      <w:bookmarkStart w:id="660" w:name="_Toc297123533"/>
      <w:bookmarkStart w:id="661" w:name="_Toc296891213"/>
      <w:bookmarkStart w:id="662" w:name="_Toc296503173"/>
      <w:bookmarkStart w:id="663" w:name="_Toc267251428"/>
      <w:bookmarkStart w:id="664" w:name="_Toc267251427"/>
      <w:bookmarkStart w:id="665" w:name="_Toc296944512"/>
      <w:bookmarkStart w:id="666" w:name="_Toc297048359"/>
      <w:bookmarkStart w:id="667" w:name="_Toc297120473"/>
      <w:bookmarkStart w:id="668" w:name="_Toc292559378"/>
      <w:bookmarkStart w:id="669" w:name="_Toc292559883"/>
      <w:bookmarkStart w:id="670" w:name="_Toc296891001"/>
      <w:bookmarkStart w:id="671" w:name="_Toc296347172"/>
      <w:bookmarkStart w:id="672" w:name="_Toc296346674"/>
      <w:r>
        <w:rPr>
          <w:rFonts w:hint="eastAsia" w:ascii="宋体" w:hAnsi="宋体" w:eastAsia="宋体"/>
          <w:color w:val="auto"/>
          <w:sz w:val="24"/>
          <w:szCs w:val="24"/>
          <w:highlight w:val="none"/>
        </w:rPr>
        <w:t>. 试验与检验</w:t>
      </w:r>
      <w:bookmarkEnd w:id="647"/>
      <w:bookmarkEnd w:id="648"/>
      <w:bookmarkEnd w:id="649"/>
      <w:bookmarkEnd w:id="650"/>
      <w:bookmarkEnd w:id="651"/>
      <w:bookmarkEnd w:id="652"/>
      <w:bookmarkEnd w:id="653"/>
    </w:p>
    <w:bookmarkEnd w:id="654"/>
    <w:bookmarkEnd w:id="655"/>
    <w:bookmarkEnd w:id="656"/>
    <w:bookmarkEnd w:id="657"/>
    <w:bookmarkEnd w:id="658"/>
    <w:bookmarkEnd w:id="659"/>
    <w:bookmarkEnd w:id="660"/>
    <w:p w14:paraId="6974E6A8">
      <w:pPr>
        <w:pStyle w:val="2"/>
        <w:rPr>
          <w:rFonts w:ascii="宋体" w:hAnsi="宋体"/>
          <w:color w:val="auto"/>
          <w:szCs w:val="24"/>
          <w:highlight w:val="none"/>
        </w:rPr>
      </w:pPr>
      <w:bookmarkStart w:id="673" w:name="_Toc373227737"/>
      <w:bookmarkStart w:id="674" w:name="_Toc5537"/>
      <w:bookmarkStart w:id="675" w:name="_Toc373478384"/>
      <w:bookmarkStart w:id="676" w:name="_Toc2795"/>
      <w:bookmarkStart w:id="677" w:name="_Toc395382539"/>
      <w:bookmarkStart w:id="678" w:name="_Toc533611492"/>
      <w:bookmarkStart w:id="679" w:name="_Toc389065303"/>
      <w:r>
        <w:rPr>
          <w:rFonts w:hint="eastAsia" w:ascii="宋体" w:hAnsi="宋体"/>
          <w:color w:val="auto"/>
          <w:szCs w:val="24"/>
          <w:highlight w:val="none"/>
        </w:rPr>
        <w:t>9</w:t>
      </w:r>
      <w:bookmarkStart w:id="680" w:name="_Toc312678022"/>
      <w:bookmarkStart w:id="681" w:name="_Toc304295560"/>
      <w:bookmarkStart w:id="682" w:name="_Toc297216193"/>
      <w:bookmarkStart w:id="683" w:name="_Toc303539140"/>
      <w:bookmarkStart w:id="684" w:name="_Toc300934983"/>
      <w:bookmarkStart w:id="685" w:name="_Toc297123534"/>
      <w:bookmarkStart w:id="686" w:name="_Toc312677496"/>
      <w:r>
        <w:rPr>
          <w:rFonts w:hint="eastAsia" w:ascii="宋体" w:hAnsi="宋体"/>
          <w:color w:val="auto"/>
          <w:szCs w:val="24"/>
          <w:highlight w:val="none"/>
        </w:rPr>
        <w:t>.1 试验设备与试验人员</w:t>
      </w:r>
      <w:bookmarkEnd w:id="673"/>
      <w:bookmarkEnd w:id="674"/>
      <w:bookmarkEnd w:id="675"/>
      <w:bookmarkEnd w:id="676"/>
      <w:bookmarkEnd w:id="677"/>
      <w:bookmarkEnd w:id="678"/>
      <w:bookmarkEnd w:id="679"/>
    </w:p>
    <w:bookmarkEnd w:id="680"/>
    <w:bookmarkEnd w:id="681"/>
    <w:bookmarkEnd w:id="682"/>
    <w:bookmarkEnd w:id="683"/>
    <w:bookmarkEnd w:id="684"/>
    <w:bookmarkEnd w:id="685"/>
    <w:bookmarkEnd w:id="686"/>
    <w:p w14:paraId="4D55599E">
      <w:pPr>
        <w:spacing w:line="360" w:lineRule="auto"/>
        <w:ind w:firstLine="480" w:firstLineChars="200"/>
        <w:rPr>
          <w:rFonts w:ascii="宋体" w:hAnsi="宋体"/>
          <w:color w:val="auto"/>
          <w:sz w:val="24"/>
          <w:highlight w:val="none"/>
        </w:rPr>
      </w:pPr>
      <w:r>
        <w:rPr>
          <w:rFonts w:ascii="宋体" w:hAnsi="宋体"/>
          <w:color w:val="auto"/>
          <w:sz w:val="24"/>
          <w:highlight w:val="none"/>
        </w:rPr>
        <w:t>9</w:t>
      </w:r>
      <w:bookmarkStart w:id="687" w:name="_Toc300934984"/>
      <w:bookmarkStart w:id="688" w:name="_Toc297123535"/>
      <w:bookmarkStart w:id="689" w:name="_Toc304295561"/>
      <w:bookmarkStart w:id="690" w:name="_Toc312678023"/>
      <w:bookmarkStart w:id="691" w:name="_Toc297216194"/>
      <w:bookmarkStart w:id="692" w:name="_Toc303539141"/>
      <w:bookmarkStart w:id="693" w:name="_Toc312677497"/>
      <w:bookmarkStart w:id="694" w:name="_Toc318581174"/>
      <w:r>
        <w:rPr>
          <w:rFonts w:ascii="宋体" w:hAnsi="宋体"/>
          <w:color w:val="auto"/>
          <w:sz w:val="24"/>
          <w:highlight w:val="none"/>
        </w:rPr>
        <w:t>.1.2 试验设备</w:t>
      </w:r>
    </w:p>
    <w:p w14:paraId="487D37A0">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施工现场需要配置的试验场所：</w:t>
      </w:r>
      <w:bookmarkEnd w:id="687"/>
      <w:bookmarkEnd w:id="688"/>
      <w:bookmarkEnd w:id="689"/>
      <w:bookmarkEnd w:id="690"/>
      <w:bookmarkEnd w:id="691"/>
      <w:bookmarkEnd w:id="692"/>
      <w:bookmarkEnd w:id="693"/>
      <w:bookmarkStart w:id="695" w:name="_Toc312678024"/>
      <w:bookmarkStart w:id="696" w:name="_Toc304295562"/>
      <w:bookmarkStart w:id="697" w:name="_Toc297123536"/>
      <w:bookmarkStart w:id="698" w:name="_Toc297216195"/>
      <w:bookmarkStart w:id="699" w:name="_Toc303539142"/>
      <w:bookmarkStart w:id="700" w:name="_Toc300934985"/>
      <w:bookmarkStart w:id="701" w:name="_Toc312677498"/>
      <w:r>
        <w:rPr>
          <w:rFonts w:ascii="宋体" w:hAnsi="宋体"/>
          <w:color w:val="auto"/>
          <w:sz w:val="24"/>
          <w:highlight w:val="none"/>
          <w:u w:val="single"/>
        </w:rPr>
        <w:t xml:space="preserve">   由承包人提供   </w:t>
      </w:r>
      <w:r>
        <w:rPr>
          <w:rFonts w:ascii="宋体" w:hAnsi="宋体"/>
          <w:color w:val="auto"/>
          <w:sz w:val="24"/>
          <w:highlight w:val="none"/>
        </w:rPr>
        <w:t>。</w:t>
      </w:r>
    </w:p>
    <w:p w14:paraId="672CD712">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施工现场需要配备的试验设备：</w:t>
      </w:r>
      <w:r>
        <w:rPr>
          <w:rFonts w:ascii="宋体" w:hAnsi="宋体"/>
          <w:color w:val="auto"/>
          <w:sz w:val="24"/>
          <w:highlight w:val="none"/>
          <w:u w:val="single"/>
        </w:rPr>
        <w:t xml:space="preserve">   由承包人提供   </w:t>
      </w:r>
      <w:r>
        <w:rPr>
          <w:rFonts w:ascii="宋体" w:hAnsi="宋体"/>
          <w:color w:val="auto"/>
          <w:sz w:val="24"/>
          <w:highlight w:val="none"/>
        </w:rPr>
        <w:t>。</w:t>
      </w:r>
    </w:p>
    <w:p w14:paraId="0C474CB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施工现场需要具备的其他试验条件：</w:t>
      </w:r>
      <w:r>
        <w:rPr>
          <w:rFonts w:ascii="宋体" w:hAnsi="宋体"/>
          <w:color w:val="auto"/>
          <w:sz w:val="24"/>
          <w:highlight w:val="none"/>
          <w:u w:val="single"/>
        </w:rPr>
        <w:t xml:space="preserve">由承包人提供  </w:t>
      </w:r>
      <w:r>
        <w:rPr>
          <w:rFonts w:ascii="宋体" w:hAnsi="宋体"/>
          <w:color w:val="auto"/>
          <w:sz w:val="24"/>
          <w:highlight w:val="none"/>
        </w:rPr>
        <w:t>。</w:t>
      </w:r>
    </w:p>
    <w:p w14:paraId="7E201A7E">
      <w:pPr>
        <w:pStyle w:val="2"/>
        <w:rPr>
          <w:rFonts w:ascii="宋体" w:hAnsi="宋体"/>
          <w:color w:val="auto"/>
          <w:szCs w:val="24"/>
          <w:highlight w:val="none"/>
        </w:rPr>
      </w:pPr>
      <w:bookmarkStart w:id="702" w:name="_Toc389065304"/>
      <w:bookmarkStart w:id="703" w:name="_Toc9913"/>
      <w:bookmarkStart w:id="704" w:name="_Toc533611493"/>
      <w:bookmarkStart w:id="705" w:name="_Toc373227738"/>
      <w:bookmarkStart w:id="706" w:name="_Toc373478385"/>
      <w:bookmarkStart w:id="707" w:name="_Toc395382540"/>
      <w:bookmarkStart w:id="708" w:name="_Toc12458"/>
      <w:r>
        <w:rPr>
          <w:rFonts w:hint="eastAsia" w:ascii="宋体" w:hAnsi="宋体"/>
          <w:color w:val="auto"/>
          <w:szCs w:val="24"/>
          <w:highlight w:val="none"/>
        </w:rPr>
        <w:t>9.4 现场工艺试验</w:t>
      </w:r>
      <w:bookmarkEnd w:id="702"/>
      <w:bookmarkEnd w:id="703"/>
      <w:bookmarkEnd w:id="704"/>
      <w:bookmarkEnd w:id="705"/>
      <w:bookmarkEnd w:id="706"/>
      <w:bookmarkEnd w:id="707"/>
      <w:bookmarkEnd w:id="708"/>
    </w:p>
    <w:p w14:paraId="4EA76E20">
      <w:pPr>
        <w:spacing w:line="360" w:lineRule="auto"/>
        <w:ind w:firstLine="480" w:firstLineChars="200"/>
        <w:rPr>
          <w:rFonts w:ascii="宋体" w:hAnsi="宋体"/>
          <w:color w:val="auto"/>
          <w:sz w:val="24"/>
          <w:highlight w:val="none"/>
        </w:rPr>
      </w:pPr>
      <w:r>
        <w:rPr>
          <w:rFonts w:ascii="宋体" w:hAnsi="宋体"/>
          <w:color w:val="auto"/>
          <w:sz w:val="24"/>
          <w:highlight w:val="none"/>
        </w:rPr>
        <w:t>现场工艺试验的有关约定：</w:t>
      </w:r>
      <w:r>
        <w:rPr>
          <w:rFonts w:ascii="宋体" w:hAnsi="宋体"/>
          <w:color w:val="auto"/>
          <w:sz w:val="24"/>
          <w:highlight w:val="none"/>
          <w:u w:val="single"/>
        </w:rPr>
        <w:t xml:space="preserve">                /              </w:t>
      </w:r>
      <w:r>
        <w:rPr>
          <w:rFonts w:ascii="宋体" w:hAnsi="宋体"/>
          <w:color w:val="auto"/>
          <w:sz w:val="24"/>
          <w:highlight w:val="none"/>
        </w:rPr>
        <w:t>。</w:t>
      </w:r>
    </w:p>
    <w:p w14:paraId="63C2B38C">
      <w:pPr>
        <w:pStyle w:val="2"/>
        <w:rPr>
          <w:rFonts w:ascii="宋体" w:hAnsi="宋体"/>
          <w:color w:val="auto"/>
          <w:szCs w:val="24"/>
          <w:highlight w:val="none"/>
        </w:rPr>
      </w:pPr>
      <w:bookmarkStart w:id="709" w:name="_Toc533611494"/>
      <w:bookmarkStart w:id="710" w:name="_Toc5264"/>
      <w:bookmarkStart w:id="711" w:name="_Toc395382541"/>
      <w:bookmarkStart w:id="712" w:name="_Toc27405"/>
      <w:r>
        <w:rPr>
          <w:rFonts w:hint="eastAsia" w:ascii="宋体" w:hAnsi="宋体"/>
          <w:color w:val="auto"/>
          <w:szCs w:val="24"/>
          <w:highlight w:val="none"/>
        </w:rPr>
        <w:t>9.5 检验费用</w:t>
      </w:r>
      <w:bookmarkEnd w:id="709"/>
      <w:bookmarkEnd w:id="710"/>
      <w:bookmarkEnd w:id="711"/>
      <w:bookmarkEnd w:id="712"/>
    </w:p>
    <w:p w14:paraId="0370FA78">
      <w:pPr>
        <w:spacing w:line="360" w:lineRule="auto"/>
        <w:ind w:firstLine="470" w:firstLineChars="196"/>
        <w:rPr>
          <w:rFonts w:ascii="宋体" w:hAnsi="宋体"/>
          <w:color w:val="auto"/>
          <w:sz w:val="24"/>
          <w:highlight w:val="none"/>
        </w:rPr>
      </w:pPr>
      <w:r>
        <w:rPr>
          <w:rFonts w:ascii="宋体" w:hAnsi="宋体"/>
          <w:color w:val="auto"/>
          <w:sz w:val="24"/>
          <w:highlight w:val="none"/>
        </w:rPr>
        <w:t>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w:t>
      </w:r>
    </w:p>
    <w:bookmarkEnd w:id="694"/>
    <w:bookmarkEnd w:id="695"/>
    <w:bookmarkEnd w:id="696"/>
    <w:bookmarkEnd w:id="697"/>
    <w:bookmarkEnd w:id="698"/>
    <w:bookmarkEnd w:id="699"/>
    <w:bookmarkEnd w:id="700"/>
    <w:bookmarkEnd w:id="701"/>
    <w:p w14:paraId="667C4664">
      <w:pPr>
        <w:pStyle w:val="4"/>
        <w:rPr>
          <w:rFonts w:ascii="宋体" w:hAnsi="宋体" w:eastAsia="宋体"/>
          <w:color w:val="auto"/>
          <w:sz w:val="24"/>
          <w:szCs w:val="24"/>
          <w:highlight w:val="none"/>
        </w:rPr>
      </w:pPr>
      <w:bookmarkStart w:id="713" w:name="_Toc373478386"/>
      <w:bookmarkStart w:id="714" w:name="_Toc848"/>
      <w:bookmarkStart w:id="715" w:name="_Toc533611495"/>
      <w:bookmarkStart w:id="716" w:name="_Toc389065305"/>
      <w:bookmarkStart w:id="717" w:name="_Toc395382542"/>
      <w:bookmarkStart w:id="718" w:name="_Toc373227739"/>
      <w:bookmarkStart w:id="719" w:name="_Toc26241"/>
      <w:r>
        <w:rPr>
          <w:rFonts w:hint="eastAsia" w:ascii="宋体" w:hAnsi="宋体" w:eastAsia="宋体"/>
          <w:color w:val="auto"/>
          <w:sz w:val="24"/>
          <w:szCs w:val="24"/>
          <w:highlight w:val="none"/>
        </w:rPr>
        <w:t>1</w:t>
      </w:r>
      <w:bookmarkEnd w:id="661"/>
      <w:bookmarkEnd w:id="662"/>
      <w:bookmarkEnd w:id="663"/>
      <w:bookmarkEnd w:id="664"/>
      <w:bookmarkEnd w:id="665"/>
      <w:bookmarkEnd w:id="666"/>
      <w:bookmarkEnd w:id="667"/>
      <w:bookmarkEnd w:id="668"/>
      <w:bookmarkEnd w:id="669"/>
      <w:bookmarkEnd w:id="670"/>
      <w:bookmarkEnd w:id="671"/>
      <w:bookmarkEnd w:id="672"/>
      <w:bookmarkStart w:id="720" w:name="_Toc297216199"/>
      <w:bookmarkStart w:id="721" w:name="_Toc296891021"/>
      <w:bookmarkStart w:id="722" w:name="_Toc292559903"/>
      <w:bookmarkStart w:id="723" w:name="_Toc304295566"/>
      <w:bookmarkStart w:id="724" w:name="_Toc296347192"/>
      <w:bookmarkStart w:id="725" w:name="_Toc297048379"/>
      <w:bookmarkStart w:id="726" w:name="_Toc300934989"/>
      <w:bookmarkStart w:id="727" w:name="_Toc297120493"/>
      <w:bookmarkStart w:id="728" w:name="_Toc303539146"/>
      <w:bookmarkStart w:id="729" w:name="_Toc296346694"/>
      <w:bookmarkStart w:id="730" w:name="_Toc292559398"/>
      <w:bookmarkStart w:id="731" w:name="_Toc296503193"/>
      <w:bookmarkStart w:id="732" w:name="_Toc296891233"/>
      <w:bookmarkStart w:id="733" w:name="_Toc296944532"/>
      <w:bookmarkStart w:id="734" w:name="_Toc297123540"/>
      <w:bookmarkStart w:id="735" w:name="_Toc312677499"/>
      <w:bookmarkStart w:id="736" w:name="_Toc312678025"/>
      <w:bookmarkStart w:id="737" w:name="_Toc267251439"/>
      <w:bookmarkStart w:id="738" w:name="_Toc267251435"/>
      <w:bookmarkStart w:id="739" w:name="_Toc267251440"/>
      <w:bookmarkStart w:id="740" w:name="_Toc267251433"/>
      <w:bookmarkStart w:id="741" w:name="_Toc267251437"/>
      <w:bookmarkStart w:id="742" w:name="_Toc267251441"/>
      <w:bookmarkStart w:id="743" w:name="_Toc267251442"/>
      <w:r>
        <w:rPr>
          <w:rFonts w:hint="eastAsia" w:ascii="宋体" w:hAnsi="宋体" w:eastAsia="宋体"/>
          <w:color w:val="auto"/>
          <w:sz w:val="24"/>
          <w:szCs w:val="24"/>
          <w:highlight w:val="none"/>
        </w:rPr>
        <w:t>0. 变更</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bookmarkEnd w:id="735"/>
    <w:bookmarkEnd w:id="736"/>
    <w:p w14:paraId="05C5E247">
      <w:pPr>
        <w:pStyle w:val="2"/>
        <w:rPr>
          <w:rFonts w:ascii="宋体" w:hAnsi="宋体"/>
          <w:color w:val="auto"/>
          <w:szCs w:val="24"/>
          <w:highlight w:val="none"/>
        </w:rPr>
      </w:pPr>
      <w:bookmarkStart w:id="744" w:name="_Toc533611496"/>
      <w:bookmarkStart w:id="745" w:name="_Toc373478387"/>
      <w:bookmarkStart w:id="746" w:name="_Toc11208"/>
      <w:bookmarkStart w:id="747" w:name="_Toc373227740"/>
      <w:bookmarkStart w:id="748" w:name="_Toc31596"/>
      <w:bookmarkStart w:id="749" w:name="_Toc395382543"/>
      <w:bookmarkStart w:id="750" w:name="_Toc389065306"/>
      <w:r>
        <w:rPr>
          <w:rFonts w:hint="eastAsia" w:ascii="宋体" w:hAnsi="宋体"/>
          <w:color w:val="auto"/>
          <w:szCs w:val="24"/>
          <w:highlight w:val="none"/>
        </w:rPr>
        <w:t>1</w:t>
      </w:r>
      <w:bookmarkStart w:id="751" w:name="_Toc312677500"/>
      <w:bookmarkStart w:id="752" w:name="_Toc297120494"/>
      <w:bookmarkStart w:id="753" w:name="_Toc304295567"/>
      <w:bookmarkStart w:id="754" w:name="_Toc296346695"/>
      <w:bookmarkStart w:id="755" w:name="_Toc300934990"/>
      <w:bookmarkStart w:id="756" w:name="_Toc296891022"/>
      <w:bookmarkStart w:id="757" w:name="_Toc296944533"/>
      <w:bookmarkStart w:id="758" w:name="_Toc312678026"/>
      <w:bookmarkStart w:id="759" w:name="_Toc303539147"/>
      <w:bookmarkStart w:id="760" w:name="_Toc292559399"/>
      <w:bookmarkStart w:id="761" w:name="_Toc296891234"/>
      <w:bookmarkStart w:id="762" w:name="_Toc296503194"/>
      <w:bookmarkStart w:id="763" w:name="_Toc297048380"/>
      <w:bookmarkStart w:id="764" w:name="_Toc297216200"/>
      <w:bookmarkStart w:id="765" w:name="_Toc297123541"/>
      <w:bookmarkStart w:id="766" w:name="_Toc292559904"/>
      <w:bookmarkStart w:id="767" w:name="_Toc296347193"/>
      <w:r>
        <w:rPr>
          <w:rFonts w:hint="eastAsia" w:ascii="宋体" w:hAnsi="宋体"/>
          <w:color w:val="auto"/>
          <w:szCs w:val="24"/>
          <w:highlight w:val="none"/>
        </w:rPr>
        <w:t>0.1 变更的范围</w:t>
      </w:r>
      <w:bookmarkEnd w:id="744"/>
      <w:bookmarkEnd w:id="745"/>
      <w:bookmarkEnd w:id="746"/>
      <w:bookmarkEnd w:id="747"/>
      <w:bookmarkEnd w:id="748"/>
      <w:bookmarkEnd w:id="749"/>
      <w:bookmarkEnd w:id="750"/>
    </w:p>
    <w:p w14:paraId="5D5A3F8D">
      <w:pPr>
        <w:spacing w:line="360" w:lineRule="auto"/>
        <w:ind w:firstLine="426"/>
        <w:rPr>
          <w:rFonts w:ascii="宋体" w:hAnsi="宋体"/>
          <w:color w:val="auto"/>
          <w:sz w:val="24"/>
          <w:highlight w:val="none"/>
        </w:rPr>
      </w:pPr>
      <w:r>
        <w:rPr>
          <w:rFonts w:ascii="宋体" w:hAnsi="宋体"/>
          <w:color w:val="auto"/>
          <w:sz w:val="24"/>
          <w:highlight w:val="none"/>
        </w:rPr>
        <w:t>关于变更的范围的约定：</w:t>
      </w:r>
      <w:r>
        <w:rPr>
          <w:rFonts w:ascii="宋体" w:hAnsi="宋体"/>
          <w:color w:val="auto"/>
          <w:sz w:val="24"/>
          <w:highlight w:val="none"/>
          <w:u w:val="single"/>
        </w:rPr>
        <w:t xml:space="preserve">                /                </w:t>
      </w:r>
      <w:r>
        <w:rPr>
          <w:rFonts w:ascii="宋体" w:hAnsi="宋体"/>
          <w:color w:val="auto"/>
          <w:sz w:val="24"/>
          <w:highlight w:val="none"/>
        </w:rPr>
        <w:t>。</w:t>
      </w:r>
    </w:p>
    <w:p w14:paraId="066E1389">
      <w:pPr>
        <w:pStyle w:val="2"/>
        <w:rPr>
          <w:rFonts w:ascii="宋体" w:hAnsi="宋体"/>
          <w:color w:val="auto"/>
          <w:szCs w:val="24"/>
          <w:highlight w:val="none"/>
        </w:rPr>
      </w:pPr>
      <w:bookmarkStart w:id="768" w:name="_Toc389065307"/>
      <w:bookmarkStart w:id="769" w:name="_Toc373478388"/>
      <w:bookmarkStart w:id="770" w:name="_Toc533611497"/>
      <w:bookmarkStart w:id="771" w:name="_Toc373227741"/>
      <w:bookmarkStart w:id="772" w:name="_Toc16958"/>
      <w:bookmarkStart w:id="773" w:name="_Toc19186"/>
      <w:bookmarkStart w:id="774" w:name="_Toc395382544"/>
      <w:r>
        <w:rPr>
          <w:rFonts w:hint="eastAsia" w:ascii="宋体" w:hAnsi="宋体"/>
          <w:color w:val="auto"/>
          <w:szCs w:val="24"/>
          <w:highlight w:val="none"/>
        </w:rPr>
        <w:t>10.3 变更程序</w:t>
      </w:r>
      <w:bookmarkEnd w:id="768"/>
      <w:bookmarkEnd w:id="769"/>
      <w:bookmarkEnd w:id="770"/>
      <w:bookmarkEnd w:id="771"/>
      <w:bookmarkEnd w:id="772"/>
      <w:bookmarkEnd w:id="773"/>
      <w:bookmarkEnd w:id="774"/>
    </w:p>
    <w:p w14:paraId="4951E14C">
      <w:pPr>
        <w:pStyle w:val="23"/>
        <w:spacing w:line="360" w:lineRule="auto"/>
        <w:ind w:firstLine="504" w:firstLineChars="210"/>
        <w:rPr>
          <w:rFonts w:hAnsi="宋体"/>
          <w:bCs/>
          <w:color w:val="auto"/>
          <w:sz w:val="24"/>
          <w:highlight w:val="none"/>
        </w:rPr>
      </w:pPr>
      <w:r>
        <w:rPr>
          <w:rFonts w:hint="eastAsia" w:hAnsi="宋体"/>
          <w:bCs/>
          <w:color w:val="auto"/>
          <w:sz w:val="24"/>
          <w:highlight w:val="none"/>
        </w:rPr>
        <w:t>10.3.1 国有投资项目：</w:t>
      </w:r>
    </w:p>
    <w:p w14:paraId="519FD759">
      <w:pPr>
        <w:spacing w:line="440" w:lineRule="exact"/>
        <w:ind w:firstLine="440"/>
        <w:rPr>
          <w:rFonts w:ascii="宋体" w:hAnsi="宋体"/>
          <w:color w:val="auto"/>
          <w:sz w:val="24"/>
          <w:highlight w:val="none"/>
        </w:rPr>
      </w:pPr>
      <w:r>
        <w:rPr>
          <w:rFonts w:ascii="宋体" w:hAnsi="宋体"/>
          <w:color w:val="auto"/>
          <w:sz w:val="24"/>
          <w:highlight w:val="none"/>
        </w:rPr>
        <w:t>⑴属重大变更的须经发包方、承包方、设计方、监理方、建设主管部门等各方进行论证后，并按崇政办发〔2017〕54号相关规定程序报批后方可施工；属一般性变更的由施工方负责人起草，交发包方代表及发包方负责领导审批，变更的工程量须有施工、监理、业主、财务总监、评审人员进行现场按项实测实量签署意见。超标准后达到重大变更，按崇政办发〔2017〕54号相关规定程序报批后方可施工。</w:t>
      </w:r>
    </w:p>
    <w:p w14:paraId="1E420E1B">
      <w:pPr>
        <w:spacing w:line="360" w:lineRule="auto"/>
        <w:ind w:firstLine="480" w:firstLineChars="200"/>
        <w:rPr>
          <w:rFonts w:ascii="宋体" w:hAnsi="宋体"/>
          <w:color w:val="auto"/>
          <w:sz w:val="24"/>
          <w:highlight w:val="none"/>
        </w:rPr>
      </w:pPr>
      <w:r>
        <w:rPr>
          <w:rFonts w:ascii="宋体" w:hAnsi="宋体"/>
          <w:color w:val="auto"/>
          <w:sz w:val="24"/>
          <w:highlight w:val="none"/>
        </w:rPr>
        <w:t>⑵ 工程设计变更和签证工程发生后10个工作日内，由建设单位将有关变更文件、签证单审批件、工程联系单、预算书等工程资料送市财政局备案，并作为进度款支付、事后抽查和工程结算的主要依据。</w:t>
      </w:r>
    </w:p>
    <w:p w14:paraId="6E4A45FF">
      <w:pPr>
        <w:pStyle w:val="23"/>
        <w:spacing w:line="360" w:lineRule="auto"/>
        <w:ind w:firstLine="504" w:firstLineChars="210"/>
        <w:rPr>
          <w:rFonts w:hAnsi="宋体"/>
          <w:color w:val="auto"/>
          <w:sz w:val="24"/>
          <w:highlight w:val="none"/>
        </w:rPr>
      </w:pPr>
      <w:r>
        <w:rPr>
          <w:rFonts w:hint="eastAsia" w:hAnsi="宋体"/>
          <w:color w:val="auto"/>
          <w:sz w:val="24"/>
          <w:highlight w:val="none"/>
        </w:rPr>
        <w:t>⑶ 建设单位在实施项目过程中，若发生单价变动，由建设单位、监理单位、市财政投资评审中心与施工单位共同商定并签字确认。</w:t>
      </w:r>
    </w:p>
    <w:p w14:paraId="7D1422EC">
      <w:pPr>
        <w:pStyle w:val="23"/>
        <w:spacing w:line="360" w:lineRule="auto"/>
        <w:ind w:firstLine="480" w:firstLineChars="200"/>
        <w:rPr>
          <w:rFonts w:hAnsi="宋体"/>
          <w:color w:val="auto"/>
          <w:sz w:val="24"/>
          <w:highlight w:val="none"/>
        </w:rPr>
      </w:pPr>
      <w:r>
        <w:rPr>
          <w:rFonts w:hint="eastAsia" w:hAnsi="宋体"/>
          <w:color w:val="auto"/>
          <w:sz w:val="24"/>
          <w:highlight w:val="none"/>
        </w:rPr>
        <w:t xml:space="preserve"> ⑷承包人应当在合同规定的调整情况发生后14天内，将调整原因，金额以书面形式通知发包人，发包人按第⑴、⑵、⑶、⑷、⑸条款的要求初步确认调整金额后将其作为追加合同价款，按不高于60%的比例与工程进度款同期支付，调整金额待工程单项结算或结算时，由玉林市评审中心或玉林市审计局最终审定。</w:t>
      </w:r>
    </w:p>
    <w:p w14:paraId="767AA5A4">
      <w:pPr>
        <w:spacing w:line="360" w:lineRule="auto"/>
        <w:ind w:firstLine="480" w:firstLineChars="200"/>
        <w:rPr>
          <w:rFonts w:ascii="宋体" w:hAnsi="宋体"/>
          <w:color w:val="auto"/>
          <w:sz w:val="24"/>
          <w:highlight w:val="none"/>
        </w:rPr>
      </w:pPr>
      <w:r>
        <w:rPr>
          <w:rFonts w:ascii="宋体" w:hAnsi="宋体"/>
          <w:color w:val="auto"/>
          <w:sz w:val="24"/>
          <w:highlight w:val="none"/>
        </w:rPr>
        <w:t>⑸当合同规定的调整合同价款的调整情况发生后，承包人未在规定时间内通知发包人，或者未在规定时间内提出调整报告，发包人可以根据有关资料，决定是否调整和调整的金额，并书面通知承包人。</w:t>
      </w:r>
    </w:p>
    <w:p w14:paraId="1E8C8BFE">
      <w:pPr>
        <w:spacing w:line="360" w:lineRule="auto"/>
        <w:ind w:firstLine="480" w:firstLineChars="200"/>
        <w:rPr>
          <w:rFonts w:ascii="宋体" w:hAnsi="宋体"/>
          <w:color w:val="auto"/>
          <w:sz w:val="24"/>
          <w:highlight w:val="none"/>
        </w:rPr>
      </w:pPr>
      <w:r>
        <w:rPr>
          <w:rFonts w:ascii="宋体" w:hAnsi="宋体"/>
          <w:bCs/>
          <w:color w:val="auto"/>
          <w:sz w:val="24"/>
          <w:highlight w:val="none"/>
        </w:rPr>
        <w:t>10.3.2</w:t>
      </w:r>
      <w:r>
        <w:rPr>
          <w:rFonts w:hint="eastAsia" w:ascii="宋体" w:hAnsi="宋体"/>
          <w:color w:val="auto"/>
          <w:sz w:val="24"/>
          <w:highlight w:val="none"/>
        </w:rPr>
        <w:t>明确施工单位编制工程预算书的责任</w:t>
      </w:r>
    </w:p>
    <w:p w14:paraId="73B75AE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建设单位与施工单位签订的施工合同应约定以下内容：审定工程结算造价核减超过8%的，超</w:t>
      </w:r>
    </w:p>
    <w:p w14:paraId="28175CC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过部分的审核效益费由施工单位向工程造价咨询机构支付，正式审核报告出具前，施工单位</w:t>
      </w:r>
    </w:p>
    <w:p w14:paraId="0E82DE8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应支付完此项费用。</w:t>
      </w:r>
    </w:p>
    <w:p w14:paraId="195FEC7F">
      <w:pPr>
        <w:pStyle w:val="12"/>
        <w:rPr>
          <w:rFonts w:ascii="宋体" w:hAnsi="宋体"/>
          <w:color w:val="auto"/>
          <w:highlight w:val="none"/>
        </w:rPr>
      </w:pPr>
    </w:p>
    <w:p w14:paraId="400A2E4A">
      <w:pPr>
        <w:spacing w:line="360" w:lineRule="auto"/>
        <w:ind w:firstLine="480" w:firstLineChars="200"/>
        <w:rPr>
          <w:rFonts w:ascii="宋体" w:hAnsi="宋体"/>
          <w:bCs/>
          <w:color w:val="auto"/>
          <w:sz w:val="24"/>
          <w:highlight w:val="none"/>
        </w:rPr>
      </w:pPr>
      <w:r>
        <w:rPr>
          <w:rFonts w:ascii="宋体" w:hAnsi="宋体"/>
          <w:bCs/>
          <w:color w:val="auto"/>
          <w:sz w:val="24"/>
          <w:highlight w:val="none"/>
        </w:rPr>
        <w:t>10.3.</w:t>
      </w:r>
      <w:r>
        <w:rPr>
          <w:rFonts w:hint="eastAsia" w:ascii="宋体" w:hAnsi="宋体"/>
          <w:bCs/>
          <w:color w:val="auto"/>
          <w:sz w:val="24"/>
          <w:highlight w:val="none"/>
        </w:rPr>
        <w:t>3</w:t>
      </w:r>
      <w:r>
        <w:rPr>
          <w:rFonts w:ascii="宋体" w:hAnsi="宋体"/>
          <w:bCs/>
          <w:color w:val="auto"/>
          <w:sz w:val="24"/>
          <w:highlight w:val="none"/>
        </w:rPr>
        <w:t xml:space="preserve"> 非国有投资项目： </w:t>
      </w:r>
      <w:r>
        <w:rPr>
          <w:rFonts w:ascii="宋体" w:hAnsi="宋体"/>
          <w:bCs/>
          <w:color w:val="auto"/>
          <w:sz w:val="24"/>
          <w:highlight w:val="none"/>
          <w:u w:val="single"/>
        </w:rPr>
        <w:t xml:space="preserve">            /                         </w:t>
      </w:r>
      <w:r>
        <w:rPr>
          <w:rFonts w:ascii="宋体" w:hAnsi="宋体"/>
          <w:bCs/>
          <w:color w:val="auto"/>
          <w:sz w:val="24"/>
          <w:highlight w:val="none"/>
        </w:rPr>
        <w:t>。</w:t>
      </w:r>
    </w:p>
    <w:p w14:paraId="5981C206">
      <w:pPr>
        <w:pStyle w:val="2"/>
        <w:rPr>
          <w:rFonts w:ascii="宋体" w:hAnsi="宋体"/>
          <w:color w:val="auto"/>
          <w:szCs w:val="24"/>
          <w:highlight w:val="none"/>
        </w:rPr>
      </w:pPr>
      <w:bookmarkStart w:id="775" w:name="_Toc389065308"/>
      <w:bookmarkStart w:id="776" w:name="_Toc395382545"/>
      <w:bookmarkStart w:id="777" w:name="_Toc533611498"/>
      <w:bookmarkStart w:id="778" w:name="_Toc373227742"/>
      <w:bookmarkStart w:id="779" w:name="_Toc373478389"/>
      <w:bookmarkStart w:id="780" w:name="_Toc26113"/>
      <w:bookmarkStart w:id="781" w:name="_Toc25705"/>
      <w:r>
        <w:rPr>
          <w:rFonts w:hint="eastAsia" w:ascii="宋体" w:hAnsi="宋体"/>
          <w:color w:val="auto"/>
          <w:szCs w:val="24"/>
          <w:highlight w:val="none"/>
        </w:rPr>
        <w:t>10.4 变更估价</w:t>
      </w:r>
      <w:bookmarkEnd w:id="775"/>
      <w:bookmarkEnd w:id="776"/>
      <w:bookmarkEnd w:id="777"/>
      <w:bookmarkEnd w:id="778"/>
      <w:bookmarkEnd w:id="779"/>
      <w:bookmarkEnd w:id="780"/>
      <w:bookmarkEnd w:id="781"/>
    </w:p>
    <w:p w14:paraId="1C3CEC87">
      <w:pPr>
        <w:spacing w:line="360" w:lineRule="auto"/>
        <w:ind w:firstLine="480" w:firstLineChars="200"/>
        <w:rPr>
          <w:rFonts w:ascii="宋体" w:hAnsi="宋体"/>
          <w:color w:val="auto"/>
          <w:sz w:val="24"/>
          <w:highlight w:val="none"/>
        </w:rPr>
      </w:pPr>
      <w:r>
        <w:rPr>
          <w:rFonts w:ascii="宋体" w:hAnsi="宋体"/>
          <w:color w:val="auto"/>
          <w:sz w:val="24"/>
          <w:highlight w:val="none"/>
        </w:rPr>
        <w:t>10.4.1 变更估价原则</w:t>
      </w:r>
    </w:p>
    <w:p w14:paraId="6BAFC159">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关于变更估价的约定: </w:t>
      </w:r>
      <w:bookmarkStart w:id="782" w:name="_Toc251051742"/>
      <w:r>
        <w:rPr>
          <w:rFonts w:ascii="宋体" w:hAnsi="宋体"/>
          <w:bCs/>
          <w:color w:val="auto"/>
          <w:sz w:val="24"/>
          <w:highlight w:val="none"/>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价/工程招标控制价）   %，计算，其中材料价格按施工期间的《</w:t>
      </w:r>
      <w:r>
        <w:rPr>
          <w:rFonts w:hint="eastAsia" w:ascii="宋体" w:hAnsi="宋体"/>
          <w:bCs/>
          <w:color w:val="auto"/>
          <w:sz w:val="24"/>
          <w:highlight w:val="none"/>
          <w:u w:val="single"/>
        </w:rPr>
        <w:t>玉林市</w:t>
      </w:r>
      <w:r>
        <w:rPr>
          <w:rFonts w:ascii="宋体" w:hAnsi="宋体"/>
          <w:bCs/>
          <w:color w:val="auto"/>
          <w:sz w:val="24"/>
          <w:highlight w:val="none"/>
          <w:u w:val="single"/>
        </w:rPr>
        <w:t>建设工程造价信息》相应价格信息进行计算；《</w:t>
      </w:r>
      <w:r>
        <w:rPr>
          <w:rFonts w:hint="eastAsia" w:ascii="宋体" w:hAnsi="宋体"/>
          <w:bCs/>
          <w:color w:val="auto"/>
          <w:sz w:val="24"/>
          <w:highlight w:val="none"/>
          <w:u w:val="single"/>
        </w:rPr>
        <w:t>玉林市</w:t>
      </w:r>
      <w:r>
        <w:rPr>
          <w:rFonts w:ascii="宋体" w:hAnsi="宋体"/>
          <w:bCs/>
          <w:color w:val="auto"/>
          <w:sz w:val="24"/>
          <w:highlight w:val="none"/>
          <w:u w:val="single"/>
        </w:rPr>
        <w:t>建设工程造价信息》没有相应价格信息的按市场价计算；无定额可套的，根据市场价格协商确定综合价格；对于国有资产投资的项目，新增项目的单价必须经财政评审中心审定</w:t>
      </w:r>
      <w:bookmarkEnd w:id="782"/>
      <w:r>
        <w:rPr>
          <w:rFonts w:ascii="宋体" w:hAnsi="宋体"/>
          <w:bCs/>
          <w:color w:val="auto"/>
          <w:sz w:val="24"/>
          <w:highlight w:val="none"/>
        </w:rPr>
        <w:t>。</w:t>
      </w:r>
    </w:p>
    <w:p w14:paraId="25715F93">
      <w:pPr>
        <w:pStyle w:val="2"/>
        <w:rPr>
          <w:rFonts w:ascii="宋体" w:hAnsi="宋体"/>
          <w:color w:val="auto"/>
          <w:szCs w:val="24"/>
          <w:highlight w:val="none"/>
        </w:rPr>
      </w:pPr>
      <w:bookmarkStart w:id="783" w:name="_Toc373227743"/>
      <w:bookmarkStart w:id="784" w:name="_Toc17391"/>
      <w:bookmarkStart w:id="785" w:name="_Toc9315"/>
      <w:bookmarkStart w:id="786" w:name="_Toc389065309"/>
      <w:bookmarkStart w:id="787" w:name="_Toc373478390"/>
      <w:bookmarkStart w:id="788" w:name="_Toc395382546"/>
      <w:bookmarkStart w:id="789" w:name="_Toc533611499"/>
      <w:r>
        <w:rPr>
          <w:rFonts w:hint="eastAsia" w:ascii="宋体" w:hAnsi="宋体"/>
          <w:color w:val="auto"/>
          <w:szCs w:val="24"/>
          <w:highlight w:val="none"/>
        </w:rPr>
        <w:t>1</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Start w:id="790" w:name="_Toc292559402"/>
      <w:bookmarkStart w:id="791" w:name="_Toc292559907"/>
      <w:bookmarkStart w:id="792" w:name="_Toc300934993"/>
      <w:bookmarkStart w:id="793" w:name="_Toc296503197"/>
      <w:bookmarkStart w:id="794" w:name="_Toc296891237"/>
      <w:bookmarkStart w:id="795" w:name="_Toc303539150"/>
      <w:bookmarkStart w:id="796" w:name="_Toc296891025"/>
      <w:bookmarkStart w:id="797" w:name="_Toc296347196"/>
      <w:bookmarkStart w:id="798" w:name="_Toc297048383"/>
      <w:bookmarkStart w:id="799" w:name="_Toc297123544"/>
      <w:bookmarkStart w:id="800" w:name="_Toc296346698"/>
      <w:bookmarkStart w:id="801" w:name="_Toc297216203"/>
      <w:bookmarkStart w:id="802" w:name="_Toc297120497"/>
      <w:bookmarkStart w:id="803" w:name="_Toc296944536"/>
      <w:bookmarkStart w:id="804" w:name="_Toc312678029"/>
      <w:bookmarkStart w:id="805" w:name="_Toc312677503"/>
      <w:bookmarkStart w:id="806" w:name="_Toc304295570"/>
      <w:r>
        <w:rPr>
          <w:rFonts w:hint="eastAsia" w:ascii="宋体" w:hAnsi="宋体"/>
          <w:color w:val="auto"/>
          <w:szCs w:val="24"/>
          <w:highlight w:val="none"/>
        </w:rPr>
        <w:t>0.5 承</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Start w:id="807" w:name="_Toc296346704"/>
      <w:bookmarkStart w:id="808" w:name="_Toc296503203"/>
      <w:bookmarkStart w:id="809" w:name="_Toc297123545"/>
      <w:bookmarkStart w:id="810" w:name="_Toc303539151"/>
      <w:bookmarkStart w:id="811" w:name="_Toc296891031"/>
      <w:bookmarkStart w:id="812" w:name="_Toc292559408"/>
      <w:bookmarkStart w:id="813" w:name="_Toc292559913"/>
      <w:bookmarkStart w:id="814" w:name="_Toc297048389"/>
      <w:bookmarkStart w:id="815" w:name="_Toc296347202"/>
      <w:bookmarkStart w:id="816" w:name="_Toc297216204"/>
      <w:bookmarkStart w:id="817" w:name="_Toc300934994"/>
      <w:bookmarkStart w:id="818" w:name="_Toc296944542"/>
      <w:bookmarkStart w:id="819" w:name="_Toc297120503"/>
      <w:bookmarkStart w:id="820" w:name="_Toc296891243"/>
      <w:r>
        <w:rPr>
          <w:rFonts w:hint="eastAsia" w:ascii="宋体" w:hAnsi="宋体"/>
          <w:color w:val="auto"/>
          <w:szCs w:val="24"/>
          <w:highlight w:val="none"/>
        </w:rPr>
        <w:t>包人的合理化建议</w:t>
      </w:r>
      <w:bookmarkEnd w:id="783"/>
      <w:bookmarkEnd w:id="784"/>
      <w:bookmarkEnd w:id="785"/>
      <w:bookmarkEnd w:id="786"/>
      <w:bookmarkEnd w:id="787"/>
      <w:bookmarkEnd w:id="788"/>
      <w:bookmarkEnd w:id="789"/>
    </w:p>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14:paraId="790B8D7D">
      <w:pPr>
        <w:spacing w:line="360" w:lineRule="auto"/>
        <w:ind w:firstLine="480" w:firstLineChars="200"/>
        <w:rPr>
          <w:rFonts w:ascii="宋体" w:hAnsi="宋体"/>
          <w:color w:val="auto"/>
          <w:sz w:val="24"/>
          <w:highlight w:val="none"/>
        </w:rPr>
      </w:pPr>
      <w:r>
        <w:rPr>
          <w:rFonts w:ascii="宋体" w:hAnsi="宋体"/>
          <w:color w:val="auto"/>
          <w:sz w:val="24"/>
          <w:highlight w:val="none"/>
        </w:rPr>
        <w:t>监理人审查承包人合理化建议的期限：</w:t>
      </w:r>
      <w:r>
        <w:rPr>
          <w:rFonts w:ascii="宋体" w:hAnsi="宋体"/>
          <w:color w:val="auto"/>
          <w:sz w:val="24"/>
          <w:highlight w:val="none"/>
          <w:u w:val="single"/>
        </w:rPr>
        <w:t xml:space="preserve">  收到承包人提交的建议后7天内 </w:t>
      </w:r>
      <w:r>
        <w:rPr>
          <w:rFonts w:ascii="宋体" w:hAnsi="宋体"/>
          <w:color w:val="auto"/>
          <w:sz w:val="24"/>
          <w:highlight w:val="none"/>
        </w:rPr>
        <w:t>。</w:t>
      </w:r>
    </w:p>
    <w:p w14:paraId="42BCBA1B">
      <w:pPr>
        <w:spacing w:line="360" w:lineRule="auto"/>
        <w:ind w:firstLine="480" w:firstLineChars="200"/>
        <w:rPr>
          <w:rFonts w:ascii="宋体" w:hAnsi="宋体"/>
          <w:color w:val="auto"/>
          <w:sz w:val="24"/>
          <w:highlight w:val="none"/>
        </w:rPr>
      </w:pPr>
      <w:r>
        <w:rPr>
          <w:rFonts w:ascii="宋体" w:hAnsi="宋体"/>
          <w:color w:val="auto"/>
          <w:sz w:val="24"/>
          <w:highlight w:val="none"/>
        </w:rPr>
        <w:t>发包人审批承包人合理化建议的期限：</w:t>
      </w:r>
      <w:r>
        <w:rPr>
          <w:rFonts w:ascii="宋体" w:hAnsi="宋体"/>
          <w:color w:val="auto"/>
          <w:sz w:val="24"/>
          <w:highlight w:val="none"/>
          <w:u w:val="single"/>
        </w:rPr>
        <w:t xml:space="preserve">  收到监理人报送的建议后7天内 </w:t>
      </w:r>
      <w:r>
        <w:rPr>
          <w:rFonts w:ascii="宋体" w:hAnsi="宋体"/>
          <w:color w:val="auto"/>
          <w:sz w:val="24"/>
          <w:highlight w:val="none"/>
        </w:rPr>
        <w:t>。</w:t>
      </w:r>
    </w:p>
    <w:p w14:paraId="29A5F837">
      <w:pPr>
        <w:spacing w:line="360" w:lineRule="auto"/>
        <w:ind w:firstLine="480" w:firstLineChars="200"/>
        <w:rPr>
          <w:rFonts w:ascii="宋体" w:hAnsi="宋体"/>
          <w:color w:val="auto"/>
          <w:sz w:val="24"/>
          <w:highlight w:val="none"/>
        </w:rPr>
      </w:pPr>
      <w:r>
        <w:rPr>
          <w:rFonts w:ascii="宋体" w:hAnsi="宋体"/>
          <w:color w:val="auto"/>
          <w:sz w:val="24"/>
          <w:highlight w:val="none"/>
        </w:rPr>
        <w:t>承</w:t>
      </w:r>
      <w:bookmarkStart w:id="821" w:name="_Toc292559409"/>
      <w:bookmarkStart w:id="822" w:name="_Toc312677504"/>
      <w:bookmarkStart w:id="823" w:name="_Toc296347203"/>
      <w:bookmarkStart w:id="824" w:name="_Toc312678030"/>
      <w:bookmarkStart w:id="825" w:name="_Toc296944543"/>
      <w:bookmarkStart w:id="826" w:name="_Toc300934995"/>
      <w:bookmarkStart w:id="827" w:name="_Toc296891244"/>
      <w:bookmarkStart w:id="828" w:name="_Toc296346705"/>
      <w:bookmarkStart w:id="829" w:name="_Toc297048390"/>
      <w:bookmarkStart w:id="830" w:name="_Toc297123546"/>
      <w:bookmarkStart w:id="831" w:name="_Toc296891032"/>
      <w:bookmarkStart w:id="832" w:name="_Toc297216205"/>
      <w:bookmarkStart w:id="833" w:name="_Toc297120504"/>
      <w:bookmarkStart w:id="834" w:name="_Toc292559914"/>
      <w:bookmarkStart w:id="835" w:name="_Toc304295571"/>
      <w:bookmarkStart w:id="836" w:name="_Toc318581175"/>
      <w:bookmarkStart w:id="837" w:name="_Toc303539152"/>
      <w:bookmarkStart w:id="838" w:name="_Toc296503204"/>
      <w:r>
        <w:rPr>
          <w:rFonts w:ascii="宋体" w:hAnsi="宋体"/>
          <w:color w:val="auto"/>
          <w:sz w:val="24"/>
          <w:highlight w:val="none"/>
        </w:rPr>
        <w:t>包人提出的合理化建议降低了合同价格或者提高了工程经济效益的奖励的方法和金额为：</w:t>
      </w:r>
      <w:r>
        <w:rPr>
          <w:rFonts w:ascii="宋体" w:hAnsi="宋体"/>
          <w:color w:val="auto"/>
          <w:sz w:val="24"/>
          <w:highlight w:val="none"/>
          <w:u w:val="single"/>
        </w:rPr>
        <w:t xml:space="preserve">                      另行商定                             </w:t>
      </w:r>
      <w:r>
        <w:rPr>
          <w:rFonts w:ascii="宋体" w:hAnsi="宋体"/>
          <w:color w:val="auto"/>
          <w:sz w:val="24"/>
          <w:highlight w:val="none"/>
        </w:rPr>
        <w:t>。</w:t>
      </w:r>
    </w:p>
    <w:p w14:paraId="60514B49">
      <w:pPr>
        <w:pStyle w:val="2"/>
        <w:rPr>
          <w:rFonts w:ascii="宋体" w:hAnsi="宋体"/>
          <w:color w:val="auto"/>
          <w:szCs w:val="24"/>
          <w:highlight w:val="none"/>
        </w:rPr>
      </w:pPr>
      <w:bookmarkStart w:id="839" w:name="_Toc30015"/>
      <w:r>
        <w:rPr>
          <w:rFonts w:hint="eastAsia" w:ascii="宋体" w:hAnsi="宋体"/>
          <w:color w:val="auto"/>
          <w:szCs w:val="24"/>
          <w:highlight w:val="none"/>
        </w:rPr>
        <w:t>10.6工程签证管理。</w:t>
      </w:r>
      <w:bookmarkEnd w:id="839"/>
    </w:p>
    <w:p w14:paraId="6CD6CDBB">
      <w:pPr>
        <w:spacing w:line="360" w:lineRule="auto"/>
        <w:ind w:left="458" w:leftChars="218" w:firstLine="480" w:firstLineChars="200"/>
        <w:rPr>
          <w:rFonts w:ascii="宋体" w:hAnsi="宋体"/>
          <w:color w:val="auto"/>
          <w:sz w:val="24"/>
          <w:highlight w:val="none"/>
        </w:rPr>
      </w:pPr>
      <w:r>
        <w:rPr>
          <w:rFonts w:hint="eastAsia" w:ascii="宋体" w:hAnsi="宋体"/>
          <w:color w:val="auto"/>
          <w:sz w:val="24"/>
          <w:highlight w:val="none"/>
        </w:rPr>
        <w:t>工程施工合同原则上采用施工图总价包干合同，除施工图纸变更外，原则上不再进行签证。工程采购时，工程量以施工图揭示的工程量为准，投标单位可以对工程量提出质疑，采购单位收到质疑后应及时与评审中心重新复核并进行澄清或者修改。工程结算时，以采购时的工</w:t>
      </w:r>
    </w:p>
    <w:p w14:paraId="7C707F01">
      <w:pPr>
        <w:spacing w:line="360" w:lineRule="auto"/>
        <w:ind w:left="458" w:leftChars="218"/>
        <w:rPr>
          <w:rFonts w:ascii="宋体" w:hAnsi="宋体"/>
          <w:color w:val="auto"/>
          <w:sz w:val="24"/>
          <w:highlight w:val="none"/>
        </w:rPr>
      </w:pPr>
      <w:r>
        <w:rPr>
          <w:rFonts w:hint="eastAsia" w:ascii="宋体" w:hAnsi="宋体"/>
          <w:color w:val="auto"/>
          <w:sz w:val="24"/>
          <w:highlight w:val="none"/>
        </w:rPr>
        <w:t>程量为准，不再对工程量进行调整。不得以变更土石开挖方式的理由进行签证。在施工中，中标单位如变更土石开挖方式，应经采购单位同意，产生的费用由中标单位自行负责。</w:t>
      </w:r>
    </w:p>
    <w:p w14:paraId="0853764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以上规定，应在采购文件及施工合同中明确。</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470318A0">
      <w:pPr>
        <w:pStyle w:val="2"/>
        <w:rPr>
          <w:rFonts w:ascii="宋体" w:hAnsi="宋体"/>
          <w:color w:val="auto"/>
          <w:szCs w:val="24"/>
          <w:highlight w:val="none"/>
        </w:rPr>
      </w:pPr>
      <w:bookmarkStart w:id="840" w:name="_Toc533611500"/>
      <w:bookmarkStart w:id="841" w:name="_Toc389065310"/>
      <w:bookmarkStart w:id="842" w:name="_Toc395382547"/>
      <w:bookmarkStart w:id="843" w:name="_Toc28305"/>
      <w:bookmarkStart w:id="844" w:name="_Toc373478391"/>
      <w:bookmarkStart w:id="845" w:name="_Toc12092"/>
      <w:bookmarkStart w:id="846" w:name="_Toc373227744"/>
      <w:r>
        <w:rPr>
          <w:rFonts w:hint="eastAsia" w:ascii="宋体" w:hAnsi="宋体"/>
          <w:color w:val="auto"/>
          <w:szCs w:val="24"/>
          <w:highlight w:val="none"/>
        </w:rPr>
        <w:t>1</w:t>
      </w:r>
      <w:bookmarkStart w:id="847" w:name="_Toc312678033"/>
      <w:bookmarkStart w:id="848" w:name="_Toc296347198"/>
      <w:bookmarkStart w:id="849" w:name="_Toc297048385"/>
      <w:bookmarkStart w:id="850" w:name="_Toc296891239"/>
      <w:bookmarkStart w:id="851" w:name="_Toc296503199"/>
      <w:bookmarkStart w:id="852" w:name="_Toc297120499"/>
      <w:bookmarkStart w:id="853" w:name="_Toc297123548"/>
      <w:bookmarkStart w:id="854" w:name="_Toc297216207"/>
      <w:bookmarkStart w:id="855" w:name="_Toc292559404"/>
      <w:bookmarkStart w:id="856" w:name="_Toc296346700"/>
      <w:bookmarkStart w:id="857" w:name="_Toc292559909"/>
      <w:bookmarkStart w:id="858" w:name="_Toc312677507"/>
      <w:bookmarkStart w:id="859" w:name="_Toc296944538"/>
      <w:bookmarkStart w:id="860" w:name="_Toc296891027"/>
      <w:bookmarkStart w:id="861" w:name="_Toc303539154"/>
      <w:bookmarkStart w:id="862" w:name="_Toc304295574"/>
      <w:bookmarkStart w:id="863" w:name="_Toc300934997"/>
      <w:r>
        <w:rPr>
          <w:rFonts w:hint="eastAsia" w:ascii="宋体" w:hAnsi="宋体"/>
          <w:color w:val="auto"/>
          <w:szCs w:val="24"/>
          <w:highlight w:val="none"/>
        </w:rPr>
        <w:t>0.7 暂估价</w:t>
      </w:r>
      <w:bookmarkEnd w:id="840"/>
      <w:bookmarkEnd w:id="841"/>
      <w:bookmarkEnd w:id="842"/>
      <w:bookmarkEnd w:id="843"/>
      <w:bookmarkEnd w:id="844"/>
      <w:bookmarkEnd w:id="845"/>
      <w:bookmarkEnd w:id="846"/>
    </w:p>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14:paraId="20B180CB">
      <w:pPr>
        <w:spacing w:line="360" w:lineRule="auto"/>
        <w:ind w:firstLine="480" w:firstLineChars="200"/>
        <w:rPr>
          <w:rFonts w:ascii="宋体" w:hAnsi="宋体"/>
          <w:color w:val="auto"/>
          <w:sz w:val="24"/>
          <w:highlight w:val="none"/>
        </w:rPr>
      </w:pPr>
      <w:r>
        <w:rPr>
          <w:rFonts w:ascii="宋体" w:hAnsi="宋体"/>
          <w:color w:val="auto"/>
          <w:sz w:val="24"/>
          <w:highlight w:val="none"/>
        </w:rPr>
        <w:t>暂</w:t>
      </w:r>
      <w:bookmarkStart w:id="864" w:name="_Toc312678034"/>
      <w:bookmarkStart w:id="865" w:name="_Toc318581176"/>
      <w:bookmarkStart w:id="866" w:name="_Toc312677508"/>
      <w:r>
        <w:rPr>
          <w:rFonts w:ascii="宋体" w:hAnsi="宋体"/>
          <w:color w:val="auto"/>
          <w:sz w:val="24"/>
          <w:highlight w:val="none"/>
        </w:rPr>
        <w:t>估价材料和工程设备的明细详见已标价工程量清单《材料（工程设备）暂估价格及调整表》（表12-2）和《专业工程暂估价表》（表12-3）。</w:t>
      </w:r>
    </w:p>
    <w:bookmarkEnd w:id="864"/>
    <w:bookmarkEnd w:id="865"/>
    <w:bookmarkEnd w:id="866"/>
    <w:p w14:paraId="45A04821">
      <w:pPr>
        <w:spacing w:line="360" w:lineRule="auto"/>
        <w:ind w:firstLine="480" w:firstLineChars="200"/>
        <w:rPr>
          <w:rFonts w:ascii="宋体" w:hAnsi="宋体"/>
          <w:color w:val="auto"/>
          <w:sz w:val="24"/>
          <w:highlight w:val="none"/>
        </w:rPr>
      </w:pPr>
      <w:r>
        <w:rPr>
          <w:rFonts w:ascii="宋体" w:hAnsi="宋体"/>
          <w:color w:val="auto"/>
          <w:sz w:val="24"/>
          <w:highlight w:val="none"/>
        </w:rPr>
        <w:t>1</w:t>
      </w:r>
      <w:bookmarkStart w:id="867" w:name="_Toc318581177"/>
      <w:bookmarkStart w:id="868" w:name="_Toc312678035"/>
      <w:bookmarkStart w:id="869" w:name="_Toc312677509"/>
      <w:r>
        <w:rPr>
          <w:rFonts w:ascii="宋体" w:hAnsi="宋体"/>
          <w:color w:val="auto"/>
          <w:sz w:val="24"/>
          <w:highlight w:val="none"/>
        </w:rPr>
        <w:t>0.7.1 依法必须招标的暂估价项目</w:t>
      </w:r>
    </w:p>
    <w:bookmarkEnd w:id="867"/>
    <w:bookmarkEnd w:id="868"/>
    <w:bookmarkEnd w:id="869"/>
    <w:p w14:paraId="53A641FE">
      <w:pPr>
        <w:spacing w:line="360" w:lineRule="auto"/>
        <w:ind w:firstLine="480" w:firstLineChars="200"/>
        <w:rPr>
          <w:rFonts w:ascii="宋体" w:hAnsi="宋体"/>
          <w:color w:val="auto"/>
          <w:sz w:val="24"/>
          <w:highlight w:val="none"/>
        </w:rPr>
      </w:pPr>
      <w:r>
        <w:rPr>
          <w:rFonts w:ascii="宋体" w:hAnsi="宋体"/>
          <w:color w:val="auto"/>
          <w:sz w:val="24"/>
          <w:highlight w:val="none"/>
        </w:rPr>
        <w:t>对于依法必须招标的暂估价项目的确认和批准采取第</w:t>
      </w:r>
      <w:r>
        <w:rPr>
          <w:rFonts w:ascii="宋体" w:hAnsi="宋体"/>
          <w:color w:val="auto"/>
          <w:sz w:val="24"/>
          <w:highlight w:val="none"/>
          <w:u w:val="single"/>
        </w:rPr>
        <w:t xml:space="preserve">  2  </w:t>
      </w:r>
      <w:r>
        <w:rPr>
          <w:rFonts w:ascii="宋体" w:hAnsi="宋体"/>
          <w:color w:val="auto"/>
          <w:sz w:val="24"/>
          <w:highlight w:val="none"/>
        </w:rPr>
        <w:t>种方式确定。</w:t>
      </w:r>
    </w:p>
    <w:p w14:paraId="60549FE0">
      <w:pPr>
        <w:spacing w:line="360" w:lineRule="auto"/>
        <w:ind w:firstLine="480" w:firstLineChars="200"/>
        <w:rPr>
          <w:rFonts w:ascii="宋体" w:hAnsi="宋体"/>
          <w:color w:val="auto"/>
          <w:sz w:val="24"/>
          <w:highlight w:val="none"/>
        </w:rPr>
      </w:pPr>
      <w:r>
        <w:rPr>
          <w:rFonts w:ascii="宋体" w:hAnsi="宋体"/>
          <w:color w:val="auto"/>
          <w:sz w:val="24"/>
          <w:highlight w:val="none"/>
        </w:rPr>
        <w:t>10.7.2 不属于依法必须招标的暂估价项目</w:t>
      </w:r>
    </w:p>
    <w:p w14:paraId="486ADE82">
      <w:pPr>
        <w:spacing w:line="360" w:lineRule="auto"/>
        <w:ind w:firstLine="480" w:firstLineChars="200"/>
        <w:rPr>
          <w:rFonts w:ascii="宋体" w:hAnsi="宋体"/>
          <w:color w:val="auto"/>
          <w:sz w:val="24"/>
          <w:highlight w:val="none"/>
        </w:rPr>
      </w:pPr>
      <w:r>
        <w:rPr>
          <w:rFonts w:ascii="宋体" w:hAnsi="宋体"/>
          <w:color w:val="auto"/>
          <w:sz w:val="24"/>
          <w:highlight w:val="none"/>
        </w:rPr>
        <w:t>对于不属于依法必须招标的暂估价项目的确认和批准采取第</w:t>
      </w:r>
      <w:r>
        <w:rPr>
          <w:rFonts w:ascii="宋体" w:hAnsi="宋体"/>
          <w:color w:val="auto"/>
          <w:sz w:val="24"/>
          <w:highlight w:val="none"/>
          <w:u w:val="single"/>
        </w:rPr>
        <w:t xml:space="preserve">  1 </w:t>
      </w:r>
      <w:r>
        <w:rPr>
          <w:rFonts w:ascii="宋体" w:hAnsi="宋体"/>
          <w:color w:val="auto"/>
          <w:sz w:val="24"/>
          <w:highlight w:val="none"/>
        </w:rPr>
        <w:t xml:space="preserve"> 种方式确定。</w:t>
      </w:r>
    </w:p>
    <w:p w14:paraId="38A48FBF">
      <w:pPr>
        <w:spacing w:line="360" w:lineRule="auto"/>
        <w:ind w:firstLine="480" w:firstLineChars="200"/>
        <w:rPr>
          <w:rFonts w:ascii="宋体" w:hAnsi="宋体"/>
          <w:color w:val="auto"/>
          <w:sz w:val="24"/>
          <w:highlight w:val="none"/>
        </w:rPr>
      </w:pPr>
      <w:r>
        <w:rPr>
          <w:rFonts w:ascii="宋体" w:hAnsi="宋体"/>
          <w:color w:val="auto"/>
          <w:sz w:val="24"/>
          <w:highlight w:val="none"/>
        </w:rPr>
        <w:t>第3种方式：承包人直接实施的暂估价项目</w:t>
      </w:r>
    </w:p>
    <w:p w14:paraId="6B5CDFF8">
      <w:pPr>
        <w:spacing w:line="360" w:lineRule="auto"/>
        <w:ind w:firstLine="480" w:firstLineChars="200"/>
        <w:rPr>
          <w:rFonts w:ascii="宋体" w:hAnsi="宋体"/>
          <w:color w:val="auto"/>
          <w:sz w:val="24"/>
          <w:highlight w:val="none"/>
        </w:rPr>
      </w:pPr>
      <w:r>
        <w:rPr>
          <w:rFonts w:ascii="宋体" w:hAnsi="宋体"/>
          <w:color w:val="auto"/>
          <w:sz w:val="24"/>
          <w:highlight w:val="none"/>
        </w:rPr>
        <w:t>承包人直接实施的暂估价项目的约定：</w:t>
      </w:r>
      <w:r>
        <w:rPr>
          <w:rFonts w:ascii="宋体" w:hAnsi="宋体"/>
          <w:color w:val="auto"/>
          <w:sz w:val="24"/>
          <w:highlight w:val="none"/>
          <w:u w:val="single"/>
        </w:rPr>
        <w:t xml:space="preserve">   双方另行协商   </w:t>
      </w:r>
      <w:r>
        <w:rPr>
          <w:rFonts w:ascii="宋体" w:hAnsi="宋体"/>
          <w:color w:val="auto"/>
          <w:sz w:val="24"/>
          <w:highlight w:val="none"/>
        </w:rPr>
        <w:t>。</w:t>
      </w:r>
    </w:p>
    <w:p w14:paraId="79CBF8C4">
      <w:pPr>
        <w:pStyle w:val="2"/>
        <w:rPr>
          <w:rFonts w:ascii="宋体" w:hAnsi="宋体"/>
          <w:color w:val="auto"/>
          <w:szCs w:val="24"/>
          <w:highlight w:val="none"/>
        </w:rPr>
      </w:pPr>
      <w:bookmarkStart w:id="870" w:name="_Toc373227745"/>
      <w:bookmarkStart w:id="871" w:name="_Toc20250"/>
      <w:bookmarkStart w:id="872" w:name="_Toc389065311"/>
      <w:bookmarkStart w:id="873" w:name="_Toc31724"/>
      <w:bookmarkStart w:id="874" w:name="_Toc373478392"/>
      <w:bookmarkStart w:id="875" w:name="_Toc395382548"/>
      <w:bookmarkStart w:id="876" w:name="_Toc533611501"/>
      <w:r>
        <w:rPr>
          <w:rFonts w:hint="eastAsia" w:ascii="宋体" w:hAnsi="宋体"/>
          <w:color w:val="auto"/>
          <w:szCs w:val="24"/>
          <w:highlight w:val="none"/>
        </w:rPr>
        <w:t>10.8 暂列金额</w:t>
      </w:r>
      <w:bookmarkEnd w:id="870"/>
      <w:bookmarkEnd w:id="871"/>
      <w:bookmarkEnd w:id="872"/>
      <w:bookmarkEnd w:id="873"/>
      <w:bookmarkEnd w:id="874"/>
      <w:bookmarkEnd w:id="875"/>
      <w:bookmarkEnd w:id="876"/>
    </w:p>
    <w:p w14:paraId="421A110F">
      <w:pPr>
        <w:adjustRightInd w:val="0"/>
        <w:spacing w:line="360" w:lineRule="auto"/>
        <w:ind w:firstLine="480" w:firstLineChars="200"/>
        <w:rPr>
          <w:rFonts w:ascii="宋体" w:hAnsi="宋体"/>
          <w:color w:val="auto"/>
          <w:sz w:val="24"/>
          <w:highlight w:val="none"/>
          <w:u w:val="single"/>
        </w:rPr>
      </w:pPr>
      <w:r>
        <w:rPr>
          <w:rFonts w:ascii="宋体" w:hAnsi="宋体"/>
          <w:color w:val="auto"/>
          <w:sz w:val="24"/>
          <w:highlight w:val="none"/>
        </w:rPr>
        <w:t>合同当事人关于暂列金额使用的约定：</w:t>
      </w:r>
      <w:r>
        <w:rPr>
          <w:rFonts w:ascii="宋体" w:hAnsi="宋体"/>
          <w:color w:val="auto"/>
          <w:sz w:val="24"/>
          <w:highlight w:val="none"/>
          <w:u w:val="single"/>
        </w:rPr>
        <w:t xml:space="preserve">   由发包人支配使用，工程结算后，如有余额归发包人   </w:t>
      </w:r>
      <w:r>
        <w:rPr>
          <w:rFonts w:ascii="宋体" w:hAnsi="宋体"/>
          <w:color w:val="auto"/>
          <w:sz w:val="24"/>
          <w:highlight w:val="none"/>
        </w:rPr>
        <w:t>。</w:t>
      </w:r>
    </w:p>
    <w:p w14:paraId="026F631F">
      <w:pPr>
        <w:pStyle w:val="4"/>
        <w:rPr>
          <w:rFonts w:ascii="宋体" w:hAnsi="宋体" w:eastAsia="宋体"/>
          <w:color w:val="auto"/>
          <w:sz w:val="24"/>
          <w:szCs w:val="24"/>
          <w:highlight w:val="none"/>
        </w:rPr>
      </w:pPr>
      <w:bookmarkStart w:id="877" w:name="_Toc395382549"/>
      <w:bookmarkStart w:id="878" w:name="_Toc533611502"/>
      <w:bookmarkStart w:id="879" w:name="_Toc22391"/>
      <w:bookmarkStart w:id="880" w:name="_Toc373478393"/>
      <w:bookmarkStart w:id="881" w:name="_Toc389065312"/>
      <w:bookmarkStart w:id="882" w:name="_Toc9602"/>
      <w:bookmarkStart w:id="883" w:name="_Toc373227746"/>
      <w:r>
        <w:rPr>
          <w:rFonts w:hint="eastAsia" w:ascii="宋体" w:hAnsi="宋体" w:eastAsia="宋体"/>
          <w:color w:val="auto"/>
          <w:sz w:val="24"/>
          <w:szCs w:val="24"/>
          <w:highlight w:val="none"/>
        </w:rPr>
        <w:t>11. 价格调整</w:t>
      </w:r>
      <w:bookmarkEnd w:id="877"/>
      <w:bookmarkEnd w:id="878"/>
      <w:bookmarkEnd w:id="879"/>
      <w:bookmarkEnd w:id="880"/>
      <w:bookmarkEnd w:id="881"/>
      <w:bookmarkEnd w:id="882"/>
      <w:bookmarkEnd w:id="883"/>
    </w:p>
    <w:p w14:paraId="75042C49">
      <w:pPr>
        <w:pStyle w:val="2"/>
        <w:rPr>
          <w:rFonts w:ascii="宋体" w:hAnsi="宋体"/>
          <w:color w:val="auto"/>
          <w:szCs w:val="24"/>
          <w:highlight w:val="none"/>
        </w:rPr>
      </w:pPr>
      <w:bookmarkStart w:id="884" w:name="_Toc296347200"/>
      <w:bookmarkStart w:id="885" w:name="_Toc303539157"/>
      <w:bookmarkStart w:id="886" w:name="_Toc533611503"/>
      <w:bookmarkStart w:id="887" w:name="_Toc297216209"/>
      <w:bookmarkStart w:id="888" w:name="_Toc296346702"/>
      <w:bookmarkStart w:id="889" w:name="_Toc312678039"/>
      <w:bookmarkStart w:id="890" w:name="_Toc296891241"/>
      <w:bookmarkStart w:id="891" w:name="_Toc395382550"/>
      <w:bookmarkStart w:id="892" w:name="_Toc297123550"/>
      <w:bookmarkStart w:id="893" w:name="_Toc304295577"/>
      <w:bookmarkStart w:id="894" w:name="_Toc389065313"/>
      <w:bookmarkStart w:id="895" w:name="_Toc292559406"/>
      <w:bookmarkStart w:id="896" w:name="_Toc21028"/>
      <w:bookmarkStart w:id="897" w:name="_Toc297048387"/>
      <w:bookmarkStart w:id="898" w:name="_Toc297120501"/>
      <w:bookmarkStart w:id="899" w:name="_Toc373478394"/>
      <w:bookmarkStart w:id="900" w:name="_Toc1913"/>
      <w:bookmarkStart w:id="901" w:name="_Toc296503201"/>
      <w:bookmarkStart w:id="902" w:name="_Toc296891029"/>
      <w:bookmarkStart w:id="903" w:name="_Toc296944540"/>
      <w:bookmarkStart w:id="904" w:name="_Toc300935000"/>
      <w:bookmarkStart w:id="905" w:name="_Toc373227747"/>
      <w:bookmarkStart w:id="906" w:name="_Toc292559911"/>
      <w:r>
        <w:rPr>
          <w:rFonts w:hint="eastAsia" w:ascii="宋体" w:hAnsi="宋体"/>
          <w:color w:val="auto"/>
          <w:szCs w:val="24"/>
          <w:highlight w:val="none"/>
        </w:rPr>
        <w:t>11.1 市场价格波动引起的调整</w:t>
      </w:r>
      <w:bookmarkEnd w:id="737"/>
      <w:bookmarkEnd w:id="738"/>
      <w:bookmarkEnd w:id="739"/>
      <w:bookmarkEnd w:id="740"/>
      <w:bookmarkEnd w:id="741"/>
      <w:bookmarkEnd w:id="742"/>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Start w:id="907" w:name="_Toc296347204"/>
      <w:bookmarkStart w:id="908" w:name="_Toc296346706"/>
      <w:bookmarkStart w:id="909" w:name="_Toc296503205"/>
      <w:bookmarkStart w:id="910" w:name="_Toc292559915"/>
      <w:bookmarkStart w:id="911" w:name="_Toc296891245"/>
      <w:bookmarkStart w:id="912" w:name="_Toc297048391"/>
      <w:bookmarkStart w:id="913" w:name="_Toc297120505"/>
      <w:bookmarkStart w:id="914" w:name="_Toc296891033"/>
      <w:bookmarkStart w:id="915" w:name="_Toc296944544"/>
      <w:bookmarkStart w:id="916" w:name="_Toc292559410"/>
      <w:bookmarkStart w:id="917" w:name="_Toc395382551"/>
      <w:bookmarkStart w:id="918" w:name="_Toc373478395"/>
      <w:bookmarkStart w:id="919" w:name="_Toc373227748"/>
      <w:bookmarkStart w:id="920" w:name="_Toc23642"/>
      <w:bookmarkStart w:id="921" w:name="_Toc312678040"/>
      <w:bookmarkStart w:id="922" w:name="_Toc297216211"/>
      <w:bookmarkStart w:id="923" w:name="_Toc304295579"/>
      <w:bookmarkStart w:id="924" w:name="_Toc300935002"/>
      <w:bookmarkStart w:id="925" w:name="_Toc303539159"/>
      <w:bookmarkStart w:id="926" w:name="_Toc297123552"/>
    </w:p>
    <w:p w14:paraId="2B9BAA11">
      <w:pPr>
        <w:spacing w:line="360" w:lineRule="auto"/>
        <w:ind w:firstLine="422" w:firstLineChars="200"/>
        <w:rPr>
          <w:rFonts w:ascii="宋体" w:hAnsi="宋体" w:cs="宋体"/>
          <w:color w:val="auto"/>
          <w:sz w:val="24"/>
          <w:highlight w:val="none"/>
        </w:rPr>
      </w:pPr>
      <w:r>
        <w:rPr>
          <w:rFonts w:ascii="宋体" w:hAnsi="宋体"/>
          <w:b/>
          <w:bCs/>
          <w:color w:val="auto"/>
          <w:highlight w:val="none"/>
        </w:rPr>
        <w:t>1</w:t>
      </w:r>
      <w:r>
        <w:rPr>
          <w:rFonts w:ascii="宋体" w:hAnsi="宋体" w:cs="宋体"/>
          <w:color w:val="auto"/>
          <w:sz w:val="24"/>
          <w:highlight w:val="none"/>
        </w:rPr>
        <w:t>1．1本合同价款采用  固定综合单价承包  方式确定，工程量按实际结算，投标人工程量清单中原有项目的工程量无论增减多少，均按原单价结算。</w:t>
      </w:r>
    </w:p>
    <w:p w14:paraId="5C7BB35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11．2采用固定综合单价合同，综合单价中包括的风险范围： 除工程变更、本工程约定的材料</w:t>
      </w:r>
      <w:r>
        <w:rPr>
          <w:rFonts w:hint="eastAsia" w:ascii="宋体" w:hAnsi="宋体" w:cs="宋体"/>
          <w:color w:val="auto"/>
          <w:sz w:val="24"/>
          <w:highlight w:val="none"/>
        </w:rPr>
        <w:t>（</w:t>
      </w:r>
      <w:r>
        <w:rPr>
          <w:rFonts w:ascii="宋体" w:hAnsi="宋体" w:cs="宋体"/>
          <w:color w:val="auto"/>
          <w:sz w:val="24"/>
          <w:highlight w:val="none"/>
        </w:rPr>
        <w:t>指钢材、砂、石、墙体砖、商品混凝土</w:t>
      </w:r>
      <w:r>
        <w:rPr>
          <w:rFonts w:hint="eastAsia" w:ascii="宋体" w:hAnsi="宋体" w:cs="宋体"/>
          <w:color w:val="auto"/>
          <w:sz w:val="24"/>
          <w:highlight w:val="none"/>
        </w:rPr>
        <w:t>）</w:t>
      </w:r>
      <w:r>
        <w:rPr>
          <w:rFonts w:ascii="宋体" w:hAnsi="宋体" w:cs="宋体"/>
          <w:color w:val="auto"/>
          <w:sz w:val="24"/>
          <w:highlight w:val="none"/>
        </w:rPr>
        <w:t>价格风险和政策性调整以外的其他风险。</w:t>
      </w:r>
    </w:p>
    <w:p w14:paraId="715AD90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投标人所填报的各项综合单价，主要材料（指钢材、砂、石、墙体砖、商品混凝土，其他材料不予认可）涨跌幅度超过5%以上部分予以调整。投标人所填报的单价及综合单价在合同实施期间不再作调整(除政策性调整、主要材料涨跌幅度超过5%以上除外)，投标人在报综合单价时应考虑各种风险因素和自己的承受能力。</w:t>
      </w:r>
    </w:p>
    <w:p w14:paraId="06F5CD3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风险范围以外合同价款调整方法： </w:t>
      </w:r>
    </w:p>
    <w:p w14:paraId="5288592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一）本合同实施期间因分部分项工程量清单漏项、工程变更及相关签证等引起工程项目工程量变化的，其工程量按实际发生并经监理工程师及发包人签证认可，变更合同价款按下列方法进行:工程量清单中有相同细目的按承包人投标时的中标单价进行结算，有类似细目的参考类似中标单价结算；新增项目的单价没有适用于变更工程的单价，则有定额的套定额计算，执行本工程计价参考依据投标计算依据并乘以中标下浮系数（中标价/工程招标控制价），其中材料价格有信息价的按相应项目施工期间信息价的平均价计算，无信息价的按市场价格协商确定；新增项目无定额可套的，由发包人、承包人及监理根据市场价格协商确定；新增项目结算单价=综合单价×（中标价/工程招标控制价）。</w:t>
      </w:r>
    </w:p>
    <w:p w14:paraId="0F3943A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（二）国家和自治区政策性调整有关费用标准的，按文件规定执行。  </w:t>
      </w:r>
    </w:p>
    <w:p w14:paraId="01DBA7E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本工程最终结算价须经财政审计部门审核通过为准。</w:t>
      </w:r>
    </w:p>
    <w:p w14:paraId="4F084F9C">
      <w:pPr>
        <w:pStyle w:val="4"/>
        <w:rPr>
          <w:rFonts w:ascii="宋体" w:hAnsi="宋体" w:eastAsia="宋体"/>
          <w:color w:val="auto"/>
          <w:sz w:val="24"/>
          <w:szCs w:val="24"/>
          <w:highlight w:val="none"/>
        </w:rPr>
      </w:pPr>
      <w:bookmarkStart w:id="927" w:name="_Toc17224"/>
      <w:bookmarkStart w:id="928" w:name="_Toc533611504"/>
      <w:r>
        <w:rPr>
          <w:rFonts w:hint="eastAsia" w:ascii="宋体" w:hAnsi="宋体" w:eastAsia="宋体"/>
          <w:color w:val="auto"/>
          <w:sz w:val="24"/>
          <w:szCs w:val="24"/>
          <w:highlight w:val="none"/>
        </w:rPr>
        <w:t xml:space="preserve">12. </w:t>
      </w:r>
      <w:bookmarkEnd w:id="907"/>
      <w:bookmarkEnd w:id="908"/>
      <w:bookmarkEnd w:id="909"/>
      <w:bookmarkEnd w:id="910"/>
      <w:bookmarkEnd w:id="911"/>
      <w:bookmarkEnd w:id="912"/>
      <w:bookmarkEnd w:id="913"/>
      <w:bookmarkEnd w:id="914"/>
      <w:bookmarkEnd w:id="915"/>
      <w:bookmarkEnd w:id="916"/>
      <w:r>
        <w:rPr>
          <w:rFonts w:hint="eastAsia" w:ascii="宋体" w:hAnsi="宋体" w:eastAsia="宋体"/>
          <w:color w:val="auto"/>
          <w:sz w:val="24"/>
          <w:szCs w:val="24"/>
          <w:highlight w:val="none"/>
        </w:rPr>
        <w:t>合同价格、计量与支付</w:t>
      </w:r>
      <w:bookmarkEnd w:id="917"/>
      <w:bookmarkEnd w:id="918"/>
      <w:bookmarkEnd w:id="919"/>
      <w:bookmarkEnd w:id="920"/>
      <w:bookmarkEnd w:id="927"/>
      <w:bookmarkEnd w:id="928"/>
    </w:p>
    <w:bookmarkEnd w:id="921"/>
    <w:bookmarkEnd w:id="922"/>
    <w:bookmarkEnd w:id="923"/>
    <w:bookmarkEnd w:id="924"/>
    <w:bookmarkEnd w:id="925"/>
    <w:bookmarkEnd w:id="926"/>
    <w:p w14:paraId="743D465F">
      <w:pPr>
        <w:pStyle w:val="180"/>
        <w:spacing w:line="360" w:lineRule="auto"/>
        <w:ind w:firstLine="480" w:firstLineChars="200"/>
        <w:jc w:val="left"/>
        <w:rPr>
          <w:rFonts w:ascii="宋体" w:hAnsi="宋体"/>
          <w:color w:val="auto"/>
          <w:sz w:val="24"/>
          <w:szCs w:val="24"/>
          <w:highlight w:val="none"/>
        </w:rPr>
      </w:pPr>
      <w:bookmarkStart w:id="929" w:name="_Toc29094"/>
      <w:bookmarkStart w:id="930" w:name="_Toc389065315"/>
      <w:bookmarkStart w:id="931" w:name="_Toc373227750"/>
      <w:bookmarkStart w:id="932" w:name="_Toc395382553"/>
      <w:bookmarkStart w:id="933" w:name="_Toc373478397"/>
      <w:bookmarkStart w:id="934" w:name="_Toc297123554"/>
      <w:bookmarkStart w:id="935" w:name="_Toc296347206"/>
      <w:bookmarkStart w:id="936" w:name="_Toc296944546"/>
      <w:bookmarkStart w:id="937" w:name="_Toc297216213"/>
      <w:bookmarkStart w:id="938" w:name="_Toc296891035"/>
      <w:bookmarkStart w:id="939" w:name="_Toc303539161"/>
      <w:bookmarkStart w:id="940" w:name="_Toc296346708"/>
      <w:bookmarkStart w:id="941" w:name="_Toc297048393"/>
      <w:bookmarkStart w:id="942" w:name="_Toc312678042"/>
      <w:bookmarkStart w:id="943" w:name="_Toc292559917"/>
      <w:bookmarkStart w:id="944" w:name="_Toc300935004"/>
      <w:bookmarkStart w:id="945" w:name="_Toc296891247"/>
      <w:bookmarkStart w:id="946" w:name="_Toc297120507"/>
      <w:bookmarkStart w:id="947" w:name="_Toc304295581"/>
      <w:bookmarkStart w:id="948" w:name="_Toc296503207"/>
      <w:bookmarkStart w:id="949" w:name="_Toc292559412"/>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单价合同。</w:t>
      </w:r>
    </w:p>
    <w:p w14:paraId="346842DB">
      <w:pPr>
        <w:pStyle w:val="18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本合同价款采用固定综合单价方式确定。</w:t>
      </w:r>
    </w:p>
    <w:p w14:paraId="67BB5221">
      <w:pPr>
        <w:pStyle w:val="18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综合单价包含的风险范围：</w:t>
      </w:r>
      <w:r>
        <w:rPr>
          <w:rFonts w:ascii="宋体" w:hAnsi="宋体"/>
          <w:color w:val="auto"/>
          <w:sz w:val="24"/>
          <w:szCs w:val="24"/>
          <w:highlight w:val="none"/>
          <w:u w:val="single"/>
        </w:rPr>
        <w:t>除工程变更、政策性调整、《承包人提供主要材料一览表》约定的材料价格变动风险以外因素。</w:t>
      </w:r>
    </w:p>
    <w:p w14:paraId="3FFFC2D9">
      <w:pPr>
        <w:pStyle w:val="252"/>
        <w:spacing w:line="360" w:lineRule="auto"/>
        <w:ind w:firstLine="504" w:firstLineChars="210"/>
        <w:rPr>
          <w:rFonts w:hAnsi="宋体"/>
          <w:color w:val="auto"/>
          <w:sz w:val="24"/>
          <w:szCs w:val="24"/>
          <w:highlight w:val="none"/>
        </w:rPr>
      </w:pPr>
      <w:r>
        <w:rPr>
          <w:rFonts w:hAnsi="宋体"/>
          <w:color w:val="auto"/>
          <w:sz w:val="24"/>
          <w:szCs w:val="24"/>
          <w:highlight w:val="none"/>
        </w:rPr>
        <w:t>风险范围以外合同价格的调整方法：</w:t>
      </w:r>
    </w:p>
    <w:p w14:paraId="17980B70">
      <w:pPr>
        <w:pStyle w:val="252"/>
        <w:spacing w:line="360" w:lineRule="auto"/>
        <w:ind w:firstLine="504" w:firstLineChars="210"/>
        <w:rPr>
          <w:rFonts w:hAnsi="宋体"/>
          <w:color w:val="auto"/>
          <w:sz w:val="24"/>
          <w:szCs w:val="24"/>
          <w:highlight w:val="none"/>
        </w:rPr>
      </w:pPr>
      <w:r>
        <w:rPr>
          <w:rFonts w:hAnsi="宋体"/>
          <w:color w:val="auto"/>
          <w:sz w:val="24"/>
          <w:szCs w:val="24"/>
          <w:highlight w:val="none"/>
        </w:rPr>
        <w:t>①工程变更：按10.4.1变更估价原则的约定调整。</w:t>
      </w:r>
    </w:p>
    <w:p w14:paraId="797706A1">
      <w:pPr>
        <w:pStyle w:val="252"/>
        <w:spacing w:line="360" w:lineRule="auto"/>
        <w:ind w:firstLine="504" w:firstLineChars="210"/>
        <w:rPr>
          <w:rFonts w:hAnsi="宋体"/>
          <w:color w:val="auto"/>
          <w:sz w:val="24"/>
          <w:szCs w:val="24"/>
          <w:highlight w:val="none"/>
        </w:rPr>
      </w:pPr>
      <w:r>
        <w:rPr>
          <w:rFonts w:hAnsi="宋体"/>
          <w:color w:val="auto"/>
          <w:sz w:val="24"/>
          <w:szCs w:val="24"/>
          <w:highlight w:val="none"/>
        </w:rPr>
        <w:t>②政策性调整：按自治区建设行政主管部门颁布的文件执行。</w:t>
      </w:r>
    </w:p>
    <w:p w14:paraId="773BE58D">
      <w:pPr>
        <w:pStyle w:val="252"/>
        <w:spacing w:line="360" w:lineRule="auto"/>
        <w:ind w:firstLine="504" w:firstLineChars="210"/>
        <w:rPr>
          <w:rFonts w:hAnsi="宋体"/>
          <w:color w:val="auto"/>
          <w:sz w:val="24"/>
          <w:szCs w:val="24"/>
          <w:highlight w:val="none"/>
        </w:rPr>
      </w:pPr>
      <w:r>
        <w:rPr>
          <w:rFonts w:hAnsi="宋体"/>
          <w:color w:val="auto"/>
          <w:sz w:val="24"/>
          <w:szCs w:val="24"/>
          <w:highlight w:val="none"/>
        </w:rPr>
        <w:t>③材料价格风险：按11.1的约定调整。</w:t>
      </w:r>
    </w:p>
    <w:p w14:paraId="18BCBEB3">
      <w:pPr>
        <w:pStyle w:val="18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④其它：</w:t>
      </w:r>
      <w:r>
        <w:rPr>
          <w:rFonts w:hint="eastAsia" w:ascii="宋体" w:hAnsi="宋体"/>
          <w:color w:val="auto"/>
          <w:sz w:val="24"/>
          <w:szCs w:val="24"/>
          <w:highlight w:val="none"/>
          <w:u w:val="single"/>
        </w:rPr>
        <w:t>双方另行约定</w:t>
      </w:r>
      <w:r>
        <w:rPr>
          <w:rFonts w:ascii="宋体" w:hAnsi="宋体"/>
          <w:color w:val="auto"/>
          <w:sz w:val="24"/>
          <w:szCs w:val="24"/>
          <w:highlight w:val="none"/>
        </w:rPr>
        <w:t>。</w:t>
      </w:r>
    </w:p>
    <w:p w14:paraId="14E2C7D4">
      <w:pPr>
        <w:pStyle w:val="18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总价合同。</w:t>
      </w:r>
    </w:p>
    <w:p w14:paraId="5008F800">
      <w:pPr>
        <w:pStyle w:val="18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总价包含的风险范围：</w:t>
      </w:r>
      <w:r>
        <w:rPr>
          <w:rFonts w:hint="eastAsia" w:ascii="宋体" w:hAnsi="宋体"/>
          <w:color w:val="auto"/>
          <w:sz w:val="24"/>
          <w:szCs w:val="24"/>
          <w:highlight w:val="none"/>
          <w:u w:val="single"/>
        </w:rPr>
        <w:t>无</w:t>
      </w:r>
      <w:r>
        <w:rPr>
          <w:rFonts w:ascii="宋体" w:hAnsi="宋体"/>
          <w:color w:val="auto"/>
          <w:sz w:val="24"/>
          <w:szCs w:val="24"/>
          <w:highlight w:val="none"/>
        </w:rPr>
        <w:t>。</w:t>
      </w:r>
    </w:p>
    <w:p w14:paraId="39252153">
      <w:pPr>
        <w:pStyle w:val="18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风险范围以外合同价格的调整方法：</w:t>
      </w:r>
      <w:r>
        <w:rPr>
          <w:rFonts w:hint="eastAsia" w:ascii="宋体" w:hAnsi="宋体"/>
          <w:color w:val="auto"/>
          <w:sz w:val="24"/>
          <w:szCs w:val="24"/>
          <w:highlight w:val="none"/>
          <w:u w:val="single"/>
        </w:rPr>
        <w:t>无</w:t>
      </w:r>
      <w:r>
        <w:rPr>
          <w:rFonts w:ascii="宋体" w:hAnsi="宋体"/>
          <w:color w:val="auto"/>
          <w:sz w:val="24"/>
          <w:szCs w:val="24"/>
          <w:highlight w:val="none"/>
        </w:rPr>
        <w:t>。</w:t>
      </w:r>
    </w:p>
    <w:p w14:paraId="75417F3E">
      <w:pPr>
        <w:pStyle w:val="18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其他价格方式：</w:t>
      </w:r>
      <w:r>
        <w:rPr>
          <w:rFonts w:hint="eastAsia" w:ascii="宋体" w:hAnsi="宋体"/>
          <w:color w:val="auto"/>
          <w:sz w:val="24"/>
          <w:szCs w:val="24"/>
          <w:highlight w:val="none"/>
          <w:u w:val="single"/>
        </w:rPr>
        <w:t>无</w:t>
      </w:r>
      <w:r>
        <w:rPr>
          <w:rFonts w:ascii="宋体" w:hAnsi="宋体"/>
          <w:color w:val="auto"/>
          <w:sz w:val="24"/>
          <w:szCs w:val="24"/>
          <w:highlight w:val="none"/>
        </w:rPr>
        <w:t>。</w:t>
      </w:r>
    </w:p>
    <w:p w14:paraId="7A27FD23">
      <w:pPr>
        <w:pStyle w:val="2"/>
        <w:rPr>
          <w:rFonts w:hint="eastAsia" w:ascii="宋体" w:hAnsi="宋体"/>
          <w:color w:val="auto"/>
          <w:szCs w:val="24"/>
          <w:highlight w:val="none"/>
        </w:rPr>
      </w:pPr>
      <w:bookmarkStart w:id="950" w:name="_Toc533611505"/>
      <w:bookmarkStart w:id="951" w:name="_Toc24598"/>
      <w:r>
        <w:rPr>
          <w:rFonts w:hint="eastAsia" w:ascii="宋体" w:hAnsi="宋体"/>
          <w:color w:val="auto"/>
          <w:szCs w:val="24"/>
          <w:highlight w:val="none"/>
        </w:rPr>
        <w:t>12.2 预付款</w:t>
      </w:r>
      <w:bookmarkEnd w:id="929"/>
      <w:bookmarkEnd w:id="930"/>
      <w:bookmarkEnd w:id="931"/>
      <w:bookmarkEnd w:id="932"/>
      <w:bookmarkEnd w:id="933"/>
      <w:bookmarkEnd w:id="950"/>
      <w:bookmarkEnd w:id="951"/>
    </w:p>
    <w:p w14:paraId="2DE8C766">
      <w:pPr>
        <w:pageBreakBefore w:val="0"/>
        <w:widowControl w:val="0"/>
        <w:kinsoku/>
        <w:wordWrap/>
        <w:overflowPunct/>
        <w:topLinePunct w:val="0"/>
        <w:bidi w:val="0"/>
        <w:adjustRightInd/>
        <w:snapToGrid/>
        <w:spacing w:line="4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12DEC997">
      <w:pPr>
        <w:pageBreakBefore w:val="0"/>
        <w:widowControl w:val="0"/>
        <w:kinsoku/>
        <w:wordWrap/>
        <w:overflowPunct/>
        <w:topLinePunct w:val="0"/>
        <w:bidi w:val="0"/>
        <w:adjustRightInd/>
        <w:snapToGrid/>
        <w:spacing w:line="4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工程预付款：</w:t>
      </w:r>
      <w:r>
        <w:rPr>
          <w:rFonts w:hint="eastAsia" w:ascii="宋体" w:hAnsi="宋体" w:eastAsia="宋体" w:cs="宋体"/>
          <w:color w:val="auto"/>
          <w:sz w:val="21"/>
          <w:szCs w:val="21"/>
          <w:highlight w:val="none"/>
          <w:u w:val="single"/>
        </w:rPr>
        <w:t>合同总价的</w:t>
      </w:r>
      <w:r>
        <w:rPr>
          <w:rFonts w:hint="eastAsia" w:ascii="宋体" w:hAnsi="宋体" w:cs="宋体"/>
          <w:color w:val="auto"/>
          <w:sz w:val="21"/>
          <w:szCs w:val="21"/>
          <w:highlight w:val="none"/>
          <w:u w:val="single"/>
          <w:lang w:val="en-US" w:eastAsia="zh-CN"/>
        </w:rPr>
        <w:t>60</w:t>
      </w:r>
      <w:r>
        <w:rPr>
          <w:rFonts w:hint="eastAsia" w:ascii="宋体" w:hAnsi="宋体" w:eastAsia="宋体" w:cs="宋体"/>
          <w:color w:val="auto"/>
          <w:sz w:val="21"/>
          <w:szCs w:val="21"/>
          <w:highlight w:val="none"/>
          <w:u w:val="single"/>
        </w:rPr>
        <w:t>%。</w:t>
      </w:r>
    </w:p>
    <w:p w14:paraId="469DFF5C">
      <w:pPr>
        <w:pageBreakBefore w:val="0"/>
        <w:widowControl w:val="0"/>
        <w:kinsoku/>
        <w:wordWrap/>
        <w:overflowPunct/>
        <w:topLinePunct w:val="0"/>
        <w:bidi w:val="0"/>
        <w:adjustRightInd/>
        <w:snapToGrid/>
        <w:spacing w:line="4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cs="宋体"/>
          <w:color w:val="auto"/>
          <w:szCs w:val="21"/>
          <w:highlight w:val="none"/>
          <w:u w:val="single"/>
        </w:rPr>
        <w:t>签订合同后</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日内</w:t>
      </w:r>
      <w:r>
        <w:rPr>
          <w:rFonts w:hint="eastAsia" w:ascii="宋体" w:hAnsi="宋体" w:cs="宋体"/>
          <w:color w:val="auto"/>
          <w:szCs w:val="21"/>
          <w:highlight w:val="none"/>
        </w:rPr>
        <w:t>。</w:t>
      </w:r>
      <w:r>
        <w:rPr>
          <w:rFonts w:hint="eastAsia" w:ascii="宋体" w:hAnsi="宋体" w:cs="宋体"/>
          <w:color w:val="auto"/>
          <w:szCs w:val="21"/>
          <w:highlight w:val="none"/>
          <w:lang w:eastAsia="zh-CN"/>
        </w:rPr>
        <w:t>（具体时间双方签订合同时自行协商）</w:t>
      </w:r>
      <w:r>
        <w:rPr>
          <w:rFonts w:hint="eastAsia" w:ascii="宋体" w:hAnsi="宋体" w:eastAsia="宋体" w:cs="宋体"/>
          <w:color w:val="auto"/>
          <w:sz w:val="21"/>
          <w:szCs w:val="21"/>
          <w:highlight w:val="none"/>
        </w:rPr>
        <w:t>。</w:t>
      </w:r>
    </w:p>
    <w:p w14:paraId="59A0504A">
      <w:pPr>
        <w:pageBreakBefore w:val="0"/>
        <w:widowControl w:val="0"/>
        <w:kinsoku/>
        <w:wordWrap/>
        <w:overflowPunct/>
        <w:topLinePunct w:val="0"/>
        <w:bidi w:val="0"/>
        <w:adjustRightInd/>
        <w:snapToGrid/>
        <w:spacing w:line="4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D42257B">
      <w:pPr>
        <w:pageBreakBefore w:val="0"/>
        <w:widowControl w:val="0"/>
        <w:kinsoku/>
        <w:wordWrap/>
        <w:overflowPunct/>
        <w:topLinePunct w:val="0"/>
        <w:bidi w:val="0"/>
        <w:adjustRightInd/>
        <w:snapToGrid/>
        <w:spacing w:line="4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1BBDBE26">
      <w:pPr>
        <w:pageBreakBefore w:val="0"/>
        <w:widowControl w:val="0"/>
        <w:kinsoku/>
        <w:wordWrap/>
        <w:overflowPunct/>
        <w:topLinePunct w:val="0"/>
        <w:bidi w:val="0"/>
        <w:adjustRightInd/>
        <w:snapToGrid/>
        <w:spacing w:line="4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3B3E24D">
      <w:pPr>
        <w:pageBreakBefore w:val="0"/>
        <w:widowControl w:val="0"/>
        <w:kinsoku/>
        <w:wordWrap/>
        <w:overflowPunct/>
        <w:topLinePunct w:val="0"/>
        <w:bidi w:val="0"/>
        <w:adjustRightInd/>
        <w:snapToGrid/>
        <w:spacing w:line="4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A065EDA">
      <w:pPr>
        <w:rPr>
          <w:color w:val="auto"/>
          <w:highlight w:val="none"/>
        </w:rPr>
      </w:pPr>
    </w:p>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14:paraId="7B036419">
      <w:pPr>
        <w:pStyle w:val="2"/>
        <w:rPr>
          <w:rFonts w:ascii="宋体" w:hAnsi="宋体"/>
          <w:color w:val="auto"/>
          <w:szCs w:val="24"/>
          <w:highlight w:val="none"/>
        </w:rPr>
      </w:pPr>
      <w:bookmarkStart w:id="952" w:name="_Toc11792"/>
      <w:bookmarkStart w:id="953" w:name="_Toc373227751"/>
      <w:bookmarkStart w:id="954" w:name="_Toc533611506"/>
      <w:bookmarkStart w:id="955" w:name="_Toc389065316"/>
      <w:bookmarkStart w:id="956" w:name="_Toc373478398"/>
      <w:bookmarkStart w:id="957" w:name="_Toc8649"/>
      <w:bookmarkStart w:id="958" w:name="_Toc395382554"/>
      <w:r>
        <w:rPr>
          <w:rFonts w:hint="eastAsia" w:ascii="宋体" w:hAnsi="宋体"/>
          <w:color w:val="auto"/>
          <w:szCs w:val="24"/>
          <w:highlight w:val="none"/>
        </w:rPr>
        <w:t>12.3 计量</w:t>
      </w:r>
      <w:bookmarkEnd w:id="952"/>
      <w:bookmarkEnd w:id="953"/>
      <w:bookmarkEnd w:id="954"/>
      <w:bookmarkEnd w:id="955"/>
      <w:bookmarkEnd w:id="956"/>
      <w:bookmarkEnd w:id="957"/>
      <w:bookmarkEnd w:id="958"/>
    </w:p>
    <w:p w14:paraId="6DC67EF9">
      <w:pPr>
        <w:spacing w:line="360" w:lineRule="auto"/>
        <w:ind w:firstLine="480" w:firstLineChars="200"/>
        <w:rPr>
          <w:rFonts w:ascii="宋体" w:hAnsi="宋体"/>
          <w:color w:val="auto"/>
          <w:sz w:val="24"/>
          <w:highlight w:val="none"/>
        </w:rPr>
      </w:pPr>
      <w:r>
        <w:rPr>
          <w:rFonts w:ascii="宋体" w:hAnsi="宋体"/>
          <w:color w:val="auto"/>
          <w:sz w:val="24"/>
          <w:highlight w:val="none"/>
        </w:rPr>
        <w:t>12.3.1 计量原则</w:t>
      </w:r>
    </w:p>
    <w:p w14:paraId="143BD4C6">
      <w:pPr>
        <w:spacing w:line="360" w:lineRule="auto"/>
        <w:ind w:firstLine="480" w:firstLineChars="200"/>
        <w:rPr>
          <w:rFonts w:ascii="宋体" w:hAnsi="宋体"/>
          <w:color w:val="auto"/>
          <w:sz w:val="24"/>
          <w:highlight w:val="none"/>
        </w:rPr>
      </w:pPr>
      <w:r>
        <w:rPr>
          <w:rFonts w:ascii="宋体" w:hAnsi="宋体"/>
          <w:color w:val="auto"/>
          <w:sz w:val="24"/>
          <w:highlight w:val="none"/>
        </w:rPr>
        <w:t>工程量计算规则：</w:t>
      </w:r>
      <w:r>
        <w:rPr>
          <w:rFonts w:ascii="宋体" w:hAnsi="宋体"/>
          <w:color w:val="auto"/>
          <w:sz w:val="24"/>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1140FE50">
      <w:pPr>
        <w:spacing w:line="360" w:lineRule="auto"/>
        <w:ind w:firstLine="480" w:firstLineChars="200"/>
        <w:rPr>
          <w:rFonts w:ascii="宋体" w:hAnsi="宋体"/>
          <w:color w:val="auto"/>
          <w:sz w:val="24"/>
          <w:highlight w:val="none"/>
        </w:rPr>
      </w:pPr>
      <w:r>
        <w:rPr>
          <w:rFonts w:ascii="宋体" w:hAnsi="宋体"/>
          <w:color w:val="auto"/>
          <w:sz w:val="24"/>
          <w:highlight w:val="none"/>
        </w:rPr>
        <w:t>12.3.2 计量周期</w:t>
      </w:r>
    </w:p>
    <w:p w14:paraId="25BC8F67">
      <w:pPr>
        <w:pStyle w:val="23"/>
        <w:adjustRightInd w:val="0"/>
        <w:snapToGrid w:val="0"/>
        <w:spacing w:line="300" w:lineRule="auto"/>
        <w:ind w:firstLine="502"/>
        <w:rPr>
          <w:rFonts w:hAnsi="宋体"/>
          <w:color w:val="auto"/>
          <w:sz w:val="24"/>
          <w:highlight w:val="none"/>
        </w:rPr>
      </w:pPr>
      <w:r>
        <w:rPr>
          <w:rFonts w:hint="eastAsia" w:hAnsi="宋体"/>
          <w:color w:val="auto"/>
          <w:sz w:val="24"/>
          <w:highlight w:val="none"/>
        </w:rPr>
        <w:t>关于计量周期的约定：</w:t>
      </w:r>
      <w:r>
        <w:rPr>
          <w:rFonts w:hint="eastAsia" w:hAnsi="宋体"/>
          <w:bCs/>
          <w:color w:val="auto"/>
          <w:sz w:val="24"/>
          <w:highlight w:val="none"/>
          <w:u w:val="single"/>
        </w:rPr>
        <w:t>开工之后每月25日前，按进度向监理工程师提出当月已完工程量报告一式六份。监理工程师应于收到承包人提交的已完工程报告之日起8个工作日内进行计量和确认</w:t>
      </w:r>
      <w:r>
        <w:rPr>
          <w:rFonts w:hint="eastAsia" w:hAnsi="宋体"/>
          <w:color w:val="auto"/>
          <w:sz w:val="24"/>
          <w:highlight w:val="none"/>
        </w:rPr>
        <w:t>。</w:t>
      </w:r>
    </w:p>
    <w:p w14:paraId="1A18C681">
      <w:pPr>
        <w:spacing w:line="360" w:lineRule="auto"/>
        <w:ind w:firstLine="480" w:firstLineChars="200"/>
        <w:rPr>
          <w:rFonts w:ascii="宋体" w:hAnsi="宋体"/>
          <w:color w:val="auto"/>
          <w:sz w:val="24"/>
          <w:highlight w:val="none"/>
        </w:rPr>
      </w:pPr>
    </w:p>
    <w:p w14:paraId="026AF8E6">
      <w:pPr>
        <w:pStyle w:val="2"/>
        <w:rPr>
          <w:rFonts w:ascii="宋体" w:hAnsi="宋体"/>
          <w:color w:val="auto"/>
          <w:szCs w:val="24"/>
          <w:highlight w:val="none"/>
        </w:rPr>
      </w:pPr>
      <w:bookmarkStart w:id="959" w:name="_Toc389065317"/>
      <w:bookmarkStart w:id="960" w:name="_Toc29050"/>
      <w:bookmarkStart w:id="961" w:name="_Toc373478399"/>
      <w:bookmarkStart w:id="962" w:name="_Toc395382555"/>
      <w:bookmarkStart w:id="963" w:name="_Toc19682"/>
      <w:bookmarkStart w:id="964" w:name="_Toc373227752"/>
      <w:bookmarkStart w:id="965" w:name="_Toc533611507"/>
      <w:r>
        <w:rPr>
          <w:rFonts w:hint="eastAsia" w:ascii="宋体" w:hAnsi="宋体"/>
          <w:color w:val="auto"/>
          <w:szCs w:val="24"/>
          <w:highlight w:val="none"/>
        </w:rPr>
        <w:t>12.4 工程进度款支付</w:t>
      </w:r>
      <w:bookmarkEnd w:id="959"/>
      <w:bookmarkEnd w:id="960"/>
      <w:bookmarkEnd w:id="961"/>
      <w:bookmarkEnd w:id="962"/>
      <w:bookmarkEnd w:id="963"/>
      <w:bookmarkEnd w:id="964"/>
      <w:bookmarkEnd w:id="965"/>
    </w:p>
    <w:p w14:paraId="5284D71A">
      <w:pPr>
        <w:spacing w:line="360" w:lineRule="auto"/>
        <w:ind w:firstLine="480" w:firstLineChars="200"/>
        <w:rPr>
          <w:rFonts w:ascii="宋体" w:hAnsi="宋体"/>
          <w:color w:val="auto"/>
          <w:sz w:val="24"/>
          <w:highlight w:val="none"/>
        </w:rPr>
      </w:pPr>
      <w:bookmarkStart w:id="966" w:name="_Toc296347210"/>
      <w:bookmarkStart w:id="967" w:name="_Toc297048397"/>
      <w:bookmarkStart w:id="968" w:name="_Toc297216215"/>
      <w:bookmarkStart w:id="969" w:name="_Toc300935006"/>
      <w:bookmarkStart w:id="970" w:name="_Toc297123556"/>
      <w:bookmarkStart w:id="971" w:name="_Toc296891039"/>
      <w:bookmarkStart w:id="972" w:name="_Toc297120511"/>
      <w:bookmarkStart w:id="973" w:name="_Toc303539163"/>
      <w:bookmarkStart w:id="974" w:name="_Toc296891251"/>
      <w:bookmarkStart w:id="975" w:name="_Toc292559416"/>
      <w:bookmarkStart w:id="976" w:name="_Toc296346712"/>
      <w:bookmarkStart w:id="977" w:name="_Toc296503211"/>
      <w:bookmarkStart w:id="978" w:name="_Toc292559921"/>
      <w:bookmarkStart w:id="979" w:name="_Toc296944550"/>
      <w:r>
        <w:rPr>
          <w:rFonts w:ascii="宋体" w:hAnsi="宋体"/>
          <w:color w:val="auto"/>
          <w:sz w:val="24"/>
          <w:highlight w:val="none"/>
        </w:rPr>
        <w:t>12.4.1 付款周期</w:t>
      </w:r>
    </w:p>
    <w:p w14:paraId="7632E574">
      <w:pPr>
        <w:pStyle w:val="23"/>
        <w:adjustRightInd w:val="0"/>
        <w:snapToGrid w:val="0"/>
        <w:spacing w:line="300" w:lineRule="auto"/>
        <w:ind w:firstLine="502"/>
        <w:rPr>
          <w:rFonts w:hAnsi="宋体"/>
          <w:color w:val="auto"/>
          <w:sz w:val="24"/>
          <w:highlight w:val="none"/>
        </w:rPr>
      </w:pPr>
      <w:r>
        <w:rPr>
          <w:rFonts w:hint="eastAsia" w:hAnsi="宋体" w:cs="宋体"/>
          <w:bCs/>
          <w:color w:val="auto"/>
          <w:sz w:val="24"/>
          <w:highlight w:val="none"/>
          <w:u w:val="single"/>
        </w:rPr>
        <w:t>双方约定的工程款（进度款）的支付方式和时间：工程款按月支付，合同内进度款支付限额为经业主及监理工程师审定的已完成工程量价款的80%，合同外工程进度款支付限额为经业主及监理工程师审定的已完成工程量价款的80%。工程竣工验收合格，工程款支付至结算总价的97%（含已支付的），发包人按工程价款结算总额的3%，待约定的工程质量保修期满后14天内支付（无息）。</w:t>
      </w:r>
    </w:p>
    <w:p w14:paraId="4986B238">
      <w:pPr>
        <w:pStyle w:val="23"/>
        <w:adjustRightInd w:val="0"/>
        <w:snapToGrid w:val="0"/>
        <w:spacing w:line="300" w:lineRule="auto"/>
        <w:ind w:firstLine="502"/>
        <w:rPr>
          <w:rFonts w:hAnsi="宋体" w:cs="宋体"/>
          <w:bCs/>
          <w:color w:val="auto"/>
          <w:sz w:val="24"/>
          <w:highlight w:val="none"/>
          <w:u w:val="single"/>
        </w:rPr>
      </w:pPr>
      <w:r>
        <w:rPr>
          <w:rFonts w:hint="eastAsia" w:hAnsi="宋体" w:cs="宋体"/>
          <w:bCs/>
          <w:color w:val="auto"/>
          <w:sz w:val="24"/>
          <w:highlight w:val="none"/>
          <w:u w:val="single"/>
        </w:rPr>
        <w:t>承包人必须按时支付农民工工资，发包人支付到合同价款的80％时，承包人必须全部支付完农民工工资及材料款，如有农民工或材料供应商到发包人单位及上级部门反映索要工资、货款现象视为违约，每发生一次扣最终结算价的1％，发包人可从应向承包人支付的款项中扣除。</w:t>
      </w:r>
    </w:p>
    <w:p w14:paraId="1286CA51">
      <w:pPr>
        <w:spacing w:line="360" w:lineRule="auto"/>
        <w:ind w:firstLine="480" w:firstLineChars="200"/>
        <w:rPr>
          <w:rFonts w:ascii="宋体" w:hAnsi="宋体"/>
          <w:color w:val="auto"/>
          <w:sz w:val="24"/>
          <w:highlight w:val="none"/>
        </w:rPr>
      </w:pPr>
      <w:r>
        <w:rPr>
          <w:rFonts w:ascii="宋体" w:hAnsi="宋体"/>
          <w:color w:val="auto"/>
          <w:sz w:val="24"/>
          <w:highlight w:val="none"/>
        </w:rPr>
        <w:t>12.4.2 进度付款申请单的编制</w:t>
      </w:r>
    </w:p>
    <w:p w14:paraId="206108CD">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关于进度付款申请单编制的约定：</w:t>
      </w:r>
      <w:r>
        <w:rPr>
          <w:rFonts w:ascii="宋体" w:hAnsi="宋体"/>
          <w:b/>
          <w:bCs/>
          <w:color w:val="auto"/>
          <w:sz w:val="24"/>
          <w:highlight w:val="none"/>
          <w:u w:val="single"/>
        </w:rPr>
        <w:t xml:space="preserve"> 按发包人合同部的要求格式，一式六份 </w:t>
      </w:r>
      <w:r>
        <w:rPr>
          <w:rFonts w:ascii="宋体" w:hAnsi="宋体"/>
          <w:color w:val="auto"/>
          <w:sz w:val="24"/>
          <w:highlight w:val="none"/>
        </w:rPr>
        <w:t>。</w:t>
      </w:r>
    </w:p>
    <w:p w14:paraId="555F8028">
      <w:pPr>
        <w:spacing w:line="360" w:lineRule="auto"/>
        <w:ind w:firstLine="480" w:firstLineChars="200"/>
        <w:rPr>
          <w:rFonts w:ascii="宋体" w:hAnsi="宋体"/>
          <w:color w:val="auto"/>
          <w:sz w:val="24"/>
          <w:highlight w:val="none"/>
        </w:rPr>
      </w:pPr>
      <w:r>
        <w:rPr>
          <w:rFonts w:ascii="宋体" w:hAnsi="宋体"/>
          <w:color w:val="auto"/>
          <w:sz w:val="24"/>
          <w:highlight w:val="none"/>
        </w:rPr>
        <w:t>1</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r>
        <w:rPr>
          <w:rFonts w:ascii="宋体" w:hAnsi="宋体"/>
          <w:color w:val="auto"/>
          <w:sz w:val="24"/>
          <w:highlight w:val="none"/>
        </w:rPr>
        <w:t>2.4.3 进度付款申请单的提交</w:t>
      </w:r>
    </w:p>
    <w:p w14:paraId="17A09849">
      <w:pPr>
        <w:spacing w:line="360" w:lineRule="auto"/>
        <w:ind w:firstLine="480" w:firstLineChars="200"/>
        <w:rPr>
          <w:rFonts w:ascii="宋体" w:hAnsi="宋体"/>
          <w:color w:val="auto"/>
          <w:sz w:val="24"/>
          <w:highlight w:val="none"/>
        </w:rPr>
      </w:pPr>
      <w:r>
        <w:rPr>
          <w:rFonts w:ascii="宋体" w:hAnsi="宋体"/>
          <w:color w:val="auto"/>
          <w:sz w:val="24"/>
          <w:highlight w:val="none"/>
        </w:rPr>
        <w:t>（2）进度付款申请单提交的约定：</w:t>
      </w:r>
      <w:r>
        <w:rPr>
          <w:rFonts w:ascii="宋体" w:hAnsi="宋体"/>
          <w:color w:val="auto"/>
          <w:sz w:val="24"/>
          <w:highlight w:val="none"/>
          <w:u w:val="single"/>
        </w:rPr>
        <w:t xml:space="preserve">  发包人向财政部门申请工程进度款时，承包人应配合发包人提供以下资料：①《工程用款支付证书》；②《财政性资金投资项目用款核定通知书》；③工程量计量报表（格式按财政局业务科室具体要求）；④其他需要补充说明的材料 </w:t>
      </w:r>
      <w:r>
        <w:rPr>
          <w:rFonts w:ascii="宋体" w:hAnsi="宋体"/>
          <w:color w:val="auto"/>
          <w:sz w:val="24"/>
          <w:highlight w:val="none"/>
        </w:rPr>
        <w:t>。</w:t>
      </w:r>
    </w:p>
    <w:p w14:paraId="37E25E1B">
      <w:pPr>
        <w:spacing w:line="360" w:lineRule="auto"/>
        <w:ind w:firstLine="480" w:firstLineChars="200"/>
        <w:rPr>
          <w:rFonts w:ascii="宋体" w:hAnsi="宋体"/>
          <w:color w:val="auto"/>
          <w:sz w:val="24"/>
          <w:highlight w:val="none"/>
        </w:rPr>
      </w:pPr>
      <w:r>
        <w:rPr>
          <w:rFonts w:ascii="宋体" w:hAnsi="宋体"/>
          <w:color w:val="auto"/>
          <w:sz w:val="24"/>
          <w:highlight w:val="none"/>
        </w:rPr>
        <w:t>12.4.4 进度款审核和支付</w:t>
      </w:r>
    </w:p>
    <w:p w14:paraId="7D3DCA0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（1）监理人审查并报送发包人的期限： </w:t>
      </w:r>
      <w:r>
        <w:rPr>
          <w:rFonts w:ascii="宋体" w:hAnsi="宋体"/>
          <w:color w:val="auto"/>
          <w:sz w:val="24"/>
          <w:highlight w:val="none"/>
          <w:u w:val="single"/>
        </w:rPr>
        <w:t xml:space="preserve"> 收到承包人提交的已完工程报告之日起7个工作日内进行计量和确认  </w:t>
      </w:r>
      <w:r>
        <w:rPr>
          <w:rFonts w:ascii="宋体" w:hAnsi="宋体"/>
          <w:color w:val="auto"/>
          <w:sz w:val="24"/>
          <w:highlight w:val="none"/>
        </w:rPr>
        <w:t>。</w:t>
      </w:r>
    </w:p>
    <w:p w14:paraId="713AA79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发包人完成审批并签发进度款支付证书的期限：</w:t>
      </w:r>
      <w:r>
        <w:rPr>
          <w:rFonts w:ascii="宋体" w:hAnsi="宋体"/>
          <w:color w:val="auto"/>
          <w:sz w:val="24"/>
          <w:highlight w:val="none"/>
          <w:u w:val="single"/>
        </w:rPr>
        <w:t xml:space="preserve">    收到资料后7天内    </w:t>
      </w:r>
      <w:r>
        <w:rPr>
          <w:rFonts w:ascii="宋体" w:hAnsi="宋体"/>
          <w:color w:val="auto"/>
          <w:sz w:val="24"/>
          <w:highlight w:val="none"/>
        </w:rPr>
        <w:t>。</w:t>
      </w:r>
    </w:p>
    <w:p w14:paraId="3E765456">
      <w:pPr>
        <w:spacing w:line="360" w:lineRule="auto"/>
        <w:ind w:firstLine="480" w:firstLineChars="200"/>
        <w:rPr>
          <w:rFonts w:ascii="宋体" w:hAnsi="宋体"/>
          <w:color w:val="auto"/>
          <w:sz w:val="24"/>
          <w:highlight w:val="none"/>
        </w:rPr>
      </w:pPr>
      <w:r>
        <w:rPr>
          <w:rFonts w:ascii="宋体" w:hAnsi="宋体"/>
          <w:color w:val="auto"/>
          <w:sz w:val="24"/>
          <w:highlight w:val="none"/>
        </w:rPr>
        <w:t>（2）发包人支付进度款的期限：</w:t>
      </w:r>
      <w:r>
        <w:rPr>
          <w:rFonts w:ascii="宋体" w:hAnsi="宋体"/>
          <w:color w:val="auto"/>
          <w:sz w:val="24"/>
          <w:highlight w:val="none"/>
          <w:u w:val="single"/>
        </w:rPr>
        <w:t xml:space="preserve">   支付证书签发</w:t>
      </w:r>
      <w:r>
        <w:rPr>
          <w:rFonts w:hint="eastAsia" w:ascii="宋体" w:hAnsi="宋体"/>
          <w:color w:val="auto"/>
          <w:sz w:val="24"/>
          <w:highlight w:val="none"/>
          <w:u w:val="single"/>
        </w:rPr>
        <w:t xml:space="preserve">后 </w:t>
      </w:r>
      <w:r>
        <w:rPr>
          <w:rFonts w:ascii="宋体" w:hAnsi="宋体"/>
          <w:color w:val="auto"/>
          <w:sz w:val="24"/>
          <w:highlight w:val="none"/>
          <w:u w:val="single"/>
        </w:rPr>
        <w:t>7</w:t>
      </w:r>
      <w:r>
        <w:rPr>
          <w:rFonts w:hint="eastAsia" w:ascii="宋体" w:hAnsi="宋体"/>
          <w:color w:val="auto"/>
          <w:sz w:val="24"/>
          <w:highlight w:val="none"/>
          <w:u w:val="single"/>
        </w:rPr>
        <w:t>天</w:t>
      </w:r>
      <w:r>
        <w:rPr>
          <w:rFonts w:ascii="宋体" w:hAnsi="宋体"/>
          <w:color w:val="auto"/>
          <w:sz w:val="24"/>
          <w:highlight w:val="none"/>
          <w:u w:val="single"/>
        </w:rPr>
        <w:t xml:space="preserve">  </w:t>
      </w:r>
      <w:r>
        <w:rPr>
          <w:rFonts w:ascii="宋体" w:hAnsi="宋体"/>
          <w:color w:val="auto"/>
          <w:sz w:val="24"/>
          <w:highlight w:val="none"/>
        </w:rPr>
        <w:t>。</w:t>
      </w:r>
    </w:p>
    <w:p w14:paraId="079312F6">
      <w:pPr>
        <w:spacing w:line="360" w:lineRule="auto"/>
        <w:ind w:firstLine="600" w:firstLineChars="250"/>
        <w:rPr>
          <w:rFonts w:ascii="宋体" w:hAnsi="宋体"/>
          <w:color w:val="auto"/>
          <w:sz w:val="24"/>
          <w:highlight w:val="none"/>
        </w:rPr>
      </w:pPr>
      <w:r>
        <w:rPr>
          <w:rFonts w:ascii="宋体" w:hAnsi="宋体"/>
          <w:color w:val="auto"/>
          <w:sz w:val="24"/>
          <w:highlight w:val="none"/>
        </w:rPr>
        <w:t>发包人逾期支付进度款的违约金的计算方式：</w:t>
      </w:r>
      <w:r>
        <w:rPr>
          <w:rFonts w:ascii="宋体" w:hAnsi="宋体"/>
          <w:color w:val="auto"/>
          <w:sz w:val="24"/>
          <w:highlight w:val="none"/>
          <w:u w:val="single"/>
        </w:rPr>
        <w:t xml:space="preserve">        /             </w:t>
      </w:r>
      <w:r>
        <w:rPr>
          <w:rFonts w:ascii="宋体" w:hAnsi="宋体"/>
          <w:color w:val="auto"/>
          <w:sz w:val="24"/>
          <w:highlight w:val="none"/>
        </w:rPr>
        <w:t>。</w:t>
      </w:r>
    </w:p>
    <w:p w14:paraId="7E10E033">
      <w:pPr>
        <w:spacing w:line="360" w:lineRule="auto"/>
        <w:ind w:firstLine="600" w:firstLineChars="250"/>
        <w:rPr>
          <w:rFonts w:ascii="宋体" w:hAnsi="宋体"/>
          <w:color w:val="auto"/>
          <w:sz w:val="24"/>
          <w:highlight w:val="none"/>
        </w:rPr>
      </w:pPr>
      <w:r>
        <w:rPr>
          <w:rFonts w:ascii="宋体" w:hAnsi="宋体"/>
          <w:color w:val="auto"/>
          <w:sz w:val="24"/>
          <w:highlight w:val="none"/>
        </w:rPr>
        <w:t>进度款支付方式：</w:t>
      </w:r>
      <w:r>
        <w:rPr>
          <w:rFonts w:ascii="宋体" w:hAnsi="宋体"/>
          <w:color w:val="auto"/>
          <w:sz w:val="24"/>
          <w:highlight w:val="none"/>
          <w:u w:val="single"/>
        </w:rPr>
        <w:t>银行转账</w:t>
      </w:r>
      <w:r>
        <w:rPr>
          <w:rFonts w:ascii="宋体" w:hAnsi="宋体"/>
          <w:color w:val="auto"/>
          <w:sz w:val="24"/>
          <w:highlight w:val="none"/>
        </w:rPr>
        <w:t>。</w:t>
      </w:r>
    </w:p>
    <w:p w14:paraId="55E13969">
      <w:pPr>
        <w:spacing w:line="360" w:lineRule="auto"/>
        <w:ind w:firstLine="600" w:firstLineChars="250"/>
        <w:rPr>
          <w:rFonts w:ascii="宋体" w:hAnsi="宋体"/>
          <w:color w:val="auto"/>
          <w:sz w:val="24"/>
          <w:highlight w:val="none"/>
        </w:rPr>
      </w:pPr>
      <w:r>
        <w:rPr>
          <w:rFonts w:ascii="宋体" w:hAnsi="宋体"/>
          <w:color w:val="auto"/>
          <w:sz w:val="24"/>
          <w:highlight w:val="none"/>
        </w:rPr>
        <w:t>12.4.6 支付分解表的编制</w:t>
      </w:r>
    </w:p>
    <w:p w14:paraId="52588110">
      <w:pPr>
        <w:spacing w:line="360" w:lineRule="auto"/>
        <w:ind w:firstLine="600" w:firstLineChars="250"/>
        <w:rPr>
          <w:rFonts w:ascii="宋体" w:hAnsi="宋体"/>
          <w:color w:val="auto"/>
          <w:sz w:val="24"/>
          <w:highlight w:val="none"/>
          <w:u w:val="single"/>
        </w:rPr>
      </w:pPr>
      <w:r>
        <w:rPr>
          <w:rFonts w:ascii="宋体" w:hAnsi="宋体"/>
          <w:color w:val="auto"/>
          <w:sz w:val="24"/>
          <w:highlight w:val="none"/>
        </w:rPr>
        <w:t>2. 总价合同支付分解表的编制与审批：</w:t>
      </w:r>
      <w:r>
        <w:rPr>
          <w:rFonts w:ascii="宋体" w:hAnsi="宋体"/>
          <w:color w:val="auto"/>
          <w:sz w:val="24"/>
          <w:highlight w:val="none"/>
          <w:u w:val="single"/>
        </w:rPr>
        <w:t xml:space="preserve">    /                  </w:t>
      </w:r>
      <w:r>
        <w:rPr>
          <w:rFonts w:ascii="宋体" w:hAnsi="宋体"/>
          <w:color w:val="auto"/>
          <w:sz w:val="24"/>
          <w:highlight w:val="none"/>
        </w:rPr>
        <w:t>。</w:t>
      </w:r>
    </w:p>
    <w:p w14:paraId="4A519629">
      <w:pPr>
        <w:spacing w:line="360" w:lineRule="auto"/>
        <w:ind w:firstLine="600" w:firstLineChars="250"/>
        <w:rPr>
          <w:rFonts w:ascii="宋体" w:hAnsi="宋体"/>
          <w:color w:val="auto"/>
          <w:sz w:val="24"/>
          <w:highlight w:val="none"/>
          <w:u w:val="single"/>
        </w:rPr>
      </w:pPr>
      <w:r>
        <w:rPr>
          <w:rFonts w:ascii="宋体" w:hAnsi="宋体"/>
          <w:color w:val="auto"/>
          <w:sz w:val="24"/>
          <w:highlight w:val="none"/>
        </w:rPr>
        <w:t>3. 单价合同的总价项目支付分解表的编制与审批：总价项目不采用支付分解表的方式计算，而按《建设工程工程量清单计价规范（GB50500-2013）广西壮族自治区实施细则》的规定执行。</w:t>
      </w:r>
    </w:p>
    <w:bookmarkEnd w:id="743"/>
    <w:p w14:paraId="290BCFFB">
      <w:pPr>
        <w:pStyle w:val="4"/>
        <w:rPr>
          <w:rFonts w:ascii="宋体" w:hAnsi="宋体" w:eastAsia="宋体"/>
          <w:color w:val="auto"/>
          <w:sz w:val="24"/>
          <w:szCs w:val="24"/>
          <w:highlight w:val="none"/>
        </w:rPr>
      </w:pPr>
      <w:bookmarkStart w:id="980" w:name="_Toc389065318"/>
      <w:bookmarkStart w:id="981" w:name="_Toc373478400"/>
      <w:bookmarkStart w:id="982" w:name="_Toc373227753"/>
      <w:bookmarkStart w:id="983" w:name="_Toc395382556"/>
      <w:bookmarkStart w:id="984" w:name="_Toc23629"/>
      <w:bookmarkStart w:id="985" w:name="_Toc533611508"/>
      <w:bookmarkStart w:id="986" w:name="_Toc296891047"/>
      <w:bookmarkStart w:id="987" w:name="_Toc296891259"/>
      <w:bookmarkStart w:id="988" w:name="_Toc292559929"/>
      <w:bookmarkStart w:id="989" w:name="_Toc296346720"/>
      <w:bookmarkStart w:id="990" w:name="_Toc304295593"/>
      <w:bookmarkStart w:id="991" w:name="_Toc297123564"/>
      <w:bookmarkStart w:id="992" w:name="_Toc312678053"/>
      <w:bookmarkStart w:id="993" w:name="_Toc296347218"/>
      <w:bookmarkStart w:id="994" w:name="_Toc300935015"/>
      <w:bookmarkStart w:id="995" w:name="_Toc297216223"/>
      <w:bookmarkStart w:id="996" w:name="_Toc303539172"/>
      <w:bookmarkStart w:id="997" w:name="_Toc296944558"/>
      <w:bookmarkStart w:id="998" w:name="_Toc292559424"/>
      <w:bookmarkStart w:id="999" w:name="_Toc296503219"/>
      <w:bookmarkStart w:id="1000" w:name="_Toc297048405"/>
      <w:bookmarkStart w:id="1001" w:name="_Toc297120519"/>
    </w:p>
    <w:p w14:paraId="318BDAE0">
      <w:pPr>
        <w:pStyle w:val="4"/>
        <w:rPr>
          <w:rFonts w:ascii="宋体" w:hAnsi="宋体" w:eastAsia="宋体"/>
          <w:color w:val="auto"/>
          <w:sz w:val="24"/>
          <w:szCs w:val="24"/>
          <w:highlight w:val="none"/>
        </w:rPr>
      </w:pPr>
      <w:bookmarkStart w:id="1002" w:name="_Toc13400"/>
      <w:r>
        <w:rPr>
          <w:rFonts w:hint="eastAsia" w:ascii="宋体" w:hAnsi="宋体" w:eastAsia="宋体"/>
          <w:color w:val="auto"/>
          <w:sz w:val="24"/>
          <w:szCs w:val="24"/>
          <w:highlight w:val="none"/>
        </w:rPr>
        <w:t>13. 验收和工程试车</w:t>
      </w:r>
      <w:bookmarkEnd w:id="980"/>
      <w:bookmarkEnd w:id="981"/>
      <w:bookmarkEnd w:id="982"/>
      <w:bookmarkEnd w:id="983"/>
      <w:bookmarkEnd w:id="984"/>
      <w:bookmarkEnd w:id="985"/>
      <w:bookmarkEnd w:id="1002"/>
    </w:p>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14:paraId="4578EFC7">
      <w:pPr>
        <w:pStyle w:val="2"/>
        <w:rPr>
          <w:rFonts w:ascii="宋体" w:hAnsi="宋体"/>
          <w:color w:val="auto"/>
          <w:szCs w:val="24"/>
          <w:highlight w:val="none"/>
        </w:rPr>
      </w:pPr>
      <w:bookmarkStart w:id="1003" w:name="_Toc22437"/>
      <w:bookmarkStart w:id="1004" w:name="_Toc373227754"/>
      <w:bookmarkStart w:id="1005" w:name="_Toc24465"/>
      <w:bookmarkStart w:id="1006" w:name="_Toc373478401"/>
      <w:bookmarkStart w:id="1007" w:name="_Toc395382557"/>
      <w:bookmarkStart w:id="1008" w:name="_Toc389065319"/>
      <w:bookmarkStart w:id="1009" w:name="_Toc533611509"/>
      <w:r>
        <w:rPr>
          <w:rFonts w:hint="eastAsia" w:ascii="宋体" w:hAnsi="宋体"/>
          <w:color w:val="auto"/>
          <w:szCs w:val="24"/>
          <w:highlight w:val="none"/>
        </w:rPr>
        <w:t>13.1 分部分项工程验收</w:t>
      </w:r>
      <w:bookmarkEnd w:id="1003"/>
      <w:bookmarkEnd w:id="1004"/>
      <w:bookmarkEnd w:id="1005"/>
      <w:bookmarkEnd w:id="1006"/>
      <w:bookmarkEnd w:id="1007"/>
      <w:bookmarkEnd w:id="1008"/>
      <w:bookmarkEnd w:id="1009"/>
    </w:p>
    <w:p w14:paraId="3F364667">
      <w:pPr>
        <w:spacing w:line="360" w:lineRule="auto"/>
        <w:ind w:firstLine="480" w:firstLineChars="200"/>
        <w:rPr>
          <w:rFonts w:ascii="宋体" w:hAnsi="宋体"/>
          <w:color w:val="auto"/>
          <w:sz w:val="24"/>
          <w:highlight w:val="none"/>
        </w:rPr>
      </w:pPr>
      <w:r>
        <w:rPr>
          <w:rFonts w:ascii="宋体" w:hAnsi="宋体"/>
          <w:color w:val="auto"/>
          <w:sz w:val="24"/>
          <w:highlight w:val="none"/>
        </w:rPr>
        <w:t>13.1.2监理人不能按时进行验收时，应提前</w:t>
      </w:r>
      <w:r>
        <w:rPr>
          <w:rFonts w:ascii="宋体" w:hAnsi="宋体"/>
          <w:color w:val="auto"/>
          <w:sz w:val="24"/>
          <w:highlight w:val="none"/>
          <w:u w:val="single"/>
        </w:rPr>
        <w:t xml:space="preserve">   6    </w:t>
      </w:r>
      <w:r>
        <w:rPr>
          <w:rFonts w:ascii="宋体" w:hAnsi="宋体"/>
          <w:color w:val="auto"/>
          <w:sz w:val="24"/>
          <w:highlight w:val="none"/>
        </w:rPr>
        <w:t>小时提交书面延期要求。</w:t>
      </w:r>
    </w:p>
    <w:p w14:paraId="10604C2E">
      <w:pPr>
        <w:spacing w:line="360" w:lineRule="auto"/>
        <w:ind w:firstLine="480" w:firstLineChars="200"/>
        <w:rPr>
          <w:rFonts w:ascii="宋体" w:hAnsi="宋体"/>
          <w:b/>
          <w:color w:val="auto"/>
          <w:sz w:val="24"/>
          <w:highlight w:val="none"/>
        </w:rPr>
      </w:pPr>
      <w:r>
        <w:rPr>
          <w:rFonts w:ascii="宋体" w:hAnsi="宋体"/>
          <w:color w:val="auto"/>
          <w:sz w:val="24"/>
          <w:highlight w:val="none"/>
        </w:rPr>
        <w:t>关于延期最长不得超过：</w:t>
      </w:r>
      <w:r>
        <w:rPr>
          <w:rFonts w:ascii="宋体" w:hAnsi="宋体"/>
          <w:color w:val="auto"/>
          <w:sz w:val="24"/>
          <w:highlight w:val="none"/>
          <w:u w:val="single"/>
        </w:rPr>
        <w:t xml:space="preserve">    12     </w:t>
      </w:r>
      <w:r>
        <w:rPr>
          <w:rFonts w:ascii="宋体" w:hAnsi="宋体"/>
          <w:color w:val="auto"/>
          <w:sz w:val="24"/>
          <w:highlight w:val="none"/>
        </w:rPr>
        <w:t>小时。</w:t>
      </w:r>
    </w:p>
    <w:p w14:paraId="078E43B2">
      <w:pPr>
        <w:pStyle w:val="2"/>
        <w:rPr>
          <w:rFonts w:ascii="宋体" w:hAnsi="宋体"/>
          <w:color w:val="auto"/>
          <w:szCs w:val="24"/>
          <w:highlight w:val="none"/>
        </w:rPr>
      </w:pPr>
      <w:bookmarkStart w:id="1010" w:name="_Toc373227755"/>
      <w:bookmarkStart w:id="1011" w:name="_Toc373478402"/>
      <w:bookmarkStart w:id="1012" w:name="_Toc22071"/>
      <w:bookmarkStart w:id="1013" w:name="_Toc12382"/>
      <w:bookmarkStart w:id="1014" w:name="_Toc389065320"/>
      <w:bookmarkStart w:id="1015" w:name="_Toc533611510"/>
      <w:bookmarkStart w:id="1016" w:name="_Toc395382558"/>
      <w:bookmarkStart w:id="1017" w:name="_Toc312678056"/>
      <w:bookmarkStart w:id="1018" w:name="_Toc297216224"/>
      <w:bookmarkStart w:id="1019" w:name="_Toc296503223"/>
      <w:bookmarkStart w:id="1020" w:name="_Toc304295596"/>
      <w:bookmarkStart w:id="1021" w:name="_Toc297123565"/>
      <w:bookmarkStart w:id="1022" w:name="_Toc297048409"/>
      <w:bookmarkStart w:id="1023" w:name="_Toc303539173"/>
      <w:bookmarkStart w:id="1024" w:name="_Toc292559933"/>
      <w:bookmarkStart w:id="1025" w:name="_Toc296891051"/>
      <w:bookmarkStart w:id="1026" w:name="_Toc300935016"/>
      <w:bookmarkStart w:id="1027" w:name="_Toc296347222"/>
      <w:bookmarkStart w:id="1028" w:name="_Toc296346724"/>
      <w:bookmarkStart w:id="1029" w:name="_Toc296891263"/>
      <w:bookmarkStart w:id="1030" w:name="_Toc292559428"/>
      <w:bookmarkStart w:id="1031" w:name="_Toc296944562"/>
      <w:bookmarkStart w:id="1032" w:name="_Toc297120523"/>
      <w:bookmarkStart w:id="1033" w:name="_Toc267251473"/>
      <w:bookmarkStart w:id="1034" w:name="_Toc267251476"/>
      <w:bookmarkStart w:id="1035" w:name="_Toc267251472"/>
      <w:bookmarkStart w:id="1036" w:name="_Toc267251470"/>
      <w:bookmarkStart w:id="1037" w:name="_Toc267251474"/>
      <w:bookmarkStart w:id="1038" w:name="_Toc267251471"/>
      <w:bookmarkStart w:id="1039" w:name="_Toc267251475"/>
      <w:r>
        <w:rPr>
          <w:rFonts w:hint="eastAsia" w:ascii="宋体" w:hAnsi="宋体"/>
          <w:color w:val="auto"/>
          <w:szCs w:val="24"/>
          <w:highlight w:val="none"/>
        </w:rPr>
        <w:t>13.2 竣工验收</w:t>
      </w:r>
      <w:bookmarkEnd w:id="1010"/>
      <w:bookmarkEnd w:id="1011"/>
      <w:bookmarkEnd w:id="1012"/>
      <w:bookmarkEnd w:id="1013"/>
      <w:bookmarkEnd w:id="1014"/>
      <w:bookmarkEnd w:id="1015"/>
      <w:bookmarkEnd w:id="1016"/>
    </w:p>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14:paraId="4180435F">
      <w:pPr>
        <w:spacing w:line="360" w:lineRule="auto"/>
        <w:ind w:firstLine="480" w:firstLineChars="200"/>
        <w:rPr>
          <w:rFonts w:ascii="宋体" w:hAnsi="宋体"/>
          <w:color w:val="auto"/>
          <w:sz w:val="24"/>
          <w:highlight w:val="none"/>
        </w:rPr>
      </w:pPr>
      <w:bookmarkStart w:id="1040" w:name="_Toc280868704"/>
      <w:bookmarkStart w:id="1041" w:name="_Toc280868705"/>
      <w:bookmarkStart w:id="1042" w:name="_Toc280868706"/>
      <w:bookmarkStart w:id="1043" w:name="_Toc280868707"/>
      <w:bookmarkStart w:id="1044" w:name="_Toc280868708"/>
      <w:bookmarkStart w:id="1045" w:name="_Toc280868709"/>
      <w:r>
        <w:rPr>
          <w:rFonts w:ascii="宋体" w:hAnsi="宋体"/>
          <w:color w:val="auto"/>
          <w:sz w:val="24"/>
          <w:highlight w:val="none"/>
        </w:rPr>
        <w:t>13.2.1竣工验收条件</w:t>
      </w:r>
    </w:p>
    <w:p w14:paraId="0C28916A">
      <w:pPr>
        <w:spacing w:line="360" w:lineRule="auto"/>
        <w:ind w:firstLine="480" w:firstLineChars="200"/>
        <w:rPr>
          <w:rFonts w:ascii="宋体" w:hAnsi="宋体"/>
          <w:color w:val="auto"/>
          <w:sz w:val="24"/>
          <w:highlight w:val="none"/>
        </w:rPr>
      </w:pPr>
      <w:r>
        <w:rPr>
          <w:rFonts w:ascii="宋体" w:hAnsi="宋体"/>
          <w:color w:val="auto"/>
          <w:sz w:val="24"/>
          <w:highlight w:val="none"/>
        </w:rPr>
        <w:t>（3）承包人负责整理和提交的竣工验收资料应当符合工程所在地建设行政主管部门和(或)城市建设档案管理机构有关施工资料的要求，具体内容包括：</w:t>
      </w:r>
      <w:r>
        <w:rPr>
          <w:rFonts w:ascii="宋体" w:hAnsi="宋体"/>
          <w:color w:val="auto"/>
          <w:sz w:val="24"/>
          <w:highlight w:val="none"/>
          <w:u w:val="single"/>
        </w:rPr>
        <w:t xml:space="preserve">  质量保证资料、验收备案资料、竣工图等完整的竣工档案资料  </w:t>
      </w:r>
      <w:r>
        <w:rPr>
          <w:rFonts w:ascii="宋体" w:hAnsi="宋体"/>
          <w:color w:val="auto"/>
          <w:sz w:val="24"/>
          <w:highlight w:val="none"/>
        </w:rPr>
        <w:t>。</w:t>
      </w:r>
    </w:p>
    <w:p w14:paraId="5EC34934">
      <w:pPr>
        <w:spacing w:line="360" w:lineRule="auto"/>
        <w:ind w:firstLine="480" w:firstLineChars="200"/>
        <w:rPr>
          <w:rFonts w:ascii="宋体" w:hAnsi="宋体"/>
          <w:color w:val="auto"/>
          <w:sz w:val="24"/>
          <w:highlight w:val="none"/>
        </w:rPr>
      </w:pPr>
      <w:r>
        <w:rPr>
          <w:rFonts w:ascii="宋体" w:hAnsi="宋体"/>
          <w:color w:val="auto"/>
          <w:sz w:val="24"/>
          <w:highlight w:val="none"/>
        </w:rPr>
        <w:t>竣工验收资料的份数：</w:t>
      </w:r>
      <w:r>
        <w:rPr>
          <w:rFonts w:ascii="宋体" w:hAnsi="宋体"/>
          <w:color w:val="auto"/>
          <w:sz w:val="24"/>
          <w:highlight w:val="none"/>
          <w:u w:val="single"/>
        </w:rPr>
        <w:t xml:space="preserve">    伍份    </w:t>
      </w:r>
      <w:r>
        <w:rPr>
          <w:rFonts w:ascii="宋体" w:hAnsi="宋体"/>
          <w:color w:val="auto"/>
          <w:sz w:val="24"/>
          <w:highlight w:val="none"/>
        </w:rPr>
        <w:t>。</w:t>
      </w:r>
    </w:p>
    <w:p w14:paraId="09DD5171">
      <w:pPr>
        <w:spacing w:line="360" w:lineRule="auto"/>
        <w:ind w:firstLine="480" w:firstLineChars="200"/>
        <w:rPr>
          <w:rFonts w:ascii="宋体" w:hAnsi="宋体"/>
          <w:color w:val="auto"/>
          <w:sz w:val="24"/>
          <w:highlight w:val="none"/>
        </w:rPr>
      </w:pPr>
      <w:r>
        <w:rPr>
          <w:rFonts w:ascii="宋体" w:hAnsi="宋体"/>
          <w:bCs/>
          <w:color w:val="auto"/>
          <w:sz w:val="24"/>
          <w:highlight w:val="none"/>
        </w:rPr>
        <w:t>承包人提供竣工图的约定：</w:t>
      </w:r>
      <w:r>
        <w:rPr>
          <w:rFonts w:ascii="宋体" w:hAnsi="宋体"/>
          <w:b/>
          <w:color w:val="auto"/>
          <w:sz w:val="24"/>
          <w:highlight w:val="none"/>
          <w:u w:val="single"/>
        </w:rPr>
        <w:t>竣工验收正式通过后5天（工程造价在500万元以下含500万元）、10天（工程造价在500万元至1000万元之间含1000万元）、15天（工程造价在1000万元以上），提供竣工图的数量分别为5套。</w:t>
      </w:r>
    </w:p>
    <w:p w14:paraId="6FE0EF91">
      <w:pPr>
        <w:spacing w:line="360" w:lineRule="auto"/>
        <w:ind w:firstLine="480" w:firstLineChars="200"/>
        <w:rPr>
          <w:rFonts w:ascii="宋体" w:hAnsi="宋体"/>
          <w:color w:val="auto"/>
          <w:sz w:val="24"/>
          <w:highlight w:val="none"/>
        </w:rPr>
      </w:pPr>
      <w:r>
        <w:rPr>
          <w:rFonts w:ascii="宋体" w:hAnsi="宋体"/>
          <w:color w:val="auto"/>
          <w:sz w:val="24"/>
          <w:highlight w:val="none"/>
        </w:rPr>
        <w:t>13.2.2竣工验收程序</w:t>
      </w:r>
    </w:p>
    <w:bookmarkEnd w:id="1040"/>
    <w:p w14:paraId="7682731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关于竣工验收程序的约定：</w:t>
      </w:r>
      <w:r>
        <w:rPr>
          <w:rFonts w:ascii="宋体" w:hAnsi="宋体"/>
          <w:color w:val="auto"/>
          <w:sz w:val="24"/>
          <w:highlight w:val="none"/>
          <w:u w:val="single"/>
        </w:rPr>
        <w:t>按</w:t>
      </w:r>
      <w:r>
        <w:rPr>
          <w:rFonts w:hint="eastAsia" w:ascii="宋体" w:hAnsi="宋体"/>
          <w:color w:val="auto"/>
          <w:sz w:val="24"/>
          <w:highlight w:val="none"/>
          <w:u w:val="single"/>
        </w:rPr>
        <w:t>建设部门相关规定</w:t>
      </w:r>
      <w:r>
        <w:rPr>
          <w:rFonts w:ascii="宋体" w:hAnsi="宋体"/>
          <w:color w:val="auto"/>
          <w:sz w:val="24"/>
          <w:highlight w:val="none"/>
          <w:u w:val="single"/>
        </w:rPr>
        <w:t xml:space="preserve"> </w:t>
      </w:r>
      <w:r>
        <w:rPr>
          <w:rFonts w:ascii="宋体" w:hAnsi="宋体"/>
          <w:color w:val="auto"/>
          <w:sz w:val="24"/>
          <w:highlight w:val="none"/>
        </w:rPr>
        <w:t>。</w:t>
      </w:r>
    </w:p>
    <w:p w14:paraId="1036225E">
      <w:pPr>
        <w:spacing w:line="360" w:lineRule="auto"/>
        <w:rPr>
          <w:rFonts w:ascii="宋体" w:hAnsi="宋体"/>
          <w:color w:val="auto"/>
          <w:sz w:val="24"/>
          <w:highlight w:val="none"/>
        </w:rPr>
      </w:pPr>
      <w:r>
        <w:rPr>
          <w:rFonts w:ascii="宋体" w:hAnsi="宋体"/>
          <w:color w:val="auto"/>
          <w:sz w:val="24"/>
          <w:highlight w:val="none"/>
        </w:rPr>
        <w:t>发包人不按照本项约定组织竣工验收、颁发工程接收证书的违约金的计算方法：</w:t>
      </w:r>
      <w:r>
        <w:rPr>
          <w:rFonts w:ascii="宋体" w:hAnsi="宋体"/>
          <w:color w:val="auto"/>
          <w:sz w:val="24"/>
          <w:highlight w:val="none"/>
          <w:u w:val="single"/>
        </w:rPr>
        <w:t xml:space="preserve">    /  </w:t>
      </w:r>
      <w:r>
        <w:rPr>
          <w:rFonts w:ascii="宋体" w:hAnsi="宋体"/>
          <w:color w:val="auto"/>
          <w:sz w:val="24"/>
          <w:highlight w:val="none"/>
        </w:rPr>
        <w:t>。</w:t>
      </w:r>
    </w:p>
    <w:bookmarkEnd w:id="1041"/>
    <w:p w14:paraId="0473A971">
      <w:pPr>
        <w:spacing w:line="360" w:lineRule="auto"/>
        <w:ind w:firstLine="480" w:firstLineChars="200"/>
        <w:rPr>
          <w:rFonts w:ascii="宋体" w:hAnsi="宋体"/>
          <w:color w:val="auto"/>
          <w:sz w:val="24"/>
          <w:highlight w:val="none"/>
        </w:rPr>
      </w:pPr>
      <w:r>
        <w:rPr>
          <w:rFonts w:ascii="宋体" w:hAnsi="宋体"/>
          <w:color w:val="auto"/>
          <w:sz w:val="24"/>
          <w:highlight w:val="none"/>
        </w:rPr>
        <w:t>13.2.5移交、接收全部与部分工程</w:t>
      </w:r>
    </w:p>
    <w:bookmarkEnd w:id="1042"/>
    <w:p w14:paraId="22A8C8E1">
      <w:pPr>
        <w:spacing w:line="360" w:lineRule="auto"/>
        <w:ind w:firstLine="480" w:firstLineChars="200"/>
        <w:rPr>
          <w:rFonts w:ascii="宋体" w:hAnsi="宋体"/>
          <w:color w:val="auto"/>
          <w:sz w:val="24"/>
          <w:highlight w:val="none"/>
        </w:rPr>
      </w:pPr>
      <w:r>
        <w:rPr>
          <w:rFonts w:ascii="宋体" w:hAnsi="宋体"/>
          <w:color w:val="auto"/>
          <w:sz w:val="24"/>
          <w:highlight w:val="none"/>
        </w:rPr>
        <w:t>承包人向发包人移交工程的期限：</w:t>
      </w:r>
      <w:r>
        <w:rPr>
          <w:rFonts w:ascii="宋体" w:hAnsi="宋体"/>
          <w:color w:val="auto"/>
          <w:sz w:val="24"/>
          <w:highlight w:val="none"/>
          <w:u w:val="single"/>
        </w:rPr>
        <w:t xml:space="preserve">  工程竣工验收合格后7天内  </w:t>
      </w:r>
      <w:r>
        <w:rPr>
          <w:rFonts w:ascii="宋体" w:hAnsi="宋体"/>
          <w:color w:val="auto"/>
          <w:sz w:val="24"/>
          <w:highlight w:val="none"/>
        </w:rPr>
        <w:t>。</w:t>
      </w:r>
    </w:p>
    <w:p w14:paraId="27F393E4">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发包人未按本合同约定接收全部或部分工程的，违约金的计算方法为：</w:t>
      </w:r>
      <w:r>
        <w:rPr>
          <w:rFonts w:ascii="宋体" w:hAnsi="宋体"/>
          <w:color w:val="auto"/>
          <w:sz w:val="24"/>
          <w:highlight w:val="none"/>
          <w:u w:val="single"/>
        </w:rPr>
        <w:t xml:space="preserve">  /  </w:t>
      </w:r>
      <w:r>
        <w:rPr>
          <w:rFonts w:ascii="宋体" w:hAnsi="宋体"/>
          <w:color w:val="auto"/>
          <w:sz w:val="24"/>
          <w:highlight w:val="none"/>
        </w:rPr>
        <w:t>。</w:t>
      </w:r>
    </w:p>
    <w:bookmarkEnd w:id="1043"/>
    <w:p w14:paraId="7BD96060">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承包人未按时移交工程的，违约金的计算方法为：</w:t>
      </w:r>
      <w:r>
        <w:rPr>
          <w:rFonts w:ascii="宋体" w:hAnsi="宋体"/>
          <w:color w:val="auto"/>
          <w:sz w:val="24"/>
          <w:highlight w:val="none"/>
          <w:u w:val="single"/>
        </w:rPr>
        <w:t xml:space="preserve">   向发包人支付合同价款的万分之四的违约金  </w:t>
      </w:r>
      <w:r>
        <w:rPr>
          <w:rFonts w:ascii="宋体" w:hAnsi="宋体"/>
          <w:color w:val="auto"/>
          <w:sz w:val="24"/>
          <w:highlight w:val="none"/>
        </w:rPr>
        <w:t>。</w:t>
      </w:r>
    </w:p>
    <w:p w14:paraId="40E92B57">
      <w:pPr>
        <w:pStyle w:val="2"/>
        <w:rPr>
          <w:rFonts w:ascii="宋体" w:hAnsi="宋体"/>
          <w:color w:val="auto"/>
          <w:szCs w:val="24"/>
          <w:highlight w:val="none"/>
        </w:rPr>
      </w:pPr>
      <w:bookmarkStart w:id="1046" w:name="_Toc19934"/>
      <w:bookmarkStart w:id="1047" w:name="_Toc373227756"/>
      <w:bookmarkStart w:id="1048" w:name="_Toc12100"/>
      <w:bookmarkStart w:id="1049" w:name="_Toc533611511"/>
      <w:bookmarkStart w:id="1050" w:name="_Toc395382559"/>
      <w:bookmarkStart w:id="1051" w:name="_Toc389065321"/>
      <w:bookmarkStart w:id="1052" w:name="_Toc373478403"/>
      <w:r>
        <w:rPr>
          <w:rFonts w:hint="eastAsia" w:ascii="宋体" w:hAnsi="宋体"/>
          <w:color w:val="auto"/>
          <w:szCs w:val="24"/>
          <w:highlight w:val="none"/>
        </w:rPr>
        <w:t>13.3 工程试车</w:t>
      </w:r>
      <w:bookmarkEnd w:id="1046"/>
      <w:bookmarkEnd w:id="1047"/>
      <w:bookmarkEnd w:id="1048"/>
      <w:bookmarkEnd w:id="1049"/>
      <w:bookmarkEnd w:id="1050"/>
      <w:bookmarkEnd w:id="1051"/>
      <w:bookmarkEnd w:id="1052"/>
    </w:p>
    <w:bookmarkEnd w:id="1044"/>
    <w:p w14:paraId="34F56EE7">
      <w:pPr>
        <w:spacing w:line="360" w:lineRule="auto"/>
        <w:ind w:firstLine="480" w:firstLineChars="200"/>
        <w:rPr>
          <w:rFonts w:ascii="宋体" w:hAnsi="宋体"/>
          <w:color w:val="auto"/>
          <w:sz w:val="24"/>
          <w:highlight w:val="none"/>
        </w:rPr>
      </w:pPr>
      <w:r>
        <w:rPr>
          <w:rFonts w:ascii="宋体" w:hAnsi="宋体"/>
          <w:color w:val="auto"/>
          <w:sz w:val="24"/>
          <w:highlight w:val="none"/>
        </w:rPr>
        <w:t>13.3.1 试车程序</w:t>
      </w:r>
    </w:p>
    <w:p w14:paraId="07AF5EEC">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工程试车内容：</w:t>
      </w:r>
      <w:r>
        <w:rPr>
          <w:rFonts w:ascii="宋体" w:hAnsi="宋体"/>
          <w:color w:val="auto"/>
          <w:sz w:val="24"/>
          <w:highlight w:val="none"/>
          <w:u w:val="single"/>
        </w:rPr>
        <w:t xml:space="preserve">            /                            </w:t>
      </w:r>
      <w:r>
        <w:rPr>
          <w:rFonts w:ascii="宋体" w:hAnsi="宋体"/>
          <w:color w:val="auto"/>
          <w:sz w:val="24"/>
          <w:highlight w:val="none"/>
        </w:rPr>
        <w:t>。</w:t>
      </w:r>
    </w:p>
    <w:p w14:paraId="787316EF">
      <w:pPr>
        <w:spacing w:line="360" w:lineRule="auto"/>
        <w:ind w:firstLine="480" w:firstLineChars="200"/>
        <w:rPr>
          <w:rFonts w:ascii="宋体" w:hAnsi="宋体"/>
          <w:color w:val="auto"/>
          <w:sz w:val="24"/>
          <w:highlight w:val="none"/>
        </w:rPr>
      </w:pPr>
      <w:r>
        <w:rPr>
          <w:rFonts w:ascii="宋体" w:hAnsi="宋体"/>
          <w:color w:val="auto"/>
          <w:sz w:val="24"/>
          <w:highlight w:val="none"/>
        </w:rPr>
        <w:t>（1）单机无负荷试车费用由</w:t>
      </w:r>
      <w:r>
        <w:rPr>
          <w:rFonts w:ascii="宋体" w:hAnsi="宋体"/>
          <w:color w:val="auto"/>
          <w:sz w:val="24"/>
          <w:highlight w:val="none"/>
          <w:u w:val="single"/>
        </w:rPr>
        <w:t xml:space="preserve">          /           </w:t>
      </w:r>
      <w:r>
        <w:rPr>
          <w:rFonts w:ascii="宋体" w:hAnsi="宋体"/>
          <w:color w:val="auto"/>
          <w:sz w:val="24"/>
          <w:highlight w:val="none"/>
        </w:rPr>
        <w:t>承担；</w:t>
      </w:r>
    </w:p>
    <w:p w14:paraId="3D9BDDD5">
      <w:pPr>
        <w:spacing w:line="360" w:lineRule="auto"/>
        <w:ind w:firstLine="480" w:firstLineChars="200"/>
        <w:rPr>
          <w:rFonts w:ascii="宋体" w:hAnsi="宋体"/>
          <w:color w:val="auto"/>
          <w:sz w:val="24"/>
          <w:highlight w:val="none"/>
        </w:rPr>
      </w:pPr>
      <w:r>
        <w:rPr>
          <w:rFonts w:ascii="宋体" w:hAnsi="宋体"/>
          <w:color w:val="auto"/>
          <w:sz w:val="24"/>
          <w:highlight w:val="none"/>
        </w:rPr>
        <w:t>（2）无负荷联动试车费用由</w:t>
      </w:r>
      <w:r>
        <w:rPr>
          <w:rFonts w:ascii="宋体" w:hAnsi="宋体"/>
          <w:color w:val="auto"/>
          <w:sz w:val="24"/>
          <w:highlight w:val="none"/>
          <w:u w:val="single"/>
        </w:rPr>
        <w:t xml:space="preserve">          /           </w:t>
      </w:r>
      <w:r>
        <w:rPr>
          <w:rFonts w:ascii="宋体" w:hAnsi="宋体"/>
          <w:color w:val="auto"/>
          <w:sz w:val="24"/>
          <w:highlight w:val="none"/>
        </w:rPr>
        <w:t>承担。</w:t>
      </w:r>
    </w:p>
    <w:p w14:paraId="36EA13AA">
      <w:pPr>
        <w:spacing w:line="360" w:lineRule="auto"/>
        <w:ind w:firstLine="480" w:firstLineChars="200"/>
        <w:rPr>
          <w:rFonts w:ascii="宋体" w:hAnsi="宋体"/>
          <w:color w:val="auto"/>
          <w:sz w:val="24"/>
          <w:highlight w:val="none"/>
        </w:rPr>
      </w:pPr>
      <w:r>
        <w:rPr>
          <w:rFonts w:ascii="宋体" w:hAnsi="宋体"/>
          <w:color w:val="auto"/>
          <w:sz w:val="24"/>
          <w:highlight w:val="none"/>
        </w:rPr>
        <w:t>13.3.3 投料试车</w:t>
      </w:r>
    </w:p>
    <w:p w14:paraId="7ABABB00">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关于投料试车相关事项的约定：</w:t>
      </w:r>
      <w:r>
        <w:rPr>
          <w:rFonts w:ascii="宋体" w:hAnsi="宋体"/>
          <w:color w:val="auto"/>
          <w:sz w:val="24"/>
          <w:highlight w:val="none"/>
          <w:u w:val="single"/>
        </w:rPr>
        <w:t xml:space="preserve">          /                    </w:t>
      </w:r>
      <w:r>
        <w:rPr>
          <w:rFonts w:ascii="宋体" w:hAnsi="宋体"/>
          <w:color w:val="auto"/>
          <w:sz w:val="24"/>
          <w:highlight w:val="none"/>
        </w:rPr>
        <w:t>。</w:t>
      </w:r>
    </w:p>
    <w:p w14:paraId="1C9AF5E7">
      <w:pPr>
        <w:pStyle w:val="2"/>
        <w:rPr>
          <w:rFonts w:ascii="宋体" w:hAnsi="宋体"/>
          <w:color w:val="auto"/>
          <w:szCs w:val="24"/>
          <w:highlight w:val="none"/>
        </w:rPr>
      </w:pPr>
      <w:bookmarkStart w:id="1053" w:name="_Toc25741"/>
      <w:bookmarkStart w:id="1054" w:name="_Toc32081"/>
      <w:bookmarkStart w:id="1055" w:name="_Toc533611512"/>
      <w:bookmarkStart w:id="1056" w:name="_Toc389065322"/>
      <w:bookmarkStart w:id="1057" w:name="_Toc373478404"/>
      <w:bookmarkStart w:id="1058" w:name="_Toc395382560"/>
      <w:bookmarkStart w:id="1059" w:name="_Toc373227757"/>
      <w:r>
        <w:rPr>
          <w:rFonts w:hint="eastAsia" w:ascii="宋体" w:hAnsi="宋体"/>
          <w:color w:val="auto"/>
          <w:szCs w:val="24"/>
          <w:highlight w:val="none"/>
        </w:rPr>
        <w:t>13.6 竣工退场</w:t>
      </w:r>
      <w:bookmarkEnd w:id="1053"/>
      <w:bookmarkEnd w:id="1054"/>
      <w:bookmarkEnd w:id="1055"/>
      <w:bookmarkEnd w:id="1056"/>
      <w:bookmarkEnd w:id="1057"/>
      <w:bookmarkEnd w:id="1058"/>
      <w:bookmarkEnd w:id="1059"/>
    </w:p>
    <w:p w14:paraId="1D10DCCE">
      <w:pPr>
        <w:spacing w:line="360" w:lineRule="auto"/>
        <w:ind w:firstLine="480" w:firstLineChars="200"/>
        <w:rPr>
          <w:rFonts w:ascii="宋体" w:hAnsi="宋体"/>
          <w:color w:val="auto"/>
          <w:sz w:val="24"/>
          <w:highlight w:val="none"/>
        </w:rPr>
      </w:pPr>
      <w:r>
        <w:rPr>
          <w:rFonts w:ascii="宋体" w:hAnsi="宋体"/>
          <w:color w:val="auto"/>
          <w:sz w:val="24"/>
          <w:highlight w:val="none"/>
        </w:rPr>
        <w:t>13.6.1 竣工退场</w:t>
      </w:r>
    </w:p>
    <w:p w14:paraId="6F2B2090">
      <w:pPr>
        <w:spacing w:line="360" w:lineRule="auto"/>
        <w:ind w:firstLine="480" w:firstLineChars="200"/>
        <w:rPr>
          <w:rFonts w:ascii="宋体" w:hAnsi="宋体"/>
          <w:color w:val="auto"/>
          <w:sz w:val="24"/>
          <w:highlight w:val="none"/>
        </w:rPr>
      </w:pPr>
      <w:r>
        <w:rPr>
          <w:rFonts w:ascii="宋体" w:hAnsi="宋体"/>
          <w:color w:val="auto"/>
          <w:sz w:val="24"/>
          <w:highlight w:val="none"/>
        </w:rPr>
        <w:t>承包人完成竣工退场的期限：</w:t>
      </w:r>
      <w:r>
        <w:rPr>
          <w:rFonts w:ascii="宋体" w:hAnsi="宋体"/>
          <w:color w:val="auto"/>
          <w:sz w:val="24"/>
          <w:highlight w:val="none"/>
          <w:u w:val="single"/>
        </w:rPr>
        <w:t xml:space="preserve">  竣工验收合格并移交后21天内  </w:t>
      </w:r>
      <w:r>
        <w:rPr>
          <w:rFonts w:ascii="宋体" w:hAnsi="宋体"/>
          <w:color w:val="auto"/>
          <w:sz w:val="24"/>
          <w:highlight w:val="none"/>
        </w:rPr>
        <w:t>。</w:t>
      </w:r>
    </w:p>
    <w:p w14:paraId="096AC820">
      <w:pPr>
        <w:pStyle w:val="4"/>
        <w:rPr>
          <w:rFonts w:ascii="宋体" w:hAnsi="宋体" w:eastAsia="宋体"/>
          <w:color w:val="auto"/>
          <w:sz w:val="24"/>
          <w:szCs w:val="24"/>
          <w:highlight w:val="none"/>
        </w:rPr>
      </w:pPr>
      <w:bookmarkStart w:id="1060" w:name="_Toc389065323"/>
      <w:bookmarkStart w:id="1061" w:name="_Toc373227758"/>
      <w:bookmarkStart w:id="1062" w:name="_Toc1841"/>
      <w:bookmarkStart w:id="1063" w:name="_Toc28724"/>
      <w:bookmarkStart w:id="1064" w:name="_Toc395382561"/>
      <w:bookmarkStart w:id="1065" w:name="_Toc533611513"/>
      <w:bookmarkStart w:id="1066" w:name="_Toc373478405"/>
      <w:r>
        <w:rPr>
          <w:rFonts w:hint="eastAsia" w:ascii="宋体" w:hAnsi="宋体" w:eastAsia="宋体"/>
          <w:color w:val="auto"/>
          <w:sz w:val="24"/>
          <w:szCs w:val="24"/>
          <w:highlight w:val="none"/>
        </w:rPr>
        <w:t>14. 竣工结算</w:t>
      </w:r>
      <w:bookmarkEnd w:id="1060"/>
      <w:bookmarkEnd w:id="1061"/>
      <w:bookmarkEnd w:id="1062"/>
      <w:bookmarkEnd w:id="1063"/>
      <w:bookmarkEnd w:id="1064"/>
      <w:bookmarkEnd w:id="1065"/>
      <w:bookmarkEnd w:id="1066"/>
    </w:p>
    <w:p w14:paraId="2EDB528D">
      <w:pPr>
        <w:pStyle w:val="2"/>
        <w:rPr>
          <w:rFonts w:ascii="宋体" w:hAnsi="宋体"/>
          <w:color w:val="auto"/>
          <w:szCs w:val="24"/>
          <w:highlight w:val="none"/>
        </w:rPr>
      </w:pPr>
      <w:bookmarkStart w:id="1067" w:name="_Toc395382562"/>
      <w:bookmarkStart w:id="1068" w:name="_Toc1669"/>
      <w:bookmarkStart w:id="1069" w:name="_Toc373478406"/>
      <w:bookmarkStart w:id="1070" w:name="_Toc3708"/>
      <w:bookmarkStart w:id="1071" w:name="_Toc533611514"/>
      <w:bookmarkStart w:id="1072" w:name="_Toc389065324"/>
      <w:bookmarkStart w:id="1073" w:name="_Toc373227759"/>
      <w:r>
        <w:rPr>
          <w:rFonts w:hint="eastAsia" w:ascii="宋体" w:hAnsi="宋体"/>
          <w:color w:val="auto"/>
          <w:szCs w:val="24"/>
          <w:highlight w:val="none"/>
        </w:rPr>
        <w:t>14.1 竣工付款申请</w:t>
      </w:r>
      <w:bookmarkEnd w:id="1067"/>
      <w:bookmarkEnd w:id="1068"/>
      <w:bookmarkEnd w:id="1069"/>
      <w:bookmarkEnd w:id="1070"/>
      <w:bookmarkEnd w:id="1071"/>
      <w:bookmarkEnd w:id="1072"/>
      <w:bookmarkEnd w:id="1073"/>
    </w:p>
    <w:p w14:paraId="4762DDB1">
      <w:pPr>
        <w:spacing w:line="360" w:lineRule="auto"/>
        <w:ind w:firstLine="480" w:firstLineChars="200"/>
        <w:rPr>
          <w:rFonts w:ascii="宋体" w:hAnsi="宋体"/>
          <w:color w:val="auto"/>
          <w:sz w:val="24"/>
          <w:highlight w:val="none"/>
        </w:rPr>
      </w:pPr>
      <w:r>
        <w:rPr>
          <w:rFonts w:ascii="宋体" w:hAnsi="宋体"/>
          <w:color w:val="auto"/>
          <w:sz w:val="24"/>
          <w:highlight w:val="none"/>
        </w:rPr>
        <w:t>承包人提交竣工付款申请单的期限：</w:t>
      </w:r>
      <w:r>
        <w:rPr>
          <w:rFonts w:ascii="宋体" w:hAnsi="宋体"/>
          <w:color w:val="auto"/>
          <w:sz w:val="24"/>
          <w:highlight w:val="none"/>
          <w:u w:val="single"/>
        </w:rPr>
        <w:t xml:space="preserve">  竣工验收合格后28天内 </w:t>
      </w:r>
      <w:r>
        <w:rPr>
          <w:rFonts w:ascii="宋体" w:hAnsi="宋体"/>
          <w:color w:val="auto"/>
          <w:sz w:val="24"/>
          <w:highlight w:val="none"/>
        </w:rPr>
        <w:t>。</w:t>
      </w:r>
    </w:p>
    <w:p w14:paraId="606B78F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竣工付款申请单应包括的内容：</w:t>
      </w:r>
      <w:r>
        <w:rPr>
          <w:rFonts w:ascii="宋体" w:hAnsi="宋体"/>
          <w:color w:val="auto"/>
          <w:sz w:val="24"/>
          <w:highlight w:val="none"/>
          <w:u w:val="single"/>
        </w:rPr>
        <w:t>本合同《通用条款》相关规定执行</w:t>
      </w:r>
      <w:r>
        <w:rPr>
          <w:rFonts w:ascii="宋体" w:hAnsi="宋体"/>
          <w:color w:val="auto"/>
          <w:sz w:val="24"/>
          <w:highlight w:val="none"/>
        </w:rPr>
        <w:t>。</w:t>
      </w:r>
    </w:p>
    <w:p w14:paraId="2BE4BC34">
      <w:pPr>
        <w:pStyle w:val="2"/>
        <w:rPr>
          <w:rFonts w:ascii="宋体" w:hAnsi="宋体"/>
          <w:color w:val="auto"/>
          <w:szCs w:val="24"/>
          <w:highlight w:val="none"/>
        </w:rPr>
      </w:pPr>
      <w:bookmarkStart w:id="1074" w:name="_Toc389065325"/>
      <w:bookmarkStart w:id="1075" w:name="_Toc533611515"/>
      <w:bookmarkStart w:id="1076" w:name="_Toc395382563"/>
      <w:bookmarkStart w:id="1077" w:name="_Toc24213"/>
      <w:bookmarkStart w:id="1078" w:name="_Toc373227760"/>
      <w:bookmarkStart w:id="1079" w:name="_Toc18151"/>
      <w:bookmarkStart w:id="1080" w:name="_Toc373478407"/>
      <w:r>
        <w:rPr>
          <w:rFonts w:hint="eastAsia" w:ascii="宋体" w:hAnsi="宋体"/>
          <w:color w:val="auto"/>
          <w:szCs w:val="24"/>
          <w:highlight w:val="none"/>
        </w:rPr>
        <w:t>14.2 竣工结算审核</w:t>
      </w:r>
      <w:bookmarkEnd w:id="1074"/>
      <w:bookmarkEnd w:id="1075"/>
      <w:bookmarkEnd w:id="1076"/>
      <w:bookmarkEnd w:id="1077"/>
      <w:bookmarkEnd w:id="1078"/>
      <w:bookmarkEnd w:id="1079"/>
      <w:bookmarkEnd w:id="1080"/>
    </w:p>
    <w:p w14:paraId="19627EAE">
      <w:pPr>
        <w:spacing w:line="360" w:lineRule="auto"/>
        <w:ind w:firstLine="480" w:firstLineChars="200"/>
        <w:rPr>
          <w:rFonts w:ascii="宋体" w:hAnsi="宋体"/>
          <w:color w:val="auto"/>
          <w:sz w:val="24"/>
          <w:highlight w:val="none"/>
        </w:rPr>
      </w:pPr>
      <w:r>
        <w:rPr>
          <w:rFonts w:ascii="宋体" w:hAnsi="宋体"/>
          <w:color w:val="auto"/>
          <w:sz w:val="24"/>
          <w:highlight w:val="none"/>
        </w:rPr>
        <w:t>发包人审批竣工付款申请单的期限：</w:t>
      </w:r>
    </w:p>
    <w:tbl>
      <w:tblPr>
        <w:tblStyle w:val="4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7F2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E531265">
            <w:pPr>
              <w:spacing w:line="360" w:lineRule="auto"/>
              <w:rPr>
                <w:rFonts w:ascii="宋体" w:hAnsi="宋体"/>
                <w:bCs/>
                <w:color w:val="auto"/>
                <w:szCs w:val="21"/>
                <w:highlight w:val="none"/>
              </w:rPr>
            </w:pPr>
          </w:p>
        </w:tc>
        <w:tc>
          <w:tcPr>
            <w:tcW w:w="2466" w:type="dxa"/>
            <w:vAlign w:val="center"/>
          </w:tcPr>
          <w:p w14:paraId="5956E2E5">
            <w:pPr>
              <w:spacing w:line="360" w:lineRule="auto"/>
              <w:ind w:firstLine="27" w:firstLineChars="13"/>
              <w:jc w:val="center"/>
              <w:rPr>
                <w:rFonts w:ascii="宋体" w:hAnsi="宋体"/>
                <w:bCs/>
                <w:color w:val="auto"/>
                <w:szCs w:val="21"/>
                <w:highlight w:val="none"/>
              </w:rPr>
            </w:pPr>
            <w:r>
              <w:rPr>
                <w:rFonts w:ascii="宋体" w:hAnsi="宋体"/>
                <w:bCs/>
                <w:color w:val="auto"/>
                <w:szCs w:val="21"/>
                <w:highlight w:val="none"/>
              </w:rPr>
              <w:t>工程竣工结算报告金额</w:t>
            </w:r>
          </w:p>
        </w:tc>
        <w:tc>
          <w:tcPr>
            <w:tcW w:w="5967" w:type="dxa"/>
            <w:vAlign w:val="center"/>
          </w:tcPr>
          <w:p w14:paraId="3CB6C367">
            <w:pPr>
              <w:spacing w:line="360" w:lineRule="auto"/>
              <w:ind w:firstLine="441" w:firstLineChars="210"/>
              <w:jc w:val="center"/>
              <w:rPr>
                <w:rFonts w:ascii="宋体" w:hAnsi="宋体"/>
                <w:bCs/>
                <w:color w:val="auto"/>
                <w:szCs w:val="21"/>
                <w:highlight w:val="none"/>
              </w:rPr>
            </w:pPr>
            <w:r>
              <w:rPr>
                <w:rFonts w:ascii="宋体" w:hAnsi="宋体"/>
                <w:bCs/>
                <w:color w:val="auto"/>
                <w:szCs w:val="21"/>
                <w:highlight w:val="none"/>
              </w:rPr>
              <w:t>发包人审查时间</w:t>
            </w:r>
          </w:p>
        </w:tc>
      </w:tr>
      <w:tr w14:paraId="644D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E3636CF">
            <w:pPr>
              <w:spacing w:line="360" w:lineRule="auto"/>
              <w:jc w:val="center"/>
              <w:rPr>
                <w:rFonts w:ascii="宋体" w:hAnsi="宋体"/>
                <w:bCs/>
                <w:color w:val="auto"/>
                <w:szCs w:val="21"/>
                <w:highlight w:val="none"/>
              </w:rPr>
            </w:pPr>
            <w:r>
              <w:rPr>
                <w:rFonts w:ascii="宋体" w:hAnsi="宋体"/>
                <w:bCs/>
                <w:color w:val="auto"/>
                <w:szCs w:val="21"/>
                <w:highlight w:val="none"/>
              </w:rPr>
              <w:t>1</w:t>
            </w:r>
          </w:p>
        </w:tc>
        <w:tc>
          <w:tcPr>
            <w:tcW w:w="2466" w:type="dxa"/>
            <w:vAlign w:val="center"/>
          </w:tcPr>
          <w:p w14:paraId="439D3D59">
            <w:pPr>
              <w:spacing w:line="360" w:lineRule="auto"/>
              <w:ind w:firstLine="27" w:firstLineChars="13"/>
              <w:jc w:val="center"/>
              <w:rPr>
                <w:rFonts w:ascii="宋体" w:hAnsi="宋体"/>
                <w:bCs/>
                <w:color w:val="auto"/>
                <w:szCs w:val="21"/>
                <w:highlight w:val="none"/>
              </w:rPr>
            </w:pPr>
            <w:r>
              <w:rPr>
                <w:rFonts w:ascii="宋体" w:hAnsi="宋体"/>
                <w:bCs/>
                <w:color w:val="auto"/>
                <w:szCs w:val="21"/>
                <w:highlight w:val="none"/>
              </w:rPr>
              <w:t>500万元以下</w:t>
            </w:r>
          </w:p>
        </w:tc>
        <w:tc>
          <w:tcPr>
            <w:tcW w:w="5967" w:type="dxa"/>
            <w:vAlign w:val="center"/>
          </w:tcPr>
          <w:p w14:paraId="56DEAD7D">
            <w:pPr>
              <w:spacing w:line="360" w:lineRule="auto"/>
              <w:ind w:firstLine="441" w:firstLineChars="210"/>
              <w:jc w:val="center"/>
              <w:rPr>
                <w:rFonts w:ascii="宋体" w:hAnsi="宋体"/>
                <w:bCs/>
                <w:color w:val="auto"/>
                <w:szCs w:val="21"/>
                <w:highlight w:val="none"/>
              </w:rPr>
            </w:pPr>
            <w:r>
              <w:rPr>
                <w:rFonts w:ascii="宋体" w:hAnsi="宋体"/>
                <w:bCs/>
                <w:color w:val="auto"/>
                <w:szCs w:val="21"/>
                <w:highlight w:val="none"/>
              </w:rPr>
              <w:t>从接到竣工结算报告和完整的竣工结算资料之日起20天</w:t>
            </w:r>
          </w:p>
        </w:tc>
      </w:tr>
      <w:tr w14:paraId="5F2D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0928DF5">
            <w:pPr>
              <w:spacing w:line="360" w:lineRule="auto"/>
              <w:jc w:val="center"/>
              <w:rPr>
                <w:rFonts w:ascii="宋体" w:hAnsi="宋体"/>
                <w:bCs/>
                <w:color w:val="auto"/>
                <w:szCs w:val="21"/>
                <w:highlight w:val="none"/>
              </w:rPr>
            </w:pPr>
            <w:r>
              <w:rPr>
                <w:rFonts w:ascii="宋体" w:hAnsi="宋体"/>
                <w:bCs/>
                <w:color w:val="auto"/>
                <w:szCs w:val="21"/>
                <w:highlight w:val="none"/>
              </w:rPr>
              <w:t>2</w:t>
            </w:r>
          </w:p>
        </w:tc>
        <w:tc>
          <w:tcPr>
            <w:tcW w:w="2466" w:type="dxa"/>
            <w:vAlign w:val="center"/>
          </w:tcPr>
          <w:p w14:paraId="40430D7E">
            <w:pPr>
              <w:spacing w:line="360" w:lineRule="auto"/>
              <w:ind w:firstLine="27" w:firstLineChars="13"/>
              <w:jc w:val="center"/>
              <w:rPr>
                <w:rFonts w:ascii="宋体" w:hAnsi="宋体"/>
                <w:bCs/>
                <w:color w:val="auto"/>
                <w:szCs w:val="21"/>
                <w:highlight w:val="none"/>
              </w:rPr>
            </w:pPr>
            <w:r>
              <w:rPr>
                <w:rFonts w:ascii="宋体" w:hAnsi="宋体"/>
                <w:bCs/>
                <w:color w:val="auto"/>
                <w:szCs w:val="21"/>
                <w:highlight w:val="none"/>
              </w:rPr>
              <w:t>500万元-2000万元</w:t>
            </w:r>
          </w:p>
        </w:tc>
        <w:tc>
          <w:tcPr>
            <w:tcW w:w="5967" w:type="dxa"/>
            <w:vAlign w:val="center"/>
          </w:tcPr>
          <w:p w14:paraId="605358AF">
            <w:pPr>
              <w:spacing w:line="360" w:lineRule="auto"/>
              <w:ind w:firstLine="441" w:firstLineChars="210"/>
              <w:jc w:val="center"/>
              <w:rPr>
                <w:rFonts w:ascii="宋体" w:hAnsi="宋体"/>
                <w:bCs/>
                <w:color w:val="auto"/>
                <w:szCs w:val="21"/>
                <w:highlight w:val="none"/>
              </w:rPr>
            </w:pPr>
            <w:r>
              <w:rPr>
                <w:rFonts w:ascii="宋体" w:hAnsi="宋体"/>
                <w:bCs/>
                <w:color w:val="auto"/>
                <w:szCs w:val="21"/>
                <w:highlight w:val="none"/>
              </w:rPr>
              <w:t>从接到竣工结算报告和完整的竣工结算资料之日起30天</w:t>
            </w:r>
          </w:p>
        </w:tc>
      </w:tr>
      <w:tr w14:paraId="343A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A400C20">
            <w:pPr>
              <w:spacing w:line="360" w:lineRule="auto"/>
              <w:jc w:val="center"/>
              <w:rPr>
                <w:rFonts w:ascii="宋体" w:hAnsi="宋体"/>
                <w:bCs/>
                <w:color w:val="auto"/>
                <w:szCs w:val="21"/>
                <w:highlight w:val="none"/>
              </w:rPr>
            </w:pPr>
            <w:r>
              <w:rPr>
                <w:rFonts w:ascii="宋体" w:hAnsi="宋体"/>
                <w:bCs/>
                <w:color w:val="auto"/>
                <w:szCs w:val="21"/>
                <w:highlight w:val="none"/>
              </w:rPr>
              <w:t>3</w:t>
            </w:r>
          </w:p>
        </w:tc>
        <w:tc>
          <w:tcPr>
            <w:tcW w:w="2466" w:type="dxa"/>
            <w:vAlign w:val="center"/>
          </w:tcPr>
          <w:p w14:paraId="338FDE88">
            <w:pPr>
              <w:spacing w:line="360" w:lineRule="auto"/>
              <w:ind w:firstLine="27" w:firstLineChars="13"/>
              <w:jc w:val="center"/>
              <w:rPr>
                <w:rFonts w:ascii="宋体" w:hAnsi="宋体"/>
                <w:bCs/>
                <w:color w:val="auto"/>
                <w:szCs w:val="21"/>
                <w:highlight w:val="none"/>
              </w:rPr>
            </w:pPr>
            <w:r>
              <w:rPr>
                <w:rFonts w:ascii="宋体" w:hAnsi="宋体"/>
                <w:bCs/>
                <w:color w:val="auto"/>
                <w:szCs w:val="21"/>
                <w:highlight w:val="none"/>
              </w:rPr>
              <w:t>2000万元-5000万元</w:t>
            </w:r>
          </w:p>
        </w:tc>
        <w:tc>
          <w:tcPr>
            <w:tcW w:w="5967" w:type="dxa"/>
            <w:vAlign w:val="center"/>
          </w:tcPr>
          <w:p w14:paraId="4A001550">
            <w:pPr>
              <w:spacing w:line="360" w:lineRule="auto"/>
              <w:ind w:firstLine="441" w:firstLineChars="210"/>
              <w:jc w:val="center"/>
              <w:rPr>
                <w:rFonts w:ascii="宋体" w:hAnsi="宋体"/>
                <w:bCs/>
                <w:color w:val="auto"/>
                <w:szCs w:val="21"/>
                <w:highlight w:val="none"/>
              </w:rPr>
            </w:pPr>
            <w:r>
              <w:rPr>
                <w:rFonts w:ascii="宋体" w:hAnsi="宋体"/>
                <w:bCs/>
                <w:color w:val="auto"/>
                <w:szCs w:val="21"/>
                <w:highlight w:val="none"/>
              </w:rPr>
              <w:t>从接到竣工结算报告和完整的竣工结算资料之日起45天</w:t>
            </w:r>
          </w:p>
        </w:tc>
      </w:tr>
      <w:tr w14:paraId="110C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54ACFA9">
            <w:pPr>
              <w:spacing w:line="360" w:lineRule="auto"/>
              <w:jc w:val="center"/>
              <w:rPr>
                <w:rFonts w:ascii="宋体" w:hAnsi="宋体"/>
                <w:bCs/>
                <w:color w:val="auto"/>
                <w:szCs w:val="21"/>
                <w:highlight w:val="none"/>
              </w:rPr>
            </w:pPr>
            <w:r>
              <w:rPr>
                <w:rFonts w:ascii="宋体" w:hAnsi="宋体"/>
                <w:bCs/>
                <w:color w:val="auto"/>
                <w:szCs w:val="21"/>
                <w:highlight w:val="none"/>
              </w:rPr>
              <w:t>4</w:t>
            </w:r>
          </w:p>
        </w:tc>
        <w:tc>
          <w:tcPr>
            <w:tcW w:w="2466" w:type="dxa"/>
            <w:vAlign w:val="center"/>
          </w:tcPr>
          <w:p w14:paraId="524319B5">
            <w:pPr>
              <w:spacing w:line="360" w:lineRule="auto"/>
              <w:ind w:firstLine="27" w:firstLineChars="13"/>
              <w:jc w:val="center"/>
              <w:rPr>
                <w:rFonts w:ascii="宋体" w:hAnsi="宋体"/>
                <w:bCs/>
                <w:color w:val="auto"/>
                <w:szCs w:val="21"/>
                <w:highlight w:val="none"/>
              </w:rPr>
            </w:pPr>
            <w:r>
              <w:rPr>
                <w:rFonts w:ascii="宋体" w:hAnsi="宋体"/>
                <w:bCs/>
                <w:color w:val="auto"/>
                <w:szCs w:val="21"/>
                <w:highlight w:val="none"/>
              </w:rPr>
              <w:t>5000万元以上</w:t>
            </w:r>
          </w:p>
        </w:tc>
        <w:tc>
          <w:tcPr>
            <w:tcW w:w="5967" w:type="dxa"/>
            <w:vAlign w:val="center"/>
          </w:tcPr>
          <w:p w14:paraId="3237CA57">
            <w:pPr>
              <w:spacing w:line="360" w:lineRule="auto"/>
              <w:ind w:firstLine="441" w:firstLineChars="210"/>
              <w:jc w:val="center"/>
              <w:rPr>
                <w:rFonts w:ascii="宋体" w:hAnsi="宋体"/>
                <w:bCs/>
                <w:color w:val="auto"/>
                <w:szCs w:val="21"/>
                <w:highlight w:val="none"/>
              </w:rPr>
            </w:pPr>
            <w:r>
              <w:rPr>
                <w:rFonts w:ascii="宋体" w:hAnsi="宋体"/>
                <w:bCs/>
                <w:color w:val="auto"/>
                <w:szCs w:val="21"/>
                <w:highlight w:val="none"/>
              </w:rPr>
              <w:t>从接到竣工结算报告和完整的竣工结算资料之日起60天</w:t>
            </w:r>
          </w:p>
        </w:tc>
      </w:tr>
    </w:tbl>
    <w:p w14:paraId="1DC02B2A">
      <w:pPr>
        <w:snapToGrid w:val="0"/>
        <w:spacing w:line="444" w:lineRule="exact"/>
        <w:ind w:right="424" w:rightChars="202" w:firstLine="480" w:firstLineChars="200"/>
        <w:rPr>
          <w:rFonts w:ascii="宋体" w:hAnsi="宋体"/>
          <w:color w:val="auto"/>
          <w:sz w:val="24"/>
          <w:highlight w:val="none"/>
        </w:rPr>
      </w:pPr>
      <w:r>
        <w:rPr>
          <w:rFonts w:ascii="宋体" w:hAnsi="宋体"/>
          <w:bCs/>
          <w:color w:val="auto"/>
          <w:sz w:val="24"/>
          <w:highlight w:val="none"/>
        </w:rPr>
        <w:t>因承包人提供的结算资料不完整而需要补充或承包人不按时对账耽误时间时，审查时间应相应顺延</w:t>
      </w:r>
      <w:r>
        <w:rPr>
          <w:rFonts w:ascii="宋体" w:hAnsi="宋体"/>
          <w:color w:val="auto"/>
          <w:sz w:val="24"/>
          <w:highlight w:val="none"/>
        </w:rPr>
        <w:t>。</w:t>
      </w:r>
    </w:p>
    <w:p w14:paraId="76E050D2">
      <w:pPr>
        <w:snapToGrid w:val="0"/>
        <w:spacing w:line="444" w:lineRule="exact"/>
        <w:ind w:right="424" w:rightChars="202" w:firstLine="480" w:firstLineChars="200"/>
        <w:rPr>
          <w:rFonts w:ascii="宋体" w:hAnsi="宋体"/>
          <w:bCs/>
          <w:color w:val="auto"/>
          <w:sz w:val="24"/>
          <w:highlight w:val="none"/>
        </w:rPr>
      </w:pPr>
      <w:r>
        <w:rPr>
          <w:rFonts w:ascii="宋体" w:hAnsi="宋体"/>
          <w:bCs/>
          <w:color w:val="auto"/>
          <w:sz w:val="24"/>
          <w:highlight w:val="none"/>
        </w:rPr>
        <w:t>竣工结算价最终由财政、审计部门或建设单位（发包人）委托的造价咨询公司进行审核确定。为降低结算造价编制的差错率，确保送审工程结算造价的真实性和完整性，避免出现不负责任的高估虚报行为，工程开工前与施工单位约定，并在施工合同中明确：（1）基建工程结算审减率≤6%、结算审核费由建设单位全额承担；6%＜基建工程结算审减率＜10%时，结算审核费由建设单位、施工单位各承担50%；基建工程结算审减率≥10%、结算审核费由施工单位全额承担。施工单位承担的结算审核费在工程结算款中直接扣除。应扣除的结算审核费＝基本费（送审造价×2‰）+效益费（核减造价×5%），其中：核减造价=送审造价-审定造价，审减率=核减造价/送审造价×100%。（2）合同外工程量及进度款需审核的，因非最终结算审核，所产生的审核费均由施工单位全额承担，同时在送审前进行合同约定。</w:t>
      </w:r>
    </w:p>
    <w:p w14:paraId="0F4A51F7">
      <w:pPr>
        <w:spacing w:line="360" w:lineRule="auto"/>
        <w:ind w:firstLine="480" w:firstLineChars="200"/>
        <w:rPr>
          <w:rFonts w:ascii="宋体" w:hAnsi="宋体"/>
          <w:color w:val="auto"/>
          <w:sz w:val="24"/>
          <w:highlight w:val="none"/>
        </w:rPr>
      </w:pPr>
      <w:r>
        <w:rPr>
          <w:rFonts w:ascii="宋体" w:hAnsi="宋体"/>
          <w:color w:val="auto"/>
          <w:sz w:val="24"/>
          <w:highlight w:val="none"/>
        </w:rPr>
        <w:t>发包人完成竣工付款的期限：</w:t>
      </w:r>
      <w:r>
        <w:rPr>
          <w:rFonts w:ascii="宋体" w:hAnsi="宋体"/>
          <w:color w:val="auto"/>
          <w:sz w:val="24"/>
          <w:highlight w:val="none"/>
          <w:u w:val="single"/>
        </w:rPr>
        <w:t xml:space="preserve">  </w:t>
      </w:r>
      <w:r>
        <w:rPr>
          <w:rFonts w:hint="eastAsia" w:ascii="宋体" w:hAnsi="宋体"/>
          <w:color w:val="auto"/>
          <w:sz w:val="24"/>
          <w:highlight w:val="none"/>
          <w:u w:val="single"/>
        </w:rPr>
        <w:t>签</w:t>
      </w:r>
      <w:r>
        <w:rPr>
          <w:rFonts w:ascii="宋体" w:hAnsi="宋体"/>
          <w:color w:val="auto"/>
          <w:sz w:val="24"/>
          <w:highlight w:val="none"/>
          <w:u w:val="single"/>
        </w:rPr>
        <w:t>发竣工付款证书</w:t>
      </w:r>
      <w:r>
        <w:rPr>
          <w:rFonts w:hint="eastAsia" w:ascii="宋体" w:hAnsi="宋体"/>
          <w:color w:val="auto"/>
          <w:sz w:val="24"/>
          <w:highlight w:val="none"/>
          <w:u w:val="single"/>
        </w:rPr>
        <w:t>后2</w:t>
      </w:r>
      <w:r>
        <w:rPr>
          <w:rFonts w:ascii="宋体" w:hAnsi="宋体"/>
          <w:color w:val="auto"/>
          <w:sz w:val="24"/>
          <w:highlight w:val="none"/>
          <w:u w:val="single"/>
        </w:rPr>
        <w:t>8</w:t>
      </w:r>
      <w:r>
        <w:rPr>
          <w:rFonts w:hint="eastAsia" w:ascii="宋体" w:hAnsi="宋体"/>
          <w:color w:val="auto"/>
          <w:sz w:val="24"/>
          <w:highlight w:val="none"/>
          <w:u w:val="single"/>
        </w:rPr>
        <w:t>天内</w:t>
      </w:r>
      <w:r>
        <w:rPr>
          <w:rFonts w:ascii="宋体" w:hAnsi="宋体"/>
          <w:color w:val="auto"/>
          <w:sz w:val="24"/>
          <w:highlight w:val="none"/>
          <w:u w:val="single"/>
        </w:rPr>
        <w:t xml:space="preserve">  </w:t>
      </w:r>
      <w:r>
        <w:rPr>
          <w:rFonts w:ascii="宋体" w:hAnsi="宋体"/>
          <w:color w:val="auto"/>
          <w:sz w:val="24"/>
          <w:highlight w:val="none"/>
        </w:rPr>
        <w:t>。</w:t>
      </w:r>
    </w:p>
    <w:p w14:paraId="41136077">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关于竣工付款证书异议部分复核的方式和程序：</w:t>
      </w:r>
      <w:r>
        <w:rPr>
          <w:rFonts w:ascii="宋体" w:hAnsi="宋体"/>
          <w:color w:val="auto"/>
          <w:sz w:val="24"/>
          <w:highlight w:val="none"/>
          <w:u w:val="single"/>
        </w:rPr>
        <w:t xml:space="preserve">   </w:t>
      </w:r>
      <w:r>
        <w:rPr>
          <w:rFonts w:hint="eastAsia" w:ascii="宋体" w:hAnsi="宋体"/>
          <w:color w:val="auto"/>
          <w:sz w:val="24"/>
          <w:highlight w:val="none"/>
          <w:u w:val="single"/>
        </w:rPr>
        <w:t>按通用合同条款执行</w:t>
      </w:r>
      <w:r>
        <w:rPr>
          <w:rFonts w:ascii="宋体" w:hAnsi="宋体"/>
          <w:color w:val="auto"/>
          <w:sz w:val="24"/>
          <w:highlight w:val="none"/>
          <w:u w:val="single"/>
        </w:rPr>
        <w:t xml:space="preserve">       </w:t>
      </w:r>
      <w:r>
        <w:rPr>
          <w:rFonts w:ascii="宋体" w:hAnsi="宋体"/>
          <w:color w:val="auto"/>
          <w:sz w:val="24"/>
          <w:highlight w:val="none"/>
        </w:rPr>
        <w:t>。</w:t>
      </w:r>
    </w:p>
    <w:p w14:paraId="4D9CA412">
      <w:pPr>
        <w:pStyle w:val="2"/>
        <w:rPr>
          <w:rFonts w:ascii="宋体" w:hAnsi="宋体"/>
          <w:color w:val="auto"/>
          <w:szCs w:val="24"/>
          <w:highlight w:val="none"/>
        </w:rPr>
      </w:pPr>
      <w:bookmarkStart w:id="1081" w:name="_Toc7920"/>
      <w:bookmarkStart w:id="1082" w:name="_Toc373478408"/>
      <w:bookmarkStart w:id="1083" w:name="_Toc3465"/>
      <w:bookmarkStart w:id="1084" w:name="_Toc533611516"/>
      <w:bookmarkStart w:id="1085" w:name="_Toc395382564"/>
      <w:bookmarkStart w:id="1086" w:name="_Toc373227761"/>
      <w:bookmarkStart w:id="1087" w:name="_Toc389065326"/>
      <w:r>
        <w:rPr>
          <w:rFonts w:hint="eastAsia" w:ascii="宋体" w:hAnsi="宋体"/>
          <w:color w:val="auto"/>
          <w:szCs w:val="24"/>
          <w:highlight w:val="none"/>
        </w:rPr>
        <w:t>14.4 最终结清</w:t>
      </w:r>
      <w:bookmarkEnd w:id="1081"/>
      <w:bookmarkEnd w:id="1082"/>
      <w:bookmarkEnd w:id="1083"/>
      <w:bookmarkEnd w:id="1084"/>
      <w:bookmarkEnd w:id="1085"/>
      <w:bookmarkEnd w:id="1086"/>
      <w:bookmarkEnd w:id="1087"/>
    </w:p>
    <w:p w14:paraId="67AF00A6">
      <w:pPr>
        <w:spacing w:line="360" w:lineRule="auto"/>
        <w:ind w:firstLine="480" w:firstLineChars="200"/>
        <w:rPr>
          <w:rFonts w:ascii="宋体" w:hAnsi="宋体"/>
          <w:color w:val="auto"/>
          <w:sz w:val="24"/>
          <w:highlight w:val="none"/>
        </w:rPr>
      </w:pPr>
      <w:r>
        <w:rPr>
          <w:rFonts w:ascii="宋体" w:hAnsi="宋体"/>
          <w:color w:val="auto"/>
          <w:sz w:val="24"/>
          <w:highlight w:val="none"/>
        </w:rPr>
        <w:t>14.4.1 最终结清申请单</w:t>
      </w:r>
    </w:p>
    <w:p w14:paraId="61FB4BC5">
      <w:pPr>
        <w:spacing w:line="360" w:lineRule="auto"/>
        <w:ind w:firstLine="480" w:firstLineChars="200"/>
        <w:rPr>
          <w:rFonts w:ascii="宋体" w:hAnsi="宋体"/>
          <w:color w:val="auto"/>
          <w:sz w:val="24"/>
          <w:highlight w:val="none"/>
        </w:rPr>
      </w:pPr>
      <w:r>
        <w:rPr>
          <w:rFonts w:ascii="宋体" w:hAnsi="宋体"/>
          <w:color w:val="auto"/>
          <w:sz w:val="24"/>
          <w:highlight w:val="none"/>
        </w:rPr>
        <w:t>承包人提交最终结清申请单的份数：</w:t>
      </w:r>
      <w:r>
        <w:rPr>
          <w:rFonts w:ascii="宋体" w:hAnsi="宋体"/>
          <w:color w:val="auto"/>
          <w:sz w:val="24"/>
          <w:highlight w:val="none"/>
          <w:u w:val="single"/>
        </w:rPr>
        <w:t xml:space="preserve">  一式两份  </w:t>
      </w:r>
      <w:r>
        <w:rPr>
          <w:rFonts w:ascii="宋体" w:hAnsi="宋体"/>
          <w:color w:val="auto"/>
          <w:sz w:val="24"/>
          <w:highlight w:val="none"/>
        </w:rPr>
        <w:t>。</w:t>
      </w:r>
    </w:p>
    <w:p w14:paraId="03484AAC">
      <w:pPr>
        <w:spacing w:line="360" w:lineRule="auto"/>
        <w:ind w:firstLine="480" w:firstLineChars="200"/>
        <w:rPr>
          <w:rFonts w:ascii="宋体" w:hAnsi="宋体"/>
          <w:color w:val="auto"/>
          <w:sz w:val="24"/>
          <w:highlight w:val="none"/>
        </w:rPr>
      </w:pPr>
      <w:r>
        <w:rPr>
          <w:rFonts w:ascii="宋体" w:hAnsi="宋体"/>
          <w:color w:val="auto"/>
          <w:sz w:val="24"/>
          <w:highlight w:val="none"/>
        </w:rPr>
        <w:t>承包人提交最终结算申请单的期限：</w:t>
      </w:r>
      <w:r>
        <w:rPr>
          <w:rFonts w:ascii="宋体" w:hAnsi="宋体"/>
          <w:color w:val="auto"/>
          <w:sz w:val="24"/>
          <w:highlight w:val="none"/>
          <w:u w:val="single"/>
        </w:rPr>
        <w:t xml:space="preserve">缺陷责任期终止证书颁发后7天内 </w:t>
      </w:r>
      <w:r>
        <w:rPr>
          <w:rFonts w:ascii="宋体" w:hAnsi="宋体"/>
          <w:color w:val="auto"/>
          <w:sz w:val="24"/>
          <w:highlight w:val="none"/>
        </w:rPr>
        <w:t xml:space="preserve">。 </w:t>
      </w:r>
    </w:p>
    <w:p w14:paraId="3139856F">
      <w:pPr>
        <w:spacing w:line="360" w:lineRule="auto"/>
        <w:ind w:firstLine="480" w:firstLineChars="200"/>
        <w:rPr>
          <w:rFonts w:ascii="宋体" w:hAnsi="宋体"/>
          <w:color w:val="auto"/>
          <w:sz w:val="24"/>
          <w:highlight w:val="none"/>
        </w:rPr>
      </w:pPr>
      <w:r>
        <w:rPr>
          <w:rFonts w:ascii="宋体" w:hAnsi="宋体"/>
          <w:color w:val="auto"/>
          <w:sz w:val="24"/>
          <w:highlight w:val="none"/>
        </w:rPr>
        <w:t>14.4.2 最终结清证书和支付</w:t>
      </w:r>
    </w:p>
    <w:p w14:paraId="763C0619">
      <w:pPr>
        <w:spacing w:line="360" w:lineRule="auto"/>
        <w:ind w:firstLine="480" w:firstLineChars="200"/>
        <w:rPr>
          <w:rFonts w:ascii="宋体" w:hAnsi="宋体"/>
          <w:color w:val="auto"/>
          <w:sz w:val="24"/>
          <w:highlight w:val="none"/>
        </w:rPr>
      </w:pPr>
      <w:r>
        <w:rPr>
          <w:rFonts w:ascii="宋体" w:hAnsi="宋体"/>
          <w:color w:val="auto"/>
          <w:sz w:val="24"/>
          <w:highlight w:val="none"/>
        </w:rPr>
        <w:t>（1）发包人完成最终结清申请单的审批并颁发最终结清证书的期限：</w:t>
      </w:r>
      <w:r>
        <w:rPr>
          <w:rFonts w:ascii="宋体" w:hAnsi="宋体"/>
          <w:color w:val="auto"/>
          <w:sz w:val="24"/>
          <w:highlight w:val="none"/>
          <w:u w:val="single"/>
        </w:rPr>
        <w:t xml:space="preserve">收到申请单后14天内 </w:t>
      </w:r>
      <w:r>
        <w:rPr>
          <w:rFonts w:ascii="宋体" w:hAnsi="宋体"/>
          <w:color w:val="auto"/>
          <w:sz w:val="24"/>
          <w:highlight w:val="none"/>
        </w:rPr>
        <w:t>。</w:t>
      </w:r>
    </w:p>
    <w:p w14:paraId="0B494D5D">
      <w:pPr>
        <w:spacing w:line="360" w:lineRule="auto"/>
        <w:ind w:firstLine="480" w:firstLineChars="200"/>
        <w:rPr>
          <w:rFonts w:ascii="宋体" w:hAnsi="宋体"/>
          <w:color w:val="auto"/>
          <w:sz w:val="24"/>
          <w:highlight w:val="none"/>
        </w:rPr>
      </w:pPr>
      <w:r>
        <w:rPr>
          <w:rFonts w:ascii="宋体" w:hAnsi="宋体"/>
          <w:color w:val="auto"/>
          <w:sz w:val="24"/>
          <w:highlight w:val="none"/>
        </w:rPr>
        <w:t>（2）发包人完成支付的期限：</w:t>
      </w:r>
      <w:r>
        <w:rPr>
          <w:rFonts w:ascii="宋体" w:hAnsi="宋体"/>
          <w:color w:val="auto"/>
          <w:sz w:val="24"/>
          <w:highlight w:val="none"/>
          <w:u w:val="single"/>
        </w:rPr>
        <w:t xml:space="preserve">  颁发最终结清证书后14天内  </w:t>
      </w:r>
      <w:r>
        <w:rPr>
          <w:rFonts w:ascii="宋体" w:hAnsi="宋体"/>
          <w:color w:val="auto"/>
          <w:sz w:val="24"/>
          <w:highlight w:val="none"/>
        </w:rPr>
        <w:t>。</w:t>
      </w:r>
    </w:p>
    <w:bookmarkEnd w:id="1033"/>
    <w:bookmarkEnd w:id="1034"/>
    <w:bookmarkEnd w:id="1035"/>
    <w:bookmarkEnd w:id="1036"/>
    <w:bookmarkEnd w:id="1037"/>
    <w:bookmarkEnd w:id="1038"/>
    <w:bookmarkEnd w:id="1039"/>
    <w:bookmarkEnd w:id="1045"/>
    <w:p w14:paraId="280E0CC2">
      <w:pPr>
        <w:pStyle w:val="4"/>
        <w:rPr>
          <w:rFonts w:ascii="宋体" w:hAnsi="宋体" w:eastAsia="宋体"/>
          <w:color w:val="auto"/>
          <w:sz w:val="24"/>
          <w:szCs w:val="24"/>
          <w:highlight w:val="none"/>
        </w:rPr>
      </w:pPr>
      <w:bookmarkStart w:id="1088" w:name="_Toc389065327"/>
      <w:bookmarkStart w:id="1089" w:name="_Toc693"/>
      <w:bookmarkStart w:id="1090" w:name="_Toc373478409"/>
      <w:bookmarkStart w:id="1091" w:name="_Toc533611517"/>
      <w:bookmarkStart w:id="1092" w:name="_Toc3691"/>
      <w:bookmarkStart w:id="1093" w:name="_Toc373227762"/>
      <w:bookmarkStart w:id="1094" w:name="_Toc395382565"/>
      <w:bookmarkStart w:id="1095" w:name="_Toc267251483"/>
      <w:bookmarkStart w:id="1096" w:name="_Toc267251482"/>
      <w:bookmarkStart w:id="1097" w:name="_Toc267251484"/>
      <w:bookmarkStart w:id="1098" w:name="_Toc267251485"/>
      <w:bookmarkStart w:id="1099" w:name="_Toc267251486"/>
      <w:bookmarkStart w:id="1100" w:name="_Toc267251488"/>
      <w:bookmarkStart w:id="1101" w:name="_Toc267251489"/>
      <w:bookmarkStart w:id="1102" w:name="_Toc267251490"/>
      <w:bookmarkStart w:id="1103" w:name="_Toc267251496"/>
      <w:bookmarkStart w:id="1104" w:name="_Toc267251491"/>
      <w:bookmarkStart w:id="1105" w:name="_Toc267251495"/>
      <w:bookmarkStart w:id="1106" w:name="_Toc267251494"/>
      <w:bookmarkStart w:id="1107" w:name="_Toc267251502"/>
      <w:bookmarkStart w:id="1108" w:name="_Toc267251497"/>
      <w:bookmarkStart w:id="1109" w:name="_Toc267251499"/>
      <w:bookmarkStart w:id="1110" w:name="_Toc267251493"/>
      <w:bookmarkStart w:id="1111" w:name="_Toc267251498"/>
      <w:bookmarkStart w:id="1112" w:name="_Toc267251501"/>
      <w:bookmarkStart w:id="1113" w:name="_Toc267251503"/>
      <w:bookmarkStart w:id="1114" w:name="_Toc267251492"/>
      <w:bookmarkStart w:id="1115" w:name="_Toc267251504"/>
      <w:bookmarkStart w:id="1116" w:name="_Toc267251506"/>
      <w:bookmarkStart w:id="1117" w:name="_Toc267251507"/>
      <w:bookmarkStart w:id="1118" w:name="_Toc267251508"/>
      <w:bookmarkStart w:id="1119" w:name="_Toc267251513"/>
      <w:bookmarkStart w:id="1120" w:name="_Toc267251511"/>
      <w:bookmarkStart w:id="1121" w:name="_Toc267251514"/>
      <w:bookmarkStart w:id="1122" w:name="_Toc267251509"/>
      <w:bookmarkStart w:id="1123" w:name="_Toc267251510"/>
      <w:bookmarkStart w:id="1124" w:name="_Toc267251515"/>
      <w:r>
        <w:rPr>
          <w:rFonts w:hint="eastAsia" w:ascii="宋体" w:hAnsi="宋体" w:eastAsia="宋体"/>
          <w:color w:val="auto"/>
          <w:sz w:val="24"/>
          <w:szCs w:val="24"/>
          <w:highlight w:val="none"/>
        </w:rPr>
        <w:t>15. 缺陷责任期与保修</w:t>
      </w:r>
      <w:bookmarkEnd w:id="1088"/>
      <w:bookmarkEnd w:id="1089"/>
      <w:bookmarkEnd w:id="1090"/>
      <w:bookmarkEnd w:id="1091"/>
      <w:bookmarkEnd w:id="1092"/>
      <w:bookmarkEnd w:id="1093"/>
      <w:bookmarkEnd w:id="1094"/>
    </w:p>
    <w:p w14:paraId="4F6B8218">
      <w:pPr>
        <w:pStyle w:val="2"/>
        <w:rPr>
          <w:rFonts w:ascii="宋体" w:hAnsi="宋体"/>
          <w:color w:val="auto"/>
          <w:szCs w:val="24"/>
          <w:highlight w:val="none"/>
        </w:rPr>
      </w:pPr>
      <w:bookmarkStart w:id="1125" w:name="_Toc373478410"/>
      <w:bookmarkStart w:id="1126" w:name="_Toc373227763"/>
      <w:bookmarkStart w:id="1127" w:name="_Toc9957"/>
      <w:bookmarkStart w:id="1128" w:name="_Toc533611518"/>
      <w:bookmarkStart w:id="1129" w:name="_Toc395382566"/>
      <w:bookmarkStart w:id="1130" w:name="_Toc389065328"/>
      <w:bookmarkStart w:id="1131" w:name="_Toc26317"/>
      <w:r>
        <w:rPr>
          <w:rFonts w:hint="eastAsia" w:ascii="宋体" w:hAnsi="宋体"/>
          <w:color w:val="auto"/>
          <w:szCs w:val="24"/>
          <w:highlight w:val="none"/>
        </w:rPr>
        <w:t>15.2 缺陷责任期</w:t>
      </w:r>
      <w:bookmarkEnd w:id="1095"/>
      <w:bookmarkEnd w:id="1125"/>
      <w:bookmarkEnd w:id="1126"/>
      <w:bookmarkEnd w:id="1127"/>
      <w:bookmarkEnd w:id="1128"/>
      <w:bookmarkEnd w:id="1129"/>
      <w:bookmarkEnd w:id="1130"/>
      <w:bookmarkEnd w:id="1131"/>
    </w:p>
    <w:p w14:paraId="005BAE94">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缺陷责任期的具体期限：</w:t>
      </w:r>
      <w:r>
        <w:rPr>
          <w:rFonts w:ascii="宋体" w:hAnsi="宋体"/>
          <w:color w:val="auto"/>
          <w:szCs w:val="21"/>
          <w:highlight w:val="none"/>
          <w:u w:val="single"/>
        </w:rPr>
        <w:t>按本合同《通用条款》相关规定执行</w:t>
      </w:r>
      <w:r>
        <w:rPr>
          <w:rFonts w:ascii="宋体" w:hAnsi="宋体"/>
          <w:color w:val="auto"/>
          <w:sz w:val="24"/>
          <w:highlight w:val="none"/>
        </w:rPr>
        <w:t>。</w:t>
      </w:r>
    </w:p>
    <w:p w14:paraId="6210FE97">
      <w:pPr>
        <w:pStyle w:val="2"/>
        <w:rPr>
          <w:rFonts w:ascii="宋体" w:hAnsi="宋体"/>
          <w:color w:val="auto"/>
          <w:szCs w:val="24"/>
          <w:highlight w:val="none"/>
        </w:rPr>
      </w:pPr>
      <w:bookmarkStart w:id="1132" w:name="_Toc533611519"/>
      <w:bookmarkStart w:id="1133" w:name="_Toc32684"/>
      <w:bookmarkStart w:id="1134" w:name="_Toc373227764"/>
      <w:bookmarkStart w:id="1135" w:name="_Toc21152"/>
      <w:bookmarkStart w:id="1136" w:name="_Toc395382567"/>
      <w:bookmarkStart w:id="1137" w:name="_Toc389065329"/>
      <w:bookmarkStart w:id="1138" w:name="_Toc373478411"/>
      <w:r>
        <w:rPr>
          <w:rFonts w:hint="eastAsia" w:ascii="宋体" w:hAnsi="宋体"/>
          <w:color w:val="auto"/>
          <w:szCs w:val="24"/>
          <w:highlight w:val="none"/>
        </w:rPr>
        <w:t>15.3 质量保证金</w:t>
      </w:r>
      <w:bookmarkEnd w:id="1132"/>
      <w:bookmarkEnd w:id="1133"/>
      <w:bookmarkEnd w:id="1134"/>
      <w:bookmarkEnd w:id="1135"/>
      <w:bookmarkEnd w:id="1136"/>
      <w:bookmarkEnd w:id="1137"/>
      <w:bookmarkEnd w:id="1138"/>
    </w:p>
    <w:p w14:paraId="3EEB5DB7">
      <w:pPr>
        <w:spacing w:line="360" w:lineRule="auto"/>
        <w:ind w:firstLine="480" w:firstLineChars="200"/>
        <w:rPr>
          <w:rFonts w:ascii="宋体" w:hAnsi="宋体"/>
          <w:color w:val="auto"/>
          <w:sz w:val="24"/>
          <w:highlight w:val="none"/>
        </w:rPr>
      </w:pPr>
      <w:r>
        <w:rPr>
          <w:rFonts w:ascii="宋体" w:hAnsi="宋体"/>
          <w:color w:val="auto"/>
          <w:sz w:val="24"/>
          <w:highlight w:val="none"/>
        </w:rPr>
        <w:t>关于是否扣留质量保证金的约定：</w:t>
      </w:r>
      <w:r>
        <w:rPr>
          <w:rFonts w:ascii="宋体" w:hAnsi="宋体"/>
          <w:color w:val="auto"/>
          <w:sz w:val="24"/>
          <w:highlight w:val="none"/>
          <w:u w:val="single"/>
        </w:rPr>
        <w:t xml:space="preserve"> </w:t>
      </w:r>
      <w:r>
        <w:rPr>
          <w:rFonts w:hint="eastAsia" w:ascii="宋体" w:hAnsi="宋体"/>
          <w:color w:val="auto"/>
          <w:sz w:val="24"/>
          <w:highlight w:val="none"/>
          <w:u w:val="single"/>
        </w:rPr>
        <w:t>有</w:t>
      </w:r>
      <w:r>
        <w:rPr>
          <w:rFonts w:ascii="宋体" w:hAnsi="宋体"/>
          <w:color w:val="auto"/>
          <w:sz w:val="24"/>
          <w:highlight w:val="none"/>
          <w:u w:val="single"/>
        </w:rPr>
        <w:t xml:space="preserve"> </w:t>
      </w:r>
      <w:r>
        <w:rPr>
          <w:rFonts w:ascii="宋体" w:hAnsi="宋体"/>
          <w:color w:val="auto"/>
          <w:sz w:val="24"/>
          <w:highlight w:val="none"/>
        </w:rPr>
        <w:t>。</w:t>
      </w:r>
    </w:p>
    <w:p w14:paraId="2B3C845B">
      <w:pPr>
        <w:spacing w:line="360" w:lineRule="auto"/>
        <w:ind w:firstLine="480" w:firstLineChars="200"/>
        <w:rPr>
          <w:rFonts w:ascii="宋体" w:hAnsi="宋体"/>
          <w:color w:val="auto"/>
          <w:sz w:val="24"/>
          <w:highlight w:val="none"/>
        </w:rPr>
      </w:pPr>
      <w:r>
        <w:rPr>
          <w:rFonts w:ascii="宋体" w:hAnsi="宋体"/>
          <w:color w:val="auto"/>
          <w:sz w:val="24"/>
          <w:highlight w:val="none"/>
        </w:rPr>
        <w:t>15.3.1 承包人提供质量保证金的方式</w:t>
      </w:r>
    </w:p>
    <w:p w14:paraId="5C719736">
      <w:pPr>
        <w:spacing w:line="360" w:lineRule="auto"/>
        <w:ind w:firstLine="480" w:firstLineChars="200"/>
        <w:rPr>
          <w:rFonts w:ascii="宋体" w:hAnsi="宋体"/>
          <w:color w:val="auto"/>
          <w:sz w:val="24"/>
          <w:highlight w:val="none"/>
        </w:rPr>
      </w:pPr>
      <w:r>
        <w:rPr>
          <w:rFonts w:ascii="宋体" w:hAnsi="宋体"/>
          <w:color w:val="auto"/>
          <w:sz w:val="24"/>
          <w:highlight w:val="none"/>
        </w:rPr>
        <w:t>质量保证金采用以下第</w:t>
      </w:r>
      <w:r>
        <w:rPr>
          <w:rFonts w:ascii="宋体" w:hAnsi="宋体"/>
          <w:color w:val="auto"/>
          <w:sz w:val="24"/>
          <w:highlight w:val="none"/>
          <w:u w:val="single"/>
        </w:rPr>
        <w:t xml:space="preserve"> </w:t>
      </w:r>
      <w:r>
        <w:rPr>
          <w:rFonts w:hint="eastAsia" w:ascii="宋体" w:hAnsi="宋体"/>
          <w:color w:val="auto"/>
          <w:sz w:val="24"/>
          <w:highlight w:val="none"/>
          <w:u w:val="single"/>
        </w:rPr>
        <w:t>（2）</w:t>
      </w:r>
      <w:r>
        <w:rPr>
          <w:rFonts w:ascii="宋体" w:hAnsi="宋体"/>
          <w:color w:val="auto"/>
          <w:sz w:val="24"/>
          <w:highlight w:val="none"/>
          <w:u w:val="single"/>
        </w:rPr>
        <w:t xml:space="preserve"> </w:t>
      </w:r>
      <w:r>
        <w:rPr>
          <w:rFonts w:ascii="宋体" w:hAnsi="宋体"/>
          <w:color w:val="auto"/>
          <w:sz w:val="24"/>
          <w:highlight w:val="none"/>
        </w:rPr>
        <w:t>种方式：</w:t>
      </w:r>
    </w:p>
    <w:p w14:paraId="03CFEBEF">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（1）质量保证金保函，保证金额为：</w:t>
      </w:r>
      <w:r>
        <w:rPr>
          <w:rFonts w:ascii="宋体" w:hAnsi="宋体"/>
          <w:color w:val="auto"/>
          <w:sz w:val="24"/>
          <w:highlight w:val="none"/>
          <w:u w:val="single"/>
        </w:rPr>
        <w:t xml:space="preserve">         /          </w:t>
      </w:r>
      <w:r>
        <w:rPr>
          <w:rFonts w:ascii="宋体" w:hAnsi="宋体"/>
          <w:color w:val="auto"/>
          <w:sz w:val="24"/>
          <w:highlight w:val="none"/>
        </w:rPr>
        <w:t>；</w:t>
      </w:r>
    </w:p>
    <w:p w14:paraId="5E4E9000">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ascii="宋体" w:hAnsi="宋体"/>
          <w:bCs/>
          <w:color w:val="auto"/>
          <w:sz w:val="24"/>
          <w:highlight w:val="none"/>
        </w:rPr>
        <w:t>发包人按工程价款结算总额的</w:t>
      </w:r>
      <w:r>
        <w:rPr>
          <w:rFonts w:ascii="宋体" w:hAnsi="宋体"/>
          <w:bCs/>
          <w:color w:val="auto"/>
          <w:sz w:val="24"/>
          <w:highlight w:val="none"/>
          <w:u w:val="single"/>
        </w:rPr>
        <w:t xml:space="preserve"> </w:t>
      </w:r>
      <w:r>
        <w:rPr>
          <w:rFonts w:hint="eastAsia" w:ascii="宋体" w:hAnsi="宋体"/>
          <w:bCs/>
          <w:color w:val="auto"/>
          <w:sz w:val="24"/>
          <w:highlight w:val="none"/>
          <w:u w:val="single"/>
        </w:rPr>
        <w:t>3</w:t>
      </w:r>
      <w:r>
        <w:rPr>
          <w:rFonts w:ascii="宋体" w:hAnsi="宋体"/>
          <w:bCs/>
          <w:color w:val="auto"/>
          <w:sz w:val="24"/>
          <w:highlight w:val="none"/>
          <w:u w:val="single"/>
        </w:rPr>
        <w:t>%</w:t>
      </w:r>
      <w:r>
        <w:rPr>
          <w:rFonts w:hint="eastAsia" w:ascii="宋体" w:hAnsi="宋体"/>
          <w:bCs/>
          <w:color w:val="auto"/>
          <w:sz w:val="24"/>
          <w:highlight w:val="none"/>
          <w:u w:val="single"/>
        </w:rPr>
        <w:t xml:space="preserve"> </w:t>
      </w:r>
      <w:r>
        <w:rPr>
          <w:rFonts w:ascii="宋体" w:hAnsi="宋体"/>
          <w:bCs/>
          <w:color w:val="auto"/>
          <w:sz w:val="24"/>
          <w:highlight w:val="none"/>
        </w:rPr>
        <w:t>预留工程质量保修金，待缺陷责任期满后返还</w:t>
      </w:r>
      <w:r>
        <w:rPr>
          <w:rFonts w:ascii="宋体" w:hAnsi="宋体"/>
          <w:color w:val="auto"/>
          <w:sz w:val="24"/>
          <w:highlight w:val="none"/>
        </w:rPr>
        <w:t>；</w:t>
      </w:r>
    </w:p>
    <w:p w14:paraId="14E588ED">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（3）其他方式：</w:t>
      </w:r>
      <w:r>
        <w:rPr>
          <w:rFonts w:ascii="宋体" w:hAnsi="宋体"/>
          <w:bCs/>
          <w:color w:val="auto"/>
          <w:sz w:val="24"/>
          <w:highlight w:val="none"/>
          <w:u w:val="single"/>
        </w:rPr>
        <w:t xml:space="preserve">         /                              </w:t>
      </w:r>
      <w:r>
        <w:rPr>
          <w:rFonts w:ascii="宋体" w:hAnsi="宋体"/>
          <w:bCs/>
          <w:color w:val="auto"/>
          <w:sz w:val="24"/>
          <w:highlight w:val="none"/>
        </w:rPr>
        <w:t>。</w:t>
      </w:r>
    </w:p>
    <w:p w14:paraId="4EA88D5C">
      <w:pPr>
        <w:spacing w:line="360" w:lineRule="auto"/>
        <w:ind w:firstLine="480" w:firstLineChars="200"/>
        <w:rPr>
          <w:rFonts w:ascii="宋体" w:hAnsi="宋体"/>
          <w:color w:val="auto"/>
          <w:sz w:val="24"/>
          <w:highlight w:val="none"/>
        </w:rPr>
      </w:pPr>
      <w:r>
        <w:rPr>
          <w:rFonts w:ascii="宋体" w:hAnsi="宋体"/>
          <w:color w:val="auto"/>
          <w:sz w:val="24"/>
          <w:highlight w:val="none"/>
        </w:rPr>
        <w:t>15.3.2 质量保证金的扣留</w:t>
      </w:r>
    </w:p>
    <w:p w14:paraId="2E90F114">
      <w:pPr>
        <w:spacing w:line="360" w:lineRule="auto"/>
        <w:ind w:firstLine="480" w:firstLineChars="200"/>
        <w:rPr>
          <w:rFonts w:ascii="宋体" w:hAnsi="宋体"/>
          <w:color w:val="auto"/>
          <w:sz w:val="24"/>
          <w:highlight w:val="none"/>
        </w:rPr>
      </w:pPr>
      <w:r>
        <w:rPr>
          <w:rFonts w:ascii="宋体" w:hAnsi="宋体"/>
          <w:color w:val="auto"/>
          <w:sz w:val="24"/>
          <w:highlight w:val="none"/>
        </w:rPr>
        <w:t>质量保证金的扣留采取以下第</w:t>
      </w:r>
      <w:r>
        <w:rPr>
          <w:rFonts w:ascii="宋体" w:hAnsi="宋体"/>
          <w:color w:val="auto"/>
          <w:sz w:val="24"/>
          <w:highlight w:val="none"/>
          <w:u w:val="single"/>
        </w:rPr>
        <w:t xml:space="preserve"> </w:t>
      </w:r>
      <w:r>
        <w:rPr>
          <w:rFonts w:hint="eastAsia" w:ascii="宋体" w:hAnsi="宋体"/>
          <w:color w:val="auto"/>
          <w:sz w:val="24"/>
          <w:highlight w:val="none"/>
          <w:u w:val="single"/>
        </w:rPr>
        <w:t>（2）</w:t>
      </w:r>
      <w:r>
        <w:rPr>
          <w:rFonts w:ascii="宋体" w:hAnsi="宋体"/>
          <w:color w:val="auto"/>
          <w:sz w:val="24"/>
          <w:highlight w:val="none"/>
          <w:u w:val="single"/>
        </w:rPr>
        <w:t xml:space="preserve"> </w:t>
      </w:r>
      <w:r>
        <w:rPr>
          <w:rFonts w:ascii="宋体" w:hAnsi="宋体"/>
          <w:color w:val="auto"/>
          <w:sz w:val="24"/>
          <w:highlight w:val="none"/>
        </w:rPr>
        <w:t>种方式：</w:t>
      </w:r>
    </w:p>
    <w:p w14:paraId="6AB53F48">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（1）在支付工程进度款时逐次扣留，在此情形下，质量保证金的计算基数不包括预付款的支付、扣回以及价格调整的金额；</w:t>
      </w:r>
    </w:p>
    <w:p w14:paraId="74F7361C">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（2）工程竣工结算时一次性扣留质量保证金；</w:t>
      </w:r>
    </w:p>
    <w:p w14:paraId="4D6D81E5">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（3）其他扣留方式:</w:t>
      </w:r>
      <w:r>
        <w:rPr>
          <w:rFonts w:ascii="宋体" w:hAnsi="宋体"/>
          <w:color w:val="auto"/>
          <w:sz w:val="24"/>
          <w:highlight w:val="none"/>
          <w:u w:val="single"/>
        </w:rPr>
        <w:t xml:space="preserve">                     /                </w:t>
      </w:r>
      <w:r>
        <w:rPr>
          <w:rFonts w:ascii="宋体" w:hAnsi="宋体"/>
          <w:color w:val="auto"/>
          <w:sz w:val="24"/>
          <w:highlight w:val="none"/>
        </w:rPr>
        <w:t>。</w:t>
      </w:r>
    </w:p>
    <w:p w14:paraId="24343B12">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关于质量保证金的补充约定：</w:t>
      </w:r>
      <w:r>
        <w:rPr>
          <w:rFonts w:ascii="宋体" w:hAnsi="宋体"/>
          <w:color w:val="auto"/>
          <w:sz w:val="24"/>
          <w:highlight w:val="none"/>
          <w:u w:val="single"/>
        </w:rPr>
        <w:t xml:space="preserve">             /               </w:t>
      </w:r>
      <w:r>
        <w:rPr>
          <w:rFonts w:ascii="宋体" w:hAnsi="宋体"/>
          <w:color w:val="auto"/>
          <w:sz w:val="24"/>
          <w:highlight w:val="none"/>
        </w:rPr>
        <w:t>。</w:t>
      </w:r>
    </w:p>
    <w:bookmarkEnd w:id="1096"/>
    <w:bookmarkEnd w:id="1097"/>
    <w:p w14:paraId="60FC235E">
      <w:pPr>
        <w:pStyle w:val="2"/>
        <w:rPr>
          <w:rFonts w:ascii="宋体" w:hAnsi="宋体"/>
          <w:color w:val="auto"/>
          <w:szCs w:val="24"/>
          <w:highlight w:val="none"/>
        </w:rPr>
      </w:pPr>
      <w:bookmarkStart w:id="1139" w:name="_Toc389065330"/>
      <w:bookmarkStart w:id="1140" w:name="_Toc18920"/>
      <w:bookmarkStart w:id="1141" w:name="_Toc373478412"/>
      <w:bookmarkStart w:id="1142" w:name="_Toc395382568"/>
      <w:bookmarkStart w:id="1143" w:name="_Toc533611520"/>
      <w:bookmarkStart w:id="1144" w:name="_Toc24067"/>
      <w:bookmarkStart w:id="1145" w:name="_Toc373227765"/>
      <w:r>
        <w:rPr>
          <w:rFonts w:hint="eastAsia" w:ascii="宋体" w:hAnsi="宋体"/>
          <w:color w:val="auto"/>
          <w:szCs w:val="24"/>
          <w:highlight w:val="none"/>
        </w:rPr>
        <w:t>15.4 保修</w:t>
      </w:r>
      <w:bookmarkEnd w:id="1139"/>
      <w:bookmarkEnd w:id="1140"/>
      <w:bookmarkEnd w:id="1141"/>
      <w:bookmarkEnd w:id="1142"/>
      <w:bookmarkEnd w:id="1143"/>
      <w:bookmarkEnd w:id="1144"/>
      <w:bookmarkEnd w:id="1145"/>
    </w:p>
    <w:bookmarkEnd w:id="1098"/>
    <w:p w14:paraId="7E76781D">
      <w:pPr>
        <w:spacing w:line="360" w:lineRule="auto"/>
        <w:ind w:firstLine="468" w:firstLineChars="195"/>
        <w:rPr>
          <w:rFonts w:ascii="宋体" w:hAnsi="宋体"/>
          <w:color w:val="auto"/>
          <w:sz w:val="24"/>
          <w:highlight w:val="none"/>
        </w:rPr>
      </w:pPr>
      <w:r>
        <w:rPr>
          <w:rFonts w:ascii="宋体" w:hAnsi="宋体"/>
          <w:color w:val="auto"/>
          <w:sz w:val="24"/>
          <w:highlight w:val="none"/>
        </w:rPr>
        <w:t>15.4.1 保修责任</w:t>
      </w:r>
    </w:p>
    <w:p w14:paraId="33644336">
      <w:pPr>
        <w:spacing w:line="360" w:lineRule="auto"/>
        <w:ind w:firstLine="468" w:firstLineChars="195"/>
        <w:rPr>
          <w:rFonts w:ascii="宋体" w:hAnsi="宋体"/>
          <w:color w:val="auto"/>
          <w:sz w:val="24"/>
          <w:highlight w:val="none"/>
        </w:rPr>
      </w:pPr>
      <w:r>
        <w:rPr>
          <w:rFonts w:ascii="宋体" w:hAnsi="宋体"/>
          <w:color w:val="auto"/>
          <w:sz w:val="24"/>
          <w:highlight w:val="none"/>
        </w:rPr>
        <w:t>工程保修期为：</w:t>
      </w:r>
      <w:r>
        <w:rPr>
          <w:rFonts w:ascii="宋体" w:hAnsi="宋体"/>
          <w:color w:val="auto"/>
          <w:sz w:val="24"/>
          <w:highlight w:val="none"/>
          <w:u w:val="single"/>
        </w:rPr>
        <w:t xml:space="preserve">      详见工程质量保修书                      </w:t>
      </w:r>
      <w:r>
        <w:rPr>
          <w:rFonts w:ascii="宋体" w:hAnsi="宋体"/>
          <w:color w:val="auto"/>
          <w:sz w:val="24"/>
          <w:highlight w:val="none"/>
        </w:rPr>
        <w:t>。</w:t>
      </w:r>
    </w:p>
    <w:p w14:paraId="32461E0E">
      <w:pPr>
        <w:spacing w:line="360" w:lineRule="auto"/>
        <w:ind w:firstLine="468" w:firstLineChars="195"/>
        <w:rPr>
          <w:rFonts w:ascii="宋体" w:hAnsi="宋体"/>
          <w:color w:val="auto"/>
          <w:sz w:val="24"/>
          <w:highlight w:val="none"/>
          <w:u w:val="single"/>
        </w:rPr>
      </w:pPr>
      <w:r>
        <w:rPr>
          <w:rFonts w:ascii="宋体" w:hAnsi="宋体"/>
          <w:color w:val="auto"/>
          <w:sz w:val="24"/>
          <w:highlight w:val="none"/>
        </w:rPr>
        <w:t>工程保修书具体内容见合同附件8。</w:t>
      </w:r>
    </w:p>
    <w:p w14:paraId="6EF136C5">
      <w:pPr>
        <w:spacing w:line="360" w:lineRule="auto"/>
        <w:ind w:firstLine="468" w:firstLineChars="195"/>
        <w:rPr>
          <w:rFonts w:ascii="宋体" w:hAnsi="宋体"/>
          <w:color w:val="auto"/>
          <w:sz w:val="24"/>
          <w:highlight w:val="none"/>
        </w:rPr>
      </w:pPr>
      <w:r>
        <w:rPr>
          <w:rFonts w:ascii="宋体" w:hAnsi="宋体"/>
          <w:color w:val="auto"/>
          <w:sz w:val="24"/>
          <w:highlight w:val="none"/>
        </w:rPr>
        <w:t>15.4.3 修复通知</w:t>
      </w:r>
    </w:p>
    <w:p w14:paraId="47714F21">
      <w:pPr>
        <w:spacing w:line="360" w:lineRule="auto"/>
        <w:ind w:firstLine="468" w:firstLineChars="195"/>
        <w:rPr>
          <w:rFonts w:ascii="宋体" w:hAnsi="宋体"/>
          <w:color w:val="auto"/>
          <w:sz w:val="24"/>
          <w:highlight w:val="none"/>
        </w:rPr>
      </w:pPr>
      <w:r>
        <w:rPr>
          <w:rFonts w:ascii="宋体" w:hAnsi="宋体"/>
          <w:color w:val="auto"/>
          <w:sz w:val="24"/>
          <w:highlight w:val="none"/>
        </w:rPr>
        <w:t>承包人收到保修通知并到达工程现场的合理时间：</w:t>
      </w:r>
      <w:r>
        <w:rPr>
          <w:rFonts w:ascii="宋体" w:hAnsi="宋体"/>
          <w:color w:val="auto"/>
          <w:sz w:val="24"/>
          <w:highlight w:val="none"/>
          <w:u w:val="single"/>
        </w:rPr>
        <w:t xml:space="preserve">    24小时      </w:t>
      </w:r>
      <w:r>
        <w:rPr>
          <w:rFonts w:ascii="宋体" w:hAnsi="宋体"/>
          <w:color w:val="auto"/>
          <w:sz w:val="24"/>
          <w:highlight w:val="none"/>
        </w:rPr>
        <w:t>。</w:t>
      </w:r>
      <w:bookmarkEnd w:id="1099"/>
      <w:bookmarkEnd w:id="1100"/>
      <w:bookmarkEnd w:id="1101"/>
      <w:bookmarkEnd w:id="1102"/>
      <w:bookmarkStart w:id="1146" w:name="_Toc533611521"/>
      <w:bookmarkStart w:id="1147" w:name="_Toc373478413"/>
      <w:bookmarkStart w:id="1148" w:name="_Toc389065331"/>
      <w:bookmarkStart w:id="1149" w:name="_Toc18870"/>
      <w:bookmarkStart w:id="1150" w:name="_Toc395382569"/>
      <w:bookmarkStart w:id="1151" w:name="_Toc373227766"/>
      <w:bookmarkStart w:id="1152" w:name="_Toc280868717"/>
      <w:bookmarkStart w:id="1153" w:name="_Toc280868718"/>
    </w:p>
    <w:p w14:paraId="256C7948">
      <w:pPr>
        <w:pStyle w:val="4"/>
        <w:rPr>
          <w:rFonts w:ascii="宋体" w:hAnsi="宋体" w:eastAsia="宋体"/>
          <w:color w:val="auto"/>
          <w:sz w:val="24"/>
          <w:szCs w:val="24"/>
          <w:highlight w:val="none"/>
        </w:rPr>
      </w:pPr>
      <w:bookmarkStart w:id="1154" w:name="_Toc31728"/>
      <w:r>
        <w:rPr>
          <w:rFonts w:hint="eastAsia" w:ascii="宋体" w:hAnsi="宋体" w:eastAsia="宋体"/>
          <w:color w:val="auto"/>
          <w:sz w:val="24"/>
          <w:szCs w:val="24"/>
          <w:highlight w:val="none"/>
        </w:rPr>
        <w:t>16. 违约</w:t>
      </w:r>
      <w:bookmarkEnd w:id="1146"/>
      <w:bookmarkEnd w:id="1147"/>
      <w:bookmarkEnd w:id="1148"/>
      <w:bookmarkEnd w:id="1149"/>
      <w:bookmarkEnd w:id="1150"/>
      <w:bookmarkEnd w:id="1151"/>
      <w:bookmarkEnd w:id="1154"/>
    </w:p>
    <w:p w14:paraId="6DF32E4F">
      <w:pPr>
        <w:pStyle w:val="2"/>
        <w:rPr>
          <w:rFonts w:ascii="宋体" w:hAnsi="宋体"/>
          <w:color w:val="auto"/>
          <w:szCs w:val="24"/>
          <w:highlight w:val="none"/>
        </w:rPr>
      </w:pPr>
      <w:bookmarkStart w:id="1155" w:name="_Toc373478414"/>
      <w:bookmarkStart w:id="1156" w:name="_Toc373227767"/>
      <w:bookmarkStart w:id="1157" w:name="_Toc533611522"/>
      <w:bookmarkStart w:id="1158" w:name="_Toc11703"/>
      <w:bookmarkStart w:id="1159" w:name="_Toc389065332"/>
      <w:bookmarkStart w:id="1160" w:name="_Toc18511"/>
      <w:bookmarkStart w:id="1161" w:name="_Toc395382570"/>
      <w:r>
        <w:rPr>
          <w:rFonts w:hint="eastAsia" w:ascii="宋体" w:hAnsi="宋体"/>
          <w:color w:val="auto"/>
          <w:szCs w:val="24"/>
          <w:highlight w:val="none"/>
        </w:rPr>
        <w:t>16.1 发包人违约</w:t>
      </w:r>
      <w:bookmarkEnd w:id="1155"/>
      <w:bookmarkEnd w:id="1156"/>
      <w:bookmarkEnd w:id="1157"/>
      <w:bookmarkEnd w:id="1158"/>
      <w:bookmarkEnd w:id="1159"/>
      <w:bookmarkEnd w:id="1160"/>
      <w:bookmarkEnd w:id="1161"/>
    </w:p>
    <w:p w14:paraId="7476CDF6">
      <w:pPr>
        <w:spacing w:line="360" w:lineRule="auto"/>
        <w:ind w:firstLine="480" w:firstLineChars="200"/>
        <w:rPr>
          <w:rFonts w:ascii="宋体" w:hAnsi="宋体"/>
          <w:color w:val="auto"/>
          <w:sz w:val="24"/>
          <w:highlight w:val="none"/>
        </w:rPr>
      </w:pPr>
      <w:r>
        <w:rPr>
          <w:rFonts w:ascii="宋体" w:hAnsi="宋体"/>
          <w:color w:val="auto"/>
          <w:sz w:val="24"/>
          <w:highlight w:val="none"/>
        </w:rPr>
        <w:t>16.1.1发包人违约的情形</w:t>
      </w:r>
    </w:p>
    <w:p w14:paraId="6EB475A8">
      <w:pPr>
        <w:spacing w:line="360" w:lineRule="auto"/>
        <w:ind w:firstLine="480" w:firstLineChars="200"/>
        <w:rPr>
          <w:rFonts w:ascii="宋体" w:hAnsi="宋体"/>
          <w:color w:val="auto"/>
          <w:sz w:val="24"/>
          <w:highlight w:val="none"/>
        </w:rPr>
      </w:pPr>
      <w:r>
        <w:rPr>
          <w:rFonts w:ascii="宋体" w:hAnsi="宋体"/>
          <w:color w:val="auto"/>
          <w:sz w:val="24"/>
          <w:highlight w:val="none"/>
        </w:rPr>
        <w:t>发包人违约的其他情形：</w:t>
      </w:r>
      <w:r>
        <w:rPr>
          <w:rFonts w:ascii="宋体" w:hAnsi="宋体"/>
          <w:color w:val="auto"/>
          <w:sz w:val="24"/>
          <w:highlight w:val="none"/>
          <w:u w:val="single"/>
        </w:rPr>
        <w:t xml:space="preserve">               /                 </w:t>
      </w:r>
      <w:r>
        <w:rPr>
          <w:rFonts w:ascii="宋体" w:hAnsi="宋体"/>
          <w:color w:val="auto"/>
          <w:sz w:val="24"/>
          <w:highlight w:val="none"/>
        </w:rPr>
        <w:t>。</w:t>
      </w:r>
    </w:p>
    <w:p w14:paraId="1637FD73">
      <w:pPr>
        <w:spacing w:line="360" w:lineRule="auto"/>
        <w:ind w:firstLine="480" w:firstLineChars="200"/>
        <w:rPr>
          <w:rFonts w:ascii="宋体" w:hAnsi="宋体"/>
          <w:color w:val="auto"/>
          <w:sz w:val="24"/>
          <w:highlight w:val="none"/>
        </w:rPr>
      </w:pPr>
      <w:r>
        <w:rPr>
          <w:rFonts w:ascii="宋体" w:hAnsi="宋体"/>
          <w:color w:val="auto"/>
          <w:sz w:val="24"/>
          <w:highlight w:val="none"/>
        </w:rPr>
        <w:t>16.1.2 发包人违约的责任</w:t>
      </w:r>
    </w:p>
    <w:p w14:paraId="769DBA31">
      <w:pPr>
        <w:spacing w:line="360" w:lineRule="auto"/>
        <w:ind w:firstLine="480" w:firstLineChars="200"/>
        <w:rPr>
          <w:rFonts w:ascii="宋体" w:hAnsi="宋体"/>
          <w:color w:val="auto"/>
          <w:sz w:val="24"/>
          <w:highlight w:val="none"/>
        </w:rPr>
      </w:pPr>
      <w:r>
        <w:rPr>
          <w:rFonts w:ascii="宋体" w:hAnsi="宋体"/>
          <w:color w:val="auto"/>
          <w:sz w:val="24"/>
          <w:highlight w:val="none"/>
        </w:rPr>
        <w:t>发包人违约责任的承担方式和计算方法：</w:t>
      </w:r>
    </w:p>
    <w:p w14:paraId="5F19C3E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（1）因发包人原因未能在计划开工日期前7天内下达开工通知的违约责任：</w:t>
      </w:r>
      <w:r>
        <w:rPr>
          <w:rFonts w:ascii="宋体" w:hAnsi="宋体"/>
          <w:color w:val="auto"/>
          <w:sz w:val="24"/>
          <w:highlight w:val="none"/>
          <w:u w:val="single"/>
        </w:rPr>
        <w:t xml:space="preserve">  /   </w:t>
      </w:r>
      <w:r>
        <w:rPr>
          <w:rFonts w:ascii="宋体" w:hAnsi="宋体"/>
          <w:color w:val="auto"/>
          <w:sz w:val="24"/>
          <w:highlight w:val="none"/>
        </w:rPr>
        <w:t>。</w:t>
      </w:r>
    </w:p>
    <w:p w14:paraId="57E67265">
      <w:pPr>
        <w:spacing w:line="360" w:lineRule="auto"/>
        <w:ind w:firstLine="480" w:firstLineChars="200"/>
        <w:rPr>
          <w:rFonts w:ascii="宋体" w:hAnsi="宋体"/>
          <w:color w:val="auto"/>
          <w:sz w:val="24"/>
          <w:highlight w:val="none"/>
        </w:rPr>
      </w:pPr>
      <w:r>
        <w:rPr>
          <w:rFonts w:ascii="宋体" w:hAnsi="宋体"/>
          <w:color w:val="auto"/>
          <w:sz w:val="24"/>
          <w:highlight w:val="none"/>
        </w:rPr>
        <w:t>（2）因发包人原因未能按合同约定支付合同价款的违约责任：</w:t>
      </w:r>
      <w:r>
        <w:rPr>
          <w:rFonts w:ascii="宋体" w:hAnsi="宋体"/>
          <w:bCs/>
          <w:color w:val="auto"/>
          <w:sz w:val="24"/>
          <w:highlight w:val="none"/>
          <w:u w:val="single"/>
        </w:rPr>
        <w:t>承包人与发包人签订延期付款协议，延期付款协议须经财政部门认可</w:t>
      </w:r>
      <w:r>
        <w:rPr>
          <w:rFonts w:ascii="宋体" w:hAnsi="宋体"/>
          <w:color w:val="auto"/>
          <w:sz w:val="24"/>
          <w:highlight w:val="none"/>
        </w:rPr>
        <w:t>。</w:t>
      </w:r>
    </w:p>
    <w:p w14:paraId="774B6425">
      <w:pPr>
        <w:spacing w:line="360" w:lineRule="auto"/>
        <w:ind w:firstLine="480" w:firstLineChars="200"/>
        <w:rPr>
          <w:rFonts w:ascii="宋体" w:hAnsi="宋体"/>
          <w:color w:val="auto"/>
          <w:sz w:val="24"/>
          <w:highlight w:val="none"/>
        </w:rPr>
      </w:pPr>
      <w:r>
        <w:rPr>
          <w:rFonts w:ascii="宋体" w:hAnsi="宋体"/>
          <w:color w:val="auto"/>
          <w:sz w:val="24"/>
          <w:highlight w:val="none"/>
        </w:rPr>
        <w:t>（3）发包人违反第10.1款〔变更的范围〕第（2）项约定，自行实施被取消的工作或转由他人实施的违约责任：</w:t>
      </w:r>
      <w:r>
        <w:rPr>
          <w:rFonts w:ascii="宋体" w:hAnsi="宋体"/>
          <w:color w:val="auto"/>
          <w:sz w:val="24"/>
          <w:highlight w:val="none"/>
          <w:u w:val="single"/>
        </w:rPr>
        <w:t xml:space="preserve">             /         </w:t>
      </w:r>
      <w:r>
        <w:rPr>
          <w:rFonts w:ascii="宋体" w:hAnsi="宋体"/>
          <w:color w:val="auto"/>
          <w:sz w:val="24"/>
          <w:highlight w:val="none"/>
        </w:rPr>
        <w:t>。</w:t>
      </w:r>
    </w:p>
    <w:p w14:paraId="74B65A53">
      <w:pPr>
        <w:spacing w:line="360" w:lineRule="auto"/>
        <w:ind w:firstLine="480" w:firstLineChars="200"/>
        <w:rPr>
          <w:rFonts w:ascii="宋体" w:hAnsi="宋体"/>
          <w:color w:val="auto"/>
          <w:sz w:val="24"/>
          <w:highlight w:val="none"/>
        </w:rPr>
      </w:pPr>
      <w:r>
        <w:rPr>
          <w:rFonts w:ascii="宋体" w:hAnsi="宋体"/>
          <w:color w:val="auto"/>
          <w:sz w:val="24"/>
          <w:highlight w:val="none"/>
        </w:rPr>
        <w:t>（4）发包人提供的材料、工程设备的规格、数量或质量不符合合同约定，或因发包人原因导致交货日期延误或交货地点变更等情况的违约责任：</w:t>
      </w:r>
      <w:r>
        <w:rPr>
          <w:rFonts w:ascii="宋体" w:hAnsi="宋体"/>
          <w:color w:val="auto"/>
          <w:sz w:val="24"/>
          <w:highlight w:val="none"/>
          <w:u w:val="single"/>
        </w:rPr>
        <w:t xml:space="preserve">  /    </w:t>
      </w:r>
      <w:r>
        <w:rPr>
          <w:rFonts w:ascii="宋体" w:hAnsi="宋体"/>
          <w:color w:val="auto"/>
          <w:sz w:val="24"/>
          <w:highlight w:val="none"/>
        </w:rPr>
        <w:t>。</w:t>
      </w:r>
    </w:p>
    <w:p w14:paraId="0E0BA9F8">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（5）因发包人违反合同约定造成暂停施工的违约责任：</w:t>
      </w:r>
      <w:r>
        <w:rPr>
          <w:rFonts w:ascii="宋体" w:hAnsi="宋体"/>
          <w:color w:val="auto"/>
          <w:sz w:val="24"/>
          <w:highlight w:val="none"/>
          <w:u w:val="single"/>
        </w:rPr>
        <w:t xml:space="preserve">  /          </w:t>
      </w:r>
      <w:r>
        <w:rPr>
          <w:rFonts w:ascii="宋体" w:hAnsi="宋体"/>
          <w:color w:val="auto"/>
          <w:sz w:val="24"/>
          <w:highlight w:val="none"/>
        </w:rPr>
        <w:t>。</w:t>
      </w:r>
    </w:p>
    <w:p w14:paraId="408F9C07">
      <w:pPr>
        <w:spacing w:line="360" w:lineRule="auto"/>
        <w:ind w:firstLine="480" w:firstLineChars="200"/>
        <w:rPr>
          <w:rFonts w:ascii="宋体" w:hAnsi="宋体"/>
          <w:color w:val="auto"/>
          <w:sz w:val="24"/>
          <w:highlight w:val="none"/>
        </w:rPr>
      </w:pPr>
      <w:r>
        <w:rPr>
          <w:rFonts w:ascii="宋体" w:hAnsi="宋体"/>
          <w:color w:val="auto"/>
          <w:sz w:val="24"/>
          <w:highlight w:val="none"/>
        </w:rPr>
        <w:t>（6）发包人无正当理由没有在约定期限内发出复工指示，导致承包人无法复工的违约责任：</w:t>
      </w:r>
      <w:r>
        <w:rPr>
          <w:rFonts w:ascii="宋体" w:hAnsi="宋体"/>
          <w:color w:val="auto"/>
          <w:sz w:val="24"/>
          <w:highlight w:val="none"/>
          <w:u w:val="single"/>
        </w:rPr>
        <w:t xml:space="preserve">                /                     </w:t>
      </w:r>
      <w:r>
        <w:rPr>
          <w:rFonts w:ascii="宋体" w:hAnsi="宋体"/>
          <w:color w:val="auto"/>
          <w:sz w:val="24"/>
          <w:highlight w:val="none"/>
        </w:rPr>
        <w:t>。</w:t>
      </w:r>
    </w:p>
    <w:p w14:paraId="6892AE7C">
      <w:pPr>
        <w:spacing w:line="360" w:lineRule="auto"/>
        <w:ind w:firstLine="480" w:firstLineChars="200"/>
        <w:rPr>
          <w:rFonts w:ascii="宋体" w:hAnsi="宋体"/>
          <w:color w:val="auto"/>
          <w:sz w:val="24"/>
          <w:highlight w:val="none"/>
        </w:rPr>
      </w:pPr>
      <w:r>
        <w:rPr>
          <w:rFonts w:ascii="宋体" w:hAnsi="宋体"/>
          <w:color w:val="auto"/>
          <w:sz w:val="24"/>
          <w:highlight w:val="none"/>
        </w:rPr>
        <w:t>（7）其他：</w:t>
      </w:r>
      <w:r>
        <w:rPr>
          <w:rFonts w:ascii="宋体" w:hAnsi="宋体"/>
          <w:color w:val="auto"/>
          <w:sz w:val="24"/>
          <w:highlight w:val="none"/>
          <w:u w:val="single"/>
        </w:rPr>
        <w:t xml:space="preserve">                /                             </w:t>
      </w:r>
      <w:r>
        <w:rPr>
          <w:rFonts w:ascii="宋体" w:hAnsi="宋体"/>
          <w:color w:val="auto"/>
          <w:sz w:val="24"/>
          <w:highlight w:val="none"/>
        </w:rPr>
        <w:t>。</w:t>
      </w:r>
    </w:p>
    <w:p w14:paraId="5567D51D">
      <w:pPr>
        <w:spacing w:line="360" w:lineRule="auto"/>
        <w:ind w:firstLine="480" w:firstLineChars="200"/>
        <w:rPr>
          <w:rFonts w:ascii="宋体" w:hAnsi="宋体"/>
          <w:color w:val="auto"/>
          <w:sz w:val="24"/>
          <w:highlight w:val="none"/>
        </w:rPr>
      </w:pPr>
      <w:r>
        <w:rPr>
          <w:rFonts w:ascii="宋体" w:hAnsi="宋体"/>
          <w:color w:val="auto"/>
          <w:sz w:val="24"/>
          <w:highlight w:val="none"/>
        </w:rPr>
        <w:t>16.1.3 因发包人违约解除合同</w:t>
      </w:r>
    </w:p>
    <w:p w14:paraId="3B8A0E3F">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承包人按16.1.1项〔发包人违约的情形〕约定暂停施工满</w:t>
      </w:r>
      <w:r>
        <w:rPr>
          <w:rFonts w:ascii="宋体" w:hAnsi="宋体"/>
          <w:color w:val="auto"/>
          <w:sz w:val="24"/>
          <w:highlight w:val="none"/>
          <w:u w:val="single"/>
        </w:rPr>
        <w:t xml:space="preserve"> 20  </w:t>
      </w:r>
      <w:r>
        <w:rPr>
          <w:rFonts w:ascii="宋体" w:hAnsi="宋体"/>
          <w:color w:val="auto"/>
          <w:sz w:val="24"/>
          <w:highlight w:val="none"/>
        </w:rPr>
        <w:t>天后发包人仍不纠正其违约行为并致使合同目的不能实现的，承包人有权解除合同。</w:t>
      </w:r>
    </w:p>
    <w:p w14:paraId="07C113CA">
      <w:pPr>
        <w:pStyle w:val="2"/>
        <w:rPr>
          <w:rFonts w:ascii="宋体" w:hAnsi="宋体"/>
          <w:color w:val="auto"/>
          <w:szCs w:val="24"/>
          <w:highlight w:val="none"/>
        </w:rPr>
      </w:pPr>
      <w:bookmarkStart w:id="1162" w:name="_Toc533611523"/>
      <w:bookmarkStart w:id="1163" w:name="_Toc389065333"/>
      <w:bookmarkStart w:id="1164" w:name="_Toc395382571"/>
      <w:bookmarkStart w:id="1165" w:name="_Toc23124"/>
      <w:bookmarkStart w:id="1166" w:name="_Toc373478415"/>
      <w:bookmarkStart w:id="1167" w:name="_Toc373227768"/>
      <w:bookmarkStart w:id="1168" w:name="_Toc15804"/>
      <w:r>
        <w:rPr>
          <w:rFonts w:hint="eastAsia" w:ascii="宋体" w:hAnsi="宋体"/>
          <w:color w:val="auto"/>
          <w:szCs w:val="24"/>
          <w:highlight w:val="none"/>
        </w:rPr>
        <w:t>16.2 承包人违约</w:t>
      </w:r>
      <w:bookmarkEnd w:id="1162"/>
      <w:bookmarkEnd w:id="1163"/>
      <w:bookmarkEnd w:id="1164"/>
      <w:bookmarkEnd w:id="1165"/>
      <w:bookmarkEnd w:id="1166"/>
      <w:bookmarkEnd w:id="1167"/>
      <w:bookmarkEnd w:id="1168"/>
    </w:p>
    <w:p w14:paraId="61601DB4">
      <w:pPr>
        <w:spacing w:line="360" w:lineRule="auto"/>
        <w:ind w:firstLine="480" w:firstLineChars="200"/>
        <w:rPr>
          <w:rFonts w:ascii="宋体" w:hAnsi="宋体"/>
          <w:color w:val="auto"/>
          <w:sz w:val="24"/>
          <w:highlight w:val="none"/>
        </w:rPr>
      </w:pPr>
      <w:r>
        <w:rPr>
          <w:rFonts w:ascii="宋体" w:hAnsi="宋体"/>
          <w:color w:val="auto"/>
          <w:sz w:val="24"/>
          <w:highlight w:val="none"/>
        </w:rPr>
        <w:t>16.2.1 承包人违约的情形</w:t>
      </w:r>
    </w:p>
    <w:p w14:paraId="3694A9D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承包人违约的其他情形：</w:t>
      </w:r>
      <w:r>
        <w:rPr>
          <w:rFonts w:ascii="宋体" w:hAnsi="宋体"/>
          <w:bCs/>
          <w:color w:val="auto"/>
          <w:sz w:val="24"/>
          <w:highlight w:val="none"/>
          <w:u w:val="single"/>
        </w:rPr>
        <w:t>承包人有违反《</w:t>
      </w:r>
      <w:r>
        <w:rPr>
          <w:rFonts w:hint="eastAsia" w:ascii="宋体" w:hAnsi="宋体"/>
          <w:bCs/>
          <w:color w:val="auto"/>
          <w:sz w:val="24"/>
          <w:highlight w:val="none"/>
          <w:u w:val="single"/>
        </w:rPr>
        <w:t>玉林</w:t>
      </w:r>
      <w:r>
        <w:rPr>
          <w:rFonts w:ascii="宋体" w:hAnsi="宋体"/>
          <w:bCs/>
          <w:color w:val="auto"/>
          <w:sz w:val="24"/>
          <w:highlight w:val="none"/>
          <w:u w:val="single"/>
        </w:rPr>
        <w:t>市建设工程造价管理办法》规定的，按规定给予处罚</w:t>
      </w:r>
      <w:r>
        <w:rPr>
          <w:rFonts w:ascii="宋体" w:hAnsi="宋体"/>
          <w:color w:val="auto"/>
          <w:sz w:val="24"/>
          <w:highlight w:val="none"/>
        </w:rPr>
        <w:t>。</w:t>
      </w:r>
    </w:p>
    <w:p w14:paraId="41B47A94">
      <w:pPr>
        <w:spacing w:line="360" w:lineRule="auto"/>
        <w:ind w:firstLine="480" w:firstLineChars="200"/>
        <w:rPr>
          <w:rFonts w:ascii="宋体" w:hAnsi="宋体"/>
          <w:color w:val="auto"/>
          <w:sz w:val="24"/>
          <w:highlight w:val="none"/>
        </w:rPr>
      </w:pPr>
      <w:r>
        <w:rPr>
          <w:rFonts w:ascii="宋体" w:hAnsi="宋体"/>
          <w:color w:val="auto"/>
          <w:sz w:val="24"/>
          <w:highlight w:val="none"/>
        </w:rPr>
        <w:t>16.2.2承包人违约的责任</w:t>
      </w:r>
    </w:p>
    <w:p w14:paraId="58AB1658">
      <w:pPr>
        <w:spacing w:line="360" w:lineRule="auto"/>
        <w:ind w:firstLine="480" w:firstLineChars="200"/>
        <w:rPr>
          <w:rFonts w:ascii="宋体" w:hAnsi="宋体"/>
          <w:color w:val="auto"/>
          <w:sz w:val="24"/>
          <w:highlight w:val="none"/>
        </w:rPr>
      </w:pPr>
      <w:r>
        <w:rPr>
          <w:rFonts w:ascii="宋体" w:hAnsi="宋体"/>
          <w:color w:val="auto"/>
          <w:sz w:val="24"/>
          <w:highlight w:val="none"/>
        </w:rPr>
        <w:t>承包人违约责任的承担方式和计算方法：</w:t>
      </w:r>
    </w:p>
    <w:p w14:paraId="721E0B88">
      <w:pPr>
        <w:spacing w:line="360" w:lineRule="auto"/>
        <w:ind w:firstLine="480" w:firstLineChars="200"/>
        <w:rPr>
          <w:rFonts w:ascii="宋体" w:hAnsi="宋体"/>
          <w:color w:val="auto"/>
          <w:sz w:val="24"/>
          <w:highlight w:val="none"/>
        </w:rPr>
      </w:pPr>
      <w:r>
        <w:rPr>
          <w:rFonts w:ascii="宋体" w:hAnsi="宋体"/>
          <w:color w:val="auto"/>
          <w:sz w:val="24"/>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5A16E573">
      <w:pPr>
        <w:spacing w:line="360" w:lineRule="auto"/>
        <w:ind w:firstLine="480" w:firstLineChars="200"/>
        <w:rPr>
          <w:rFonts w:ascii="宋体" w:hAnsi="宋体"/>
          <w:color w:val="auto"/>
          <w:sz w:val="24"/>
          <w:highlight w:val="none"/>
        </w:rPr>
      </w:pPr>
      <w:r>
        <w:rPr>
          <w:rFonts w:ascii="宋体" w:hAnsi="宋体"/>
          <w:color w:val="auto"/>
          <w:sz w:val="24"/>
          <w:highlight w:val="none"/>
        </w:rPr>
        <w:t>（2）承包人有本合同通用条款第16.2.1（6）条情形的，或经监理人检验认为修复质量不合格而承包人拒绝再进行修补的，发包人将扣除承包人全部质量保修金。</w:t>
      </w:r>
    </w:p>
    <w:p w14:paraId="20280221">
      <w:pPr>
        <w:spacing w:line="360" w:lineRule="auto"/>
        <w:ind w:firstLine="480" w:firstLineChars="200"/>
        <w:rPr>
          <w:rFonts w:ascii="宋体" w:hAnsi="宋体"/>
          <w:color w:val="auto"/>
          <w:sz w:val="24"/>
          <w:highlight w:val="none"/>
        </w:rPr>
      </w:pPr>
      <w:r>
        <w:rPr>
          <w:rFonts w:ascii="宋体" w:hAnsi="宋体"/>
          <w:color w:val="auto"/>
          <w:sz w:val="24"/>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21CF1FA2">
      <w:pPr>
        <w:spacing w:line="360" w:lineRule="auto"/>
        <w:ind w:firstLine="480" w:firstLineChars="200"/>
        <w:rPr>
          <w:rFonts w:ascii="宋体" w:hAnsi="宋体"/>
          <w:color w:val="auto"/>
          <w:sz w:val="24"/>
          <w:highlight w:val="none"/>
        </w:rPr>
      </w:pPr>
      <w:r>
        <w:rPr>
          <w:rFonts w:ascii="宋体" w:hAnsi="宋体"/>
          <w:color w:val="auto"/>
          <w:sz w:val="24"/>
          <w:highlight w:val="none"/>
        </w:rPr>
        <w:t>16.2.3 因承包人违约解除合同</w:t>
      </w:r>
    </w:p>
    <w:p w14:paraId="5BA66651">
      <w:pPr>
        <w:spacing w:line="360" w:lineRule="auto"/>
        <w:ind w:firstLine="480" w:firstLineChars="200"/>
        <w:rPr>
          <w:rFonts w:ascii="宋体" w:hAnsi="宋体"/>
          <w:color w:val="auto"/>
          <w:sz w:val="24"/>
          <w:highlight w:val="none"/>
        </w:rPr>
      </w:pPr>
      <w:r>
        <w:rPr>
          <w:rFonts w:ascii="宋体" w:hAnsi="宋体"/>
          <w:color w:val="auto"/>
          <w:sz w:val="24"/>
          <w:highlight w:val="none"/>
        </w:rPr>
        <w:t>关于承包人违约解除合同的特别约定：</w:t>
      </w:r>
      <w:r>
        <w:rPr>
          <w:rFonts w:ascii="宋体" w:hAnsi="宋体"/>
          <w:color w:val="auto"/>
          <w:sz w:val="24"/>
          <w:highlight w:val="none"/>
          <w:u w:val="single"/>
        </w:rPr>
        <w:t>承包人有违反以下情况之一的，发包人有权解除合同，并没收其全部履约保证金</w:t>
      </w:r>
      <w:r>
        <w:rPr>
          <w:rFonts w:ascii="宋体" w:hAnsi="宋体"/>
          <w:color w:val="auto"/>
          <w:sz w:val="24"/>
          <w:highlight w:val="none"/>
        </w:rPr>
        <w:t>。</w:t>
      </w:r>
    </w:p>
    <w:p w14:paraId="2D444C29">
      <w:pPr>
        <w:spacing w:line="360" w:lineRule="auto"/>
        <w:ind w:firstLine="480" w:firstLineChars="200"/>
        <w:rPr>
          <w:rFonts w:ascii="宋体" w:hAnsi="宋体"/>
          <w:color w:val="auto"/>
          <w:sz w:val="24"/>
          <w:highlight w:val="none"/>
        </w:rPr>
      </w:pPr>
      <w:r>
        <w:rPr>
          <w:rFonts w:ascii="宋体" w:hAnsi="宋体"/>
          <w:color w:val="auto"/>
          <w:sz w:val="24"/>
          <w:highlight w:val="none"/>
        </w:rPr>
        <w:t>(1)承包人无正当理由不按开工通知的要求及时进场组织施工和不按签订协议书时商定的进度计划有效地开展施工准备，造成工期延误的；</w:t>
      </w:r>
    </w:p>
    <w:p w14:paraId="00CA62FA">
      <w:pPr>
        <w:spacing w:line="360" w:lineRule="auto"/>
        <w:ind w:firstLine="480" w:firstLineChars="200"/>
        <w:rPr>
          <w:rFonts w:ascii="宋体" w:hAnsi="宋体"/>
          <w:color w:val="auto"/>
          <w:sz w:val="24"/>
          <w:highlight w:val="none"/>
        </w:rPr>
      </w:pPr>
      <w:r>
        <w:rPr>
          <w:rFonts w:ascii="宋体" w:hAnsi="宋体"/>
          <w:color w:val="auto"/>
          <w:sz w:val="24"/>
          <w:highlight w:val="none"/>
        </w:rPr>
        <w:t>(2)承包人违反本合同通用条款第3.5条规定私自将合同或合同的任何部分或任何权利转让给其他人，或私自将工程或工程的一部分分包出去的；</w:t>
      </w:r>
    </w:p>
    <w:p w14:paraId="78CBADA2">
      <w:pPr>
        <w:spacing w:line="360" w:lineRule="auto"/>
        <w:ind w:firstLine="480" w:firstLineChars="200"/>
        <w:rPr>
          <w:rFonts w:ascii="宋体" w:hAnsi="宋体"/>
          <w:color w:val="auto"/>
          <w:sz w:val="24"/>
          <w:highlight w:val="none"/>
        </w:rPr>
      </w:pPr>
      <w:r>
        <w:rPr>
          <w:rFonts w:ascii="宋体" w:hAnsi="宋体"/>
          <w:color w:val="auto"/>
          <w:sz w:val="24"/>
          <w:highlight w:val="none"/>
        </w:rPr>
        <w:t>(3)未经监理人批准，承包人私自将已按投标文件承诺进入工地的工程设备、施工设备、临时工程或材料撤离工地的；</w:t>
      </w:r>
    </w:p>
    <w:p w14:paraId="68027F22">
      <w:pPr>
        <w:spacing w:line="360" w:lineRule="auto"/>
        <w:ind w:firstLine="480" w:firstLineChars="200"/>
        <w:rPr>
          <w:rFonts w:ascii="宋体" w:hAnsi="宋体"/>
          <w:color w:val="auto"/>
          <w:sz w:val="24"/>
          <w:highlight w:val="none"/>
        </w:rPr>
      </w:pPr>
      <w:r>
        <w:rPr>
          <w:rFonts w:ascii="宋体" w:hAnsi="宋体"/>
          <w:color w:val="auto"/>
          <w:sz w:val="24"/>
          <w:highlight w:val="none"/>
        </w:rPr>
        <w:t>(4)由于承包人原因拒绝按合同进度计划及时完成合同规定的工程，而又未采取有效措施赶上进度，造成工期延误的；</w:t>
      </w:r>
    </w:p>
    <w:p w14:paraId="62FCAC4F">
      <w:pPr>
        <w:spacing w:line="360" w:lineRule="auto"/>
        <w:ind w:firstLine="480" w:firstLineChars="200"/>
        <w:rPr>
          <w:rFonts w:ascii="宋体" w:hAnsi="宋体"/>
          <w:color w:val="auto"/>
          <w:sz w:val="24"/>
          <w:highlight w:val="none"/>
        </w:rPr>
      </w:pPr>
      <w:r>
        <w:rPr>
          <w:rFonts w:ascii="宋体" w:hAnsi="宋体"/>
          <w:color w:val="auto"/>
          <w:sz w:val="24"/>
          <w:highlight w:val="none"/>
        </w:rPr>
        <w:t>(5)承包人否认合同有效或拒绝履行合同规定的承包人义务，或由于法律、财务等原因导致承包人无法继续履行或实质上已停止履行合同的义务的；</w:t>
      </w:r>
    </w:p>
    <w:p w14:paraId="5CEB5EA1">
      <w:pPr>
        <w:spacing w:line="360" w:lineRule="auto"/>
        <w:ind w:firstLine="480" w:firstLineChars="200"/>
        <w:rPr>
          <w:rFonts w:ascii="宋体" w:hAnsi="宋体"/>
          <w:color w:val="auto"/>
          <w:sz w:val="24"/>
          <w:highlight w:val="none"/>
        </w:rPr>
      </w:pPr>
      <w:r>
        <w:rPr>
          <w:rFonts w:ascii="宋体" w:hAnsi="宋体"/>
          <w:color w:val="auto"/>
          <w:sz w:val="24"/>
          <w:highlight w:val="none"/>
        </w:rPr>
        <w:t>(6)合同签订之日起十五日内，承包人无法按合同规定及投标文件的承诺进场经监理工程师认可的全部人员和机械的。</w:t>
      </w:r>
    </w:p>
    <w:p w14:paraId="16AC800D">
      <w:pPr>
        <w:spacing w:line="360" w:lineRule="auto"/>
        <w:ind w:firstLine="480" w:firstLineChars="200"/>
        <w:rPr>
          <w:rFonts w:ascii="宋体" w:hAnsi="宋体"/>
          <w:color w:val="auto"/>
          <w:sz w:val="24"/>
          <w:highlight w:val="none"/>
        </w:rPr>
      </w:pPr>
      <w:r>
        <w:rPr>
          <w:rFonts w:ascii="宋体" w:hAnsi="宋体"/>
          <w:color w:val="auto"/>
          <w:sz w:val="24"/>
          <w:highlight w:val="none"/>
        </w:rPr>
        <w:t>发包人继续使用承包人在施工现场的材料、设备、临时工程、承包人文件和由承包人或以其名义编制的其他文件的费用承担方式：</w:t>
      </w:r>
      <w:r>
        <w:rPr>
          <w:rFonts w:ascii="宋体" w:hAnsi="宋体"/>
          <w:color w:val="auto"/>
          <w:sz w:val="24"/>
          <w:highlight w:val="none"/>
          <w:u w:val="single"/>
        </w:rPr>
        <w:t xml:space="preserve"> 另行商定           </w:t>
      </w:r>
      <w:r>
        <w:rPr>
          <w:rFonts w:ascii="宋体" w:hAnsi="宋体"/>
          <w:color w:val="auto"/>
          <w:sz w:val="24"/>
          <w:highlight w:val="none"/>
        </w:rPr>
        <w:t>。</w:t>
      </w:r>
    </w:p>
    <w:p w14:paraId="6442692D">
      <w:pPr>
        <w:pStyle w:val="4"/>
        <w:rPr>
          <w:rFonts w:ascii="宋体" w:hAnsi="宋体" w:eastAsia="宋体"/>
          <w:color w:val="auto"/>
          <w:sz w:val="24"/>
          <w:szCs w:val="24"/>
          <w:highlight w:val="none"/>
        </w:rPr>
      </w:pPr>
      <w:bookmarkStart w:id="1169" w:name="_Toc373478416"/>
      <w:bookmarkStart w:id="1170" w:name="_Toc389065334"/>
      <w:bookmarkStart w:id="1171" w:name="_Toc533611524"/>
      <w:bookmarkStart w:id="1172" w:name="_Toc395382572"/>
      <w:bookmarkStart w:id="1173" w:name="_Toc8399"/>
      <w:bookmarkStart w:id="1174" w:name="_Toc373227769"/>
      <w:bookmarkStart w:id="1175" w:name="_Toc2058"/>
      <w:r>
        <w:rPr>
          <w:rFonts w:hint="eastAsia" w:ascii="宋体" w:hAnsi="宋体" w:eastAsia="宋体"/>
          <w:color w:val="auto"/>
          <w:sz w:val="24"/>
          <w:szCs w:val="24"/>
          <w:highlight w:val="none"/>
        </w:rPr>
        <w:t>17. 不可抗力</w:t>
      </w:r>
      <w:bookmarkEnd w:id="1152"/>
      <w:bookmarkEnd w:id="1169"/>
      <w:bookmarkEnd w:id="1170"/>
      <w:bookmarkEnd w:id="1171"/>
      <w:bookmarkEnd w:id="1172"/>
      <w:bookmarkEnd w:id="1173"/>
      <w:bookmarkEnd w:id="1174"/>
      <w:bookmarkEnd w:id="1175"/>
    </w:p>
    <w:p w14:paraId="07A8E555">
      <w:pPr>
        <w:pStyle w:val="2"/>
        <w:rPr>
          <w:rFonts w:ascii="宋体" w:hAnsi="宋体"/>
          <w:color w:val="auto"/>
          <w:szCs w:val="24"/>
          <w:highlight w:val="none"/>
        </w:rPr>
      </w:pPr>
      <w:bookmarkStart w:id="1176" w:name="_Toc395382573"/>
      <w:bookmarkStart w:id="1177" w:name="_Toc389065335"/>
      <w:bookmarkStart w:id="1178" w:name="_Toc373227770"/>
      <w:bookmarkStart w:id="1179" w:name="_Toc9690"/>
      <w:bookmarkStart w:id="1180" w:name="_Toc533611525"/>
      <w:bookmarkStart w:id="1181" w:name="_Toc15054"/>
      <w:bookmarkStart w:id="1182" w:name="_Toc373478417"/>
      <w:r>
        <w:rPr>
          <w:rFonts w:hint="eastAsia" w:ascii="宋体" w:hAnsi="宋体"/>
          <w:color w:val="auto"/>
          <w:szCs w:val="24"/>
          <w:highlight w:val="none"/>
        </w:rPr>
        <w:t>17.1 不可抗力的确认</w:t>
      </w:r>
      <w:bookmarkEnd w:id="1176"/>
      <w:bookmarkEnd w:id="1177"/>
      <w:bookmarkEnd w:id="1178"/>
      <w:bookmarkEnd w:id="1179"/>
      <w:bookmarkEnd w:id="1180"/>
      <w:bookmarkEnd w:id="1181"/>
      <w:bookmarkEnd w:id="1182"/>
    </w:p>
    <w:p w14:paraId="75EF83A5">
      <w:pPr>
        <w:spacing w:line="360" w:lineRule="auto"/>
        <w:ind w:firstLine="480" w:firstLineChars="200"/>
        <w:rPr>
          <w:rFonts w:ascii="宋体" w:hAnsi="宋体"/>
          <w:color w:val="auto"/>
          <w:sz w:val="24"/>
          <w:highlight w:val="none"/>
        </w:rPr>
      </w:pPr>
      <w:r>
        <w:rPr>
          <w:rFonts w:ascii="宋体" w:hAnsi="宋体"/>
          <w:color w:val="auto"/>
          <w:sz w:val="24"/>
          <w:highlight w:val="none"/>
        </w:rPr>
        <w:t>除通用合同条款约定的不可抗力事件之外，视为不可抗力的其他情形：</w:t>
      </w:r>
    </w:p>
    <w:p w14:paraId="0BD0D63E">
      <w:pPr>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（1）6级以上地震；</w:t>
      </w:r>
    </w:p>
    <w:p w14:paraId="4DE3B806">
      <w:pPr>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（2）10级以上持续1天的大风；</w:t>
      </w:r>
    </w:p>
    <w:p w14:paraId="0CEBDE74">
      <w:pPr>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（3）暴雨级以上持续1天的大雨；</w:t>
      </w:r>
    </w:p>
    <w:p w14:paraId="3CC88435">
      <w:pPr>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（4）50年以上未发生过，持续2天的高温天气；</w:t>
      </w:r>
    </w:p>
    <w:p w14:paraId="446EEFF6">
      <w:pPr>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（5）50年以上未发生过，持续2天的低温天气；</w:t>
      </w:r>
    </w:p>
    <w:p w14:paraId="3AA61A2E">
      <w:pPr>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（6）50年以上未发生过 的洪水；</w:t>
      </w:r>
    </w:p>
    <w:p w14:paraId="6B7EEDDB">
      <w:pPr>
        <w:rPr>
          <w:rFonts w:ascii="宋体" w:hAnsi="宋体"/>
          <w:color w:val="auto"/>
          <w:sz w:val="24"/>
          <w:highlight w:val="none"/>
          <w:u w:val="single"/>
        </w:rPr>
      </w:pPr>
      <w:r>
        <w:rPr>
          <w:rFonts w:ascii="宋体" w:hAnsi="宋体"/>
          <w:color w:val="auto"/>
          <w:sz w:val="24"/>
          <w:highlight w:val="none"/>
          <w:u w:val="single"/>
        </w:rPr>
        <w:t>（7）对以上几种形式，应以造成灾害和影响施工为准。</w:t>
      </w:r>
    </w:p>
    <w:p w14:paraId="13620D71">
      <w:pPr>
        <w:pStyle w:val="2"/>
        <w:rPr>
          <w:rFonts w:ascii="宋体" w:hAnsi="宋体"/>
          <w:color w:val="auto"/>
          <w:szCs w:val="24"/>
          <w:highlight w:val="none"/>
        </w:rPr>
      </w:pPr>
      <w:bookmarkStart w:id="1183" w:name="_Toc31013"/>
      <w:bookmarkStart w:id="1184" w:name="_Toc389065336"/>
      <w:bookmarkStart w:id="1185" w:name="_Toc533611526"/>
      <w:bookmarkStart w:id="1186" w:name="_Toc373478418"/>
      <w:bookmarkStart w:id="1187" w:name="_Toc373227771"/>
      <w:bookmarkStart w:id="1188" w:name="_Toc5359"/>
      <w:bookmarkStart w:id="1189" w:name="_Toc395382574"/>
      <w:r>
        <w:rPr>
          <w:rFonts w:hint="eastAsia" w:ascii="宋体" w:hAnsi="宋体"/>
          <w:color w:val="auto"/>
          <w:szCs w:val="24"/>
          <w:highlight w:val="none"/>
        </w:rPr>
        <w:t>17.4 因不可抗力解除合同</w:t>
      </w:r>
      <w:bookmarkEnd w:id="1183"/>
      <w:bookmarkEnd w:id="1184"/>
      <w:bookmarkEnd w:id="1185"/>
      <w:bookmarkEnd w:id="1186"/>
      <w:bookmarkEnd w:id="1187"/>
      <w:bookmarkEnd w:id="1188"/>
      <w:bookmarkEnd w:id="1189"/>
    </w:p>
    <w:p w14:paraId="64463278">
      <w:pPr>
        <w:spacing w:line="360" w:lineRule="auto"/>
        <w:ind w:firstLine="480" w:firstLineChars="200"/>
        <w:rPr>
          <w:rFonts w:ascii="宋体" w:hAnsi="宋体"/>
          <w:color w:val="auto"/>
          <w:sz w:val="24"/>
          <w:highlight w:val="none"/>
        </w:rPr>
      </w:pPr>
      <w:r>
        <w:rPr>
          <w:rFonts w:ascii="宋体" w:hAnsi="宋体"/>
          <w:color w:val="auto"/>
          <w:sz w:val="24"/>
          <w:highlight w:val="none"/>
        </w:rPr>
        <w:t>合同解除后，发包人应在商定或确定发包人应支付款项后</w:t>
      </w:r>
      <w:r>
        <w:rPr>
          <w:rFonts w:ascii="宋体" w:hAnsi="宋体"/>
          <w:color w:val="auto"/>
          <w:sz w:val="24"/>
          <w:highlight w:val="none"/>
          <w:u w:val="single"/>
        </w:rPr>
        <w:t xml:space="preserve">  28  </w:t>
      </w:r>
      <w:r>
        <w:rPr>
          <w:rFonts w:ascii="宋体" w:hAnsi="宋体"/>
          <w:color w:val="auto"/>
          <w:sz w:val="24"/>
          <w:highlight w:val="none"/>
        </w:rPr>
        <w:t>天内完成款项的支付。</w:t>
      </w:r>
    </w:p>
    <w:p w14:paraId="67CEDD8A">
      <w:pPr>
        <w:pStyle w:val="4"/>
        <w:rPr>
          <w:rFonts w:ascii="宋体" w:hAnsi="宋体" w:eastAsia="宋体"/>
          <w:color w:val="auto"/>
          <w:sz w:val="24"/>
          <w:szCs w:val="24"/>
          <w:highlight w:val="none"/>
        </w:rPr>
      </w:pPr>
      <w:bookmarkStart w:id="1190" w:name="_Toc395382575"/>
      <w:bookmarkStart w:id="1191" w:name="_Toc373227772"/>
      <w:bookmarkStart w:id="1192" w:name="_Toc373478419"/>
      <w:bookmarkStart w:id="1193" w:name="_Toc389065337"/>
      <w:bookmarkStart w:id="1194" w:name="_Toc30207"/>
      <w:bookmarkStart w:id="1195" w:name="_Toc533611527"/>
      <w:bookmarkStart w:id="1196" w:name="_Toc22313"/>
      <w:r>
        <w:rPr>
          <w:rFonts w:hint="eastAsia" w:ascii="宋体" w:hAnsi="宋体" w:eastAsia="宋体"/>
          <w:color w:val="auto"/>
          <w:sz w:val="24"/>
          <w:szCs w:val="24"/>
          <w:highlight w:val="none"/>
        </w:rPr>
        <w:t>18. 保险</w:t>
      </w:r>
      <w:bookmarkEnd w:id="1190"/>
      <w:bookmarkEnd w:id="1191"/>
      <w:bookmarkEnd w:id="1192"/>
      <w:bookmarkEnd w:id="1193"/>
      <w:bookmarkEnd w:id="1194"/>
      <w:bookmarkEnd w:id="1195"/>
      <w:bookmarkEnd w:id="1196"/>
    </w:p>
    <w:bookmarkEnd w:id="1153"/>
    <w:p w14:paraId="040E6949">
      <w:pPr>
        <w:pStyle w:val="2"/>
        <w:rPr>
          <w:rFonts w:ascii="宋体" w:hAnsi="宋体"/>
          <w:color w:val="auto"/>
          <w:szCs w:val="24"/>
          <w:highlight w:val="none"/>
        </w:rPr>
      </w:pPr>
      <w:bookmarkStart w:id="1197" w:name="_Toc373227773"/>
      <w:bookmarkStart w:id="1198" w:name="_Toc373478420"/>
      <w:bookmarkStart w:id="1199" w:name="_Toc395382576"/>
      <w:bookmarkStart w:id="1200" w:name="_Toc533611528"/>
      <w:bookmarkStart w:id="1201" w:name="_Toc23346"/>
      <w:bookmarkStart w:id="1202" w:name="_Toc389065338"/>
      <w:bookmarkStart w:id="1203" w:name="_Toc3346"/>
      <w:r>
        <w:rPr>
          <w:rFonts w:hint="eastAsia" w:ascii="宋体" w:hAnsi="宋体"/>
          <w:color w:val="auto"/>
          <w:szCs w:val="24"/>
          <w:highlight w:val="none"/>
        </w:rPr>
        <w:t>18.1 工程保险</w:t>
      </w:r>
      <w:bookmarkEnd w:id="1197"/>
      <w:bookmarkEnd w:id="1198"/>
      <w:bookmarkEnd w:id="1199"/>
      <w:bookmarkEnd w:id="1200"/>
      <w:bookmarkEnd w:id="1201"/>
      <w:bookmarkEnd w:id="1202"/>
      <w:bookmarkEnd w:id="1203"/>
    </w:p>
    <w:p w14:paraId="4EA656C3">
      <w:pPr>
        <w:spacing w:line="360" w:lineRule="auto"/>
        <w:ind w:firstLine="480" w:firstLineChars="200"/>
        <w:rPr>
          <w:rFonts w:ascii="宋体" w:hAnsi="宋体"/>
          <w:color w:val="auto"/>
          <w:sz w:val="24"/>
          <w:highlight w:val="none"/>
        </w:rPr>
      </w:pPr>
      <w:r>
        <w:rPr>
          <w:rFonts w:ascii="宋体" w:hAnsi="宋体"/>
          <w:color w:val="auto"/>
          <w:sz w:val="24"/>
          <w:highlight w:val="none"/>
        </w:rPr>
        <w:t>关于工程保险的特别约定：</w:t>
      </w:r>
      <w:r>
        <w:rPr>
          <w:rFonts w:ascii="宋体" w:hAnsi="宋体"/>
          <w:color w:val="auto"/>
          <w:sz w:val="24"/>
          <w:highlight w:val="none"/>
          <w:u w:val="single"/>
        </w:rPr>
        <w:t xml:space="preserve"> 包括建筑工程一切险和安装工程一切险 </w:t>
      </w:r>
      <w:r>
        <w:rPr>
          <w:rFonts w:ascii="宋体" w:hAnsi="宋体"/>
          <w:color w:val="auto"/>
          <w:sz w:val="24"/>
          <w:highlight w:val="none"/>
        </w:rPr>
        <w:t>。</w:t>
      </w:r>
    </w:p>
    <w:p w14:paraId="6ABB852A">
      <w:pPr>
        <w:pStyle w:val="2"/>
        <w:rPr>
          <w:rFonts w:ascii="宋体" w:hAnsi="宋体"/>
          <w:color w:val="auto"/>
          <w:szCs w:val="24"/>
          <w:highlight w:val="none"/>
        </w:rPr>
      </w:pPr>
      <w:bookmarkStart w:id="1204" w:name="_Toc373227774"/>
      <w:bookmarkStart w:id="1205" w:name="_Toc395382577"/>
      <w:bookmarkStart w:id="1206" w:name="_Toc389065339"/>
      <w:bookmarkStart w:id="1207" w:name="_Toc533611529"/>
      <w:bookmarkStart w:id="1208" w:name="_Toc31044"/>
      <w:bookmarkStart w:id="1209" w:name="_Toc373478421"/>
      <w:bookmarkStart w:id="1210" w:name="_Toc2437"/>
      <w:r>
        <w:rPr>
          <w:rFonts w:hint="eastAsia" w:ascii="宋体" w:hAnsi="宋体"/>
          <w:color w:val="auto"/>
          <w:szCs w:val="24"/>
          <w:highlight w:val="none"/>
        </w:rPr>
        <w:t>18.3 其他保险</w:t>
      </w:r>
      <w:bookmarkEnd w:id="1204"/>
      <w:bookmarkEnd w:id="1205"/>
      <w:bookmarkEnd w:id="1206"/>
      <w:bookmarkEnd w:id="1207"/>
      <w:bookmarkEnd w:id="1208"/>
      <w:bookmarkEnd w:id="1209"/>
      <w:bookmarkEnd w:id="1210"/>
    </w:p>
    <w:p w14:paraId="7FEBCAB4">
      <w:pPr>
        <w:spacing w:line="360" w:lineRule="auto"/>
        <w:ind w:firstLine="480" w:firstLineChars="200"/>
        <w:rPr>
          <w:rFonts w:ascii="宋体" w:hAnsi="宋体"/>
          <w:color w:val="auto"/>
          <w:sz w:val="24"/>
          <w:highlight w:val="none"/>
        </w:rPr>
      </w:pPr>
      <w:r>
        <w:rPr>
          <w:rFonts w:ascii="宋体" w:hAnsi="宋体"/>
          <w:color w:val="auto"/>
          <w:sz w:val="24"/>
          <w:highlight w:val="none"/>
        </w:rPr>
        <w:t>关于其他保险的约定：</w:t>
      </w:r>
      <w:r>
        <w:rPr>
          <w:rFonts w:ascii="宋体" w:hAnsi="宋体"/>
          <w:color w:val="auto"/>
          <w:sz w:val="24"/>
          <w:highlight w:val="none"/>
          <w:u w:val="single"/>
        </w:rPr>
        <w:t>承包人必须为施工现场从事施工的所有作业人员和管理人员办理人身意外伤害保险，并支付保险费</w:t>
      </w:r>
      <w:r>
        <w:rPr>
          <w:rFonts w:ascii="宋体" w:hAnsi="宋体"/>
          <w:bCs/>
          <w:color w:val="auto"/>
          <w:sz w:val="24"/>
          <w:highlight w:val="none"/>
        </w:rPr>
        <w:t>。</w:t>
      </w:r>
    </w:p>
    <w:p w14:paraId="0CD2B4B8">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承包人是否应为其施工设备等办理财产保险：</w:t>
      </w:r>
      <w:r>
        <w:rPr>
          <w:rFonts w:ascii="宋体" w:hAnsi="宋体"/>
          <w:color w:val="auto"/>
          <w:sz w:val="24"/>
          <w:highlight w:val="none"/>
          <w:u w:val="single"/>
        </w:rPr>
        <w:t xml:space="preserve">              是       </w:t>
      </w:r>
      <w:r>
        <w:rPr>
          <w:rFonts w:ascii="宋体" w:hAnsi="宋体"/>
          <w:color w:val="auto"/>
          <w:sz w:val="24"/>
          <w:highlight w:val="none"/>
        </w:rPr>
        <w:t>。</w:t>
      </w:r>
    </w:p>
    <w:p w14:paraId="54FFDF5C">
      <w:pPr>
        <w:pStyle w:val="2"/>
        <w:rPr>
          <w:rFonts w:ascii="宋体" w:hAnsi="宋体"/>
          <w:color w:val="auto"/>
          <w:szCs w:val="24"/>
          <w:highlight w:val="none"/>
        </w:rPr>
      </w:pPr>
      <w:bookmarkStart w:id="1211" w:name="_Toc533611530"/>
      <w:bookmarkStart w:id="1212" w:name="_Toc21303"/>
      <w:bookmarkStart w:id="1213" w:name="_Toc15831"/>
      <w:bookmarkStart w:id="1214" w:name="_Toc389065340"/>
      <w:bookmarkStart w:id="1215" w:name="_Toc373227775"/>
      <w:bookmarkStart w:id="1216" w:name="_Toc395382578"/>
      <w:bookmarkStart w:id="1217" w:name="_Toc373478422"/>
      <w:r>
        <w:rPr>
          <w:rFonts w:hint="eastAsia" w:ascii="宋体" w:hAnsi="宋体"/>
          <w:color w:val="auto"/>
          <w:szCs w:val="24"/>
          <w:highlight w:val="none"/>
        </w:rPr>
        <w:t>18.7 通知义务</w:t>
      </w:r>
      <w:bookmarkEnd w:id="1211"/>
      <w:bookmarkEnd w:id="1212"/>
      <w:bookmarkEnd w:id="1213"/>
      <w:bookmarkEnd w:id="1214"/>
      <w:bookmarkEnd w:id="1215"/>
      <w:bookmarkEnd w:id="1216"/>
      <w:bookmarkEnd w:id="1217"/>
    </w:p>
    <w:p w14:paraId="1E26F5D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关于变更保险合同时的通知义务的约定：</w:t>
      </w:r>
      <w:r>
        <w:rPr>
          <w:rFonts w:ascii="宋体" w:hAnsi="宋体"/>
          <w:color w:val="auto"/>
          <w:sz w:val="24"/>
          <w:highlight w:val="none"/>
          <w:u w:val="single"/>
        </w:rPr>
        <w:t xml:space="preserve">         /         </w:t>
      </w:r>
      <w:r>
        <w:rPr>
          <w:rFonts w:ascii="宋体" w:hAnsi="宋体"/>
          <w:color w:val="auto"/>
          <w:sz w:val="24"/>
          <w:highlight w:val="none"/>
        </w:rPr>
        <w:t>。</w:t>
      </w:r>
    </w:p>
    <w:bookmarkEnd w:id="1103"/>
    <w:bookmarkEnd w:id="1104"/>
    <w:bookmarkEnd w:id="1105"/>
    <w:bookmarkEnd w:id="1106"/>
    <w:bookmarkEnd w:id="1107"/>
    <w:bookmarkEnd w:id="1108"/>
    <w:bookmarkEnd w:id="1109"/>
    <w:bookmarkEnd w:id="1110"/>
    <w:bookmarkEnd w:id="1111"/>
    <w:bookmarkEnd w:id="1112"/>
    <w:bookmarkEnd w:id="1113"/>
    <w:bookmarkEnd w:id="1114"/>
    <w:p w14:paraId="04FA3090">
      <w:pPr>
        <w:pStyle w:val="4"/>
        <w:rPr>
          <w:rFonts w:ascii="宋体" w:hAnsi="宋体" w:eastAsia="宋体"/>
          <w:color w:val="auto"/>
          <w:sz w:val="24"/>
          <w:szCs w:val="24"/>
          <w:highlight w:val="none"/>
        </w:rPr>
      </w:pPr>
      <w:bookmarkStart w:id="1218" w:name="_Toc20691"/>
      <w:bookmarkStart w:id="1219" w:name="_Toc395382579"/>
      <w:bookmarkStart w:id="1220" w:name="_Toc373478423"/>
      <w:bookmarkStart w:id="1221" w:name="_Toc6094"/>
      <w:bookmarkStart w:id="1222" w:name="_Toc533611531"/>
      <w:bookmarkStart w:id="1223" w:name="_Toc389065341"/>
      <w:bookmarkStart w:id="1224" w:name="_Toc373227776"/>
      <w:r>
        <w:rPr>
          <w:rFonts w:hint="eastAsia" w:ascii="宋体" w:hAnsi="宋体" w:eastAsia="宋体"/>
          <w:color w:val="auto"/>
          <w:sz w:val="24"/>
          <w:szCs w:val="24"/>
          <w:highlight w:val="none"/>
        </w:rPr>
        <w:t>20. 争议解决</w:t>
      </w:r>
      <w:bookmarkEnd w:id="1218"/>
      <w:bookmarkEnd w:id="1219"/>
      <w:bookmarkEnd w:id="1220"/>
      <w:bookmarkEnd w:id="1221"/>
      <w:bookmarkEnd w:id="1222"/>
      <w:bookmarkEnd w:id="1223"/>
      <w:bookmarkEnd w:id="1224"/>
    </w:p>
    <w:bookmarkEnd w:id="1115"/>
    <w:bookmarkEnd w:id="1116"/>
    <w:p w14:paraId="0EB77087">
      <w:pPr>
        <w:pStyle w:val="2"/>
        <w:rPr>
          <w:rFonts w:ascii="宋体" w:hAnsi="宋体"/>
          <w:color w:val="auto"/>
          <w:szCs w:val="24"/>
          <w:highlight w:val="none"/>
        </w:rPr>
      </w:pPr>
      <w:bookmarkStart w:id="1225" w:name="_Toc533611532"/>
      <w:bookmarkStart w:id="1226" w:name="_Toc373227777"/>
      <w:bookmarkStart w:id="1227" w:name="_Toc389065342"/>
      <w:bookmarkStart w:id="1228" w:name="_Toc32211"/>
      <w:bookmarkStart w:id="1229" w:name="_Toc395382580"/>
      <w:bookmarkStart w:id="1230" w:name="_Toc373478424"/>
      <w:bookmarkStart w:id="1231" w:name="_Toc2390"/>
      <w:r>
        <w:rPr>
          <w:rFonts w:hint="eastAsia" w:ascii="宋体" w:hAnsi="宋体"/>
          <w:color w:val="auto"/>
          <w:szCs w:val="24"/>
          <w:highlight w:val="none"/>
        </w:rPr>
        <w:t>20.3 争</w:t>
      </w:r>
      <w:bookmarkEnd w:id="1117"/>
      <w:r>
        <w:rPr>
          <w:rFonts w:hint="eastAsia" w:ascii="宋体" w:hAnsi="宋体"/>
          <w:color w:val="auto"/>
          <w:szCs w:val="24"/>
          <w:highlight w:val="none"/>
        </w:rPr>
        <w:t>议评审</w:t>
      </w:r>
      <w:bookmarkEnd w:id="1225"/>
      <w:bookmarkEnd w:id="1226"/>
      <w:bookmarkEnd w:id="1227"/>
      <w:bookmarkEnd w:id="1228"/>
      <w:bookmarkEnd w:id="1229"/>
      <w:bookmarkEnd w:id="1230"/>
      <w:bookmarkEnd w:id="1231"/>
    </w:p>
    <w:p w14:paraId="0A2283BE">
      <w:pPr>
        <w:spacing w:line="360" w:lineRule="auto"/>
        <w:ind w:left="149" w:leftChars="71" w:firstLine="360" w:firstLineChars="150"/>
        <w:rPr>
          <w:rFonts w:ascii="宋体" w:hAnsi="宋体"/>
          <w:color w:val="auto"/>
          <w:sz w:val="24"/>
          <w:highlight w:val="none"/>
          <w:u w:val="single"/>
        </w:rPr>
      </w:pPr>
      <w:r>
        <w:rPr>
          <w:rFonts w:ascii="宋体" w:hAnsi="宋体"/>
          <w:color w:val="auto"/>
          <w:sz w:val="24"/>
          <w:highlight w:val="none"/>
        </w:rPr>
        <w:t>合同当事人是否同意将工程争议提交争议评审小组决定：</w:t>
      </w:r>
      <w:r>
        <w:rPr>
          <w:rFonts w:ascii="宋体" w:hAnsi="宋体"/>
          <w:color w:val="auto"/>
          <w:sz w:val="24"/>
          <w:highlight w:val="none"/>
          <w:u w:val="single"/>
        </w:rPr>
        <w:t>否</w:t>
      </w:r>
      <w:r>
        <w:rPr>
          <w:rFonts w:ascii="宋体" w:hAnsi="宋体"/>
          <w:color w:val="auto"/>
          <w:sz w:val="24"/>
          <w:highlight w:val="none"/>
        </w:rPr>
        <w:t>。</w:t>
      </w:r>
    </w:p>
    <w:p w14:paraId="47689089">
      <w:pPr>
        <w:spacing w:line="360" w:lineRule="auto"/>
        <w:ind w:firstLine="480" w:firstLineChars="200"/>
        <w:rPr>
          <w:rFonts w:ascii="宋体" w:hAnsi="宋体"/>
          <w:color w:val="auto"/>
          <w:sz w:val="24"/>
          <w:highlight w:val="none"/>
        </w:rPr>
      </w:pPr>
      <w:r>
        <w:rPr>
          <w:rFonts w:ascii="宋体" w:hAnsi="宋体"/>
          <w:color w:val="auto"/>
          <w:sz w:val="24"/>
          <w:highlight w:val="none"/>
        </w:rPr>
        <w:t>20.3.1 争议评审小组的确定</w:t>
      </w:r>
    </w:p>
    <w:p w14:paraId="69C3F5E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争议评审小组成员的确定：</w:t>
      </w:r>
      <w:r>
        <w:rPr>
          <w:rFonts w:ascii="宋体" w:hAnsi="宋体"/>
          <w:color w:val="auto"/>
          <w:sz w:val="24"/>
          <w:highlight w:val="none"/>
          <w:u w:val="single"/>
        </w:rPr>
        <w:t xml:space="preserve">               /              </w:t>
      </w:r>
      <w:r>
        <w:rPr>
          <w:rFonts w:ascii="宋体" w:hAnsi="宋体"/>
          <w:color w:val="auto"/>
          <w:sz w:val="24"/>
          <w:highlight w:val="none"/>
        </w:rPr>
        <w:t>。</w:t>
      </w:r>
    </w:p>
    <w:p w14:paraId="1768F682">
      <w:pPr>
        <w:spacing w:line="360" w:lineRule="auto"/>
        <w:ind w:firstLine="480" w:firstLineChars="200"/>
        <w:rPr>
          <w:rFonts w:ascii="宋体" w:hAnsi="宋体"/>
          <w:color w:val="auto"/>
          <w:sz w:val="24"/>
          <w:highlight w:val="none"/>
        </w:rPr>
      </w:pPr>
      <w:r>
        <w:rPr>
          <w:rFonts w:ascii="宋体" w:hAnsi="宋体"/>
          <w:color w:val="auto"/>
          <w:sz w:val="24"/>
          <w:highlight w:val="none"/>
        </w:rPr>
        <w:t>选定争议评审员的期限：</w:t>
      </w:r>
      <w:r>
        <w:rPr>
          <w:rFonts w:ascii="宋体" w:hAnsi="宋体"/>
          <w:color w:val="auto"/>
          <w:sz w:val="24"/>
          <w:highlight w:val="none"/>
          <w:u w:val="single"/>
        </w:rPr>
        <w:t xml:space="preserve">                 /              </w:t>
      </w:r>
      <w:r>
        <w:rPr>
          <w:rFonts w:ascii="宋体" w:hAnsi="宋体"/>
          <w:color w:val="auto"/>
          <w:sz w:val="24"/>
          <w:highlight w:val="none"/>
        </w:rPr>
        <w:t>。</w:t>
      </w:r>
    </w:p>
    <w:p w14:paraId="75FD1213">
      <w:pPr>
        <w:spacing w:line="360" w:lineRule="auto"/>
        <w:ind w:firstLine="480" w:firstLineChars="200"/>
        <w:rPr>
          <w:rFonts w:ascii="宋体" w:hAnsi="宋体"/>
          <w:color w:val="auto"/>
          <w:sz w:val="24"/>
          <w:highlight w:val="none"/>
        </w:rPr>
      </w:pPr>
      <w:r>
        <w:rPr>
          <w:rFonts w:ascii="宋体" w:hAnsi="宋体"/>
          <w:color w:val="auto"/>
          <w:sz w:val="24"/>
          <w:highlight w:val="none"/>
        </w:rPr>
        <w:t>争议评审小组成员的报酬承担方式：</w:t>
      </w:r>
      <w:r>
        <w:rPr>
          <w:rFonts w:ascii="宋体" w:hAnsi="宋体"/>
          <w:color w:val="auto"/>
          <w:sz w:val="24"/>
          <w:highlight w:val="none"/>
          <w:u w:val="single"/>
        </w:rPr>
        <w:t xml:space="preserve">           /          </w:t>
      </w:r>
      <w:r>
        <w:rPr>
          <w:rFonts w:ascii="宋体" w:hAnsi="宋体"/>
          <w:color w:val="auto"/>
          <w:sz w:val="24"/>
          <w:highlight w:val="none"/>
        </w:rPr>
        <w:t>。</w:t>
      </w:r>
    </w:p>
    <w:p w14:paraId="6AA0D4FC">
      <w:pPr>
        <w:spacing w:line="360" w:lineRule="auto"/>
        <w:ind w:firstLine="480" w:firstLineChars="200"/>
        <w:rPr>
          <w:rFonts w:ascii="宋体" w:hAnsi="宋体"/>
          <w:color w:val="auto"/>
          <w:sz w:val="24"/>
          <w:highlight w:val="none"/>
        </w:rPr>
      </w:pPr>
      <w:r>
        <w:rPr>
          <w:rFonts w:ascii="宋体" w:hAnsi="宋体"/>
          <w:color w:val="auto"/>
          <w:sz w:val="24"/>
          <w:highlight w:val="none"/>
        </w:rPr>
        <w:t>其他事项的约定：</w:t>
      </w:r>
      <w:r>
        <w:rPr>
          <w:rFonts w:ascii="宋体" w:hAnsi="宋体"/>
          <w:color w:val="auto"/>
          <w:sz w:val="24"/>
          <w:highlight w:val="none"/>
          <w:u w:val="single"/>
        </w:rPr>
        <w:t xml:space="preserve">                  /                   </w:t>
      </w:r>
      <w:r>
        <w:rPr>
          <w:rFonts w:ascii="宋体" w:hAnsi="宋体"/>
          <w:color w:val="auto"/>
          <w:sz w:val="24"/>
          <w:highlight w:val="none"/>
        </w:rPr>
        <w:t>。</w:t>
      </w:r>
    </w:p>
    <w:p w14:paraId="326BC48B">
      <w:pPr>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20.3.2 争议评审小组的决定</w:t>
      </w:r>
    </w:p>
    <w:p w14:paraId="441C8354">
      <w:pPr>
        <w:spacing w:line="360" w:lineRule="auto"/>
        <w:ind w:firstLine="480" w:firstLineChars="200"/>
        <w:rPr>
          <w:rFonts w:ascii="宋体" w:hAnsi="宋体"/>
          <w:color w:val="auto"/>
          <w:sz w:val="24"/>
          <w:highlight w:val="none"/>
        </w:rPr>
      </w:pPr>
      <w:r>
        <w:rPr>
          <w:rFonts w:ascii="宋体" w:hAnsi="宋体"/>
          <w:color w:val="auto"/>
          <w:sz w:val="24"/>
          <w:highlight w:val="none"/>
        </w:rPr>
        <w:t>合同当事人关于本项的约定：</w:t>
      </w:r>
      <w:r>
        <w:rPr>
          <w:rFonts w:ascii="宋体" w:hAnsi="宋体"/>
          <w:color w:val="auto"/>
          <w:sz w:val="24"/>
          <w:highlight w:val="none"/>
          <w:u w:val="single"/>
        </w:rPr>
        <w:t xml:space="preserve">               /            </w:t>
      </w:r>
      <w:r>
        <w:rPr>
          <w:rFonts w:ascii="宋体" w:hAnsi="宋体"/>
          <w:color w:val="auto"/>
          <w:sz w:val="24"/>
          <w:highlight w:val="none"/>
        </w:rPr>
        <w:t>。</w:t>
      </w:r>
    </w:p>
    <w:p w14:paraId="56B07D25">
      <w:pPr>
        <w:pStyle w:val="2"/>
        <w:rPr>
          <w:rFonts w:ascii="宋体" w:hAnsi="宋体"/>
          <w:color w:val="auto"/>
          <w:szCs w:val="24"/>
          <w:highlight w:val="none"/>
        </w:rPr>
      </w:pPr>
      <w:bookmarkStart w:id="1232" w:name="_Toc373227778"/>
      <w:bookmarkStart w:id="1233" w:name="_Toc18916"/>
      <w:bookmarkStart w:id="1234" w:name="_Toc373478425"/>
      <w:bookmarkStart w:id="1235" w:name="_Toc27850"/>
      <w:bookmarkStart w:id="1236" w:name="_Toc533611533"/>
      <w:bookmarkStart w:id="1237" w:name="_Toc389065343"/>
      <w:bookmarkStart w:id="1238" w:name="_Toc395382581"/>
      <w:r>
        <w:rPr>
          <w:rFonts w:hint="eastAsia" w:ascii="宋体" w:hAnsi="宋体"/>
          <w:color w:val="auto"/>
          <w:szCs w:val="24"/>
          <w:highlight w:val="none"/>
        </w:rPr>
        <w:t>20.4 仲裁或诉讼</w:t>
      </w:r>
      <w:bookmarkEnd w:id="1118"/>
      <w:bookmarkEnd w:id="1232"/>
      <w:bookmarkEnd w:id="1233"/>
      <w:bookmarkEnd w:id="1234"/>
      <w:bookmarkEnd w:id="1235"/>
      <w:bookmarkEnd w:id="1236"/>
      <w:bookmarkEnd w:id="1237"/>
      <w:bookmarkEnd w:id="1238"/>
    </w:p>
    <w:p w14:paraId="3899154C">
      <w:pPr>
        <w:spacing w:line="360" w:lineRule="auto"/>
        <w:ind w:firstLine="480" w:firstLineChars="200"/>
        <w:rPr>
          <w:rFonts w:ascii="宋体" w:hAnsi="宋体"/>
          <w:color w:val="auto"/>
          <w:sz w:val="24"/>
          <w:highlight w:val="none"/>
        </w:rPr>
      </w:pPr>
      <w:r>
        <w:rPr>
          <w:rFonts w:ascii="宋体" w:hAnsi="宋体"/>
          <w:color w:val="auto"/>
          <w:sz w:val="24"/>
          <w:highlight w:val="none"/>
        </w:rPr>
        <w:t>因合同及合同有关事项发生的争议，按下列第</w:t>
      </w:r>
      <w:r>
        <w:rPr>
          <w:rFonts w:ascii="宋体" w:hAnsi="宋体"/>
          <w:color w:val="auto"/>
          <w:sz w:val="24"/>
          <w:highlight w:val="none"/>
          <w:u w:val="single"/>
        </w:rPr>
        <w:t xml:space="preserve">   1  </w:t>
      </w:r>
      <w:r>
        <w:rPr>
          <w:rFonts w:ascii="宋体" w:hAnsi="宋体"/>
          <w:color w:val="auto"/>
          <w:sz w:val="24"/>
          <w:highlight w:val="none"/>
        </w:rPr>
        <w:t>种方式解决：</w:t>
      </w:r>
    </w:p>
    <w:p w14:paraId="6C426E3E">
      <w:pPr>
        <w:spacing w:line="360" w:lineRule="auto"/>
        <w:ind w:firstLine="480" w:firstLineChars="200"/>
        <w:rPr>
          <w:rFonts w:ascii="宋体" w:hAnsi="宋体"/>
          <w:color w:val="auto"/>
          <w:sz w:val="24"/>
          <w:highlight w:val="none"/>
        </w:rPr>
      </w:pPr>
      <w:r>
        <w:rPr>
          <w:rFonts w:ascii="宋体" w:hAnsi="宋体"/>
          <w:color w:val="auto"/>
          <w:sz w:val="24"/>
          <w:highlight w:val="none"/>
        </w:rPr>
        <w:t>（1）提请</w:t>
      </w:r>
      <w:r>
        <w:rPr>
          <w:rFonts w:ascii="宋体" w:hAnsi="宋体"/>
          <w:color w:val="auto"/>
          <w:sz w:val="24"/>
          <w:highlight w:val="none"/>
          <w:u w:val="single"/>
        </w:rPr>
        <w:t xml:space="preserve"> </w:t>
      </w:r>
      <w:r>
        <w:rPr>
          <w:rFonts w:hint="eastAsia" w:ascii="宋体" w:hAnsi="宋体"/>
          <w:color w:val="auto"/>
          <w:sz w:val="24"/>
          <w:highlight w:val="none"/>
          <w:u w:val="single"/>
        </w:rPr>
        <w:t>玉林市</w:t>
      </w:r>
      <w:r>
        <w:rPr>
          <w:rFonts w:ascii="宋体" w:hAnsi="宋体"/>
          <w:color w:val="auto"/>
          <w:sz w:val="24"/>
          <w:highlight w:val="none"/>
          <w:u w:val="single"/>
        </w:rPr>
        <w:t xml:space="preserve">  </w:t>
      </w:r>
      <w:r>
        <w:rPr>
          <w:rFonts w:ascii="宋体" w:hAnsi="宋体"/>
          <w:color w:val="auto"/>
          <w:sz w:val="24"/>
          <w:highlight w:val="none"/>
        </w:rPr>
        <w:t>仲裁委员会按照该会仲裁规则进行仲裁，仲裁裁决是终局的，对合同双方均有约束力。</w:t>
      </w:r>
    </w:p>
    <w:p w14:paraId="0DC914C8">
      <w:pPr>
        <w:spacing w:line="360" w:lineRule="auto"/>
        <w:ind w:firstLine="480" w:firstLineChars="200"/>
        <w:rPr>
          <w:rFonts w:ascii="宋体" w:hAnsi="宋体"/>
          <w:color w:val="auto"/>
          <w:sz w:val="24"/>
          <w:highlight w:val="none"/>
        </w:rPr>
      </w:pPr>
      <w:r>
        <w:rPr>
          <w:rFonts w:ascii="宋体" w:hAnsi="宋体"/>
          <w:color w:val="auto"/>
          <w:sz w:val="24"/>
          <w:highlight w:val="none"/>
        </w:rPr>
        <w:t>（2）向</w:t>
      </w:r>
      <w:r>
        <w:rPr>
          <w:rFonts w:ascii="宋体" w:hAnsi="宋体"/>
          <w:color w:val="auto"/>
          <w:sz w:val="24"/>
          <w:highlight w:val="none"/>
          <w:u w:val="single"/>
        </w:rPr>
        <w:t xml:space="preserve">    </w:t>
      </w:r>
      <w:r>
        <w:rPr>
          <w:rFonts w:hint="eastAsia" w:ascii="宋体" w:hAnsi="宋体"/>
          <w:color w:val="auto"/>
          <w:sz w:val="24"/>
          <w:highlight w:val="none"/>
          <w:u w:val="single"/>
        </w:rPr>
        <w:t>玉林市</w:t>
      </w:r>
      <w:r>
        <w:rPr>
          <w:rFonts w:ascii="宋体" w:hAnsi="宋体"/>
          <w:color w:val="auto"/>
          <w:sz w:val="24"/>
          <w:highlight w:val="none"/>
          <w:u w:val="single"/>
        </w:rPr>
        <w:t xml:space="preserve">     </w:t>
      </w:r>
      <w:r>
        <w:rPr>
          <w:rFonts w:ascii="宋体" w:hAnsi="宋体"/>
          <w:color w:val="auto"/>
          <w:sz w:val="24"/>
          <w:highlight w:val="none"/>
        </w:rPr>
        <w:t>人民法院起诉。</w:t>
      </w:r>
      <w:bookmarkEnd w:id="1119"/>
      <w:bookmarkEnd w:id="1120"/>
      <w:bookmarkEnd w:id="1121"/>
      <w:bookmarkEnd w:id="1122"/>
      <w:bookmarkEnd w:id="1123"/>
      <w:bookmarkEnd w:id="1124"/>
      <w:bookmarkStart w:id="1239" w:name="_Toc20089"/>
      <w:bookmarkStart w:id="1240" w:name="_Toc373478426"/>
      <w:bookmarkStart w:id="1241" w:name="_Toc395382582"/>
      <w:bookmarkStart w:id="1242" w:name="_Toc389065344"/>
      <w:bookmarkStart w:id="1243" w:name="_Toc533611534"/>
      <w:bookmarkStart w:id="1244" w:name="_Toc373227779"/>
    </w:p>
    <w:p w14:paraId="01B78D2F">
      <w:pPr>
        <w:pStyle w:val="4"/>
        <w:rPr>
          <w:rFonts w:ascii="宋体" w:hAnsi="宋体" w:eastAsia="宋体"/>
          <w:color w:val="auto"/>
          <w:sz w:val="24"/>
          <w:szCs w:val="24"/>
          <w:highlight w:val="none"/>
        </w:rPr>
      </w:pPr>
      <w:bookmarkStart w:id="1245" w:name="_Toc18353"/>
      <w:r>
        <w:rPr>
          <w:rFonts w:hint="eastAsia" w:ascii="宋体" w:hAnsi="宋体" w:eastAsia="宋体"/>
          <w:color w:val="auto"/>
          <w:sz w:val="24"/>
          <w:szCs w:val="24"/>
          <w:highlight w:val="none"/>
        </w:rPr>
        <w:t>21. 补充条款</w:t>
      </w:r>
      <w:bookmarkEnd w:id="1239"/>
      <w:bookmarkEnd w:id="1240"/>
      <w:bookmarkEnd w:id="1241"/>
      <w:bookmarkEnd w:id="1242"/>
      <w:bookmarkEnd w:id="1243"/>
      <w:bookmarkEnd w:id="1244"/>
      <w:bookmarkEnd w:id="1245"/>
    </w:p>
    <w:p w14:paraId="511203CC">
      <w:pPr>
        <w:pStyle w:val="242"/>
        <w:spacing w:before="120" w:beforeLines="50" w:after="120" w:afterLines="50" w:line="440" w:lineRule="exact"/>
        <w:jc w:val="center"/>
        <w:rPr>
          <w:rFonts w:hint="eastAsia" w:ascii="宋体" w:hAnsi="宋体" w:cs="黑体"/>
          <w:color w:val="auto"/>
          <w:sz w:val="32"/>
          <w:szCs w:val="32"/>
          <w:highlight w:val="none"/>
        </w:rPr>
      </w:pPr>
    </w:p>
    <w:p w14:paraId="5AEEABC6">
      <w:pPr>
        <w:pStyle w:val="242"/>
        <w:spacing w:before="120" w:beforeLines="50" w:after="120" w:afterLines="50" w:line="440" w:lineRule="exact"/>
        <w:jc w:val="center"/>
        <w:rPr>
          <w:rFonts w:hint="eastAsia" w:ascii="宋体" w:hAnsi="宋体" w:cs="黑体"/>
          <w:color w:val="auto"/>
          <w:sz w:val="32"/>
          <w:szCs w:val="32"/>
          <w:highlight w:val="none"/>
        </w:rPr>
      </w:pPr>
    </w:p>
    <w:p w14:paraId="17CF794E">
      <w:pPr>
        <w:pStyle w:val="242"/>
        <w:spacing w:before="120" w:beforeLines="50" w:after="120" w:afterLines="50" w:line="440" w:lineRule="exact"/>
        <w:jc w:val="center"/>
        <w:rPr>
          <w:rFonts w:hint="eastAsia" w:ascii="宋体" w:hAnsi="宋体" w:cs="黑体"/>
          <w:color w:val="auto"/>
          <w:sz w:val="32"/>
          <w:szCs w:val="32"/>
          <w:highlight w:val="none"/>
        </w:rPr>
      </w:pPr>
    </w:p>
    <w:p w14:paraId="0CAFE249">
      <w:pPr>
        <w:pStyle w:val="242"/>
        <w:spacing w:before="120" w:beforeLines="50" w:after="120" w:afterLines="50" w:line="440" w:lineRule="exact"/>
        <w:jc w:val="center"/>
        <w:rPr>
          <w:rFonts w:hint="eastAsia" w:ascii="宋体" w:hAnsi="宋体" w:cs="黑体"/>
          <w:color w:val="auto"/>
          <w:sz w:val="32"/>
          <w:szCs w:val="32"/>
          <w:highlight w:val="none"/>
        </w:rPr>
      </w:pPr>
    </w:p>
    <w:p w14:paraId="496E6F14">
      <w:pPr>
        <w:pStyle w:val="242"/>
        <w:spacing w:before="120" w:beforeLines="50" w:after="120" w:afterLines="50" w:line="440" w:lineRule="exact"/>
        <w:jc w:val="center"/>
        <w:rPr>
          <w:rFonts w:hint="eastAsia" w:ascii="宋体" w:hAnsi="宋体" w:cs="黑体"/>
          <w:color w:val="auto"/>
          <w:sz w:val="32"/>
          <w:szCs w:val="32"/>
          <w:highlight w:val="none"/>
        </w:rPr>
      </w:pPr>
    </w:p>
    <w:p w14:paraId="119268C6">
      <w:pPr>
        <w:pStyle w:val="242"/>
        <w:spacing w:before="120" w:beforeLines="50" w:after="120" w:afterLines="50" w:line="440" w:lineRule="exact"/>
        <w:jc w:val="center"/>
        <w:rPr>
          <w:rFonts w:hint="eastAsia" w:ascii="宋体" w:hAnsi="宋体" w:cs="黑体"/>
          <w:color w:val="auto"/>
          <w:sz w:val="32"/>
          <w:szCs w:val="32"/>
          <w:highlight w:val="none"/>
        </w:rPr>
      </w:pPr>
    </w:p>
    <w:p w14:paraId="2A16D169">
      <w:pPr>
        <w:pStyle w:val="242"/>
        <w:spacing w:before="120" w:beforeLines="50" w:after="120" w:afterLines="50" w:line="440" w:lineRule="exact"/>
        <w:jc w:val="center"/>
        <w:rPr>
          <w:rFonts w:hint="eastAsia" w:ascii="宋体" w:hAnsi="宋体" w:cs="黑体"/>
          <w:color w:val="auto"/>
          <w:sz w:val="32"/>
          <w:szCs w:val="32"/>
          <w:highlight w:val="none"/>
        </w:rPr>
      </w:pPr>
    </w:p>
    <w:p w14:paraId="5FCFC59D">
      <w:pPr>
        <w:pStyle w:val="242"/>
        <w:spacing w:before="120" w:beforeLines="50" w:after="120" w:afterLines="50" w:line="440" w:lineRule="exact"/>
        <w:jc w:val="center"/>
        <w:rPr>
          <w:rFonts w:hint="eastAsia" w:ascii="宋体" w:hAnsi="宋体" w:cs="黑体"/>
          <w:color w:val="auto"/>
          <w:sz w:val="32"/>
          <w:szCs w:val="32"/>
          <w:highlight w:val="none"/>
        </w:rPr>
      </w:pPr>
    </w:p>
    <w:p w14:paraId="57F52DB4">
      <w:pPr>
        <w:pStyle w:val="242"/>
        <w:spacing w:before="120" w:beforeLines="50" w:after="120" w:afterLines="50" w:line="440" w:lineRule="exact"/>
        <w:jc w:val="center"/>
        <w:rPr>
          <w:rFonts w:hint="eastAsia" w:ascii="宋体" w:hAnsi="宋体" w:cs="黑体"/>
          <w:color w:val="auto"/>
          <w:sz w:val="32"/>
          <w:szCs w:val="32"/>
          <w:highlight w:val="none"/>
        </w:rPr>
      </w:pPr>
    </w:p>
    <w:p w14:paraId="2F715A54">
      <w:pPr>
        <w:pStyle w:val="242"/>
        <w:spacing w:before="120" w:beforeLines="50" w:after="120" w:afterLines="50" w:line="440" w:lineRule="exact"/>
        <w:jc w:val="center"/>
        <w:rPr>
          <w:rFonts w:hint="eastAsia" w:ascii="宋体" w:hAnsi="宋体" w:cs="黑体"/>
          <w:color w:val="auto"/>
          <w:sz w:val="32"/>
          <w:szCs w:val="32"/>
          <w:highlight w:val="none"/>
        </w:rPr>
      </w:pPr>
    </w:p>
    <w:p w14:paraId="2E7E1BC9">
      <w:pPr>
        <w:pStyle w:val="242"/>
        <w:spacing w:before="120" w:beforeLines="50" w:after="120" w:afterLines="50" w:line="440" w:lineRule="exact"/>
        <w:jc w:val="center"/>
        <w:rPr>
          <w:rFonts w:hint="eastAsia" w:ascii="宋体" w:hAnsi="宋体" w:cs="黑体"/>
          <w:color w:val="auto"/>
          <w:sz w:val="32"/>
          <w:szCs w:val="32"/>
          <w:highlight w:val="none"/>
        </w:rPr>
      </w:pPr>
    </w:p>
    <w:p w14:paraId="43C10ACB">
      <w:pPr>
        <w:pStyle w:val="242"/>
        <w:spacing w:before="120" w:beforeLines="50" w:after="120" w:afterLines="50" w:line="440" w:lineRule="exact"/>
        <w:jc w:val="center"/>
        <w:rPr>
          <w:rFonts w:hint="eastAsia" w:ascii="宋体" w:hAnsi="宋体" w:cs="黑体"/>
          <w:color w:val="auto"/>
          <w:sz w:val="32"/>
          <w:szCs w:val="32"/>
          <w:highlight w:val="none"/>
        </w:rPr>
      </w:pPr>
    </w:p>
    <w:p w14:paraId="538AD186">
      <w:pPr>
        <w:pStyle w:val="242"/>
        <w:spacing w:before="120" w:beforeLines="50" w:after="120" w:afterLines="50" w:line="440" w:lineRule="exact"/>
        <w:jc w:val="center"/>
        <w:rPr>
          <w:rFonts w:hint="eastAsia" w:ascii="宋体" w:hAnsi="宋体" w:cs="黑体"/>
          <w:color w:val="auto"/>
          <w:sz w:val="32"/>
          <w:szCs w:val="32"/>
          <w:highlight w:val="none"/>
        </w:rPr>
      </w:pPr>
    </w:p>
    <w:p w14:paraId="790DA3F1">
      <w:pPr>
        <w:pStyle w:val="242"/>
        <w:spacing w:before="120" w:beforeLines="50" w:after="120" w:afterLines="50" w:line="440" w:lineRule="exact"/>
        <w:jc w:val="center"/>
        <w:rPr>
          <w:rFonts w:hint="eastAsia" w:ascii="宋体" w:hAnsi="宋体" w:cs="黑体"/>
          <w:color w:val="auto"/>
          <w:sz w:val="32"/>
          <w:szCs w:val="32"/>
          <w:highlight w:val="none"/>
        </w:rPr>
      </w:pPr>
    </w:p>
    <w:p w14:paraId="199171D6">
      <w:pPr>
        <w:pStyle w:val="242"/>
        <w:spacing w:before="120" w:beforeLines="50" w:after="120" w:afterLines="50" w:line="440" w:lineRule="exact"/>
        <w:jc w:val="center"/>
        <w:rPr>
          <w:rFonts w:hint="eastAsia" w:ascii="宋体" w:hAnsi="宋体" w:cs="黑体"/>
          <w:color w:val="auto"/>
          <w:sz w:val="32"/>
          <w:szCs w:val="32"/>
          <w:highlight w:val="none"/>
        </w:rPr>
      </w:pPr>
    </w:p>
    <w:p w14:paraId="34813FA0">
      <w:pPr>
        <w:pStyle w:val="242"/>
        <w:spacing w:before="120" w:beforeLines="50" w:after="120" w:afterLines="50" w:line="440" w:lineRule="exact"/>
        <w:jc w:val="center"/>
        <w:rPr>
          <w:rFonts w:hint="eastAsia" w:ascii="宋体" w:hAnsi="宋体" w:cs="黑体"/>
          <w:color w:val="auto"/>
          <w:sz w:val="32"/>
          <w:szCs w:val="32"/>
          <w:highlight w:val="none"/>
        </w:rPr>
      </w:pPr>
    </w:p>
    <w:p w14:paraId="20426E1D">
      <w:pPr>
        <w:pStyle w:val="242"/>
        <w:spacing w:before="120" w:beforeLines="50" w:after="120" w:afterLines="50" w:line="440" w:lineRule="exact"/>
        <w:jc w:val="center"/>
        <w:rPr>
          <w:rFonts w:hint="eastAsia" w:ascii="宋体" w:hAnsi="宋体" w:cs="黑体"/>
          <w:color w:val="auto"/>
          <w:sz w:val="32"/>
          <w:szCs w:val="32"/>
          <w:highlight w:val="none"/>
        </w:rPr>
      </w:pPr>
    </w:p>
    <w:p w14:paraId="7FE35BA1">
      <w:pPr>
        <w:pStyle w:val="242"/>
        <w:spacing w:before="120" w:beforeLines="50" w:after="120" w:afterLines="50" w:line="440" w:lineRule="exact"/>
        <w:jc w:val="center"/>
        <w:rPr>
          <w:rFonts w:hint="eastAsia" w:ascii="宋体" w:hAnsi="宋体" w:cs="黑体"/>
          <w:color w:val="auto"/>
          <w:sz w:val="32"/>
          <w:szCs w:val="32"/>
          <w:highlight w:val="none"/>
        </w:rPr>
      </w:pPr>
    </w:p>
    <w:p w14:paraId="71EF59B5">
      <w:pPr>
        <w:spacing w:before="120" w:beforeLines="50" w:after="120" w:afterLines="50" w:line="4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工程质量保修书（房屋建筑工程）</w:t>
      </w:r>
    </w:p>
    <w:p w14:paraId="10BED68A">
      <w:pPr>
        <w:spacing w:line="440" w:lineRule="exact"/>
        <w:ind w:firstLine="420" w:firstLineChars="200"/>
        <w:rPr>
          <w:rFonts w:ascii="宋体" w:hAnsi="宋体"/>
          <w:color w:val="auto"/>
          <w:sz w:val="21"/>
          <w:szCs w:val="21"/>
          <w:highlight w:val="none"/>
        </w:rPr>
      </w:pPr>
      <w:r>
        <w:rPr>
          <w:rFonts w:ascii="宋体" w:hAnsi="宋体"/>
          <w:color w:val="auto"/>
          <w:sz w:val="21"/>
          <w:szCs w:val="21"/>
          <w:highlight w:val="none"/>
        </w:rPr>
        <w:t>发包人（全称）：</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p>
    <w:p w14:paraId="6E0E288A">
      <w:pPr>
        <w:spacing w:line="440" w:lineRule="exact"/>
        <w:ind w:firstLine="420" w:firstLineChars="200"/>
        <w:rPr>
          <w:rFonts w:ascii="宋体" w:hAnsi="宋体"/>
          <w:color w:val="auto"/>
          <w:sz w:val="21"/>
          <w:szCs w:val="21"/>
          <w:highlight w:val="none"/>
        </w:rPr>
      </w:pPr>
      <w:r>
        <w:rPr>
          <w:rFonts w:ascii="宋体" w:hAnsi="宋体"/>
          <w:color w:val="auto"/>
          <w:sz w:val="21"/>
          <w:szCs w:val="21"/>
          <w:highlight w:val="none"/>
        </w:rPr>
        <w:t>承包人（全称）：</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p>
    <w:p w14:paraId="33ED60DC">
      <w:pPr>
        <w:spacing w:line="440" w:lineRule="exact"/>
        <w:rPr>
          <w:rFonts w:ascii="宋体" w:hAnsi="宋体"/>
          <w:color w:val="auto"/>
          <w:sz w:val="21"/>
          <w:szCs w:val="21"/>
          <w:highlight w:val="none"/>
        </w:rPr>
      </w:pPr>
    </w:p>
    <w:p w14:paraId="7D42857A">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发包人和承包人根据《中华人民共和国建筑法》和《建设工程质量管理条例》，经协商一致就</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（工程全称）签订工程质量保修书。</w:t>
      </w:r>
    </w:p>
    <w:p w14:paraId="7D7E8DD4">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一、工程质量保修范围和内容</w:t>
      </w:r>
    </w:p>
    <w:p w14:paraId="54D6ED1D">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承包人在质量保修期内，按照有关法律规定和合同约定，承担工程质量保修责任。</w:t>
      </w:r>
    </w:p>
    <w:p w14:paraId="0AEFDF09">
      <w:pPr>
        <w:spacing w:line="360" w:lineRule="auto"/>
        <w:ind w:firstLine="420"/>
        <w:rPr>
          <w:rFonts w:ascii="宋体" w:hAnsi="宋体"/>
          <w:color w:val="auto"/>
          <w:sz w:val="21"/>
          <w:szCs w:val="21"/>
          <w:highlight w:val="none"/>
        </w:rPr>
      </w:pPr>
      <w:r>
        <w:rPr>
          <w:rFonts w:ascii="宋体" w:hAnsi="宋体"/>
          <w:color w:val="auto"/>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B83629B">
      <w:pPr>
        <w:spacing w:line="360" w:lineRule="auto"/>
        <w:ind w:firstLine="420"/>
        <w:rPr>
          <w:rFonts w:ascii="宋体" w:hAnsi="宋体"/>
          <w:color w:val="auto"/>
          <w:sz w:val="21"/>
          <w:szCs w:val="21"/>
          <w:highlight w:val="none"/>
        </w:rPr>
      </w:pP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w:t>
      </w:r>
    </w:p>
    <w:p w14:paraId="5CD2A610">
      <w:pPr>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二、质量保修期</w:t>
      </w:r>
    </w:p>
    <w:p w14:paraId="14C5FE71">
      <w:pPr>
        <w:spacing w:line="360" w:lineRule="auto"/>
        <w:ind w:firstLine="420"/>
        <w:rPr>
          <w:rFonts w:ascii="宋体" w:hAnsi="宋体"/>
          <w:color w:val="auto"/>
          <w:sz w:val="21"/>
          <w:szCs w:val="21"/>
          <w:highlight w:val="none"/>
        </w:rPr>
      </w:pPr>
      <w:r>
        <w:rPr>
          <w:rFonts w:ascii="宋体" w:hAnsi="宋体"/>
          <w:color w:val="auto"/>
          <w:sz w:val="21"/>
          <w:szCs w:val="21"/>
          <w:highlight w:val="none"/>
        </w:rPr>
        <w:t>根据《建设工程质量管理条例》及有关规定，工程的质量保修期如下：</w:t>
      </w:r>
    </w:p>
    <w:p w14:paraId="30E4FE30">
      <w:pPr>
        <w:spacing w:line="360" w:lineRule="auto"/>
        <w:ind w:firstLine="420"/>
        <w:rPr>
          <w:rFonts w:ascii="宋体" w:hAnsi="宋体"/>
          <w:color w:val="auto"/>
          <w:sz w:val="21"/>
          <w:szCs w:val="21"/>
          <w:highlight w:val="none"/>
        </w:rPr>
      </w:pPr>
      <w:r>
        <w:rPr>
          <w:rFonts w:ascii="宋体" w:hAnsi="宋体"/>
          <w:color w:val="auto"/>
          <w:sz w:val="21"/>
          <w:szCs w:val="21"/>
          <w:highlight w:val="none"/>
        </w:rPr>
        <w:t>1．地基基础工程和主体结构工程为设计文件规定的工程合理使用年限；</w:t>
      </w:r>
    </w:p>
    <w:p w14:paraId="3303AC63">
      <w:pPr>
        <w:spacing w:line="360" w:lineRule="auto"/>
        <w:ind w:firstLine="420"/>
        <w:rPr>
          <w:rFonts w:ascii="宋体" w:hAnsi="宋体"/>
          <w:color w:val="auto"/>
          <w:sz w:val="21"/>
          <w:szCs w:val="21"/>
          <w:highlight w:val="none"/>
        </w:rPr>
      </w:pPr>
      <w:r>
        <w:rPr>
          <w:rFonts w:ascii="宋体" w:hAnsi="宋体"/>
          <w:color w:val="auto"/>
          <w:sz w:val="21"/>
          <w:szCs w:val="21"/>
          <w:highlight w:val="none"/>
        </w:rPr>
        <w:t>2．屋面防水工程、有防水要求的卫生间、房间和外墙面的防渗为</w:t>
      </w:r>
      <w:r>
        <w:rPr>
          <w:rFonts w:ascii="宋体" w:hAnsi="宋体"/>
          <w:color w:val="auto"/>
          <w:sz w:val="21"/>
          <w:szCs w:val="21"/>
          <w:highlight w:val="none"/>
          <w:u w:val="single"/>
        </w:rPr>
        <w:t xml:space="preserve">        </w:t>
      </w:r>
      <w:r>
        <w:rPr>
          <w:rFonts w:ascii="宋体" w:hAnsi="宋体"/>
          <w:color w:val="auto"/>
          <w:sz w:val="21"/>
          <w:szCs w:val="21"/>
          <w:highlight w:val="none"/>
        </w:rPr>
        <w:t>年；</w:t>
      </w:r>
    </w:p>
    <w:p w14:paraId="26FA969F">
      <w:pPr>
        <w:spacing w:line="360" w:lineRule="auto"/>
        <w:ind w:firstLine="420"/>
        <w:rPr>
          <w:rFonts w:ascii="宋体" w:hAnsi="宋体"/>
          <w:color w:val="auto"/>
          <w:sz w:val="21"/>
          <w:szCs w:val="21"/>
          <w:highlight w:val="none"/>
        </w:rPr>
      </w:pPr>
      <w:r>
        <w:rPr>
          <w:rFonts w:ascii="宋体" w:hAnsi="宋体"/>
          <w:color w:val="auto"/>
          <w:sz w:val="21"/>
          <w:szCs w:val="21"/>
          <w:highlight w:val="none"/>
        </w:rPr>
        <w:t>3．装修工程为</w:t>
      </w:r>
      <w:r>
        <w:rPr>
          <w:rFonts w:ascii="宋体" w:hAnsi="宋体"/>
          <w:color w:val="auto"/>
          <w:sz w:val="21"/>
          <w:szCs w:val="21"/>
          <w:highlight w:val="none"/>
          <w:u w:val="single"/>
        </w:rPr>
        <w:t xml:space="preserve">         </w:t>
      </w:r>
      <w:r>
        <w:rPr>
          <w:rFonts w:ascii="宋体" w:hAnsi="宋体"/>
          <w:color w:val="auto"/>
          <w:sz w:val="21"/>
          <w:szCs w:val="21"/>
          <w:highlight w:val="none"/>
        </w:rPr>
        <w:t>年；</w:t>
      </w:r>
    </w:p>
    <w:p w14:paraId="435EC349">
      <w:pPr>
        <w:spacing w:line="360" w:lineRule="auto"/>
        <w:ind w:firstLine="420"/>
        <w:rPr>
          <w:rFonts w:ascii="宋体" w:hAnsi="宋体"/>
          <w:color w:val="auto"/>
          <w:sz w:val="21"/>
          <w:szCs w:val="21"/>
          <w:highlight w:val="none"/>
        </w:rPr>
      </w:pPr>
      <w:r>
        <w:rPr>
          <w:rFonts w:ascii="宋体" w:hAnsi="宋体"/>
          <w:color w:val="auto"/>
          <w:sz w:val="21"/>
          <w:szCs w:val="21"/>
          <w:highlight w:val="none"/>
        </w:rPr>
        <w:t>4．电气管线、给排水管道、设备安装工程为</w:t>
      </w:r>
      <w:r>
        <w:rPr>
          <w:rFonts w:ascii="宋体" w:hAnsi="宋体"/>
          <w:color w:val="auto"/>
          <w:sz w:val="21"/>
          <w:szCs w:val="21"/>
          <w:highlight w:val="none"/>
          <w:u w:val="single"/>
        </w:rPr>
        <w:t xml:space="preserve">         </w:t>
      </w:r>
      <w:r>
        <w:rPr>
          <w:rFonts w:ascii="宋体" w:hAnsi="宋体"/>
          <w:color w:val="auto"/>
          <w:sz w:val="21"/>
          <w:szCs w:val="21"/>
          <w:highlight w:val="none"/>
        </w:rPr>
        <w:t>年；</w:t>
      </w:r>
    </w:p>
    <w:p w14:paraId="122E9D05">
      <w:pPr>
        <w:spacing w:line="360" w:lineRule="auto"/>
        <w:ind w:firstLine="420"/>
        <w:rPr>
          <w:rFonts w:ascii="宋体" w:hAnsi="宋体"/>
          <w:color w:val="auto"/>
          <w:sz w:val="21"/>
          <w:szCs w:val="21"/>
          <w:highlight w:val="none"/>
        </w:rPr>
      </w:pPr>
      <w:r>
        <w:rPr>
          <w:rFonts w:ascii="宋体" w:hAnsi="宋体"/>
          <w:color w:val="auto"/>
          <w:sz w:val="21"/>
          <w:szCs w:val="21"/>
          <w:highlight w:val="none"/>
        </w:rPr>
        <w:t>5．供热与供冷系统为</w:t>
      </w:r>
      <w:r>
        <w:rPr>
          <w:rFonts w:ascii="宋体" w:hAnsi="宋体"/>
          <w:color w:val="auto"/>
          <w:sz w:val="21"/>
          <w:szCs w:val="21"/>
          <w:highlight w:val="none"/>
          <w:u w:val="single"/>
        </w:rPr>
        <w:t xml:space="preserve">         </w:t>
      </w:r>
      <w:r>
        <w:rPr>
          <w:rFonts w:ascii="宋体" w:hAnsi="宋体"/>
          <w:color w:val="auto"/>
          <w:sz w:val="21"/>
          <w:szCs w:val="21"/>
          <w:highlight w:val="none"/>
        </w:rPr>
        <w:t>个采暖期、供冷期；</w:t>
      </w:r>
    </w:p>
    <w:p w14:paraId="782B2667">
      <w:pPr>
        <w:spacing w:line="360" w:lineRule="auto"/>
        <w:ind w:firstLine="420"/>
        <w:rPr>
          <w:rFonts w:ascii="宋体" w:hAnsi="宋体"/>
          <w:color w:val="auto"/>
          <w:sz w:val="21"/>
          <w:szCs w:val="21"/>
          <w:highlight w:val="none"/>
        </w:rPr>
      </w:pPr>
      <w:r>
        <w:rPr>
          <w:rFonts w:ascii="宋体" w:hAnsi="宋体"/>
          <w:color w:val="auto"/>
          <w:sz w:val="21"/>
          <w:szCs w:val="21"/>
          <w:highlight w:val="none"/>
        </w:rPr>
        <w:t>6．住宅小区内的给排水设施、道路等配套工程为</w:t>
      </w:r>
      <w:r>
        <w:rPr>
          <w:rFonts w:ascii="宋体" w:hAnsi="宋体"/>
          <w:color w:val="auto"/>
          <w:sz w:val="21"/>
          <w:szCs w:val="21"/>
          <w:highlight w:val="none"/>
          <w:u w:val="single"/>
        </w:rPr>
        <w:t xml:space="preserve">         </w:t>
      </w:r>
      <w:r>
        <w:rPr>
          <w:rFonts w:ascii="宋体" w:hAnsi="宋体"/>
          <w:color w:val="auto"/>
          <w:sz w:val="21"/>
          <w:szCs w:val="21"/>
          <w:highlight w:val="none"/>
        </w:rPr>
        <w:t>年；</w:t>
      </w:r>
    </w:p>
    <w:p w14:paraId="3B54504E">
      <w:pPr>
        <w:spacing w:line="360" w:lineRule="auto"/>
        <w:ind w:firstLine="420"/>
        <w:rPr>
          <w:rFonts w:ascii="宋体" w:hAnsi="宋体"/>
          <w:color w:val="auto"/>
          <w:sz w:val="21"/>
          <w:szCs w:val="21"/>
          <w:highlight w:val="none"/>
        </w:rPr>
      </w:pPr>
      <w:r>
        <w:rPr>
          <w:rFonts w:ascii="宋体" w:hAnsi="宋体"/>
          <w:color w:val="auto"/>
          <w:sz w:val="21"/>
          <w:szCs w:val="21"/>
          <w:highlight w:val="none"/>
        </w:rPr>
        <w:t>7．其他项目保修期限约定如下：</w:t>
      </w:r>
    </w:p>
    <w:p w14:paraId="58A41EA4">
      <w:pPr>
        <w:spacing w:line="360" w:lineRule="auto"/>
        <w:ind w:firstLine="420"/>
        <w:rPr>
          <w:rFonts w:ascii="宋体" w:hAnsi="宋体"/>
          <w:color w:val="auto"/>
          <w:sz w:val="21"/>
          <w:szCs w:val="21"/>
          <w:highlight w:val="none"/>
        </w:rPr>
      </w:pPr>
      <w:r>
        <w:rPr>
          <w:rFonts w:ascii="宋体" w:hAnsi="宋体"/>
          <w:color w:val="auto"/>
          <w:sz w:val="21"/>
          <w:szCs w:val="21"/>
          <w:highlight w:val="none"/>
          <w:u w:val="single"/>
        </w:rPr>
        <w:t xml:space="preserve">                                                                                                                                              </w:t>
      </w:r>
      <w:r>
        <w:rPr>
          <w:rFonts w:ascii="宋体" w:hAnsi="宋体"/>
          <w:color w:val="auto"/>
          <w:sz w:val="21"/>
          <w:szCs w:val="21"/>
          <w:highlight w:val="none"/>
        </w:rPr>
        <w:t>。</w:t>
      </w:r>
    </w:p>
    <w:p w14:paraId="7A9CBD2C">
      <w:pPr>
        <w:spacing w:line="360" w:lineRule="auto"/>
        <w:ind w:firstLine="420"/>
        <w:rPr>
          <w:rFonts w:ascii="宋体" w:hAnsi="宋体"/>
          <w:color w:val="auto"/>
          <w:sz w:val="21"/>
          <w:szCs w:val="21"/>
          <w:highlight w:val="none"/>
        </w:rPr>
      </w:pPr>
      <w:r>
        <w:rPr>
          <w:rFonts w:ascii="宋体" w:hAnsi="宋体"/>
          <w:color w:val="auto"/>
          <w:sz w:val="21"/>
          <w:szCs w:val="21"/>
          <w:highlight w:val="none"/>
        </w:rPr>
        <w:t>质量保修期自工程竣工验收合格之日起计算。</w:t>
      </w:r>
    </w:p>
    <w:p w14:paraId="2170E6D7">
      <w:pPr>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三、缺陷责任期</w:t>
      </w:r>
    </w:p>
    <w:p w14:paraId="2EF6D678">
      <w:pPr>
        <w:spacing w:line="360" w:lineRule="auto"/>
        <w:ind w:firstLine="420"/>
        <w:rPr>
          <w:rFonts w:ascii="宋体" w:hAnsi="宋体"/>
          <w:color w:val="auto"/>
          <w:sz w:val="21"/>
          <w:szCs w:val="21"/>
          <w:highlight w:val="none"/>
        </w:rPr>
      </w:pPr>
      <w:r>
        <w:rPr>
          <w:rFonts w:ascii="宋体" w:hAnsi="宋体"/>
          <w:color w:val="auto"/>
          <w:sz w:val="21"/>
          <w:szCs w:val="21"/>
          <w:highlight w:val="none"/>
        </w:rPr>
        <w:t>工程缺陷责任期为</w:t>
      </w:r>
      <w:r>
        <w:rPr>
          <w:rFonts w:ascii="宋体" w:hAnsi="宋体"/>
          <w:color w:val="auto"/>
          <w:sz w:val="21"/>
          <w:szCs w:val="21"/>
          <w:highlight w:val="none"/>
          <w:u w:val="single"/>
        </w:rPr>
        <w:t xml:space="preserve">         </w:t>
      </w:r>
      <w:r>
        <w:rPr>
          <w:rFonts w:ascii="宋体" w:hAnsi="宋体"/>
          <w:color w:val="auto"/>
          <w:sz w:val="21"/>
          <w:szCs w:val="21"/>
          <w:highlight w:val="none"/>
        </w:rPr>
        <w:t>个月</w:t>
      </w:r>
      <w:r>
        <w:rPr>
          <w:rFonts w:hint="eastAsia" w:ascii="宋体" w:hAnsi="宋体"/>
          <w:color w:val="auto"/>
          <w:sz w:val="21"/>
          <w:szCs w:val="21"/>
          <w:highlight w:val="none"/>
        </w:rPr>
        <w:t>（最长不超过24个月）</w:t>
      </w:r>
      <w:r>
        <w:rPr>
          <w:rFonts w:ascii="宋体" w:hAnsi="宋体"/>
          <w:color w:val="auto"/>
          <w:sz w:val="21"/>
          <w:szCs w:val="21"/>
          <w:highlight w:val="none"/>
        </w:rPr>
        <w:t>，缺陷责任期自工程竣工验收合格之日起计算。单位工程先于全部工程进行验收，单位工程缺陷责任期自单位工程验收合格之日起算。</w:t>
      </w:r>
    </w:p>
    <w:p w14:paraId="0BE1CA2D">
      <w:pPr>
        <w:spacing w:line="360" w:lineRule="auto"/>
        <w:ind w:firstLine="420"/>
        <w:rPr>
          <w:rFonts w:ascii="宋体" w:hAnsi="宋体"/>
          <w:color w:val="auto"/>
          <w:sz w:val="21"/>
          <w:szCs w:val="21"/>
          <w:highlight w:val="none"/>
        </w:rPr>
      </w:pPr>
      <w:r>
        <w:rPr>
          <w:rFonts w:ascii="宋体" w:hAnsi="宋体"/>
          <w:color w:val="auto"/>
          <w:sz w:val="21"/>
          <w:szCs w:val="21"/>
          <w:highlight w:val="none"/>
        </w:rPr>
        <w:t>缺陷责任期终止后，发包人应退还剩余的质量保证金。</w:t>
      </w:r>
    </w:p>
    <w:p w14:paraId="34F31F9E">
      <w:pPr>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四、质量保修责任</w:t>
      </w:r>
    </w:p>
    <w:p w14:paraId="73DB6039">
      <w:pPr>
        <w:spacing w:line="360" w:lineRule="auto"/>
        <w:ind w:left="105" w:leftChars="50" w:firstLine="430" w:firstLineChars="205"/>
        <w:rPr>
          <w:rFonts w:ascii="宋体" w:hAnsi="宋体"/>
          <w:color w:val="auto"/>
          <w:sz w:val="21"/>
          <w:szCs w:val="21"/>
          <w:highlight w:val="none"/>
        </w:rPr>
      </w:pPr>
      <w:r>
        <w:rPr>
          <w:rFonts w:ascii="宋体" w:hAnsi="宋体"/>
          <w:color w:val="auto"/>
          <w:sz w:val="21"/>
          <w:szCs w:val="21"/>
          <w:highlight w:val="none"/>
        </w:rPr>
        <w:t>1．属于保修范围、内容的项目，承包人应当在接到保修通知之日起</w:t>
      </w:r>
      <w:r>
        <w:rPr>
          <w:rFonts w:hint="eastAsia" w:ascii="宋体" w:hAnsi="宋体"/>
          <w:color w:val="auto"/>
          <w:sz w:val="21"/>
          <w:szCs w:val="21"/>
          <w:highlight w:val="none"/>
          <w:u w:val="single"/>
        </w:rPr>
        <w:t xml:space="preserve">      </w:t>
      </w:r>
      <w:r>
        <w:rPr>
          <w:rFonts w:ascii="宋体" w:hAnsi="宋体"/>
          <w:color w:val="auto"/>
          <w:sz w:val="21"/>
          <w:szCs w:val="21"/>
          <w:highlight w:val="none"/>
        </w:rPr>
        <w:t>天内派人保修。承包人不在约定期限内派人保修的，发包人可以委托他人修理</w:t>
      </w:r>
      <w:r>
        <w:rPr>
          <w:rFonts w:hint="eastAsia" w:ascii="宋体" w:hAnsi="宋体"/>
          <w:color w:val="auto"/>
          <w:sz w:val="21"/>
          <w:szCs w:val="21"/>
          <w:highlight w:val="none"/>
        </w:rPr>
        <w:t>，修理费用从质量保修金内扣除</w:t>
      </w:r>
      <w:r>
        <w:rPr>
          <w:rFonts w:ascii="宋体" w:hAnsi="宋体"/>
          <w:color w:val="auto"/>
          <w:sz w:val="21"/>
          <w:szCs w:val="21"/>
          <w:highlight w:val="none"/>
        </w:rPr>
        <w:t>。</w:t>
      </w:r>
    </w:p>
    <w:p w14:paraId="1236A11D">
      <w:pPr>
        <w:spacing w:line="360" w:lineRule="auto"/>
        <w:ind w:firstLine="420"/>
        <w:rPr>
          <w:rFonts w:ascii="宋体" w:hAnsi="宋体"/>
          <w:color w:val="auto"/>
          <w:sz w:val="21"/>
          <w:szCs w:val="21"/>
          <w:highlight w:val="none"/>
        </w:rPr>
      </w:pPr>
      <w:r>
        <w:rPr>
          <w:rFonts w:ascii="宋体" w:hAnsi="宋体"/>
          <w:color w:val="auto"/>
          <w:sz w:val="21"/>
          <w:szCs w:val="21"/>
          <w:highlight w:val="none"/>
        </w:rPr>
        <w:t>2．发生紧急事故需抢修的，承包人在接到事故通知后，应当立即到达事故现场抢修。</w:t>
      </w:r>
    </w:p>
    <w:p w14:paraId="290E3DF8">
      <w:pPr>
        <w:spacing w:line="360" w:lineRule="auto"/>
        <w:ind w:firstLine="420"/>
        <w:rPr>
          <w:rFonts w:ascii="宋体" w:hAnsi="宋体"/>
          <w:color w:val="auto"/>
          <w:sz w:val="21"/>
          <w:szCs w:val="21"/>
          <w:highlight w:val="none"/>
        </w:rPr>
      </w:pPr>
      <w:r>
        <w:rPr>
          <w:rFonts w:ascii="宋体" w:hAnsi="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0182E68">
      <w:pPr>
        <w:spacing w:line="360" w:lineRule="auto"/>
        <w:ind w:firstLine="420"/>
        <w:rPr>
          <w:rFonts w:ascii="宋体" w:hAnsi="宋体"/>
          <w:color w:val="auto"/>
          <w:sz w:val="21"/>
          <w:szCs w:val="21"/>
          <w:highlight w:val="none"/>
        </w:rPr>
      </w:pPr>
      <w:r>
        <w:rPr>
          <w:rFonts w:ascii="宋体" w:hAnsi="宋体"/>
          <w:color w:val="auto"/>
          <w:sz w:val="21"/>
          <w:szCs w:val="21"/>
          <w:highlight w:val="none"/>
        </w:rPr>
        <w:t>4．质量保修完成后，由发包人组织验收。</w:t>
      </w:r>
    </w:p>
    <w:p w14:paraId="7532B8B0">
      <w:pPr>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五、保修费用</w:t>
      </w:r>
    </w:p>
    <w:p w14:paraId="6DCB83F6">
      <w:pPr>
        <w:tabs>
          <w:tab w:val="left" w:pos="7380"/>
        </w:tabs>
        <w:spacing w:line="360" w:lineRule="auto"/>
        <w:ind w:firstLine="420"/>
        <w:rPr>
          <w:rFonts w:ascii="宋体" w:hAnsi="宋体"/>
          <w:color w:val="auto"/>
          <w:sz w:val="21"/>
          <w:szCs w:val="21"/>
          <w:highlight w:val="none"/>
        </w:rPr>
      </w:pPr>
      <w:r>
        <w:rPr>
          <w:rFonts w:ascii="宋体" w:hAnsi="宋体"/>
          <w:color w:val="auto"/>
          <w:sz w:val="21"/>
          <w:szCs w:val="21"/>
          <w:highlight w:val="none"/>
        </w:rPr>
        <w:t>保修费用由造成质量缺陷的责任方承担。</w:t>
      </w:r>
    </w:p>
    <w:p w14:paraId="71E9699E">
      <w:pPr>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 xml:space="preserve">六、双方约定的其他工程质量保修事项： </w:t>
      </w:r>
    </w:p>
    <w:p w14:paraId="74986F66">
      <w:pPr>
        <w:spacing w:line="360" w:lineRule="auto"/>
        <w:ind w:left="420" w:leftChars="200" w:firstLine="0" w:firstLineChars="0"/>
        <w:rPr>
          <w:rFonts w:ascii="宋体" w:hAnsi="宋体"/>
          <w:color w:val="auto"/>
          <w:sz w:val="21"/>
          <w:szCs w:val="21"/>
          <w:highlight w:val="none"/>
        </w:rPr>
      </w:pP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rPr>
        <w:t>。</w:t>
      </w:r>
    </w:p>
    <w:p w14:paraId="5C1731C0">
      <w:pPr>
        <w:spacing w:line="360" w:lineRule="auto"/>
        <w:ind w:firstLine="399" w:firstLineChars="190"/>
        <w:rPr>
          <w:rFonts w:ascii="宋体" w:hAnsi="宋体"/>
          <w:color w:val="auto"/>
          <w:sz w:val="21"/>
          <w:szCs w:val="21"/>
          <w:highlight w:val="none"/>
        </w:rPr>
      </w:pPr>
      <w:r>
        <w:rPr>
          <w:rFonts w:ascii="宋体" w:hAnsi="宋体"/>
          <w:color w:val="auto"/>
          <w:sz w:val="21"/>
          <w:szCs w:val="21"/>
          <w:highlight w:val="none"/>
        </w:rPr>
        <w:t>工程质量保修书由发包人、承包人在工程竣工验收前共同签署，作为施工合同附件，其有效期限至保修期满。</w:t>
      </w:r>
    </w:p>
    <w:p w14:paraId="0CF9E4B2">
      <w:pPr>
        <w:spacing w:line="360" w:lineRule="auto"/>
        <w:ind w:firstLine="420"/>
        <w:rPr>
          <w:rFonts w:ascii="宋体" w:hAnsi="宋体"/>
          <w:color w:val="auto"/>
          <w:sz w:val="21"/>
          <w:szCs w:val="21"/>
          <w:highlight w:val="none"/>
        </w:rPr>
      </w:pPr>
    </w:p>
    <w:p w14:paraId="6B1195BD">
      <w:pPr>
        <w:spacing w:line="360" w:lineRule="auto"/>
        <w:rPr>
          <w:rFonts w:ascii="宋体" w:hAnsi="宋体"/>
          <w:color w:val="auto"/>
          <w:sz w:val="21"/>
          <w:szCs w:val="21"/>
          <w:highlight w:val="none"/>
        </w:rPr>
      </w:pPr>
      <w:r>
        <w:rPr>
          <w:rFonts w:ascii="宋体" w:hAnsi="宋体"/>
          <w:color w:val="auto"/>
          <w:sz w:val="21"/>
          <w:szCs w:val="21"/>
          <w:highlight w:val="none"/>
        </w:rPr>
        <w:t>发包人</w:t>
      </w:r>
      <w:r>
        <w:rPr>
          <w:rFonts w:hint="eastAsia" w:ascii="宋体" w:hAnsi="宋体"/>
          <w:color w:val="auto"/>
          <w:sz w:val="21"/>
          <w:szCs w:val="21"/>
          <w:highlight w:val="none"/>
        </w:rPr>
        <w:t>（</w:t>
      </w:r>
      <w:r>
        <w:rPr>
          <w:rFonts w:ascii="宋体" w:hAnsi="宋体"/>
          <w:color w:val="auto"/>
          <w:sz w:val="21"/>
          <w:szCs w:val="21"/>
          <w:highlight w:val="none"/>
        </w:rPr>
        <w:t>公章</w:t>
      </w:r>
      <w:r>
        <w:rPr>
          <w:rFonts w:hint="eastAsia" w:ascii="宋体" w:hAnsi="宋体"/>
          <w:color w:val="auto"/>
          <w:sz w:val="21"/>
          <w:szCs w:val="21"/>
          <w:highlight w:val="none"/>
        </w:rPr>
        <w:t>）</w:t>
      </w:r>
      <w:r>
        <w:rPr>
          <w:rFonts w:ascii="宋体" w:hAnsi="宋体"/>
          <w:color w:val="auto"/>
          <w:sz w:val="21"/>
          <w:szCs w:val="21"/>
          <w:highlight w:val="none"/>
        </w:rPr>
        <w:t>：</w:t>
      </w:r>
      <w:r>
        <w:rPr>
          <w:rFonts w:ascii="宋体" w:hAnsi="宋体"/>
          <w:color w:val="auto"/>
          <w:sz w:val="21"/>
          <w:szCs w:val="21"/>
          <w:highlight w:val="none"/>
          <w:u w:val="single"/>
        </w:rPr>
        <w:t xml:space="preserve">  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承包人</w:t>
      </w:r>
      <w:r>
        <w:rPr>
          <w:rFonts w:hint="eastAsia" w:ascii="宋体" w:hAnsi="宋体"/>
          <w:color w:val="auto"/>
          <w:sz w:val="21"/>
          <w:szCs w:val="21"/>
          <w:highlight w:val="none"/>
        </w:rPr>
        <w:t>（</w:t>
      </w:r>
      <w:r>
        <w:rPr>
          <w:rFonts w:ascii="宋体" w:hAnsi="宋体"/>
          <w:color w:val="auto"/>
          <w:sz w:val="21"/>
          <w:szCs w:val="21"/>
          <w:highlight w:val="none"/>
        </w:rPr>
        <w:t>公章</w:t>
      </w:r>
      <w:r>
        <w:rPr>
          <w:rFonts w:hint="eastAsia" w:ascii="宋体" w:hAnsi="宋体"/>
          <w:color w:val="auto"/>
          <w:sz w:val="21"/>
          <w:szCs w:val="21"/>
          <w:highlight w:val="none"/>
        </w:rPr>
        <w:t>）</w:t>
      </w:r>
      <w:r>
        <w:rPr>
          <w:rFonts w:ascii="宋体" w:hAnsi="宋体"/>
          <w:color w:val="auto"/>
          <w:sz w:val="21"/>
          <w:szCs w:val="21"/>
          <w:highlight w:val="none"/>
        </w:rPr>
        <w:t>：</w:t>
      </w:r>
      <w:r>
        <w:rPr>
          <w:rFonts w:ascii="宋体" w:hAnsi="宋体"/>
          <w:color w:val="auto"/>
          <w:sz w:val="21"/>
          <w:szCs w:val="21"/>
          <w:highlight w:val="none"/>
          <w:u w:val="single"/>
        </w:rPr>
        <w:t>          </w:t>
      </w:r>
    </w:p>
    <w:p w14:paraId="5760E15D">
      <w:pPr>
        <w:spacing w:line="360" w:lineRule="auto"/>
        <w:rPr>
          <w:rFonts w:ascii="宋体" w:hAnsi="宋体"/>
          <w:color w:val="auto"/>
          <w:sz w:val="21"/>
          <w:szCs w:val="21"/>
          <w:highlight w:val="none"/>
        </w:rPr>
      </w:pPr>
      <w:r>
        <w:rPr>
          <w:rFonts w:ascii="宋体" w:hAnsi="宋体"/>
          <w:color w:val="auto"/>
          <w:sz w:val="21"/>
          <w:szCs w:val="21"/>
          <w:highlight w:val="none"/>
        </w:rPr>
        <w:t>地  址：</w:t>
      </w:r>
      <w:r>
        <w:rPr>
          <w:rFonts w:ascii="宋体" w:hAnsi="宋体"/>
          <w:color w:val="auto"/>
          <w:sz w:val="21"/>
          <w:szCs w:val="21"/>
          <w:highlight w:val="none"/>
          <w:u w:val="single"/>
        </w:rPr>
        <w:t xml:space="preserve"> 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地  址：</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p>
    <w:p w14:paraId="3E7260F6">
      <w:pPr>
        <w:spacing w:line="360" w:lineRule="auto"/>
        <w:rPr>
          <w:rFonts w:ascii="宋体" w:hAnsi="宋体"/>
          <w:color w:val="auto"/>
          <w:sz w:val="21"/>
          <w:szCs w:val="21"/>
          <w:highlight w:val="none"/>
        </w:rPr>
      </w:pPr>
      <w:r>
        <w:rPr>
          <w:rFonts w:ascii="宋体" w:hAnsi="宋体"/>
          <w:color w:val="auto"/>
          <w:sz w:val="21"/>
          <w:szCs w:val="21"/>
          <w:highlight w:val="none"/>
        </w:rPr>
        <w:t>法定代表人</w:t>
      </w:r>
      <w:r>
        <w:rPr>
          <w:rFonts w:hint="eastAsia" w:ascii="宋体" w:hAnsi="宋体"/>
          <w:color w:val="auto"/>
          <w:sz w:val="21"/>
          <w:szCs w:val="21"/>
          <w:highlight w:val="none"/>
        </w:rPr>
        <w:t>（</w:t>
      </w:r>
      <w:r>
        <w:rPr>
          <w:rFonts w:ascii="宋体" w:hAnsi="宋体"/>
          <w:color w:val="auto"/>
          <w:sz w:val="21"/>
          <w:szCs w:val="21"/>
          <w:highlight w:val="none"/>
        </w:rPr>
        <w:t>签字</w:t>
      </w:r>
      <w:r>
        <w:rPr>
          <w:rFonts w:hint="eastAsia" w:ascii="宋体" w:hAnsi="宋体"/>
          <w:color w:val="auto"/>
          <w:sz w:val="21"/>
          <w:szCs w:val="21"/>
          <w:highlight w:val="none"/>
        </w:rPr>
        <w:t>）</w:t>
      </w:r>
      <w:r>
        <w:rPr>
          <w:rFonts w:ascii="宋体" w:hAnsi="宋体"/>
          <w:color w:val="auto"/>
          <w:sz w:val="21"/>
          <w:szCs w:val="21"/>
          <w:highlight w:val="none"/>
        </w:rPr>
        <w:t>：</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法定代表人</w:t>
      </w:r>
      <w:r>
        <w:rPr>
          <w:rFonts w:hint="eastAsia" w:ascii="宋体" w:hAnsi="宋体"/>
          <w:color w:val="auto"/>
          <w:sz w:val="21"/>
          <w:szCs w:val="21"/>
          <w:highlight w:val="none"/>
        </w:rPr>
        <w:t>（</w:t>
      </w:r>
      <w:r>
        <w:rPr>
          <w:rFonts w:ascii="宋体" w:hAnsi="宋体"/>
          <w:color w:val="auto"/>
          <w:sz w:val="21"/>
          <w:szCs w:val="21"/>
          <w:highlight w:val="none"/>
        </w:rPr>
        <w:t>签字</w:t>
      </w:r>
      <w:r>
        <w:rPr>
          <w:rFonts w:hint="eastAsia" w:ascii="宋体" w:hAnsi="宋体"/>
          <w:color w:val="auto"/>
          <w:sz w:val="21"/>
          <w:szCs w:val="21"/>
          <w:highlight w:val="none"/>
        </w:rPr>
        <w:t>）</w:t>
      </w:r>
      <w:r>
        <w:rPr>
          <w:rFonts w:ascii="宋体" w:hAnsi="宋体"/>
          <w:color w:val="auto"/>
          <w:sz w:val="21"/>
          <w:szCs w:val="21"/>
          <w:highlight w:val="none"/>
        </w:rPr>
        <w:t>：</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p>
    <w:p w14:paraId="2C876A58">
      <w:pPr>
        <w:spacing w:line="360" w:lineRule="auto"/>
        <w:rPr>
          <w:rFonts w:ascii="宋体" w:hAnsi="宋体"/>
          <w:color w:val="auto"/>
          <w:sz w:val="21"/>
          <w:szCs w:val="21"/>
          <w:highlight w:val="none"/>
        </w:rPr>
      </w:pPr>
      <w:r>
        <w:rPr>
          <w:rFonts w:ascii="宋体" w:hAnsi="宋体"/>
          <w:color w:val="auto"/>
          <w:sz w:val="21"/>
          <w:szCs w:val="21"/>
          <w:highlight w:val="none"/>
        </w:rPr>
        <w:t>委托代理人</w:t>
      </w:r>
      <w:r>
        <w:rPr>
          <w:rFonts w:hint="eastAsia" w:ascii="宋体" w:hAnsi="宋体"/>
          <w:color w:val="auto"/>
          <w:sz w:val="21"/>
          <w:szCs w:val="21"/>
          <w:highlight w:val="none"/>
        </w:rPr>
        <w:t>（</w:t>
      </w:r>
      <w:r>
        <w:rPr>
          <w:rFonts w:ascii="宋体" w:hAnsi="宋体"/>
          <w:color w:val="auto"/>
          <w:sz w:val="21"/>
          <w:szCs w:val="21"/>
          <w:highlight w:val="none"/>
        </w:rPr>
        <w:t>签字</w:t>
      </w:r>
      <w:r>
        <w:rPr>
          <w:rFonts w:hint="eastAsia" w:ascii="宋体" w:hAnsi="宋体"/>
          <w:color w:val="auto"/>
          <w:sz w:val="21"/>
          <w:szCs w:val="21"/>
          <w:highlight w:val="none"/>
        </w:rPr>
        <w:t>）</w:t>
      </w:r>
      <w:r>
        <w:rPr>
          <w:rFonts w:ascii="宋体" w:hAnsi="宋体"/>
          <w:color w:val="auto"/>
          <w:sz w:val="21"/>
          <w:szCs w:val="21"/>
          <w:highlight w:val="none"/>
        </w:rPr>
        <w:t>：</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委托代理人</w:t>
      </w:r>
      <w:r>
        <w:rPr>
          <w:rFonts w:hint="eastAsia" w:ascii="宋体" w:hAnsi="宋体"/>
          <w:color w:val="auto"/>
          <w:sz w:val="21"/>
          <w:szCs w:val="21"/>
          <w:highlight w:val="none"/>
        </w:rPr>
        <w:t>（</w:t>
      </w:r>
      <w:r>
        <w:rPr>
          <w:rFonts w:ascii="宋体" w:hAnsi="宋体"/>
          <w:color w:val="auto"/>
          <w:sz w:val="21"/>
          <w:szCs w:val="21"/>
          <w:highlight w:val="none"/>
        </w:rPr>
        <w:t>签字</w:t>
      </w:r>
      <w:r>
        <w:rPr>
          <w:rFonts w:hint="eastAsia" w:ascii="宋体" w:hAnsi="宋体"/>
          <w:color w:val="auto"/>
          <w:sz w:val="21"/>
          <w:szCs w:val="21"/>
          <w:highlight w:val="none"/>
        </w:rPr>
        <w:t>）</w:t>
      </w:r>
      <w:r>
        <w:rPr>
          <w:rFonts w:ascii="宋体" w:hAnsi="宋体"/>
          <w:color w:val="auto"/>
          <w:sz w:val="21"/>
          <w:szCs w:val="21"/>
          <w:highlight w:val="none"/>
        </w:rPr>
        <w:t>：</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p>
    <w:p w14:paraId="6E527DE7">
      <w:pPr>
        <w:spacing w:line="360" w:lineRule="auto"/>
        <w:rPr>
          <w:rFonts w:ascii="宋体" w:hAnsi="宋体"/>
          <w:color w:val="auto"/>
          <w:sz w:val="21"/>
          <w:szCs w:val="21"/>
          <w:highlight w:val="none"/>
        </w:rPr>
      </w:pPr>
      <w:r>
        <w:rPr>
          <w:rFonts w:ascii="宋体" w:hAnsi="宋体"/>
          <w:color w:val="auto"/>
          <w:sz w:val="21"/>
          <w:szCs w:val="21"/>
          <w:highlight w:val="none"/>
        </w:rPr>
        <w:t>电  话：</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电  话：</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p>
    <w:p w14:paraId="01E6EAA2">
      <w:pPr>
        <w:spacing w:line="360" w:lineRule="auto"/>
        <w:rPr>
          <w:rFonts w:ascii="宋体" w:hAnsi="宋体"/>
          <w:color w:val="auto"/>
          <w:sz w:val="21"/>
          <w:szCs w:val="21"/>
          <w:highlight w:val="none"/>
        </w:rPr>
      </w:pPr>
      <w:r>
        <w:rPr>
          <w:rFonts w:ascii="宋体" w:hAnsi="宋体"/>
          <w:color w:val="auto"/>
          <w:sz w:val="21"/>
          <w:szCs w:val="21"/>
          <w:highlight w:val="none"/>
        </w:rPr>
        <w:t>传  真：</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传  真：</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14:paraId="5CC0931A">
      <w:pPr>
        <w:spacing w:line="360" w:lineRule="auto"/>
        <w:rPr>
          <w:rFonts w:ascii="宋体" w:hAnsi="宋体"/>
          <w:color w:val="auto"/>
          <w:sz w:val="21"/>
          <w:szCs w:val="21"/>
          <w:highlight w:val="none"/>
        </w:rPr>
      </w:pPr>
      <w:r>
        <w:rPr>
          <w:rFonts w:ascii="宋体" w:hAnsi="宋体"/>
          <w:color w:val="auto"/>
          <w:sz w:val="21"/>
          <w:szCs w:val="21"/>
          <w:highlight w:val="none"/>
        </w:rPr>
        <w:t>开户银行：</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开户银行：</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p>
    <w:p w14:paraId="4EC3D7FF">
      <w:pPr>
        <w:tabs>
          <w:tab w:val="left" w:pos="2880"/>
          <w:tab w:val="left" w:pos="3060"/>
          <w:tab w:val="left" w:pos="4500"/>
        </w:tabs>
        <w:spacing w:line="360" w:lineRule="auto"/>
        <w:rPr>
          <w:rFonts w:ascii="宋体" w:hAnsi="宋体"/>
          <w:color w:val="auto"/>
          <w:sz w:val="21"/>
          <w:szCs w:val="21"/>
          <w:highlight w:val="none"/>
        </w:rPr>
      </w:pPr>
      <w:r>
        <w:rPr>
          <w:rFonts w:ascii="宋体" w:hAnsi="宋体"/>
          <w:color w:val="auto"/>
          <w:sz w:val="21"/>
          <w:szCs w:val="21"/>
          <w:highlight w:val="none"/>
        </w:rPr>
        <w:t>账  号：</w:t>
      </w:r>
      <w:r>
        <w:rPr>
          <w:rFonts w:ascii="宋体" w:hAnsi="宋体"/>
          <w:color w:val="auto"/>
          <w:sz w:val="21"/>
          <w:szCs w:val="21"/>
          <w:highlight w:val="none"/>
          <w:u w:val="single"/>
        </w:rPr>
        <w:t xml:space="preserve"> 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账  号：</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p>
    <w:p w14:paraId="2C9724E4">
      <w:pPr>
        <w:tabs>
          <w:tab w:val="left" w:pos="7200"/>
          <w:tab w:val="left" w:pos="7380"/>
          <w:tab w:val="left" w:pos="7560"/>
        </w:tabs>
        <w:spacing w:line="360" w:lineRule="auto"/>
        <w:rPr>
          <w:rFonts w:hint="eastAsia" w:ascii="宋体" w:hAnsi="宋体"/>
          <w:color w:val="auto"/>
          <w:sz w:val="21"/>
          <w:szCs w:val="21"/>
          <w:highlight w:val="none"/>
        </w:rPr>
      </w:pPr>
      <w:r>
        <w:rPr>
          <w:rFonts w:ascii="宋体" w:hAnsi="宋体"/>
          <w:color w:val="auto"/>
          <w:sz w:val="21"/>
          <w:szCs w:val="21"/>
          <w:highlight w:val="none"/>
        </w:rPr>
        <w:t>邮政编码：</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邮政编码：</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p>
    <w:p w14:paraId="6A79ED85">
      <w:pPr>
        <w:spacing w:before="120" w:beforeLines="50" w:after="120" w:afterLines="50" w:line="440" w:lineRule="exact"/>
        <w:jc w:val="center"/>
        <w:rPr>
          <w:rFonts w:hint="eastAsia" w:ascii="宋体" w:hAnsi="宋体"/>
          <w:b/>
          <w:bCs/>
          <w:color w:val="auto"/>
          <w:sz w:val="32"/>
          <w:szCs w:val="32"/>
          <w:highlight w:val="none"/>
        </w:rPr>
      </w:pPr>
    </w:p>
    <w:p w14:paraId="4E8946EA">
      <w:pPr>
        <w:spacing w:before="120" w:beforeLines="50" w:after="120" w:afterLines="50" w:line="440" w:lineRule="exact"/>
        <w:jc w:val="center"/>
        <w:rPr>
          <w:rFonts w:hint="eastAsia" w:ascii="宋体" w:hAnsi="宋体"/>
          <w:b/>
          <w:bCs/>
          <w:color w:val="auto"/>
          <w:sz w:val="32"/>
          <w:szCs w:val="32"/>
          <w:highlight w:val="none"/>
        </w:rPr>
      </w:pPr>
    </w:p>
    <w:p w14:paraId="009B3E3C">
      <w:pPr>
        <w:spacing w:before="120" w:beforeLines="50" w:after="120" w:afterLines="50" w:line="440" w:lineRule="exact"/>
        <w:jc w:val="center"/>
        <w:rPr>
          <w:rFonts w:hint="eastAsia" w:ascii="宋体" w:hAnsi="宋体"/>
          <w:b/>
          <w:bCs/>
          <w:color w:val="auto"/>
          <w:sz w:val="32"/>
          <w:szCs w:val="32"/>
          <w:highlight w:val="none"/>
        </w:rPr>
      </w:pPr>
    </w:p>
    <w:p w14:paraId="25C173BB">
      <w:pPr>
        <w:spacing w:before="120" w:beforeLines="50" w:after="120" w:afterLines="50" w:line="440" w:lineRule="exact"/>
        <w:jc w:val="center"/>
        <w:rPr>
          <w:rFonts w:hint="eastAsia" w:ascii="宋体" w:hAnsi="宋体"/>
          <w:b/>
          <w:bCs/>
          <w:color w:val="auto"/>
          <w:sz w:val="32"/>
          <w:szCs w:val="32"/>
          <w:highlight w:val="none"/>
        </w:rPr>
      </w:pPr>
    </w:p>
    <w:p w14:paraId="11FD2F4B">
      <w:pPr>
        <w:spacing w:before="120" w:beforeLines="50" w:after="120" w:afterLines="50" w:line="440" w:lineRule="exact"/>
        <w:jc w:val="center"/>
        <w:rPr>
          <w:rFonts w:hint="eastAsia" w:ascii="宋体" w:hAnsi="宋体"/>
          <w:b/>
          <w:bCs/>
          <w:color w:val="auto"/>
          <w:sz w:val="32"/>
          <w:szCs w:val="32"/>
          <w:highlight w:val="none"/>
        </w:rPr>
      </w:pPr>
    </w:p>
    <w:p w14:paraId="725F4977">
      <w:pPr>
        <w:spacing w:before="120" w:beforeLines="50" w:after="120" w:afterLines="50" w:line="440" w:lineRule="exact"/>
        <w:jc w:val="center"/>
        <w:rPr>
          <w:rFonts w:hint="eastAsia" w:ascii="宋体" w:hAnsi="宋体"/>
          <w:b/>
          <w:bCs/>
          <w:color w:val="auto"/>
          <w:sz w:val="32"/>
          <w:szCs w:val="32"/>
          <w:highlight w:val="none"/>
        </w:rPr>
      </w:pPr>
    </w:p>
    <w:p w14:paraId="233D777A">
      <w:pPr>
        <w:pStyle w:val="59"/>
        <w:rPr>
          <w:rFonts w:hint="eastAsia" w:ascii="宋体" w:hAnsi="宋体"/>
          <w:b/>
          <w:bCs/>
          <w:color w:val="auto"/>
          <w:sz w:val="32"/>
          <w:szCs w:val="32"/>
          <w:highlight w:val="none"/>
        </w:rPr>
      </w:pPr>
    </w:p>
    <w:p w14:paraId="7C4187FD">
      <w:pPr>
        <w:pStyle w:val="59"/>
        <w:rPr>
          <w:rFonts w:hint="eastAsia" w:ascii="宋体" w:hAnsi="宋体"/>
          <w:b/>
          <w:bCs/>
          <w:color w:val="auto"/>
          <w:sz w:val="32"/>
          <w:szCs w:val="32"/>
          <w:highlight w:val="none"/>
        </w:rPr>
      </w:pPr>
    </w:p>
    <w:p w14:paraId="46CCA438">
      <w:pPr>
        <w:pStyle w:val="59"/>
        <w:rPr>
          <w:rFonts w:hint="eastAsia" w:ascii="宋体" w:hAnsi="宋体"/>
          <w:b/>
          <w:bCs/>
          <w:color w:val="auto"/>
          <w:sz w:val="32"/>
          <w:szCs w:val="32"/>
          <w:highlight w:val="none"/>
        </w:rPr>
      </w:pPr>
    </w:p>
    <w:p w14:paraId="4EF1E117">
      <w:pPr>
        <w:spacing w:before="120" w:beforeLines="50" w:after="120" w:afterLines="50" w:line="440" w:lineRule="exact"/>
        <w:jc w:val="center"/>
        <w:rPr>
          <w:rFonts w:hint="eastAsia" w:ascii="宋体" w:hAnsi="宋体"/>
          <w:b/>
          <w:bCs/>
          <w:color w:val="auto"/>
          <w:sz w:val="32"/>
          <w:szCs w:val="32"/>
          <w:highlight w:val="none"/>
        </w:rPr>
      </w:pPr>
    </w:p>
    <w:p w14:paraId="0613256A">
      <w:pPr>
        <w:spacing w:before="120" w:beforeLines="50" w:after="120" w:afterLines="50" w:line="440" w:lineRule="exact"/>
        <w:jc w:val="center"/>
        <w:rPr>
          <w:rFonts w:hint="eastAsia" w:ascii="宋体" w:hAnsi="宋体"/>
          <w:b/>
          <w:bCs/>
          <w:color w:val="auto"/>
          <w:sz w:val="32"/>
          <w:szCs w:val="32"/>
          <w:highlight w:val="none"/>
        </w:rPr>
      </w:pPr>
    </w:p>
    <w:p w14:paraId="144FB8D8">
      <w:pPr>
        <w:spacing w:before="120" w:beforeLines="50" w:after="120" w:afterLines="50" w:line="4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工程质量保修书（市政公用工程）</w:t>
      </w:r>
    </w:p>
    <w:p w14:paraId="336A9004">
      <w:pPr>
        <w:spacing w:line="360" w:lineRule="auto"/>
        <w:ind w:firstLine="480" w:firstLineChars="200"/>
        <w:rPr>
          <w:rFonts w:ascii="宋体" w:hAnsi="宋体"/>
          <w:color w:val="auto"/>
          <w:sz w:val="24"/>
          <w:szCs w:val="24"/>
          <w:highlight w:val="none"/>
        </w:rPr>
      </w:pPr>
    </w:p>
    <w:p w14:paraId="719225BB">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发包人（全称）：</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p>
    <w:p w14:paraId="1BDF4503">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承包人（全称）：</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p>
    <w:p w14:paraId="30653967">
      <w:pPr>
        <w:spacing w:line="360" w:lineRule="auto"/>
        <w:rPr>
          <w:rFonts w:ascii="宋体" w:hAnsi="宋体"/>
          <w:color w:val="auto"/>
          <w:sz w:val="21"/>
          <w:szCs w:val="21"/>
          <w:highlight w:val="none"/>
        </w:rPr>
      </w:pPr>
    </w:p>
    <w:p w14:paraId="53CE263D">
      <w:pPr>
        <w:spacing w:line="360" w:lineRule="auto"/>
        <w:ind w:firstLine="420"/>
        <w:rPr>
          <w:rFonts w:ascii="宋体" w:hAnsi="宋体"/>
          <w:color w:val="auto"/>
          <w:sz w:val="21"/>
          <w:szCs w:val="21"/>
          <w:highlight w:val="none"/>
        </w:rPr>
      </w:pPr>
      <w:r>
        <w:rPr>
          <w:rFonts w:ascii="宋体" w:hAnsi="宋体"/>
          <w:color w:val="auto"/>
          <w:sz w:val="21"/>
          <w:szCs w:val="21"/>
          <w:highlight w:val="none"/>
        </w:rPr>
        <w:t>发包人和承包人根据《中华人民共和国建筑法》和《建设工程质量管理条例》，经协商一致就</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（工程全称）签订工程质量保修书。</w:t>
      </w:r>
    </w:p>
    <w:p w14:paraId="7FC8B83A">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一、工程质量保修范围和内容</w:t>
      </w:r>
    </w:p>
    <w:p w14:paraId="424E995F">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承包人在质量保修期内，按照有关法律规定和合同约定，承担工程质量保修责任。</w:t>
      </w:r>
    </w:p>
    <w:p w14:paraId="04289ED4">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质量保修范围包括</w:t>
      </w:r>
      <w:r>
        <w:rPr>
          <w:rFonts w:hint="eastAsia" w:ascii="宋体" w:hAnsi="宋体"/>
          <w:color w:val="auto"/>
          <w:sz w:val="21"/>
          <w:szCs w:val="21"/>
          <w:highlight w:val="none"/>
          <w:u w:val="single"/>
        </w:rPr>
        <w:t xml:space="preserve">                                </w:t>
      </w:r>
      <w:r>
        <w:rPr>
          <w:rFonts w:ascii="宋体" w:hAnsi="宋体"/>
          <w:color w:val="auto"/>
          <w:sz w:val="21"/>
          <w:szCs w:val="21"/>
          <w:highlight w:val="none"/>
        </w:rPr>
        <w:t>，以及双方约定的其他项目。具体保修的内容，双方约定如下：</w:t>
      </w:r>
    </w:p>
    <w:p w14:paraId="7BDF6E05">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w:t>
      </w:r>
    </w:p>
    <w:p w14:paraId="0FF48373">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二、质量保修期</w:t>
      </w:r>
    </w:p>
    <w:p w14:paraId="02DA2EA9">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根据《建设工程质量管理条例》及有关规定，工程的质量保修期如下：</w:t>
      </w:r>
    </w:p>
    <w:p w14:paraId="5AE8B36D">
      <w:pPr>
        <w:spacing w:line="360" w:lineRule="auto"/>
        <w:ind w:firstLine="426"/>
        <w:rPr>
          <w:rFonts w:ascii="宋体" w:hAnsi="宋体"/>
          <w:color w:val="auto"/>
          <w:sz w:val="21"/>
          <w:szCs w:val="21"/>
          <w:highlight w:val="none"/>
        </w:rPr>
      </w:pPr>
      <w:r>
        <w:rPr>
          <w:rFonts w:hint="eastAsia" w:ascii="宋体" w:hAnsi="宋体"/>
          <w:color w:val="auto"/>
          <w:sz w:val="21"/>
          <w:szCs w:val="21"/>
          <w:highlight w:val="none"/>
        </w:rPr>
        <w:t>1．桥梁工程为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年（建议桥梁隧道主体结构工程为设计文件规定的合理使用年限）；</w:t>
      </w:r>
    </w:p>
    <w:p w14:paraId="4E7D634C">
      <w:pPr>
        <w:spacing w:line="360" w:lineRule="auto"/>
        <w:ind w:firstLine="426"/>
        <w:rPr>
          <w:rFonts w:ascii="宋体" w:hAnsi="宋体"/>
          <w:color w:val="auto"/>
          <w:sz w:val="21"/>
          <w:szCs w:val="21"/>
          <w:highlight w:val="none"/>
        </w:rPr>
      </w:pPr>
      <w:r>
        <w:rPr>
          <w:rFonts w:hint="eastAsia" w:ascii="宋体" w:hAnsi="宋体"/>
          <w:color w:val="auto"/>
          <w:sz w:val="21"/>
          <w:szCs w:val="21"/>
          <w:highlight w:val="none"/>
        </w:rPr>
        <w:t>2．道路工程为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年（建议路基、路面、桥面为</w:t>
      </w:r>
      <w:r>
        <w:rPr>
          <w:rFonts w:ascii="宋体" w:hAnsi="宋体"/>
          <w:color w:val="auto"/>
          <w:sz w:val="21"/>
          <w:szCs w:val="21"/>
          <w:highlight w:val="none"/>
        </w:rPr>
        <w:t>2</w:t>
      </w:r>
      <w:r>
        <w:rPr>
          <w:rFonts w:hint="eastAsia" w:ascii="宋体" w:hAnsi="宋体"/>
          <w:color w:val="auto"/>
          <w:sz w:val="21"/>
          <w:szCs w:val="21"/>
          <w:highlight w:val="none"/>
        </w:rPr>
        <w:t>年）；</w:t>
      </w:r>
    </w:p>
    <w:p w14:paraId="4558A788">
      <w:pPr>
        <w:spacing w:line="360" w:lineRule="auto"/>
        <w:ind w:firstLine="426"/>
        <w:rPr>
          <w:rFonts w:ascii="宋体" w:hAnsi="宋体"/>
          <w:color w:val="auto"/>
          <w:sz w:val="21"/>
          <w:szCs w:val="21"/>
          <w:highlight w:val="none"/>
        </w:rPr>
      </w:pPr>
      <w:r>
        <w:rPr>
          <w:rFonts w:hint="eastAsia" w:ascii="宋体" w:hAnsi="宋体"/>
          <w:color w:val="auto"/>
          <w:sz w:val="21"/>
          <w:szCs w:val="21"/>
          <w:highlight w:val="none"/>
        </w:rPr>
        <w:t>3．排水（雨水）工程为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年（建议道路工程中的排水工程为</w:t>
      </w:r>
      <w:r>
        <w:rPr>
          <w:rFonts w:ascii="宋体" w:hAnsi="宋体"/>
          <w:color w:val="auto"/>
          <w:sz w:val="21"/>
          <w:szCs w:val="21"/>
          <w:highlight w:val="none"/>
        </w:rPr>
        <w:t>3</w:t>
      </w:r>
      <w:r>
        <w:rPr>
          <w:rFonts w:hint="eastAsia" w:ascii="宋体" w:hAnsi="宋体"/>
          <w:color w:val="auto"/>
          <w:sz w:val="21"/>
          <w:szCs w:val="21"/>
          <w:highlight w:val="none"/>
        </w:rPr>
        <w:t>年）；</w:t>
      </w:r>
    </w:p>
    <w:p w14:paraId="7CEFD2B0">
      <w:pPr>
        <w:spacing w:line="360" w:lineRule="auto"/>
        <w:ind w:firstLine="426"/>
        <w:rPr>
          <w:rFonts w:ascii="宋体" w:hAnsi="宋体"/>
          <w:color w:val="auto"/>
          <w:sz w:val="21"/>
          <w:szCs w:val="21"/>
          <w:highlight w:val="none"/>
        </w:rPr>
      </w:pPr>
      <w:r>
        <w:rPr>
          <w:rFonts w:hint="eastAsia" w:ascii="宋体" w:hAnsi="宋体"/>
          <w:color w:val="auto"/>
          <w:sz w:val="21"/>
          <w:szCs w:val="21"/>
          <w:highlight w:val="none"/>
        </w:rPr>
        <w:t xml:space="preserve">4．绿化工程为 </w:t>
      </w:r>
      <w:r>
        <w:rPr>
          <w:rFonts w:hint="eastAsia" w:ascii="宋体" w:hAnsi="宋体"/>
          <w:color w:val="auto"/>
          <w:sz w:val="21"/>
          <w:szCs w:val="21"/>
          <w:highlight w:val="none"/>
          <w:u w:val="single"/>
        </w:rPr>
        <w:t>单位工程竣工验收合格后    年</w:t>
      </w:r>
      <w:r>
        <w:rPr>
          <w:rFonts w:hint="eastAsia" w:ascii="宋体" w:hAnsi="宋体"/>
          <w:color w:val="auto"/>
          <w:sz w:val="21"/>
          <w:szCs w:val="21"/>
          <w:highlight w:val="none"/>
        </w:rPr>
        <w:t>；</w:t>
      </w:r>
    </w:p>
    <w:p w14:paraId="4F188A56">
      <w:pPr>
        <w:spacing w:line="360" w:lineRule="auto"/>
        <w:ind w:firstLine="426"/>
        <w:rPr>
          <w:rFonts w:ascii="宋体" w:hAnsi="宋体"/>
          <w:color w:val="auto"/>
          <w:sz w:val="21"/>
          <w:szCs w:val="21"/>
          <w:highlight w:val="none"/>
        </w:rPr>
      </w:pPr>
      <w:r>
        <w:rPr>
          <w:rFonts w:hint="eastAsia" w:ascii="宋体" w:hAnsi="宋体"/>
          <w:color w:val="auto"/>
          <w:sz w:val="21"/>
          <w:szCs w:val="21"/>
          <w:highlight w:val="none"/>
        </w:rPr>
        <w:t>5.  地下防水工程为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年（建议为5年）；</w:t>
      </w:r>
    </w:p>
    <w:p w14:paraId="5B3EE623">
      <w:pPr>
        <w:spacing w:line="360" w:lineRule="auto"/>
        <w:ind w:firstLine="426"/>
        <w:rPr>
          <w:rFonts w:ascii="宋体" w:hAnsi="宋体"/>
          <w:color w:val="auto"/>
          <w:sz w:val="21"/>
          <w:szCs w:val="21"/>
          <w:highlight w:val="none"/>
        </w:rPr>
      </w:pPr>
      <w:r>
        <w:rPr>
          <w:rFonts w:hint="eastAsia" w:ascii="宋体" w:hAnsi="宋体"/>
          <w:color w:val="auto"/>
          <w:sz w:val="21"/>
          <w:szCs w:val="21"/>
          <w:highlight w:val="none"/>
        </w:rPr>
        <w:t>6．其他附属工程为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p>
    <w:p w14:paraId="7C6493F8">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color w:val="auto"/>
          <w:sz w:val="21"/>
          <w:szCs w:val="21"/>
          <w:highlight w:val="none"/>
        </w:rPr>
        <w:t>其他项目保修期限约定如下：</w:t>
      </w:r>
    </w:p>
    <w:p w14:paraId="0D6EBB1D">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w:t>
      </w:r>
    </w:p>
    <w:p w14:paraId="373A676E">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质量保修期自工程竣工验收合格之日起计算。</w:t>
      </w:r>
    </w:p>
    <w:p w14:paraId="0D3C4497">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三、缺陷责任期</w:t>
      </w:r>
    </w:p>
    <w:p w14:paraId="2FACF79D">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工程缺陷责任期为</w:t>
      </w:r>
      <w:r>
        <w:rPr>
          <w:rFonts w:ascii="宋体" w:hAnsi="宋体"/>
          <w:color w:val="auto"/>
          <w:sz w:val="21"/>
          <w:szCs w:val="21"/>
          <w:highlight w:val="none"/>
          <w:u w:val="single"/>
        </w:rPr>
        <w:t xml:space="preserve">         </w:t>
      </w:r>
      <w:r>
        <w:rPr>
          <w:rFonts w:ascii="宋体" w:hAnsi="宋体"/>
          <w:color w:val="auto"/>
          <w:sz w:val="21"/>
          <w:szCs w:val="21"/>
          <w:highlight w:val="none"/>
        </w:rPr>
        <w:t>个月</w:t>
      </w:r>
      <w:r>
        <w:rPr>
          <w:rFonts w:hint="eastAsia" w:ascii="宋体" w:hAnsi="宋体"/>
          <w:color w:val="auto"/>
          <w:sz w:val="21"/>
          <w:szCs w:val="21"/>
          <w:highlight w:val="none"/>
        </w:rPr>
        <w:t>（最长不超过24个月）</w:t>
      </w:r>
      <w:r>
        <w:rPr>
          <w:rFonts w:ascii="宋体" w:hAnsi="宋体"/>
          <w:color w:val="auto"/>
          <w:sz w:val="21"/>
          <w:szCs w:val="21"/>
          <w:highlight w:val="none"/>
        </w:rPr>
        <w:t>，缺陷责任期自工程竣工验收合格之日起计算。单位工程先于全部工程进行验收，单位工程缺陷责任期自单位工程验收合格之日起算。</w:t>
      </w:r>
    </w:p>
    <w:p w14:paraId="09EFAACA">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缺陷责任期终止后，发包人应退还剩余的质量保证金。</w:t>
      </w:r>
    </w:p>
    <w:p w14:paraId="719C367F">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四、质量保修责任</w:t>
      </w:r>
    </w:p>
    <w:p w14:paraId="38476335">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属于保修范围、内容的项目，承包人应当在接到保修通知之日起</w:t>
      </w:r>
      <w:r>
        <w:rPr>
          <w:rFonts w:hint="eastAsia" w:ascii="宋体" w:hAnsi="宋体"/>
          <w:color w:val="auto"/>
          <w:sz w:val="21"/>
          <w:szCs w:val="21"/>
          <w:highlight w:val="none"/>
          <w:u w:val="single"/>
        </w:rPr>
        <w:t xml:space="preserve">      </w:t>
      </w:r>
      <w:r>
        <w:rPr>
          <w:rFonts w:ascii="宋体" w:hAnsi="宋体"/>
          <w:color w:val="auto"/>
          <w:sz w:val="21"/>
          <w:szCs w:val="21"/>
          <w:highlight w:val="none"/>
        </w:rPr>
        <w:t>天内派人保修。承包人不在约定期限内派人保修的，发包人可以委托他人修理</w:t>
      </w:r>
      <w:r>
        <w:rPr>
          <w:rFonts w:hint="eastAsia" w:ascii="宋体" w:hAnsi="宋体"/>
          <w:color w:val="auto"/>
          <w:sz w:val="21"/>
          <w:szCs w:val="21"/>
          <w:highlight w:val="none"/>
        </w:rPr>
        <w:t>，修理费用从质量保修金内扣除</w:t>
      </w:r>
      <w:r>
        <w:rPr>
          <w:rFonts w:ascii="宋体" w:hAnsi="宋体"/>
          <w:color w:val="auto"/>
          <w:sz w:val="21"/>
          <w:szCs w:val="21"/>
          <w:highlight w:val="none"/>
        </w:rPr>
        <w:t>。</w:t>
      </w:r>
    </w:p>
    <w:p w14:paraId="6B2DA042">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发生紧急事故需抢修的，承包人在接到事故通知后，应当立即到达事故现场抢修。</w:t>
      </w:r>
    </w:p>
    <w:p w14:paraId="259B5A5D">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D8D35B1">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质量保修完成后，由发包人组织验收。</w:t>
      </w:r>
    </w:p>
    <w:p w14:paraId="372D2C03">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五、保修费用</w:t>
      </w:r>
    </w:p>
    <w:p w14:paraId="22C00CE4">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保修费用由造成质量缺陷的责任方承担。</w:t>
      </w:r>
    </w:p>
    <w:p w14:paraId="22BF201B">
      <w:pPr>
        <w:spacing w:line="360"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rPr>
        <w:t>六、双方约定的其他工程质量保修事项：</w:t>
      </w:r>
      <w:r>
        <w:rPr>
          <w:rFonts w:hint="eastAsia" w:ascii="宋体" w:hAnsi="宋体"/>
          <w:color w:val="auto"/>
          <w:sz w:val="21"/>
          <w:szCs w:val="21"/>
          <w:highlight w:val="none"/>
          <w:u w:val="single"/>
        </w:rPr>
        <w:t xml:space="preserve">                                          </w:t>
      </w:r>
    </w:p>
    <w:p w14:paraId="615F8CD4">
      <w:pPr>
        <w:spacing w:line="360" w:lineRule="auto"/>
        <w:rPr>
          <w:rFonts w:ascii="宋体" w:hAnsi="宋体"/>
          <w:color w:val="auto"/>
          <w:sz w:val="21"/>
          <w:szCs w:val="21"/>
          <w:highlight w:val="none"/>
        </w:rPr>
      </w:pP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w:t>
      </w:r>
    </w:p>
    <w:p w14:paraId="0FFFA3A3">
      <w:pPr>
        <w:spacing w:line="360" w:lineRule="auto"/>
        <w:ind w:firstLine="399" w:firstLineChars="190"/>
        <w:rPr>
          <w:rFonts w:ascii="宋体" w:hAnsi="宋体"/>
          <w:color w:val="auto"/>
          <w:sz w:val="21"/>
          <w:szCs w:val="21"/>
          <w:highlight w:val="none"/>
        </w:rPr>
      </w:pPr>
      <w:r>
        <w:rPr>
          <w:rFonts w:ascii="宋体" w:hAnsi="宋体"/>
          <w:color w:val="auto"/>
          <w:sz w:val="21"/>
          <w:szCs w:val="21"/>
          <w:highlight w:val="none"/>
        </w:rPr>
        <w:t>工程质量保修书由发包人、承包人在工程竣工验收前共同签署，作为施工合同附件，其有效期限至保修期满。</w:t>
      </w:r>
    </w:p>
    <w:p w14:paraId="05AFE785">
      <w:pPr>
        <w:spacing w:line="360" w:lineRule="auto"/>
        <w:ind w:firstLine="420"/>
        <w:rPr>
          <w:rFonts w:ascii="宋体" w:hAnsi="宋体"/>
          <w:color w:val="auto"/>
          <w:sz w:val="21"/>
          <w:szCs w:val="21"/>
          <w:highlight w:val="none"/>
        </w:rPr>
      </w:pPr>
    </w:p>
    <w:p w14:paraId="0B86FE24">
      <w:pPr>
        <w:spacing w:line="360" w:lineRule="auto"/>
        <w:ind w:firstLine="420"/>
        <w:rPr>
          <w:rFonts w:ascii="宋体" w:hAnsi="宋体"/>
          <w:color w:val="auto"/>
          <w:sz w:val="21"/>
          <w:szCs w:val="21"/>
          <w:highlight w:val="none"/>
        </w:rPr>
      </w:pPr>
    </w:p>
    <w:p w14:paraId="5EF1E7B6">
      <w:pPr>
        <w:spacing w:line="360" w:lineRule="auto"/>
        <w:ind w:firstLine="210" w:firstLineChars="100"/>
        <w:rPr>
          <w:rFonts w:hint="eastAsia" w:ascii="宋体" w:hAnsi="宋体" w:eastAsia="宋体"/>
          <w:color w:val="auto"/>
          <w:sz w:val="21"/>
          <w:szCs w:val="21"/>
          <w:highlight w:val="none"/>
          <w:lang w:val="en-US" w:eastAsia="zh-CN"/>
        </w:rPr>
      </w:pPr>
      <w:r>
        <w:rPr>
          <w:rFonts w:ascii="宋体" w:hAnsi="宋体"/>
          <w:color w:val="auto"/>
          <w:sz w:val="21"/>
          <w:szCs w:val="21"/>
          <w:highlight w:val="none"/>
        </w:rPr>
        <w:t>发包人</w:t>
      </w:r>
      <w:r>
        <w:rPr>
          <w:rFonts w:hint="eastAsia" w:ascii="宋体" w:hAnsi="宋体"/>
          <w:color w:val="auto"/>
          <w:sz w:val="21"/>
          <w:szCs w:val="21"/>
          <w:highlight w:val="none"/>
        </w:rPr>
        <w:t>（</w:t>
      </w:r>
      <w:r>
        <w:rPr>
          <w:rFonts w:ascii="宋体" w:hAnsi="宋体"/>
          <w:color w:val="auto"/>
          <w:sz w:val="21"/>
          <w:szCs w:val="21"/>
          <w:highlight w:val="none"/>
        </w:rPr>
        <w:t>公章</w:t>
      </w:r>
      <w:r>
        <w:rPr>
          <w:rFonts w:hint="eastAsia" w:ascii="宋体" w:hAnsi="宋体"/>
          <w:color w:val="auto"/>
          <w:sz w:val="21"/>
          <w:szCs w:val="21"/>
          <w:highlight w:val="none"/>
        </w:rPr>
        <w:t>）</w:t>
      </w:r>
      <w:r>
        <w:rPr>
          <w:rFonts w:ascii="宋体" w:hAnsi="宋体"/>
          <w:color w:val="auto"/>
          <w:sz w:val="21"/>
          <w:szCs w:val="21"/>
          <w:highlight w:val="none"/>
        </w:rPr>
        <w:t>：</w:t>
      </w:r>
      <w:r>
        <w:rPr>
          <w:rFonts w:ascii="宋体" w:hAnsi="宋体"/>
          <w:color w:val="auto"/>
          <w:sz w:val="21"/>
          <w:szCs w:val="21"/>
          <w:highlight w:val="none"/>
          <w:u w:val="single"/>
        </w:rPr>
        <w:t xml:space="preserve">  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承包人</w:t>
      </w:r>
      <w:r>
        <w:rPr>
          <w:rFonts w:hint="eastAsia" w:ascii="宋体" w:hAnsi="宋体"/>
          <w:color w:val="auto"/>
          <w:sz w:val="21"/>
          <w:szCs w:val="21"/>
          <w:highlight w:val="none"/>
        </w:rPr>
        <w:t>（</w:t>
      </w:r>
      <w:r>
        <w:rPr>
          <w:rFonts w:ascii="宋体" w:hAnsi="宋体"/>
          <w:color w:val="auto"/>
          <w:sz w:val="21"/>
          <w:szCs w:val="21"/>
          <w:highlight w:val="none"/>
        </w:rPr>
        <w:t>公章</w:t>
      </w:r>
      <w:r>
        <w:rPr>
          <w:rFonts w:hint="eastAsia" w:ascii="宋体" w:hAnsi="宋体"/>
          <w:color w:val="auto"/>
          <w:sz w:val="21"/>
          <w:szCs w:val="21"/>
          <w:highlight w:val="none"/>
        </w:rPr>
        <w:t>）</w:t>
      </w:r>
      <w:r>
        <w:rPr>
          <w:rFonts w:ascii="宋体" w:hAnsi="宋体"/>
          <w:color w:val="auto"/>
          <w:sz w:val="21"/>
          <w:szCs w:val="21"/>
          <w:highlight w:val="none"/>
        </w:rPr>
        <w:t>：</w:t>
      </w:r>
      <w:r>
        <w:rPr>
          <w:rFonts w:ascii="宋体" w:hAnsi="宋体"/>
          <w:color w:val="auto"/>
          <w:sz w:val="21"/>
          <w:szCs w:val="21"/>
          <w:highlight w:val="none"/>
          <w:u w:val="single"/>
        </w:rPr>
        <w:t>          </w:t>
      </w:r>
      <w:r>
        <w:rPr>
          <w:rFonts w:hint="eastAsia" w:ascii="宋体" w:hAnsi="宋体"/>
          <w:color w:val="auto"/>
          <w:sz w:val="21"/>
          <w:szCs w:val="21"/>
          <w:highlight w:val="none"/>
          <w:u w:val="single"/>
          <w:lang w:val="en-US" w:eastAsia="zh-CN"/>
        </w:rPr>
        <w:t xml:space="preserve"> </w:t>
      </w:r>
    </w:p>
    <w:p w14:paraId="54F78250">
      <w:pPr>
        <w:spacing w:line="360" w:lineRule="auto"/>
        <w:ind w:firstLine="210" w:firstLineChars="100"/>
        <w:rPr>
          <w:rFonts w:hint="default" w:ascii="宋体" w:hAnsi="宋体" w:eastAsia="宋体"/>
          <w:color w:val="auto"/>
          <w:sz w:val="21"/>
          <w:szCs w:val="21"/>
          <w:highlight w:val="none"/>
          <w:lang w:val="en-US" w:eastAsia="zh-CN"/>
        </w:rPr>
      </w:pPr>
      <w:r>
        <w:rPr>
          <w:rFonts w:ascii="宋体" w:hAnsi="宋体"/>
          <w:color w:val="auto"/>
          <w:sz w:val="21"/>
          <w:szCs w:val="21"/>
          <w:highlight w:val="none"/>
        </w:rPr>
        <w:t>地  址：</w:t>
      </w:r>
      <w:r>
        <w:rPr>
          <w:rFonts w:ascii="宋体" w:hAnsi="宋体"/>
          <w:color w:val="auto"/>
          <w:sz w:val="21"/>
          <w:szCs w:val="21"/>
          <w:highlight w:val="none"/>
          <w:u w:val="single"/>
        </w:rPr>
        <w:t xml:space="preserve"> 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地  址：</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 xml:space="preserve">    </w:t>
      </w:r>
    </w:p>
    <w:p w14:paraId="69DF9E1A">
      <w:pPr>
        <w:spacing w:line="360" w:lineRule="auto"/>
        <w:ind w:firstLine="210" w:firstLineChars="100"/>
        <w:rPr>
          <w:rFonts w:hint="eastAsia" w:ascii="宋体" w:hAnsi="宋体" w:eastAsia="宋体"/>
          <w:color w:val="auto"/>
          <w:sz w:val="21"/>
          <w:szCs w:val="21"/>
          <w:highlight w:val="none"/>
          <w:lang w:val="en-US" w:eastAsia="zh-CN"/>
        </w:rPr>
      </w:pPr>
      <w:r>
        <w:rPr>
          <w:rFonts w:ascii="宋体" w:hAnsi="宋体"/>
          <w:color w:val="auto"/>
          <w:sz w:val="21"/>
          <w:szCs w:val="21"/>
          <w:highlight w:val="none"/>
        </w:rPr>
        <w:t>法定代表人</w:t>
      </w:r>
      <w:r>
        <w:rPr>
          <w:rFonts w:hint="eastAsia" w:ascii="宋体" w:hAnsi="宋体"/>
          <w:color w:val="auto"/>
          <w:sz w:val="21"/>
          <w:szCs w:val="21"/>
          <w:highlight w:val="none"/>
        </w:rPr>
        <w:t>（</w:t>
      </w:r>
      <w:r>
        <w:rPr>
          <w:rFonts w:ascii="宋体" w:hAnsi="宋体"/>
          <w:color w:val="auto"/>
          <w:sz w:val="21"/>
          <w:szCs w:val="21"/>
          <w:highlight w:val="none"/>
        </w:rPr>
        <w:t>签字</w:t>
      </w:r>
      <w:r>
        <w:rPr>
          <w:rFonts w:hint="eastAsia" w:ascii="宋体" w:hAnsi="宋体"/>
          <w:color w:val="auto"/>
          <w:sz w:val="21"/>
          <w:szCs w:val="21"/>
          <w:highlight w:val="none"/>
        </w:rPr>
        <w:t>）</w:t>
      </w:r>
      <w:r>
        <w:rPr>
          <w:rFonts w:ascii="宋体" w:hAnsi="宋体"/>
          <w:color w:val="auto"/>
          <w:sz w:val="21"/>
          <w:szCs w:val="21"/>
          <w:highlight w:val="none"/>
        </w:rPr>
        <w:t>：</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法定代表人</w:t>
      </w:r>
      <w:r>
        <w:rPr>
          <w:rFonts w:hint="eastAsia" w:ascii="宋体" w:hAnsi="宋体"/>
          <w:color w:val="auto"/>
          <w:sz w:val="21"/>
          <w:szCs w:val="21"/>
          <w:highlight w:val="none"/>
        </w:rPr>
        <w:t>（</w:t>
      </w:r>
      <w:r>
        <w:rPr>
          <w:rFonts w:ascii="宋体" w:hAnsi="宋体"/>
          <w:color w:val="auto"/>
          <w:sz w:val="21"/>
          <w:szCs w:val="21"/>
          <w:highlight w:val="none"/>
        </w:rPr>
        <w:t>签字</w:t>
      </w:r>
      <w:r>
        <w:rPr>
          <w:rFonts w:hint="eastAsia" w:ascii="宋体" w:hAnsi="宋体"/>
          <w:color w:val="auto"/>
          <w:sz w:val="21"/>
          <w:szCs w:val="21"/>
          <w:highlight w:val="none"/>
        </w:rPr>
        <w:t>）</w:t>
      </w:r>
      <w:r>
        <w:rPr>
          <w:rFonts w:ascii="宋体" w:hAnsi="宋体"/>
          <w:color w:val="auto"/>
          <w:sz w:val="21"/>
          <w:szCs w:val="21"/>
          <w:highlight w:val="none"/>
        </w:rPr>
        <w:t>：</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 xml:space="preserve"> </w:t>
      </w:r>
    </w:p>
    <w:p w14:paraId="24912AF7">
      <w:pPr>
        <w:spacing w:line="360" w:lineRule="auto"/>
        <w:ind w:firstLine="210" w:firstLineChars="100"/>
        <w:rPr>
          <w:rFonts w:ascii="宋体" w:hAnsi="宋体"/>
          <w:color w:val="auto"/>
          <w:sz w:val="21"/>
          <w:szCs w:val="21"/>
          <w:highlight w:val="none"/>
        </w:rPr>
      </w:pPr>
      <w:r>
        <w:rPr>
          <w:rFonts w:ascii="宋体" w:hAnsi="宋体"/>
          <w:color w:val="auto"/>
          <w:sz w:val="21"/>
          <w:szCs w:val="21"/>
          <w:highlight w:val="none"/>
        </w:rPr>
        <w:t>委托代理人</w:t>
      </w:r>
      <w:r>
        <w:rPr>
          <w:rFonts w:hint="eastAsia" w:ascii="宋体" w:hAnsi="宋体"/>
          <w:color w:val="auto"/>
          <w:sz w:val="21"/>
          <w:szCs w:val="21"/>
          <w:highlight w:val="none"/>
        </w:rPr>
        <w:t>（</w:t>
      </w:r>
      <w:r>
        <w:rPr>
          <w:rFonts w:ascii="宋体" w:hAnsi="宋体"/>
          <w:color w:val="auto"/>
          <w:sz w:val="21"/>
          <w:szCs w:val="21"/>
          <w:highlight w:val="none"/>
        </w:rPr>
        <w:t>签字</w:t>
      </w:r>
      <w:r>
        <w:rPr>
          <w:rFonts w:hint="eastAsia" w:ascii="宋体" w:hAnsi="宋体"/>
          <w:color w:val="auto"/>
          <w:sz w:val="21"/>
          <w:szCs w:val="21"/>
          <w:highlight w:val="none"/>
        </w:rPr>
        <w:t>）</w:t>
      </w:r>
      <w:r>
        <w:rPr>
          <w:rFonts w:ascii="宋体" w:hAnsi="宋体"/>
          <w:color w:val="auto"/>
          <w:sz w:val="21"/>
          <w:szCs w:val="21"/>
          <w:highlight w:val="none"/>
        </w:rPr>
        <w:t>：</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委托代理人</w:t>
      </w:r>
      <w:r>
        <w:rPr>
          <w:rFonts w:hint="eastAsia" w:ascii="宋体" w:hAnsi="宋体"/>
          <w:color w:val="auto"/>
          <w:sz w:val="21"/>
          <w:szCs w:val="21"/>
          <w:highlight w:val="none"/>
        </w:rPr>
        <w:t>（</w:t>
      </w:r>
      <w:r>
        <w:rPr>
          <w:rFonts w:ascii="宋体" w:hAnsi="宋体"/>
          <w:color w:val="auto"/>
          <w:sz w:val="21"/>
          <w:szCs w:val="21"/>
          <w:highlight w:val="none"/>
        </w:rPr>
        <w:t>签字</w:t>
      </w:r>
      <w:r>
        <w:rPr>
          <w:rFonts w:hint="eastAsia" w:ascii="宋体" w:hAnsi="宋体"/>
          <w:color w:val="auto"/>
          <w:sz w:val="21"/>
          <w:szCs w:val="21"/>
          <w:highlight w:val="none"/>
        </w:rPr>
        <w:t>）</w:t>
      </w:r>
      <w:r>
        <w:rPr>
          <w:rFonts w:ascii="宋体" w:hAnsi="宋体"/>
          <w:color w:val="auto"/>
          <w:sz w:val="21"/>
          <w:szCs w:val="21"/>
          <w:highlight w:val="none"/>
        </w:rPr>
        <w:t>：</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ascii="宋体" w:hAnsi="宋体"/>
          <w:color w:val="auto"/>
          <w:sz w:val="21"/>
          <w:szCs w:val="21"/>
          <w:highlight w:val="none"/>
          <w:u w:val="single"/>
        </w:rPr>
        <w:t></w:t>
      </w:r>
    </w:p>
    <w:p w14:paraId="4C6F2331">
      <w:pPr>
        <w:spacing w:line="360" w:lineRule="auto"/>
        <w:ind w:firstLine="210" w:firstLineChars="100"/>
        <w:rPr>
          <w:rFonts w:ascii="宋体" w:hAnsi="宋体"/>
          <w:color w:val="auto"/>
          <w:sz w:val="21"/>
          <w:szCs w:val="21"/>
          <w:highlight w:val="none"/>
        </w:rPr>
      </w:pPr>
      <w:r>
        <w:rPr>
          <w:rFonts w:ascii="宋体" w:hAnsi="宋体"/>
          <w:color w:val="auto"/>
          <w:sz w:val="21"/>
          <w:szCs w:val="21"/>
          <w:highlight w:val="none"/>
        </w:rPr>
        <w:t>电  话：</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电  话：</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p>
    <w:p w14:paraId="4F023F54">
      <w:pPr>
        <w:spacing w:line="360" w:lineRule="auto"/>
        <w:ind w:firstLine="210" w:firstLineChars="100"/>
        <w:rPr>
          <w:rFonts w:ascii="宋体" w:hAnsi="宋体"/>
          <w:color w:val="auto"/>
          <w:sz w:val="21"/>
          <w:szCs w:val="21"/>
          <w:highlight w:val="none"/>
        </w:rPr>
      </w:pPr>
      <w:r>
        <w:rPr>
          <w:rFonts w:ascii="宋体" w:hAnsi="宋体"/>
          <w:color w:val="auto"/>
          <w:sz w:val="21"/>
          <w:szCs w:val="21"/>
          <w:highlight w:val="none"/>
        </w:rPr>
        <w:t>传  真：</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传  真：</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ascii="宋体" w:hAnsi="宋体"/>
          <w:color w:val="auto"/>
          <w:sz w:val="21"/>
          <w:szCs w:val="21"/>
          <w:highlight w:val="none"/>
          <w:u w:val="single"/>
        </w:rPr>
        <w:t></w:t>
      </w:r>
    </w:p>
    <w:p w14:paraId="603BBBB2">
      <w:pPr>
        <w:spacing w:line="360" w:lineRule="auto"/>
        <w:ind w:firstLine="210" w:firstLineChars="100"/>
        <w:rPr>
          <w:rFonts w:ascii="宋体" w:hAnsi="宋体"/>
          <w:color w:val="auto"/>
          <w:sz w:val="21"/>
          <w:szCs w:val="21"/>
          <w:highlight w:val="none"/>
        </w:rPr>
      </w:pPr>
      <w:r>
        <w:rPr>
          <w:rFonts w:ascii="宋体" w:hAnsi="宋体"/>
          <w:color w:val="auto"/>
          <w:sz w:val="21"/>
          <w:szCs w:val="21"/>
          <w:highlight w:val="none"/>
        </w:rPr>
        <w:t>开户银行：</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开户银行：</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 xml:space="preserve">   </w:t>
      </w:r>
      <w:r>
        <w:rPr>
          <w:rFonts w:ascii="宋体" w:hAnsi="宋体"/>
          <w:color w:val="auto"/>
          <w:sz w:val="21"/>
          <w:szCs w:val="21"/>
          <w:highlight w:val="none"/>
          <w:u w:val="single"/>
        </w:rPr>
        <w:t></w:t>
      </w:r>
    </w:p>
    <w:p w14:paraId="2AA86E6F">
      <w:pPr>
        <w:tabs>
          <w:tab w:val="left" w:pos="2880"/>
          <w:tab w:val="left" w:pos="3060"/>
          <w:tab w:val="left" w:pos="4500"/>
        </w:tabs>
        <w:spacing w:line="360" w:lineRule="auto"/>
        <w:ind w:firstLine="210" w:firstLineChars="100"/>
        <w:rPr>
          <w:rFonts w:ascii="宋体" w:hAnsi="宋体"/>
          <w:color w:val="auto"/>
          <w:sz w:val="21"/>
          <w:szCs w:val="21"/>
          <w:highlight w:val="none"/>
        </w:rPr>
      </w:pPr>
      <w:r>
        <w:rPr>
          <w:rFonts w:ascii="宋体" w:hAnsi="宋体"/>
          <w:color w:val="auto"/>
          <w:sz w:val="21"/>
          <w:szCs w:val="21"/>
          <w:highlight w:val="none"/>
        </w:rPr>
        <w:t>账  号：</w:t>
      </w:r>
      <w:r>
        <w:rPr>
          <w:rFonts w:ascii="宋体" w:hAnsi="宋体"/>
          <w:color w:val="auto"/>
          <w:sz w:val="21"/>
          <w:szCs w:val="21"/>
          <w:highlight w:val="none"/>
          <w:u w:val="single"/>
        </w:rPr>
        <w:t xml:space="preserve"> 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账  号：</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ascii="宋体" w:hAnsi="宋体"/>
          <w:color w:val="auto"/>
          <w:sz w:val="21"/>
          <w:szCs w:val="21"/>
          <w:highlight w:val="none"/>
          <w:u w:val="single"/>
        </w:rPr>
        <w:t></w:t>
      </w:r>
    </w:p>
    <w:p w14:paraId="0117D2D3">
      <w:pPr>
        <w:tabs>
          <w:tab w:val="left" w:pos="7200"/>
          <w:tab w:val="left" w:pos="7380"/>
          <w:tab w:val="left" w:pos="7560"/>
        </w:tabs>
        <w:spacing w:line="360" w:lineRule="auto"/>
        <w:ind w:firstLine="210" w:firstLineChars="100"/>
        <w:rPr>
          <w:rFonts w:ascii="宋体" w:hAnsi="宋体"/>
          <w:color w:val="auto"/>
          <w:sz w:val="21"/>
          <w:szCs w:val="21"/>
          <w:highlight w:val="none"/>
        </w:rPr>
      </w:pPr>
      <w:r>
        <w:rPr>
          <w:rFonts w:ascii="宋体" w:hAnsi="宋体"/>
          <w:color w:val="auto"/>
          <w:sz w:val="21"/>
          <w:szCs w:val="21"/>
          <w:highlight w:val="none"/>
        </w:rPr>
        <w:t>邮政编码：</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邮政编码：</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14:paraId="2E3A62A6">
      <w:pPr>
        <w:spacing w:line="360" w:lineRule="auto"/>
        <w:rPr>
          <w:rFonts w:hint="eastAsia" w:ascii="宋体" w:hAnsi="宋体" w:cs="宋体"/>
          <w:color w:val="auto"/>
          <w:sz w:val="24"/>
          <w:szCs w:val="24"/>
          <w:highlight w:val="none"/>
          <w:u w:val="single"/>
        </w:rPr>
      </w:pPr>
    </w:p>
    <w:p w14:paraId="32E1BE32">
      <w:pPr>
        <w:pStyle w:val="242"/>
        <w:spacing w:line="360" w:lineRule="auto"/>
        <w:ind w:firstLine="399" w:firstLineChars="190"/>
        <w:rPr>
          <w:rFonts w:ascii="宋体" w:hAnsi="宋体" w:cs="宋体"/>
          <w:color w:val="auto"/>
          <w:szCs w:val="21"/>
          <w:highlight w:val="none"/>
        </w:rPr>
      </w:pPr>
    </w:p>
    <w:p w14:paraId="419AB8D6">
      <w:pPr>
        <w:pStyle w:val="242"/>
        <w:spacing w:line="360" w:lineRule="auto"/>
        <w:ind w:firstLine="399" w:firstLineChars="190"/>
        <w:rPr>
          <w:rFonts w:ascii="宋体" w:hAnsi="宋体"/>
          <w:color w:val="auto"/>
          <w:szCs w:val="21"/>
          <w:highlight w:val="none"/>
        </w:rPr>
      </w:pPr>
    </w:p>
    <w:p w14:paraId="0E1F1923">
      <w:pPr>
        <w:rPr>
          <w:rFonts w:ascii="宋体" w:hAnsi="宋体"/>
          <w:color w:val="auto"/>
          <w:highlight w:val="none"/>
        </w:rPr>
        <w:sectPr>
          <w:headerReference r:id="rId4" w:type="default"/>
          <w:footerReference r:id="rId5" w:type="default"/>
          <w:footerReference r:id="rId6" w:type="even"/>
          <w:pgSz w:w="11906" w:h="16838"/>
          <w:pgMar w:top="1304" w:right="1134" w:bottom="1134" w:left="1304" w:header="851" w:footer="992" w:gutter="0"/>
          <w:cols w:space="720" w:num="1"/>
          <w:docGrid w:linePitch="312" w:charSpace="0"/>
        </w:sectPr>
      </w:pPr>
    </w:p>
    <w:p w14:paraId="031A9C3E">
      <w:pPr>
        <w:spacing w:line="360" w:lineRule="auto"/>
        <w:jc w:val="left"/>
        <w:rPr>
          <w:rFonts w:ascii="宋体" w:hAnsi="宋体" w:cs="宋体"/>
          <w:b/>
          <w:color w:val="auto"/>
          <w:szCs w:val="21"/>
          <w:highlight w:val="none"/>
        </w:rPr>
      </w:pPr>
      <w:bookmarkStart w:id="1246" w:name="_Toc351203652"/>
    </w:p>
    <w:p w14:paraId="3A54B485">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附件</w:t>
      </w:r>
      <w:bookmarkEnd w:id="1246"/>
    </w:p>
    <w:p w14:paraId="0029D96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附件1：承包人用于本工程施工的机械设备表</w:t>
      </w:r>
    </w:p>
    <w:p w14:paraId="43F9421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附件2：承包人主要施工管理人员表</w:t>
      </w:r>
    </w:p>
    <w:p w14:paraId="14D2893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附件3：安全生产承诺书</w:t>
      </w:r>
    </w:p>
    <w:p w14:paraId="0D87D97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附件4：建设工程廉政责任书</w:t>
      </w:r>
    </w:p>
    <w:p w14:paraId="26CFBFAD">
      <w:pPr>
        <w:spacing w:line="360" w:lineRule="auto"/>
        <w:jc w:val="left"/>
        <w:rPr>
          <w:rFonts w:ascii="宋体" w:hAnsi="宋体" w:cs="宋体"/>
          <w:color w:val="auto"/>
          <w:szCs w:val="21"/>
          <w:highlight w:val="none"/>
        </w:rPr>
        <w:sectPr>
          <w:pgSz w:w="11906" w:h="16838"/>
          <w:pgMar w:top="1304" w:right="1134" w:bottom="1134" w:left="1304" w:header="851" w:footer="992" w:gutter="0"/>
          <w:cols w:space="720" w:num="1"/>
          <w:titlePg/>
          <w:docGrid w:linePitch="312" w:charSpace="0"/>
        </w:sectPr>
      </w:pPr>
    </w:p>
    <w:p w14:paraId="4D3B560C">
      <w:pPr>
        <w:spacing w:line="360" w:lineRule="auto"/>
        <w:rPr>
          <w:rFonts w:ascii="宋体" w:hAnsi="宋体" w:cs="宋体"/>
          <w:b/>
          <w:color w:val="auto"/>
          <w:szCs w:val="21"/>
          <w:highlight w:val="none"/>
        </w:rPr>
      </w:pPr>
      <w:r>
        <w:rPr>
          <w:rFonts w:hint="eastAsia" w:ascii="宋体" w:hAnsi="宋体" w:cs="宋体"/>
          <w:b/>
          <w:color w:val="auto"/>
          <w:szCs w:val="21"/>
          <w:highlight w:val="none"/>
        </w:rPr>
        <w:t>附件1：</w:t>
      </w:r>
    </w:p>
    <w:p w14:paraId="0613573B">
      <w:pPr>
        <w:spacing w:before="120" w:beforeLines="50" w:after="120" w:afterLines="50"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承包人用于本工程施工的机械设备表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5"/>
        <w:gridCol w:w="1512"/>
        <w:gridCol w:w="1051"/>
        <w:gridCol w:w="1020"/>
        <w:gridCol w:w="849"/>
        <w:gridCol w:w="1134"/>
        <w:gridCol w:w="1277"/>
        <w:gridCol w:w="1116"/>
        <w:gridCol w:w="756"/>
      </w:tblGrid>
      <w:tr w14:paraId="52D56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745" w:type="dxa"/>
            <w:tcBorders>
              <w:top w:val="single" w:color="auto" w:sz="12" w:space="0"/>
              <w:bottom w:val="double" w:color="auto" w:sz="6" w:space="0"/>
            </w:tcBorders>
            <w:vAlign w:val="center"/>
          </w:tcPr>
          <w:p w14:paraId="4BA4AF2E">
            <w:pPr>
              <w:keepNext/>
              <w:spacing w:after="120" w:line="360" w:lineRule="auto"/>
              <w:ind w:left="63" w:right="63"/>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12" w:type="dxa"/>
            <w:tcBorders>
              <w:top w:val="single" w:color="auto" w:sz="12" w:space="0"/>
              <w:bottom w:val="double" w:color="auto" w:sz="6" w:space="0"/>
            </w:tcBorders>
            <w:vAlign w:val="center"/>
          </w:tcPr>
          <w:p w14:paraId="678D090E">
            <w:pPr>
              <w:keepNext/>
              <w:spacing w:after="120" w:line="360" w:lineRule="auto"/>
              <w:ind w:left="63" w:right="63"/>
              <w:jc w:val="center"/>
              <w:rPr>
                <w:rFonts w:ascii="宋体" w:hAnsi="宋体" w:cs="宋体"/>
                <w:color w:val="auto"/>
                <w:szCs w:val="21"/>
                <w:highlight w:val="none"/>
              </w:rPr>
            </w:pPr>
            <w:r>
              <w:rPr>
                <w:rFonts w:hint="eastAsia" w:ascii="宋体" w:hAnsi="宋体" w:cs="宋体"/>
                <w:color w:val="auto"/>
                <w:szCs w:val="21"/>
                <w:highlight w:val="none"/>
              </w:rPr>
              <w:t>机械或     设备名称</w:t>
            </w:r>
          </w:p>
        </w:tc>
        <w:tc>
          <w:tcPr>
            <w:tcW w:w="1051" w:type="dxa"/>
            <w:tcBorders>
              <w:top w:val="single" w:color="auto" w:sz="12" w:space="0"/>
              <w:bottom w:val="double" w:color="auto" w:sz="6" w:space="0"/>
            </w:tcBorders>
            <w:vAlign w:val="center"/>
          </w:tcPr>
          <w:p w14:paraId="577F2EDE">
            <w:pPr>
              <w:keepNext/>
              <w:spacing w:after="120" w:line="360" w:lineRule="auto"/>
              <w:ind w:left="63" w:right="63"/>
              <w:jc w:val="center"/>
              <w:rPr>
                <w:rFonts w:ascii="宋体" w:hAnsi="宋体" w:cs="宋体"/>
                <w:color w:val="auto"/>
                <w:szCs w:val="21"/>
                <w:highlight w:val="none"/>
              </w:rPr>
            </w:pPr>
            <w:r>
              <w:rPr>
                <w:rFonts w:hint="eastAsia" w:ascii="宋体" w:hAnsi="宋体" w:cs="宋体"/>
                <w:color w:val="auto"/>
                <w:szCs w:val="21"/>
                <w:highlight w:val="none"/>
              </w:rPr>
              <w:t>规格型号</w:t>
            </w:r>
          </w:p>
        </w:tc>
        <w:tc>
          <w:tcPr>
            <w:tcW w:w="1020" w:type="dxa"/>
            <w:tcBorders>
              <w:top w:val="single" w:color="auto" w:sz="12" w:space="0"/>
              <w:bottom w:val="double" w:color="auto" w:sz="6" w:space="0"/>
            </w:tcBorders>
            <w:vAlign w:val="center"/>
          </w:tcPr>
          <w:p w14:paraId="0590A453">
            <w:pPr>
              <w:keepNext/>
              <w:spacing w:after="120" w:line="360" w:lineRule="auto"/>
              <w:ind w:left="63" w:right="63"/>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49" w:type="dxa"/>
            <w:tcBorders>
              <w:top w:val="single" w:color="auto" w:sz="12" w:space="0"/>
              <w:bottom w:val="double" w:color="auto" w:sz="6" w:space="0"/>
            </w:tcBorders>
            <w:vAlign w:val="center"/>
          </w:tcPr>
          <w:p w14:paraId="72B4B5DB">
            <w:pPr>
              <w:keepNext/>
              <w:spacing w:after="120" w:line="360" w:lineRule="auto"/>
              <w:ind w:left="63" w:right="63"/>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1134" w:type="dxa"/>
            <w:tcBorders>
              <w:top w:val="single" w:color="auto" w:sz="12" w:space="0"/>
              <w:bottom w:val="double" w:color="auto" w:sz="6" w:space="0"/>
            </w:tcBorders>
            <w:vAlign w:val="center"/>
          </w:tcPr>
          <w:p w14:paraId="18CBB344">
            <w:pPr>
              <w:keepNext/>
              <w:spacing w:after="120" w:line="360" w:lineRule="auto"/>
              <w:ind w:left="63" w:right="63"/>
              <w:jc w:val="center"/>
              <w:rPr>
                <w:rFonts w:ascii="宋体" w:hAnsi="宋体" w:cs="宋体"/>
                <w:color w:val="auto"/>
                <w:szCs w:val="21"/>
                <w:highlight w:val="none"/>
              </w:rPr>
            </w:pPr>
            <w:r>
              <w:rPr>
                <w:rFonts w:hint="eastAsia" w:ascii="宋体" w:hAnsi="宋体" w:cs="宋体"/>
                <w:color w:val="auto"/>
                <w:szCs w:val="21"/>
                <w:highlight w:val="none"/>
              </w:rPr>
              <w:t>制造年份</w:t>
            </w:r>
          </w:p>
        </w:tc>
        <w:tc>
          <w:tcPr>
            <w:tcW w:w="1277" w:type="dxa"/>
            <w:tcBorders>
              <w:top w:val="single" w:color="auto" w:sz="12" w:space="0"/>
              <w:bottom w:val="double" w:color="auto" w:sz="6" w:space="0"/>
            </w:tcBorders>
            <w:vAlign w:val="center"/>
          </w:tcPr>
          <w:p w14:paraId="45A00A09">
            <w:pPr>
              <w:keepNext/>
              <w:spacing w:after="120" w:line="360" w:lineRule="auto"/>
              <w:ind w:left="63" w:right="63"/>
              <w:jc w:val="center"/>
              <w:rPr>
                <w:rFonts w:ascii="宋体" w:hAnsi="宋体" w:cs="宋体"/>
                <w:color w:val="auto"/>
                <w:szCs w:val="21"/>
                <w:highlight w:val="none"/>
              </w:rPr>
            </w:pPr>
            <w:r>
              <w:rPr>
                <w:rFonts w:hint="eastAsia" w:ascii="宋体" w:hAnsi="宋体" w:cs="宋体"/>
                <w:color w:val="auto"/>
                <w:szCs w:val="21"/>
                <w:highlight w:val="none"/>
              </w:rPr>
              <w:t>额定功率(kW)</w:t>
            </w:r>
          </w:p>
        </w:tc>
        <w:tc>
          <w:tcPr>
            <w:tcW w:w="1116" w:type="dxa"/>
            <w:tcBorders>
              <w:top w:val="single" w:color="auto" w:sz="12" w:space="0"/>
              <w:bottom w:val="double" w:color="auto" w:sz="6" w:space="0"/>
            </w:tcBorders>
            <w:vAlign w:val="center"/>
          </w:tcPr>
          <w:p w14:paraId="7855626F">
            <w:pPr>
              <w:keepNext/>
              <w:spacing w:after="120" w:line="360" w:lineRule="auto"/>
              <w:ind w:left="63" w:right="63"/>
              <w:jc w:val="center"/>
              <w:rPr>
                <w:rFonts w:ascii="宋体" w:hAnsi="宋体" w:cs="宋体"/>
                <w:color w:val="auto"/>
                <w:szCs w:val="21"/>
                <w:highlight w:val="none"/>
              </w:rPr>
            </w:pPr>
            <w:r>
              <w:rPr>
                <w:rFonts w:hint="eastAsia" w:ascii="宋体" w:hAnsi="宋体" w:cs="宋体"/>
                <w:color w:val="auto"/>
                <w:szCs w:val="21"/>
                <w:highlight w:val="none"/>
              </w:rPr>
              <w:t>生产能力</w:t>
            </w:r>
          </w:p>
        </w:tc>
        <w:tc>
          <w:tcPr>
            <w:tcW w:w="756" w:type="dxa"/>
            <w:tcBorders>
              <w:top w:val="single" w:color="auto" w:sz="12" w:space="0"/>
              <w:bottom w:val="double" w:color="auto" w:sz="6" w:space="0"/>
            </w:tcBorders>
            <w:vAlign w:val="center"/>
          </w:tcPr>
          <w:p w14:paraId="0006F22A">
            <w:pPr>
              <w:keepNext/>
              <w:spacing w:after="120" w:line="360" w:lineRule="auto"/>
              <w:ind w:left="63" w:right="63"/>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1A37F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tcBorders>
              <w:top w:val="double" w:color="auto" w:sz="6" w:space="0"/>
              <w:bottom w:val="single" w:color="auto" w:sz="6" w:space="0"/>
            </w:tcBorders>
            <w:vAlign w:val="center"/>
          </w:tcPr>
          <w:p w14:paraId="59324CB0">
            <w:pPr>
              <w:spacing w:line="360" w:lineRule="auto"/>
              <w:ind w:leftChars="-35" w:hanging="73" w:hangingChars="35"/>
              <w:jc w:val="center"/>
              <w:rPr>
                <w:rFonts w:ascii="宋体" w:hAnsi="宋体" w:cs="宋体"/>
                <w:color w:val="auto"/>
                <w:szCs w:val="21"/>
                <w:highlight w:val="none"/>
              </w:rPr>
            </w:pPr>
          </w:p>
        </w:tc>
        <w:tc>
          <w:tcPr>
            <w:tcW w:w="1512" w:type="dxa"/>
            <w:tcBorders>
              <w:top w:val="double" w:color="auto" w:sz="6" w:space="0"/>
              <w:bottom w:val="single" w:color="auto" w:sz="6" w:space="0"/>
            </w:tcBorders>
            <w:vAlign w:val="center"/>
          </w:tcPr>
          <w:p w14:paraId="0F00F939">
            <w:pPr>
              <w:spacing w:line="360" w:lineRule="auto"/>
              <w:ind w:leftChars="-35" w:hanging="73" w:hangingChars="35"/>
              <w:jc w:val="center"/>
              <w:rPr>
                <w:rFonts w:ascii="宋体" w:hAnsi="宋体" w:cs="宋体"/>
                <w:color w:val="auto"/>
                <w:szCs w:val="21"/>
                <w:highlight w:val="none"/>
              </w:rPr>
            </w:pPr>
          </w:p>
        </w:tc>
        <w:tc>
          <w:tcPr>
            <w:tcW w:w="1051" w:type="dxa"/>
            <w:tcBorders>
              <w:top w:val="double" w:color="auto" w:sz="6" w:space="0"/>
              <w:bottom w:val="single" w:color="auto" w:sz="6" w:space="0"/>
            </w:tcBorders>
            <w:vAlign w:val="center"/>
          </w:tcPr>
          <w:p w14:paraId="2CB62B27">
            <w:pPr>
              <w:spacing w:line="360" w:lineRule="auto"/>
              <w:ind w:leftChars="-35" w:hanging="73" w:hangingChars="35"/>
              <w:jc w:val="center"/>
              <w:rPr>
                <w:rFonts w:ascii="宋体" w:hAnsi="宋体" w:cs="宋体"/>
                <w:color w:val="auto"/>
                <w:szCs w:val="21"/>
                <w:highlight w:val="none"/>
              </w:rPr>
            </w:pPr>
          </w:p>
        </w:tc>
        <w:tc>
          <w:tcPr>
            <w:tcW w:w="1020" w:type="dxa"/>
            <w:tcBorders>
              <w:top w:val="double" w:color="auto" w:sz="6" w:space="0"/>
              <w:bottom w:val="single" w:color="auto" w:sz="6" w:space="0"/>
            </w:tcBorders>
            <w:vAlign w:val="center"/>
          </w:tcPr>
          <w:p w14:paraId="6EBFC30C">
            <w:pPr>
              <w:spacing w:line="360" w:lineRule="auto"/>
              <w:ind w:leftChars="-35" w:hanging="73" w:hangingChars="35"/>
              <w:jc w:val="center"/>
              <w:rPr>
                <w:rFonts w:ascii="宋体" w:hAnsi="宋体" w:cs="宋体"/>
                <w:color w:val="auto"/>
                <w:szCs w:val="21"/>
                <w:highlight w:val="none"/>
              </w:rPr>
            </w:pPr>
          </w:p>
        </w:tc>
        <w:tc>
          <w:tcPr>
            <w:tcW w:w="849" w:type="dxa"/>
            <w:tcBorders>
              <w:top w:val="double" w:color="auto" w:sz="6" w:space="0"/>
              <w:bottom w:val="single" w:color="auto" w:sz="6" w:space="0"/>
            </w:tcBorders>
            <w:vAlign w:val="center"/>
          </w:tcPr>
          <w:p w14:paraId="5F2E1EFB">
            <w:pPr>
              <w:spacing w:line="360" w:lineRule="auto"/>
              <w:ind w:leftChars="-35" w:hanging="73" w:hangingChars="35"/>
              <w:jc w:val="center"/>
              <w:rPr>
                <w:rFonts w:ascii="宋体" w:hAnsi="宋体" w:cs="宋体"/>
                <w:color w:val="auto"/>
                <w:szCs w:val="21"/>
                <w:highlight w:val="none"/>
              </w:rPr>
            </w:pPr>
          </w:p>
        </w:tc>
        <w:tc>
          <w:tcPr>
            <w:tcW w:w="1134" w:type="dxa"/>
            <w:tcBorders>
              <w:top w:val="double" w:color="auto" w:sz="6" w:space="0"/>
              <w:bottom w:val="single" w:color="auto" w:sz="6" w:space="0"/>
            </w:tcBorders>
            <w:vAlign w:val="center"/>
          </w:tcPr>
          <w:p w14:paraId="010D1AF3">
            <w:pPr>
              <w:spacing w:line="360" w:lineRule="auto"/>
              <w:ind w:leftChars="-35" w:hanging="73" w:hangingChars="35"/>
              <w:jc w:val="center"/>
              <w:rPr>
                <w:rFonts w:ascii="宋体" w:hAnsi="宋体" w:cs="宋体"/>
                <w:color w:val="auto"/>
                <w:szCs w:val="21"/>
                <w:highlight w:val="none"/>
              </w:rPr>
            </w:pPr>
          </w:p>
        </w:tc>
        <w:tc>
          <w:tcPr>
            <w:tcW w:w="1277" w:type="dxa"/>
            <w:tcBorders>
              <w:top w:val="double" w:color="auto" w:sz="6" w:space="0"/>
              <w:bottom w:val="single" w:color="auto" w:sz="6" w:space="0"/>
            </w:tcBorders>
            <w:vAlign w:val="center"/>
          </w:tcPr>
          <w:p w14:paraId="7E3CFB99">
            <w:pPr>
              <w:spacing w:line="360" w:lineRule="auto"/>
              <w:ind w:leftChars="-35" w:hanging="73" w:hangingChars="35"/>
              <w:jc w:val="center"/>
              <w:rPr>
                <w:rFonts w:ascii="宋体" w:hAnsi="宋体" w:cs="宋体"/>
                <w:color w:val="auto"/>
                <w:szCs w:val="21"/>
                <w:highlight w:val="none"/>
              </w:rPr>
            </w:pPr>
          </w:p>
        </w:tc>
        <w:tc>
          <w:tcPr>
            <w:tcW w:w="1116" w:type="dxa"/>
            <w:tcBorders>
              <w:top w:val="double" w:color="auto" w:sz="6" w:space="0"/>
              <w:bottom w:val="single" w:color="auto" w:sz="6" w:space="0"/>
            </w:tcBorders>
            <w:vAlign w:val="center"/>
          </w:tcPr>
          <w:p w14:paraId="64E15E29">
            <w:pPr>
              <w:spacing w:line="360" w:lineRule="auto"/>
              <w:ind w:leftChars="-35" w:hanging="73" w:hangingChars="35"/>
              <w:jc w:val="center"/>
              <w:rPr>
                <w:rFonts w:ascii="宋体" w:hAnsi="宋体" w:cs="宋体"/>
                <w:color w:val="auto"/>
                <w:szCs w:val="21"/>
                <w:highlight w:val="none"/>
              </w:rPr>
            </w:pPr>
          </w:p>
        </w:tc>
        <w:tc>
          <w:tcPr>
            <w:tcW w:w="756" w:type="dxa"/>
            <w:tcBorders>
              <w:top w:val="double" w:color="auto" w:sz="6" w:space="0"/>
              <w:bottom w:val="single" w:color="auto" w:sz="6" w:space="0"/>
            </w:tcBorders>
            <w:vAlign w:val="center"/>
          </w:tcPr>
          <w:p w14:paraId="3545EE28">
            <w:pPr>
              <w:spacing w:line="360" w:lineRule="auto"/>
              <w:ind w:leftChars="-35" w:hanging="73" w:hangingChars="35"/>
              <w:jc w:val="center"/>
              <w:rPr>
                <w:rFonts w:ascii="宋体" w:hAnsi="宋体" w:cs="宋体"/>
                <w:color w:val="auto"/>
                <w:szCs w:val="21"/>
                <w:highlight w:val="none"/>
              </w:rPr>
            </w:pPr>
          </w:p>
        </w:tc>
      </w:tr>
      <w:tr w14:paraId="71229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tcBorders>
              <w:top w:val="nil"/>
            </w:tcBorders>
            <w:vAlign w:val="center"/>
          </w:tcPr>
          <w:p w14:paraId="3410235C">
            <w:pPr>
              <w:spacing w:line="360" w:lineRule="auto"/>
              <w:ind w:leftChars="-35" w:hanging="73" w:hangingChars="35"/>
              <w:jc w:val="center"/>
              <w:rPr>
                <w:rFonts w:ascii="宋体" w:hAnsi="宋体" w:cs="宋体"/>
                <w:color w:val="auto"/>
                <w:szCs w:val="21"/>
                <w:highlight w:val="none"/>
              </w:rPr>
            </w:pPr>
          </w:p>
        </w:tc>
        <w:tc>
          <w:tcPr>
            <w:tcW w:w="1512" w:type="dxa"/>
            <w:tcBorders>
              <w:top w:val="nil"/>
            </w:tcBorders>
            <w:vAlign w:val="center"/>
          </w:tcPr>
          <w:p w14:paraId="713D7CC5">
            <w:pPr>
              <w:spacing w:line="360" w:lineRule="auto"/>
              <w:ind w:leftChars="-35" w:hanging="73" w:hangingChars="35"/>
              <w:jc w:val="center"/>
              <w:rPr>
                <w:rFonts w:ascii="宋体" w:hAnsi="宋体" w:cs="宋体"/>
                <w:color w:val="auto"/>
                <w:szCs w:val="21"/>
                <w:highlight w:val="none"/>
              </w:rPr>
            </w:pPr>
          </w:p>
        </w:tc>
        <w:tc>
          <w:tcPr>
            <w:tcW w:w="1051" w:type="dxa"/>
            <w:tcBorders>
              <w:top w:val="nil"/>
            </w:tcBorders>
            <w:vAlign w:val="center"/>
          </w:tcPr>
          <w:p w14:paraId="1498A183">
            <w:pPr>
              <w:spacing w:line="360" w:lineRule="auto"/>
              <w:ind w:leftChars="-35" w:hanging="73" w:hangingChars="35"/>
              <w:jc w:val="center"/>
              <w:rPr>
                <w:rFonts w:ascii="宋体" w:hAnsi="宋体" w:cs="宋体"/>
                <w:color w:val="auto"/>
                <w:szCs w:val="21"/>
                <w:highlight w:val="none"/>
              </w:rPr>
            </w:pPr>
          </w:p>
        </w:tc>
        <w:tc>
          <w:tcPr>
            <w:tcW w:w="1020" w:type="dxa"/>
            <w:tcBorders>
              <w:top w:val="nil"/>
            </w:tcBorders>
            <w:vAlign w:val="center"/>
          </w:tcPr>
          <w:p w14:paraId="1712D529">
            <w:pPr>
              <w:spacing w:line="360" w:lineRule="auto"/>
              <w:ind w:leftChars="-35" w:hanging="73" w:hangingChars="35"/>
              <w:jc w:val="center"/>
              <w:rPr>
                <w:rFonts w:ascii="宋体" w:hAnsi="宋体" w:cs="宋体"/>
                <w:color w:val="auto"/>
                <w:szCs w:val="21"/>
                <w:highlight w:val="none"/>
              </w:rPr>
            </w:pPr>
          </w:p>
        </w:tc>
        <w:tc>
          <w:tcPr>
            <w:tcW w:w="849" w:type="dxa"/>
            <w:tcBorders>
              <w:top w:val="nil"/>
            </w:tcBorders>
            <w:vAlign w:val="center"/>
          </w:tcPr>
          <w:p w14:paraId="464661EA">
            <w:pPr>
              <w:spacing w:line="360" w:lineRule="auto"/>
              <w:ind w:leftChars="-35" w:hanging="73" w:hangingChars="35"/>
              <w:jc w:val="center"/>
              <w:rPr>
                <w:rFonts w:ascii="宋体" w:hAnsi="宋体" w:cs="宋体"/>
                <w:color w:val="auto"/>
                <w:szCs w:val="21"/>
                <w:highlight w:val="none"/>
              </w:rPr>
            </w:pPr>
          </w:p>
        </w:tc>
        <w:tc>
          <w:tcPr>
            <w:tcW w:w="1134" w:type="dxa"/>
            <w:tcBorders>
              <w:top w:val="nil"/>
            </w:tcBorders>
            <w:vAlign w:val="center"/>
          </w:tcPr>
          <w:p w14:paraId="448783DD">
            <w:pPr>
              <w:spacing w:line="360" w:lineRule="auto"/>
              <w:ind w:leftChars="-35" w:hanging="73" w:hangingChars="35"/>
              <w:jc w:val="center"/>
              <w:rPr>
                <w:rFonts w:ascii="宋体" w:hAnsi="宋体" w:cs="宋体"/>
                <w:color w:val="auto"/>
                <w:szCs w:val="21"/>
                <w:highlight w:val="none"/>
              </w:rPr>
            </w:pPr>
          </w:p>
        </w:tc>
        <w:tc>
          <w:tcPr>
            <w:tcW w:w="1277" w:type="dxa"/>
            <w:tcBorders>
              <w:top w:val="nil"/>
            </w:tcBorders>
            <w:vAlign w:val="center"/>
          </w:tcPr>
          <w:p w14:paraId="4E6DD4A0">
            <w:pPr>
              <w:spacing w:line="360" w:lineRule="auto"/>
              <w:ind w:leftChars="-35" w:hanging="73" w:hangingChars="35"/>
              <w:jc w:val="center"/>
              <w:rPr>
                <w:rFonts w:ascii="宋体" w:hAnsi="宋体" w:cs="宋体"/>
                <w:color w:val="auto"/>
                <w:szCs w:val="21"/>
                <w:highlight w:val="none"/>
              </w:rPr>
            </w:pPr>
          </w:p>
        </w:tc>
        <w:tc>
          <w:tcPr>
            <w:tcW w:w="1116" w:type="dxa"/>
            <w:tcBorders>
              <w:top w:val="nil"/>
            </w:tcBorders>
            <w:vAlign w:val="center"/>
          </w:tcPr>
          <w:p w14:paraId="69259F4C">
            <w:pPr>
              <w:spacing w:line="360" w:lineRule="auto"/>
              <w:ind w:leftChars="-35" w:hanging="73" w:hangingChars="35"/>
              <w:jc w:val="center"/>
              <w:rPr>
                <w:rFonts w:ascii="宋体" w:hAnsi="宋体" w:cs="宋体"/>
                <w:color w:val="auto"/>
                <w:szCs w:val="21"/>
                <w:highlight w:val="none"/>
              </w:rPr>
            </w:pPr>
          </w:p>
        </w:tc>
        <w:tc>
          <w:tcPr>
            <w:tcW w:w="756" w:type="dxa"/>
            <w:tcBorders>
              <w:top w:val="nil"/>
            </w:tcBorders>
            <w:vAlign w:val="center"/>
          </w:tcPr>
          <w:p w14:paraId="11FB5FCF">
            <w:pPr>
              <w:spacing w:line="360" w:lineRule="auto"/>
              <w:ind w:leftChars="-35" w:hanging="73" w:hangingChars="35"/>
              <w:jc w:val="center"/>
              <w:rPr>
                <w:rFonts w:ascii="宋体" w:hAnsi="宋体" w:cs="宋体"/>
                <w:color w:val="auto"/>
                <w:szCs w:val="21"/>
                <w:highlight w:val="none"/>
              </w:rPr>
            </w:pPr>
          </w:p>
        </w:tc>
      </w:tr>
      <w:tr w14:paraId="574CA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15BF47F8">
            <w:pPr>
              <w:spacing w:line="360" w:lineRule="auto"/>
              <w:ind w:leftChars="-35" w:hanging="73" w:hangingChars="35"/>
              <w:jc w:val="center"/>
              <w:rPr>
                <w:rFonts w:ascii="宋体" w:hAnsi="宋体" w:cs="宋体"/>
                <w:color w:val="auto"/>
                <w:szCs w:val="21"/>
                <w:highlight w:val="none"/>
              </w:rPr>
            </w:pPr>
          </w:p>
        </w:tc>
        <w:tc>
          <w:tcPr>
            <w:tcW w:w="1512" w:type="dxa"/>
            <w:vAlign w:val="center"/>
          </w:tcPr>
          <w:p w14:paraId="1C185851">
            <w:pPr>
              <w:spacing w:line="360" w:lineRule="auto"/>
              <w:ind w:leftChars="-35" w:hanging="73" w:hangingChars="35"/>
              <w:jc w:val="center"/>
              <w:rPr>
                <w:rFonts w:ascii="宋体" w:hAnsi="宋体" w:cs="宋体"/>
                <w:color w:val="auto"/>
                <w:szCs w:val="21"/>
                <w:highlight w:val="none"/>
              </w:rPr>
            </w:pPr>
          </w:p>
        </w:tc>
        <w:tc>
          <w:tcPr>
            <w:tcW w:w="1051" w:type="dxa"/>
            <w:vAlign w:val="center"/>
          </w:tcPr>
          <w:p w14:paraId="533A8260">
            <w:pPr>
              <w:spacing w:line="360" w:lineRule="auto"/>
              <w:ind w:leftChars="-35" w:hanging="73" w:hangingChars="35"/>
              <w:jc w:val="center"/>
              <w:rPr>
                <w:rFonts w:ascii="宋体" w:hAnsi="宋体" w:cs="宋体"/>
                <w:color w:val="auto"/>
                <w:szCs w:val="21"/>
                <w:highlight w:val="none"/>
              </w:rPr>
            </w:pPr>
          </w:p>
        </w:tc>
        <w:tc>
          <w:tcPr>
            <w:tcW w:w="1020" w:type="dxa"/>
            <w:vAlign w:val="center"/>
          </w:tcPr>
          <w:p w14:paraId="5EF888C9">
            <w:pPr>
              <w:spacing w:line="360" w:lineRule="auto"/>
              <w:ind w:leftChars="-35" w:hanging="73" w:hangingChars="35"/>
              <w:jc w:val="center"/>
              <w:rPr>
                <w:rFonts w:ascii="宋体" w:hAnsi="宋体" w:cs="宋体"/>
                <w:color w:val="auto"/>
                <w:szCs w:val="21"/>
                <w:highlight w:val="none"/>
              </w:rPr>
            </w:pPr>
          </w:p>
        </w:tc>
        <w:tc>
          <w:tcPr>
            <w:tcW w:w="849" w:type="dxa"/>
            <w:vAlign w:val="center"/>
          </w:tcPr>
          <w:p w14:paraId="39A618A8">
            <w:pPr>
              <w:spacing w:line="360" w:lineRule="auto"/>
              <w:ind w:leftChars="-35" w:hanging="73" w:hangingChars="35"/>
              <w:jc w:val="center"/>
              <w:rPr>
                <w:rFonts w:ascii="宋体" w:hAnsi="宋体" w:cs="宋体"/>
                <w:color w:val="auto"/>
                <w:szCs w:val="21"/>
                <w:highlight w:val="none"/>
              </w:rPr>
            </w:pPr>
          </w:p>
        </w:tc>
        <w:tc>
          <w:tcPr>
            <w:tcW w:w="1134" w:type="dxa"/>
            <w:vAlign w:val="center"/>
          </w:tcPr>
          <w:p w14:paraId="7BD37CB6">
            <w:pPr>
              <w:spacing w:line="360" w:lineRule="auto"/>
              <w:ind w:leftChars="-35" w:hanging="73" w:hangingChars="35"/>
              <w:jc w:val="center"/>
              <w:rPr>
                <w:rFonts w:ascii="宋体" w:hAnsi="宋体" w:cs="宋体"/>
                <w:color w:val="auto"/>
                <w:szCs w:val="21"/>
                <w:highlight w:val="none"/>
              </w:rPr>
            </w:pPr>
          </w:p>
        </w:tc>
        <w:tc>
          <w:tcPr>
            <w:tcW w:w="1277" w:type="dxa"/>
            <w:vAlign w:val="center"/>
          </w:tcPr>
          <w:p w14:paraId="787AB2B6">
            <w:pPr>
              <w:spacing w:line="360" w:lineRule="auto"/>
              <w:ind w:leftChars="-35" w:hanging="73" w:hangingChars="35"/>
              <w:jc w:val="center"/>
              <w:rPr>
                <w:rFonts w:ascii="宋体" w:hAnsi="宋体" w:cs="宋体"/>
                <w:color w:val="auto"/>
                <w:szCs w:val="21"/>
                <w:highlight w:val="none"/>
              </w:rPr>
            </w:pPr>
          </w:p>
        </w:tc>
        <w:tc>
          <w:tcPr>
            <w:tcW w:w="1116" w:type="dxa"/>
            <w:vAlign w:val="center"/>
          </w:tcPr>
          <w:p w14:paraId="2C42D2A4">
            <w:pPr>
              <w:spacing w:line="360" w:lineRule="auto"/>
              <w:ind w:leftChars="-35" w:hanging="73" w:hangingChars="35"/>
              <w:jc w:val="center"/>
              <w:rPr>
                <w:rFonts w:ascii="宋体" w:hAnsi="宋体" w:cs="宋体"/>
                <w:color w:val="auto"/>
                <w:szCs w:val="21"/>
                <w:highlight w:val="none"/>
              </w:rPr>
            </w:pPr>
          </w:p>
        </w:tc>
        <w:tc>
          <w:tcPr>
            <w:tcW w:w="756" w:type="dxa"/>
            <w:vAlign w:val="center"/>
          </w:tcPr>
          <w:p w14:paraId="10F82D20">
            <w:pPr>
              <w:spacing w:line="360" w:lineRule="auto"/>
              <w:ind w:leftChars="-35" w:hanging="73" w:hangingChars="35"/>
              <w:jc w:val="center"/>
              <w:rPr>
                <w:rFonts w:ascii="宋体" w:hAnsi="宋体" w:cs="宋体"/>
                <w:color w:val="auto"/>
                <w:szCs w:val="21"/>
                <w:highlight w:val="none"/>
              </w:rPr>
            </w:pPr>
          </w:p>
        </w:tc>
      </w:tr>
      <w:tr w14:paraId="1EBC7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EEB9917">
            <w:pPr>
              <w:spacing w:line="360" w:lineRule="auto"/>
              <w:ind w:leftChars="-35" w:hanging="73" w:hangingChars="35"/>
              <w:jc w:val="center"/>
              <w:rPr>
                <w:rFonts w:ascii="宋体" w:hAnsi="宋体" w:cs="宋体"/>
                <w:color w:val="auto"/>
                <w:szCs w:val="21"/>
                <w:highlight w:val="none"/>
              </w:rPr>
            </w:pPr>
          </w:p>
        </w:tc>
        <w:tc>
          <w:tcPr>
            <w:tcW w:w="1512" w:type="dxa"/>
            <w:vAlign w:val="center"/>
          </w:tcPr>
          <w:p w14:paraId="18311F93">
            <w:pPr>
              <w:spacing w:line="360" w:lineRule="auto"/>
              <w:ind w:leftChars="-35" w:hanging="73" w:hangingChars="35"/>
              <w:jc w:val="center"/>
              <w:rPr>
                <w:rFonts w:ascii="宋体" w:hAnsi="宋体" w:cs="宋体"/>
                <w:color w:val="auto"/>
                <w:szCs w:val="21"/>
                <w:highlight w:val="none"/>
              </w:rPr>
            </w:pPr>
          </w:p>
        </w:tc>
        <w:tc>
          <w:tcPr>
            <w:tcW w:w="1051" w:type="dxa"/>
            <w:vAlign w:val="center"/>
          </w:tcPr>
          <w:p w14:paraId="3CBFC402">
            <w:pPr>
              <w:spacing w:line="360" w:lineRule="auto"/>
              <w:ind w:leftChars="-35" w:hanging="73" w:hangingChars="35"/>
              <w:jc w:val="center"/>
              <w:rPr>
                <w:rFonts w:ascii="宋体" w:hAnsi="宋体" w:cs="宋体"/>
                <w:color w:val="auto"/>
                <w:szCs w:val="21"/>
                <w:highlight w:val="none"/>
              </w:rPr>
            </w:pPr>
          </w:p>
        </w:tc>
        <w:tc>
          <w:tcPr>
            <w:tcW w:w="1020" w:type="dxa"/>
            <w:vAlign w:val="center"/>
          </w:tcPr>
          <w:p w14:paraId="42A094EF">
            <w:pPr>
              <w:spacing w:line="360" w:lineRule="auto"/>
              <w:ind w:leftChars="-35" w:hanging="73" w:hangingChars="35"/>
              <w:jc w:val="center"/>
              <w:rPr>
                <w:rFonts w:ascii="宋体" w:hAnsi="宋体" w:cs="宋体"/>
                <w:color w:val="auto"/>
                <w:szCs w:val="21"/>
                <w:highlight w:val="none"/>
              </w:rPr>
            </w:pPr>
          </w:p>
        </w:tc>
        <w:tc>
          <w:tcPr>
            <w:tcW w:w="849" w:type="dxa"/>
            <w:vAlign w:val="center"/>
          </w:tcPr>
          <w:p w14:paraId="230520A4">
            <w:pPr>
              <w:spacing w:line="360" w:lineRule="auto"/>
              <w:ind w:leftChars="-35" w:hanging="73" w:hangingChars="35"/>
              <w:jc w:val="center"/>
              <w:rPr>
                <w:rFonts w:ascii="宋体" w:hAnsi="宋体" w:cs="宋体"/>
                <w:color w:val="auto"/>
                <w:szCs w:val="21"/>
                <w:highlight w:val="none"/>
              </w:rPr>
            </w:pPr>
          </w:p>
        </w:tc>
        <w:tc>
          <w:tcPr>
            <w:tcW w:w="1134" w:type="dxa"/>
            <w:vAlign w:val="center"/>
          </w:tcPr>
          <w:p w14:paraId="185C9480">
            <w:pPr>
              <w:spacing w:line="360" w:lineRule="auto"/>
              <w:ind w:leftChars="-35" w:hanging="73" w:hangingChars="35"/>
              <w:jc w:val="center"/>
              <w:rPr>
                <w:rFonts w:ascii="宋体" w:hAnsi="宋体" w:cs="宋体"/>
                <w:color w:val="auto"/>
                <w:szCs w:val="21"/>
                <w:highlight w:val="none"/>
              </w:rPr>
            </w:pPr>
          </w:p>
        </w:tc>
        <w:tc>
          <w:tcPr>
            <w:tcW w:w="1277" w:type="dxa"/>
            <w:vAlign w:val="center"/>
          </w:tcPr>
          <w:p w14:paraId="51328F44">
            <w:pPr>
              <w:spacing w:line="360" w:lineRule="auto"/>
              <w:ind w:leftChars="-35" w:hanging="73" w:hangingChars="35"/>
              <w:jc w:val="center"/>
              <w:rPr>
                <w:rFonts w:ascii="宋体" w:hAnsi="宋体" w:cs="宋体"/>
                <w:color w:val="auto"/>
                <w:szCs w:val="21"/>
                <w:highlight w:val="none"/>
              </w:rPr>
            </w:pPr>
          </w:p>
        </w:tc>
        <w:tc>
          <w:tcPr>
            <w:tcW w:w="1116" w:type="dxa"/>
            <w:vAlign w:val="center"/>
          </w:tcPr>
          <w:p w14:paraId="0FDC3A97">
            <w:pPr>
              <w:spacing w:line="360" w:lineRule="auto"/>
              <w:ind w:leftChars="-35" w:hanging="73" w:hangingChars="35"/>
              <w:jc w:val="center"/>
              <w:rPr>
                <w:rFonts w:ascii="宋体" w:hAnsi="宋体" w:cs="宋体"/>
                <w:color w:val="auto"/>
                <w:szCs w:val="21"/>
                <w:highlight w:val="none"/>
              </w:rPr>
            </w:pPr>
          </w:p>
        </w:tc>
        <w:tc>
          <w:tcPr>
            <w:tcW w:w="756" w:type="dxa"/>
            <w:vAlign w:val="center"/>
          </w:tcPr>
          <w:p w14:paraId="05E34796">
            <w:pPr>
              <w:spacing w:line="360" w:lineRule="auto"/>
              <w:ind w:leftChars="-35" w:hanging="73" w:hangingChars="35"/>
              <w:jc w:val="center"/>
              <w:rPr>
                <w:rFonts w:ascii="宋体" w:hAnsi="宋体" w:cs="宋体"/>
                <w:color w:val="auto"/>
                <w:szCs w:val="21"/>
                <w:highlight w:val="none"/>
              </w:rPr>
            </w:pPr>
          </w:p>
        </w:tc>
      </w:tr>
      <w:tr w14:paraId="4FDAB2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150B4745">
            <w:pPr>
              <w:spacing w:line="360" w:lineRule="auto"/>
              <w:ind w:leftChars="-35" w:hanging="73" w:hangingChars="35"/>
              <w:jc w:val="center"/>
              <w:rPr>
                <w:rFonts w:ascii="宋体" w:hAnsi="宋体" w:cs="宋体"/>
                <w:color w:val="auto"/>
                <w:szCs w:val="21"/>
                <w:highlight w:val="none"/>
              </w:rPr>
            </w:pPr>
          </w:p>
        </w:tc>
        <w:tc>
          <w:tcPr>
            <w:tcW w:w="1512" w:type="dxa"/>
            <w:vAlign w:val="center"/>
          </w:tcPr>
          <w:p w14:paraId="7CDA9C9B">
            <w:pPr>
              <w:spacing w:line="360" w:lineRule="auto"/>
              <w:ind w:leftChars="-35" w:hanging="73" w:hangingChars="35"/>
              <w:jc w:val="center"/>
              <w:rPr>
                <w:rFonts w:ascii="宋体" w:hAnsi="宋体" w:cs="宋体"/>
                <w:color w:val="auto"/>
                <w:szCs w:val="21"/>
                <w:highlight w:val="none"/>
              </w:rPr>
            </w:pPr>
          </w:p>
        </w:tc>
        <w:tc>
          <w:tcPr>
            <w:tcW w:w="1051" w:type="dxa"/>
            <w:vAlign w:val="center"/>
          </w:tcPr>
          <w:p w14:paraId="74033C96">
            <w:pPr>
              <w:spacing w:line="360" w:lineRule="auto"/>
              <w:ind w:leftChars="-35" w:hanging="73" w:hangingChars="35"/>
              <w:jc w:val="center"/>
              <w:rPr>
                <w:rFonts w:ascii="宋体" w:hAnsi="宋体" w:cs="宋体"/>
                <w:color w:val="auto"/>
                <w:szCs w:val="21"/>
                <w:highlight w:val="none"/>
              </w:rPr>
            </w:pPr>
          </w:p>
        </w:tc>
        <w:tc>
          <w:tcPr>
            <w:tcW w:w="1020" w:type="dxa"/>
            <w:vAlign w:val="center"/>
          </w:tcPr>
          <w:p w14:paraId="18A8D5E5">
            <w:pPr>
              <w:spacing w:line="360" w:lineRule="auto"/>
              <w:ind w:leftChars="-35" w:hanging="73" w:hangingChars="35"/>
              <w:jc w:val="center"/>
              <w:rPr>
                <w:rFonts w:ascii="宋体" w:hAnsi="宋体" w:cs="宋体"/>
                <w:color w:val="auto"/>
                <w:szCs w:val="21"/>
                <w:highlight w:val="none"/>
              </w:rPr>
            </w:pPr>
          </w:p>
        </w:tc>
        <w:tc>
          <w:tcPr>
            <w:tcW w:w="849" w:type="dxa"/>
            <w:vAlign w:val="center"/>
          </w:tcPr>
          <w:p w14:paraId="1F1F9A97">
            <w:pPr>
              <w:spacing w:line="360" w:lineRule="auto"/>
              <w:ind w:leftChars="-35" w:hanging="73" w:hangingChars="35"/>
              <w:jc w:val="center"/>
              <w:rPr>
                <w:rFonts w:ascii="宋体" w:hAnsi="宋体" w:cs="宋体"/>
                <w:color w:val="auto"/>
                <w:szCs w:val="21"/>
                <w:highlight w:val="none"/>
              </w:rPr>
            </w:pPr>
          </w:p>
        </w:tc>
        <w:tc>
          <w:tcPr>
            <w:tcW w:w="1134" w:type="dxa"/>
            <w:vAlign w:val="center"/>
          </w:tcPr>
          <w:p w14:paraId="22A6591F">
            <w:pPr>
              <w:spacing w:line="360" w:lineRule="auto"/>
              <w:ind w:leftChars="-35" w:hanging="73" w:hangingChars="35"/>
              <w:jc w:val="center"/>
              <w:rPr>
                <w:rFonts w:ascii="宋体" w:hAnsi="宋体" w:cs="宋体"/>
                <w:color w:val="auto"/>
                <w:szCs w:val="21"/>
                <w:highlight w:val="none"/>
              </w:rPr>
            </w:pPr>
          </w:p>
        </w:tc>
        <w:tc>
          <w:tcPr>
            <w:tcW w:w="1277" w:type="dxa"/>
            <w:vAlign w:val="center"/>
          </w:tcPr>
          <w:p w14:paraId="1E313A28">
            <w:pPr>
              <w:spacing w:line="360" w:lineRule="auto"/>
              <w:ind w:leftChars="-35" w:hanging="73" w:hangingChars="35"/>
              <w:jc w:val="center"/>
              <w:rPr>
                <w:rFonts w:ascii="宋体" w:hAnsi="宋体" w:cs="宋体"/>
                <w:color w:val="auto"/>
                <w:szCs w:val="21"/>
                <w:highlight w:val="none"/>
              </w:rPr>
            </w:pPr>
          </w:p>
        </w:tc>
        <w:tc>
          <w:tcPr>
            <w:tcW w:w="1116" w:type="dxa"/>
            <w:vAlign w:val="center"/>
          </w:tcPr>
          <w:p w14:paraId="2465433D">
            <w:pPr>
              <w:spacing w:line="360" w:lineRule="auto"/>
              <w:ind w:leftChars="-35" w:hanging="73" w:hangingChars="35"/>
              <w:jc w:val="center"/>
              <w:rPr>
                <w:rFonts w:ascii="宋体" w:hAnsi="宋体" w:cs="宋体"/>
                <w:color w:val="auto"/>
                <w:szCs w:val="21"/>
                <w:highlight w:val="none"/>
              </w:rPr>
            </w:pPr>
          </w:p>
        </w:tc>
        <w:tc>
          <w:tcPr>
            <w:tcW w:w="756" w:type="dxa"/>
            <w:vAlign w:val="center"/>
          </w:tcPr>
          <w:p w14:paraId="5E13D0E5">
            <w:pPr>
              <w:spacing w:line="360" w:lineRule="auto"/>
              <w:ind w:leftChars="-35" w:hanging="73" w:hangingChars="35"/>
              <w:jc w:val="center"/>
              <w:rPr>
                <w:rFonts w:ascii="宋体" w:hAnsi="宋体" w:cs="宋体"/>
                <w:color w:val="auto"/>
                <w:szCs w:val="21"/>
                <w:highlight w:val="none"/>
              </w:rPr>
            </w:pPr>
          </w:p>
        </w:tc>
      </w:tr>
      <w:tr w14:paraId="1FD23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917AA83">
            <w:pPr>
              <w:spacing w:line="360" w:lineRule="auto"/>
              <w:ind w:leftChars="-35" w:hanging="73" w:hangingChars="35"/>
              <w:jc w:val="center"/>
              <w:rPr>
                <w:rFonts w:ascii="宋体" w:hAnsi="宋体" w:cs="宋体"/>
                <w:color w:val="auto"/>
                <w:szCs w:val="21"/>
                <w:highlight w:val="none"/>
              </w:rPr>
            </w:pPr>
          </w:p>
        </w:tc>
        <w:tc>
          <w:tcPr>
            <w:tcW w:w="1512" w:type="dxa"/>
            <w:vAlign w:val="center"/>
          </w:tcPr>
          <w:p w14:paraId="0ACBC2FE">
            <w:pPr>
              <w:spacing w:line="360" w:lineRule="auto"/>
              <w:ind w:leftChars="-35" w:hanging="73" w:hangingChars="35"/>
              <w:jc w:val="center"/>
              <w:rPr>
                <w:rFonts w:ascii="宋体" w:hAnsi="宋体" w:cs="宋体"/>
                <w:color w:val="auto"/>
                <w:szCs w:val="21"/>
                <w:highlight w:val="none"/>
              </w:rPr>
            </w:pPr>
          </w:p>
        </w:tc>
        <w:tc>
          <w:tcPr>
            <w:tcW w:w="1051" w:type="dxa"/>
            <w:vAlign w:val="center"/>
          </w:tcPr>
          <w:p w14:paraId="75E0839B">
            <w:pPr>
              <w:spacing w:line="360" w:lineRule="auto"/>
              <w:ind w:leftChars="-35" w:hanging="73" w:hangingChars="35"/>
              <w:jc w:val="center"/>
              <w:rPr>
                <w:rFonts w:ascii="宋体" w:hAnsi="宋体" w:cs="宋体"/>
                <w:color w:val="auto"/>
                <w:szCs w:val="21"/>
                <w:highlight w:val="none"/>
              </w:rPr>
            </w:pPr>
          </w:p>
        </w:tc>
        <w:tc>
          <w:tcPr>
            <w:tcW w:w="1020" w:type="dxa"/>
            <w:vAlign w:val="center"/>
          </w:tcPr>
          <w:p w14:paraId="5AD76490">
            <w:pPr>
              <w:spacing w:line="360" w:lineRule="auto"/>
              <w:ind w:leftChars="-35" w:hanging="73" w:hangingChars="35"/>
              <w:jc w:val="center"/>
              <w:rPr>
                <w:rFonts w:ascii="宋体" w:hAnsi="宋体" w:cs="宋体"/>
                <w:color w:val="auto"/>
                <w:szCs w:val="21"/>
                <w:highlight w:val="none"/>
              </w:rPr>
            </w:pPr>
          </w:p>
        </w:tc>
        <w:tc>
          <w:tcPr>
            <w:tcW w:w="849" w:type="dxa"/>
            <w:vAlign w:val="center"/>
          </w:tcPr>
          <w:p w14:paraId="711666CE">
            <w:pPr>
              <w:spacing w:line="360" w:lineRule="auto"/>
              <w:ind w:leftChars="-35" w:hanging="73" w:hangingChars="35"/>
              <w:jc w:val="center"/>
              <w:rPr>
                <w:rFonts w:ascii="宋体" w:hAnsi="宋体" w:cs="宋体"/>
                <w:color w:val="auto"/>
                <w:szCs w:val="21"/>
                <w:highlight w:val="none"/>
              </w:rPr>
            </w:pPr>
          </w:p>
        </w:tc>
        <w:tc>
          <w:tcPr>
            <w:tcW w:w="1134" w:type="dxa"/>
            <w:vAlign w:val="center"/>
          </w:tcPr>
          <w:p w14:paraId="74554F3C">
            <w:pPr>
              <w:spacing w:line="360" w:lineRule="auto"/>
              <w:ind w:leftChars="-35" w:hanging="73" w:hangingChars="35"/>
              <w:jc w:val="center"/>
              <w:rPr>
                <w:rFonts w:ascii="宋体" w:hAnsi="宋体" w:cs="宋体"/>
                <w:color w:val="auto"/>
                <w:szCs w:val="21"/>
                <w:highlight w:val="none"/>
              </w:rPr>
            </w:pPr>
          </w:p>
        </w:tc>
        <w:tc>
          <w:tcPr>
            <w:tcW w:w="1277" w:type="dxa"/>
            <w:vAlign w:val="center"/>
          </w:tcPr>
          <w:p w14:paraId="23F2CD47">
            <w:pPr>
              <w:spacing w:line="360" w:lineRule="auto"/>
              <w:ind w:leftChars="-35" w:hanging="73" w:hangingChars="35"/>
              <w:jc w:val="center"/>
              <w:rPr>
                <w:rFonts w:ascii="宋体" w:hAnsi="宋体" w:cs="宋体"/>
                <w:color w:val="auto"/>
                <w:szCs w:val="21"/>
                <w:highlight w:val="none"/>
              </w:rPr>
            </w:pPr>
          </w:p>
        </w:tc>
        <w:tc>
          <w:tcPr>
            <w:tcW w:w="1116" w:type="dxa"/>
            <w:vAlign w:val="center"/>
          </w:tcPr>
          <w:p w14:paraId="156C35B6">
            <w:pPr>
              <w:spacing w:line="360" w:lineRule="auto"/>
              <w:ind w:leftChars="-35" w:hanging="73" w:hangingChars="35"/>
              <w:jc w:val="center"/>
              <w:rPr>
                <w:rFonts w:ascii="宋体" w:hAnsi="宋体" w:cs="宋体"/>
                <w:color w:val="auto"/>
                <w:szCs w:val="21"/>
                <w:highlight w:val="none"/>
              </w:rPr>
            </w:pPr>
          </w:p>
        </w:tc>
        <w:tc>
          <w:tcPr>
            <w:tcW w:w="756" w:type="dxa"/>
            <w:vAlign w:val="center"/>
          </w:tcPr>
          <w:p w14:paraId="1018C603">
            <w:pPr>
              <w:spacing w:line="360" w:lineRule="auto"/>
              <w:ind w:leftChars="-35" w:hanging="73" w:hangingChars="35"/>
              <w:jc w:val="center"/>
              <w:rPr>
                <w:rFonts w:ascii="宋体" w:hAnsi="宋体" w:cs="宋体"/>
                <w:color w:val="auto"/>
                <w:szCs w:val="21"/>
                <w:highlight w:val="none"/>
              </w:rPr>
            </w:pPr>
          </w:p>
        </w:tc>
      </w:tr>
      <w:tr w14:paraId="692287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27DDDD1C">
            <w:pPr>
              <w:spacing w:line="360" w:lineRule="auto"/>
              <w:ind w:leftChars="-35" w:hanging="73" w:hangingChars="35"/>
              <w:jc w:val="center"/>
              <w:rPr>
                <w:rFonts w:ascii="宋体" w:hAnsi="宋体" w:cs="宋体"/>
                <w:color w:val="auto"/>
                <w:szCs w:val="21"/>
                <w:highlight w:val="none"/>
              </w:rPr>
            </w:pPr>
          </w:p>
        </w:tc>
        <w:tc>
          <w:tcPr>
            <w:tcW w:w="1512" w:type="dxa"/>
            <w:vAlign w:val="center"/>
          </w:tcPr>
          <w:p w14:paraId="3542C5B1">
            <w:pPr>
              <w:spacing w:line="360" w:lineRule="auto"/>
              <w:ind w:leftChars="-35" w:hanging="73" w:hangingChars="35"/>
              <w:jc w:val="center"/>
              <w:rPr>
                <w:rFonts w:ascii="宋体" w:hAnsi="宋体" w:cs="宋体"/>
                <w:color w:val="auto"/>
                <w:szCs w:val="21"/>
                <w:highlight w:val="none"/>
              </w:rPr>
            </w:pPr>
          </w:p>
        </w:tc>
        <w:tc>
          <w:tcPr>
            <w:tcW w:w="1051" w:type="dxa"/>
            <w:vAlign w:val="center"/>
          </w:tcPr>
          <w:p w14:paraId="7E2491C7">
            <w:pPr>
              <w:spacing w:line="360" w:lineRule="auto"/>
              <w:ind w:leftChars="-35" w:hanging="73" w:hangingChars="35"/>
              <w:jc w:val="center"/>
              <w:rPr>
                <w:rFonts w:ascii="宋体" w:hAnsi="宋体" w:cs="宋体"/>
                <w:color w:val="auto"/>
                <w:szCs w:val="21"/>
                <w:highlight w:val="none"/>
              </w:rPr>
            </w:pPr>
          </w:p>
        </w:tc>
        <w:tc>
          <w:tcPr>
            <w:tcW w:w="1020" w:type="dxa"/>
            <w:vAlign w:val="center"/>
          </w:tcPr>
          <w:p w14:paraId="22633D4E">
            <w:pPr>
              <w:spacing w:line="360" w:lineRule="auto"/>
              <w:ind w:leftChars="-35" w:hanging="73" w:hangingChars="35"/>
              <w:jc w:val="center"/>
              <w:rPr>
                <w:rFonts w:ascii="宋体" w:hAnsi="宋体" w:cs="宋体"/>
                <w:color w:val="auto"/>
                <w:szCs w:val="21"/>
                <w:highlight w:val="none"/>
              </w:rPr>
            </w:pPr>
          </w:p>
        </w:tc>
        <w:tc>
          <w:tcPr>
            <w:tcW w:w="849" w:type="dxa"/>
            <w:vAlign w:val="center"/>
          </w:tcPr>
          <w:p w14:paraId="5F1D9CA6">
            <w:pPr>
              <w:spacing w:line="360" w:lineRule="auto"/>
              <w:ind w:leftChars="-35" w:hanging="73" w:hangingChars="35"/>
              <w:jc w:val="center"/>
              <w:rPr>
                <w:rFonts w:ascii="宋体" w:hAnsi="宋体" w:cs="宋体"/>
                <w:color w:val="auto"/>
                <w:szCs w:val="21"/>
                <w:highlight w:val="none"/>
              </w:rPr>
            </w:pPr>
          </w:p>
        </w:tc>
        <w:tc>
          <w:tcPr>
            <w:tcW w:w="1134" w:type="dxa"/>
            <w:vAlign w:val="center"/>
          </w:tcPr>
          <w:p w14:paraId="43CECE4E">
            <w:pPr>
              <w:spacing w:line="360" w:lineRule="auto"/>
              <w:ind w:leftChars="-35" w:hanging="73" w:hangingChars="35"/>
              <w:jc w:val="center"/>
              <w:rPr>
                <w:rFonts w:ascii="宋体" w:hAnsi="宋体" w:cs="宋体"/>
                <w:color w:val="auto"/>
                <w:szCs w:val="21"/>
                <w:highlight w:val="none"/>
              </w:rPr>
            </w:pPr>
          </w:p>
        </w:tc>
        <w:tc>
          <w:tcPr>
            <w:tcW w:w="1277" w:type="dxa"/>
            <w:vAlign w:val="center"/>
          </w:tcPr>
          <w:p w14:paraId="60F36C74">
            <w:pPr>
              <w:spacing w:line="360" w:lineRule="auto"/>
              <w:ind w:leftChars="-35" w:hanging="73" w:hangingChars="35"/>
              <w:jc w:val="center"/>
              <w:rPr>
                <w:rFonts w:ascii="宋体" w:hAnsi="宋体" w:cs="宋体"/>
                <w:color w:val="auto"/>
                <w:szCs w:val="21"/>
                <w:highlight w:val="none"/>
              </w:rPr>
            </w:pPr>
          </w:p>
        </w:tc>
        <w:tc>
          <w:tcPr>
            <w:tcW w:w="1116" w:type="dxa"/>
            <w:vAlign w:val="center"/>
          </w:tcPr>
          <w:p w14:paraId="007764F0">
            <w:pPr>
              <w:spacing w:line="360" w:lineRule="auto"/>
              <w:ind w:leftChars="-35" w:hanging="73" w:hangingChars="35"/>
              <w:jc w:val="center"/>
              <w:rPr>
                <w:rFonts w:ascii="宋体" w:hAnsi="宋体" w:cs="宋体"/>
                <w:color w:val="auto"/>
                <w:szCs w:val="21"/>
                <w:highlight w:val="none"/>
              </w:rPr>
            </w:pPr>
          </w:p>
        </w:tc>
        <w:tc>
          <w:tcPr>
            <w:tcW w:w="756" w:type="dxa"/>
            <w:vAlign w:val="center"/>
          </w:tcPr>
          <w:p w14:paraId="18BACC25">
            <w:pPr>
              <w:spacing w:line="360" w:lineRule="auto"/>
              <w:ind w:leftChars="-35" w:hanging="73" w:hangingChars="35"/>
              <w:jc w:val="center"/>
              <w:rPr>
                <w:rFonts w:ascii="宋体" w:hAnsi="宋体" w:cs="宋体"/>
                <w:color w:val="auto"/>
                <w:szCs w:val="21"/>
                <w:highlight w:val="none"/>
              </w:rPr>
            </w:pPr>
          </w:p>
        </w:tc>
      </w:tr>
      <w:tr w14:paraId="1892B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57BABF4">
            <w:pPr>
              <w:spacing w:line="360" w:lineRule="auto"/>
              <w:ind w:leftChars="-35" w:hanging="73" w:hangingChars="35"/>
              <w:jc w:val="center"/>
              <w:rPr>
                <w:rFonts w:ascii="宋体" w:hAnsi="宋体" w:cs="宋体"/>
                <w:color w:val="auto"/>
                <w:szCs w:val="21"/>
                <w:highlight w:val="none"/>
              </w:rPr>
            </w:pPr>
          </w:p>
        </w:tc>
        <w:tc>
          <w:tcPr>
            <w:tcW w:w="1512" w:type="dxa"/>
            <w:vAlign w:val="center"/>
          </w:tcPr>
          <w:p w14:paraId="712443CB">
            <w:pPr>
              <w:spacing w:line="360" w:lineRule="auto"/>
              <w:ind w:leftChars="-35" w:hanging="73" w:hangingChars="35"/>
              <w:jc w:val="center"/>
              <w:rPr>
                <w:rFonts w:ascii="宋体" w:hAnsi="宋体" w:cs="宋体"/>
                <w:color w:val="auto"/>
                <w:szCs w:val="21"/>
                <w:highlight w:val="none"/>
              </w:rPr>
            </w:pPr>
          </w:p>
        </w:tc>
        <w:tc>
          <w:tcPr>
            <w:tcW w:w="1051" w:type="dxa"/>
            <w:vAlign w:val="center"/>
          </w:tcPr>
          <w:p w14:paraId="435909DB">
            <w:pPr>
              <w:spacing w:line="360" w:lineRule="auto"/>
              <w:ind w:leftChars="-35" w:hanging="73" w:hangingChars="35"/>
              <w:jc w:val="center"/>
              <w:rPr>
                <w:rFonts w:ascii="宋体" w:hAnsi="宋体" w:cs="宋体"/>
                <w:color w:val="auto"/>
                <w:szCs w:val="21"/>
                <w:highlight w:val="none"/>
              </w:rPr>
            </w:pPr>
          </w:p>
        </w:tc>
        <w:tc>
          <w:tcPr>
            <w:tcW w:w="1020" w:type="dxa"/>
            <w:vAlign w:val="center"/>
          </w:tcPr>
          <w:p w14:paraId="7BFD6328">
            <w:pPr>
              <w:spacing w:line="360" w:lineRule="auto"/>
              <w:ind w:leftChars="-35" w:hanging="73" w:hangingChars="35"/>
              <w:jc w:val="center"/>
              <w:rPr>
                <w:rFonts w:ascii="宋体" w:hAnsi="宋体" w:cs="宋体"/>
                <w:color w:val="auto"/>
                <w:szCs w:val="21"/>
                <w:highlight w:val="none"/>
              </w:rPr>
            </w:pPr>
          </w:p>
        </w:tc>
        <w:tc>
          <w:tcPr>
            <w:tcW w:w="849" w:type="dxa"/>
            <w:vAlign w:val="center"/>
          </w:tcPr>
          <w:p w14:paraId="5A8C64FF">
            <w:pPr>
              <w:spacing w:line="360" w:lineRule="auto"/>
              <w:ind w:leftChars="-35" w:hanging="73" w:hangingChars="35"/>
              <w:jc w:val="center"/>
              <w:rPr>
                <w:rFonts w:ascii="宋体" w:hAnsi="宋体" w:cs="宋体"/>
                <w:color w:val="auto"/>
                <w:szCs w:val="21"/>
                <w:highlight w:val="none"/>
              </w:rPr>
            </w:pPr>
          </w:p>
        </w:tc>
        <w:tc>
          <w:tcPr>
            <w:tcW w:w="1134" w:type="dxa"/>
            <w:vAlign w:val="center"/>
          </w:tcPr>
          <w:p w14:paraId="3625EDDD">
            <w:pPr>
              <w:spacing w:line="360" w:lineRule="auto"/>
              <w:ind w:leftChars="-35" w:hanging="73" w:hangingChars="35"/>
              <w:jc w:val="center"/>
              <w:rPr>
                <w:rFonts w:ascii="宋体" w:hAnsi="宋体" w:cs="宋体"/>
                <w:color w:val="auto"/>
                <w:szCs w:val="21"/>
                <w:highlight w:val="none"/>
              </w:rPr>
            </w:pPr>
          </w:p>
        </w:tc>
        <w:tc>
          <w:tcPr>
            <w:tcW w:w="1277" w:type="dxa"/>
            <w:vAlign w:val="center"/>
          </w:tcPr>
          <w:p w14:paraId="70B006F8">
            <w:pPr>
              <w:spacing w:line="360" w:lineRule="auto"/>
              <w:ind w:leftChars="-35" w:hanging="73" w:hangingChars="35"/>
              <w:jc w:val="center"/>
              <w:rPr>
                <w:rFonts w:ascii="宋体" w:hAnsi="宋体" w:cs="宋体"/>
                <w:color w:val="auto"/>
                <w:szCs w:val="21"/>
                <w:highlight w:val="none"/>
              </w:rPr>
            </w:pPr>
          </w:p>
        </w:tc>
        <w:tc>
          <w:tcPr>
            <w:tcW w:w="1116" w:type="dxa"/>
            <w:vAlign w:val="center"/>
          </w:tcPr>
          <w:p w14:paraId="3C8510AD">
            <w:pPr>
              <w:spacing w:line="360" w:lineRule="auto"/>
              <w:ind w:leftChars="-35" w:hanging="73" w:hangingChars="35"/>
              <w:jc w:val="center"/>
              <w:rPr>
                <w:rFonts w:ascii="宋体" w:hAnsi="宋体" w:cs="宋体"/>
                <w:color w:val="auto"/>
                <w:szCs w:val="21"/>
                <w:highlight w:val="none"/>
              </w:rPr>
            </w:pPr>
          </w:p>
        </w:tc>
        <w:tc>
          <w:tcPr>
            <w:tcW w:w="756" w:type="dxa"/>
            <w:vAlign w:val="center"/>
          </w:tcPr>
          <w:p w14:paraId="1E848690">
            <w:pPr>
              <w:spacing w:line="360" w:lineRule="auto"/>
              <w:ind w:leftChars="-35" w:hanging="73" w:hangingChars="35"/>
              <w:jc w:val="center"/>
              <w:rPr>
                <w:rFonts w:ascii="宋体" w:hAnsi="宋体" w:cs="宋体"/>
                <w:color w:val="auto"/>
                <w:szCs w:val="21"/>
                <w:highlight w:val="none"/>
              </w:rPr>
            </w:pPr>
          </w:p>
        </w:tc>
      </w:tr>
      <w:tr w14:paraId="24D57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E4AC51C">
            <w:pPr>
              <w:spacing w:line="360" w:lineRule="auto"/>
              <w:ind w:leftChars="-35" w:hanging="73" w:hangingChars="35"/>
              <w:jc w:val="center"/>
              <w:rPr>
                <w:rFonts w:ascii="宋体" w:hAnsi="宋体" w:cs="宋体"/>
                <w:color w:val="auto"/>
                <w:szCs w:val="21"/>
                <w:highlight w:val="none"/>
              </w:rPr>
            </w:pPr>
          </w:p>
        </w:tc>
        <w:tc>
          <w:tcPr>
            <w:tcW w:w="1512" w:type="dxa"/>
            <w:vAlign w:val="center"/>
          </w:tcPr>
          <w:p w14:paraId="204D16D3">
            <w:pPr>
              <w:spacing w:line="360" w:lineRule="auto"/>
              <w:ind w:leftChars="-35" w:hanging="73" w:hangingChars="35"/>
              <w:jc w:val="center"/>
              <w:rPr>
                <w:rFonts w:ascii="宋体" w:hAnsi="宋体" w:cs="宋体"/>
                <w:color w:val="auto"/>
                <w:szCs w:val="21"/>
                <w:highlight w:val="none"/>
              </w:rPr>
            </w:pPr>
          </w:p>
        </w:tc>
        <w:tc>
          <w:tcPr>
            <w:tcW w:w="1051" w:type="dxa"/>
            <w:vAlign w:val="center"/>
          </w:tcPr>
          <w:p w14:paraId="5709B831">
            <w:pPr>
              <w:spacing w:line="360" w:lineRule="auto"/>
              <w:ind w:leftChars="-35" w:hanging="73" w:hangingChars="35"/>
              <w:jc w:val="center"/>
              <w:rPr>
                <w:rFonts w:ascii="宋体" w:hAnsi="宋体" w:cs="宋体"/>
                <w:color w:val="auto"/>
                <w:szCs w:val="21"/>
                <w:highlight w:val="none"/>
              </w:rPr>
            </w:pPr>
          </w:p>
        </w:tc>
        <w:tc>
          <w:tcPr>
            <w:tcW w:w="1020" w:type="dxa"/>
            <w:vAlign w:val="center"/>
          </w:tcPr>
          <w:p w14:paraId="7FB0EA12">
            <w:pPr>
              <w:spacing w:line="360" w:lineRule="auto"/>
              <w:ind w:leftChars="-35" w:hanging="73" w:hangingChars="35"/>
              <w:jc w:val="center"/>
              <w:rPr>
                <w:rFonts w:ascii="宋体" w:hAnsi="宋体" w:cs="宋体"/>
                <w:color w:val="auto"/>
                <w:szCs w:val="21"/>
                <w:highlight w:val="none"/>
              </w:rPr>
            </w:pPr>
          </w:p>
        </w:tc>
        <w:tc>
          <w:tcPr>
            <w:tcW w:w="849" w:type="dxa"/>
            <w:vAlign w:val="center"/>
          </w:tcPr>
          <w:p w14:paraId="22284150">
            <w:pPr>
              <w:spacing w:line="360" w:lineRule="auto"/>
              <w:ind w:leftChars="-35" w:hanging="73" w:hangingChars="35"/>
              <w:jc w:val="center"/>
              <w:rPr>
                <w:rFonts w:ascii="宋体" w:hAnsi="宋体" w:cs="宋体"/>
                <w:color w:val="auto"/>
                <w:szCs w:val="21"/>
                <w:highlight w:val="none"/>
              </w:rPr>
            </w:pPr>
          </w:p>
        </w:tc>
        <w:tc>
          <w:tcPr>
            <w:tcW w:w="1134" w:type="dxa"/>
            <w:vAlign w:val="center"/>
          </w:tcPr>
          <w:p w14:paraId="50212EEB">
            <w:pPr>
              <w:spacing w:line="360" w:lineRule="auto"/>
              <w:ind w:leftChars="-35" w:hanging="73" w:hangingChars="35"/>
              <w:jc w:val="center"/>
              <w:rPr>
                <w:rFonts w:ascii="宋体" w:hAnsi="宋体" w:cs="宋体"/>
                <w:color w:val="auto"/>
                <w:szCs w:val="21"/>
                <w:highlight w:val="none"/>
              </w:rPr>
            </w:pPr>
          </w:p>
        </w:tc>
        <w:tc>
          <w:tcPr>
            <w:tcW w:w="1277" w:type="dxa"/>
            <w:vAlign w:val="center"/>
          </w:tcPr>
          <w:p w14:paraId="4AC84A02">
            <w:pPr>
              <w:spacing w:line="360" w:lineRule="auto"/>
              <w:ind w:leftChars="-35" w:hanging="73" w:hangingChars="35"/>
              <w:jc w:val="center"/>
              <w:rPr>
                <w:rFonts w:ascii="宋体" w:hAnsi="宋体" w:cs="宋体"/>
                <w:color w:val="auto"/>
                <w:szCs w:val="21"/>
                <w:highlight w:val="none"/>
              </w:rPr>
            </w:pPr>
          </w:p>
        </w:tc>
        <w:tc>
          <w:tcPr>
            <w:tcW w:w="1116" w:type="dxa"/>
            <w:vAlign w:val="center"/>
          </w:tcPr>
          <w:p w14:paraId="1D306FAD">
            <w:pPr>
              <w:spacing w:line="360" w:lineRule="auto"/>
              <w:ind w:leftChars="-35" w:hanging="73" w:hangingChars="35"/>
              <w:jc w:val="center"/>
              <w:rPr>
                <w:rFonts w:ascii="宋体" w:hAnsi="宋体" w:cs="宋体"/>
                <w:color w:val="auto"/>
                <w:szCs w:val="21"/>
                <w:highlight w:val="none"/>
              </w:rPr>
            </w:pPr>
          </w:p>
        </w:tc>
        <w:tc>
          <w:tcPr>
            <w:tcW w:w="756" w:type="dxa"/>
            <w:vAlign w:val="center"/>
          </w:tcPr>
          <w:p w14:paraId="78552380">
            <w:pPr>
              <w:spacing w:line="360" w:lineRule="auto"/>
              <w:ind w:leftChars="-35" w:hanging="73" w:hangingChars="35"/>
              <w:jc w:val="center"/>
              <w:rPr>
                <w:rFonts w:ascii="宋体" w:hAnsi="宋体" w:cs="宋体"/>
                <w:color w:val="auto"/>
                <w:szCs w:val="21"/>
                <w:highlight w:val="none"/>
              </w:rPr>
            </w:pPr>
          </w:p>
        </w:tc>
      </w:tr>
      <w:tr w14:paraId="29709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1261D772">
            <w:pPr>
              <w:spacing w:line="360" w:lineRule="auto"/>
              <w:ind w:leftChars="-35" w:hanging="73" w:hangingChars="35"/>
              <w:jc w:val="center"/>
              <w:rPr>
                <w:rFonts w:ascii="宋体" w:hAnsi="宋体" w:cs="宋体"/>
                <w:color w:val="auto"/>
                <w:szCs w:val="21"/>
                <w:highlight w:val="none"/>
              </w:rPr>
            </w:pPr>
          </w:p>
        </w:tc>
        <w:tc>
          <w:tcPr>
            <w:tcW w:w="1512" w:type="dxa"/>
            <w:vAlign w:val="center"/>
          </w:tcPr>
          <w:p w14:paraId="27974E25">
            <w:pPr>
              <w:spacing w:line="360" w:lineRule="auto"/>
              <w:ind w:leftChars="-35" w:hanging="73" w:hangingChars="35"/>
              <w:jc w:val="center"/>
              <w:rPr>
                <w:rFonts w:ascii="宋体" w:hAnsi="宋体" w:cs="宋体"/>
                <w:color w:val="auto"/>
                <w:szCs w:val="21"/>
                <w:highlight w:val="none"/>
              </w:rPr>
            </w:pPr>
          </w:p>
        </w:tc>
        <w:tc>
          <w:tcPr>
            <w:tcW w:w="1051" w:type="dxa"/>
            <w:vAlign w:val="center"/>
          </w:tcPr>
          <w:p w14:paraId="6D8FEF9E">
            <w:pPr>
              <w:spacing w:line="360" w:lineRule="auto"/>
              <w:ind w:leftChars="-35" w:hanging="73" w:hangingChars="35"/>
              <w:jc w:val="center"/>
              <w:rPr>
                <w:rFonts w:ascii="宋体" w:hAnsi="宋体" w:cs="宋体"/>
                <w:color w:val="auto"/>
                <w:szCs w:val="21"/>
                <w:highlight w:val="none"/>
              </w:rPr>
            </w:pPr>
          </w:p>
        </w:tc>
        <w:tc>
          <w:tcPr>
            <w:tcW w:w="1020" w:type="dxa"/>
            <w:vAlign w:val="center"/>
          </w:tcPr>
          <w:p w14:paraId="7709937D">
            <w:pPr>
              <w:spacing w:line="360" w:lineRule="auto"/>
              <w:ind w:leftChars="-35" w:hanging="73" w:hangingChars="35"/>
              <w:jc w:val="center"/>
              <w:rPr>
                <w:rFonts w:ascii="宋体" w:hAnsi="宋体" w:cs="宋体"/>
                <w:color w:val="auto"/>
                <w:szCs w:val="21"/>
                <w:highlight w:val="none"/>
              </w:rPr>
            </w:pPr>
          </w:p>
        </w:tc>
        <w:tc>
          <w:tcPr>
            <w:tcW w:w="849" w:type="dxa"/>
            <w:vAlign w:val="center"/>
          </w:tcPr>
          <w:p w14:paraId="7BC126A0">
            <w:pPr>
              <w:spacing w:line="360" w:lineRule="auto"/>
              <w:ind w:leftChars="-35" w:hanging="73" w:hangingChars="35"/>
              <w:jc w:val="center"/>
              <w:rPr>
                <w:rFonts w:ascii="宋体" w:hAnsi="宋体" w:cs="宋体"/>
                <w:color w:val="auto"/>
                <w:szCs w:val="21"/>
                <w:highlight w:val="none"/>
              </w:rPr>
            </w:pPr>
          </w:p>
        </w:tc>
        <w:tc>
          <w:tcPr>
            <w:tcW w:w="1134" w:type="dxa"/>
            <w:vAlign w:val="center"/>
          </w:tcPr>
          <w:p w14:paraId="21AF475E">
            <w:pPr>
              <w:spacing w:line="360" w:lineRule="auto"/>
              <w:ind w:leftChars="-35" w:hanging="73" w:hangingChars="35"/>
              <w:jc w:val="center"/>
              <w:rPr>
                <w:rFonts w:ascii="宋体" w:hAnsi="宋体" w:cs="宋体"/>
                <w:color w:val="auto"/>
                <w:szCs w:val="21"/>
                <w:highlight w:val="none"/>
              </w:rPr>
            </w:pPr>
          </w:p>
        </w:tc>
        <w:tc>
          <w:tcPr>
            <w:tcW w:w="1277" w:type="dxa"/>
            <w:vAlign w:val="center"/>
          </w:tcPr>
          <w:p w14:paraId="3A4FECBB">
            <w:pPr>
              <w:spacing w:line="360" w:lineRule="auto"/>
              <w:ind w:leftChars="-35" w:hanging="73" w:hangingChars="35"/>
              <w:jc w:val="center"/>
              <w:rPr>
                <w:rFonts w:ascii="宋体" w:hAnsi="宋体" w:cs="宋体"/>
                <w:color w:val="auto"/>
                <w:szCs w:val="21"/>
                <w:highlight w:val="none"/>
              </w:rPr>
            </w:pPr>
          </w:p>
        </w:tc>
        <w:tc>
          <w:tcPr>
            <w:tcW w:w="1116" w:type="dxa"/>
            <w:vAlign w:val="center"/>
          </w:tcPr>
          <w:p w14:paraId="6CF90D77">
            <w:pPr>
              <w:spacing w:line="360" w:lineRule="auto"/>
              <w:ind w:leftChars="-35" w:hanging="73" w:hangingChars="35"/>
              <w:jc w:val="center"/>
              <w:rPr>
                <w:rFonts w:ascii="宋体" w:hAnsi="宋体" w:cs="宋体"/>
                <w:color w:val="auto"/>
                <w:szCs w:val="21"/>
                <w:highlight w:val="none"/>
              </w:rPr>
            </w:pPr>
          </w:p>
        </w:tc>
        <w:tc>
          <w:tcPr>
            <w:tcW w:w="756" w:type="dxa"/>
            <w:vAlign w:val="center"/>
          </w:tcPr>
          <w:p w14:paraId="43961C10">
            <w:pPr>
              <w:spacing w:line="360" w:lineRule="auto"/>
              <w:ind w:leftChars="-35" w:hanging="73" w:hangingChars="35"/>
              <w:jc w:val="center"/>
              <w:rPr>
                <w:rFonts w:ascii="宋体" w:hAnsi="宋体" w:cs="宋体"/>
                <w:color w:val="auto"/>
                <w:szCs w:val="21"/>
                <w:highlight w:val="none"/>
              </w:rPr>
            </w:pPr>
          </w:p>
        </w:tc>
      </w:tr>
      <w:tr w14:paraId="61985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547BDA2A">
            <w:pPr>
              <w:spacing w:line="360" w:lineRule="auto"/>
              <w:ind w:leftChars="-35" w:hanging="73" w:hangingChars="35"/>
              <w:jc w:val="center"/>
              <w:rPr>
                <w:rFonts w:ascii="宋体" w:hAnsi="宋体" w:cs="宋体"/>
                <w:color w:val="auto"/>
                <w:szCs w:val="21"/>
                <w:highlight w:val="none"/>
              </w:rPr>
            </w:pPr>
          </w:p>
        </w:tc>
        <w:tc>
          <w:tcPr>
            <w:tcW w:w="1512" w:type="dxa"/>
            <w:vAlign w:val="center"/>
          </w:tcPr>
          <w:p w14:paraId="66556120">
            <w:pPr>
              <w:spacing w:line="360" w:lineRule="auto"/>
              <w:ind w:leftChars="-35" w:hanging="73" w:hangingChars="35"/>
              <w:jc w:val="center"/>
              <w:rPr>
                <w:rFonts w:ascii="宋体" w:hAnsi="宋体" w:cs="宋体"/>
                <w:color w:val="auto"/>
                <w:szCs w:val="21"/>
                <w:highlight w:val="none"/>
              </w:rPr>
            </w:pPr>
          </w:p>
        </w:tc>
        <w:tc>
          <w:tcPr>
            <w:tcW w:w="1051" w:type="dxa"/>
            <w:vAlign w:val="center"/>
          </w:tcPr>
          <w:p w14:paraId="2492A254">
            <w:pPr>
              <w:spacing w:line="360" w:lineRule="auto"/>
              <w:ind w:leftChars="-35" w:hanging="73" w:hangingChars="35"/>
              <w:jc w:val="center"/>
              <w:rPr>
                <w:rFonts w:ascii="宋体" w:hAnsi="宋体" w:cs="宋体"/>
                <w:color w:val="auto"/>
                <w:szCs w:val="21"/>
                <w:highlight w:val="none"/>
              </w:rPr>
            </w:pPr>
          </w:p>
        </w:tc>
        <w:tc>
          <w:tcPr>
            <w:tcW w:w="1020" w:type="dxa"/>
            <w:vAlign w:val="center"/>
          </w:tcPr>
          <w:p w14:paraId="1411AB88">
            <w:pPr>
              <w:spacing w:line="360" w:lineRule="auto"/>
              <w:ind w:leftChars="-35" w:hanging="73" w:hangingChars="35"/>
              <w:jc w:val="center"/>
              <w:rPr>
                <w:rFonts w:ascii="宋体" w:hAnsi="宋体" w:cs="宋体"/>
                <w:color w:val="auto"/>
                <w:szCs w:val="21"/>
                <w:highlight w:val="none"/>
              </w:rPr>
            </w:pPr>
          </w:p>
        </w:tc>
        <w:tc>
          <w:tcPr>
            <w:tcW w:w="849" w:type="dxa"/>
            <w:vAlign w:val="center"/>
          </w:tcPr>
          <w:p w14:paraId="145FA23A">
            <w:pPr>
              <w:spacing w:line="360" w:lineRule="auto"/>
              <w:ind w:leftChars="-35" w:hanging="73" w:hangingChars="35"/>
              <w:jc w:val="center"/>
              <w:rPr>
                <w:rFonts w:ascii="宋体" w:hAnsi="宋体" w:cs="宋体"/>
                <w:color w:val="auto"/>
                <w:szCs w:val="21"/>
                <w:highlight w:val="none"/>
              </w:rPr>
            </w:pPr>
          </w:p>
        </w:tc>
        <w:tc>
          <w:tcPr>
            <w:tcW w:w="1134" w:type="dxa"/>
            <w:vAlign w:val="center"/>
          </w:tcPr>
          <w:p w14:paraId="24CDBF07">
            <w:pPr>
              <w:spacing w:line="360" w:lineRule="auto"/>
              <w:ind w:leftChars="-35" w:hanging="73" w:hangingChars="35"/>
              <w:jc w:val="center"/>
              <w:rPr>
                <w:rFonts w:ascii="宋体" w:hAnsi="宋体" w:cs="宋体"/>
                <w:color w:val="auto"/>
                <w:szCs w:val="21"/>
                <w:highlight w:val="none"/>
              </w:rPr>
            </w:pPr>
          </w:p>
        </w:tc>
        <w:tc>
          <w:tcPr>
            <w:tcW w:w="1277" w:type="dxa"/>
            <w:vAlign w:val="center"/>
          </w:tcPr>
          <w:p w14:paraId="7DB4D9FE">
            <w:pPr>
              <w:spacing w:line="360" w:lineRule="auto"/>
              <w:ind w:leftChars="-35" w:hanging="73" w:hangingChars="35"/>
              <w:jc w:val="center"/>
              <w:rPr>
                <w:rFonts w:ascii="宋体" w:hAnsi="宋体" w:cs="宋体"/>
                <w:color w:val="auto"/>
                <w:szCs w:val="21"/>
                <w:highlight w:val="none"/>
              </w:rPr>
            </w:pPr>
          </w:p>
        </w:tc>
        <w:tc>
          <w:tcPr>
            <w:tcW w:w="1116" w:type="dxa"/>
            <w:vAlign w:val="center"/>
          </w:tcPr>
          <w:p w14:paraId="0AA3CA31">
            <w:pPr>
              <w:spacing w:line="360" w:lineRule="auto"/>
              <w:ind w:leftChars="-35" w:hanging="73" w:hangingChars="35"/>
              <w:jc w:val="center"/>
              <w:rPr>
                <w:rFonts w:ascii="宋体" w:hAnsi="宋体" w:cs="宋体"/>
                <w:color w:val="auto"/>
                <w:szCs w:val="21"/>
                <w:highlight w:val="none"/>
              </w:rPr>
            </w:pPr>
          </w:p>
        </w:tc>
        <w:tc>
          <w:tcPr>
            <w:tcW w:w="756" w:type="dxa"/>
            <w:vAlign w:val="center"/>
          </w:tcPr>
          <w:p w14:paraId="274C5934">
            <w:pPr>
              <w:spacing w:line="360" w:lineRule="auto"/>
              <w:ind w:leftChars="-35" w:hanging="73" w:hangingChars="35"/>
              <w:jc w:val="center"/>
              <w:rPr>
                <w:rFonts w:ascii="宋体" w:hAnsi="宋体" w:cs="宋体"/>
                <w:color w:val="auto"/>
                <w:szCs w:val="21"/>
                <w:highlight w:val="none"/>
              </w:rPr>
            </w:pPr>
          </w:p>
        </w:tc>
      </w:tr>
      <w:tr w14:paraId="71877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4DCA1B5B">
            <w:pPr>
              <w:spacing w:line="360" w:lineRule="auto"/>
              <w:ind w:leftChars="-35" w:hanging="73" w:hangingChars="35"/>
              <w:jc w:val="center"/>
              <w:rPr>
                <w:rFonts w:ascii="宋体" w:hAnsi="宋体" w:cs="宋体"/>
                <w:color w:val="auto"/>
                <w:szCs w:val="21"/>
                <w:highlight w:val="none"/>
              </w:rPr>
            </w:pPr>
          </w:p>
        </w:tc>
        <w:tc>
          <w:tcPr>
            <w:tcW w:w="1512" w:type="dxa"/>
            <w:vAlign w:val="center"/>
          </w:tcPr>
          <w:p w14:paraId="39E2509C">
            <w:pPr>
              <w:spacing w:line="360" w:lineRule="auto"/>
              <w:ind w:leftChars="-35" w:hanging="73" w:hangingChars="35"/>
              <w:jc w:val="center"/>
              <w:rPr>
                <w:rFonts w:ascii="宋体" w:hAnsi="宋体" w:cs="宋体"/>
                <w:color w:val="auto"/>
                <w:szCs w:val="21"/>
                <w:highlight w:val="none"/>
              </w:rPr>
            </w:pPr>
          </w:p>
        </w:tc>
        <w:tc>
          <w:tcPr>
            <w:tcW w:w="1051" w:type="dxa"/>
            <w:vAlign w:val="center"/>
          </w:tcPr>
          <w:p w14:paraId="03B87BCA">
            <w:pPr>
              <w:spacing w:line="360" w:lineRule="auto"/>
              <w:ind w:leftChars="-35" w:hanging="73" w:hangingChars="35"/>
              <w:jc w:val="center"/>
              <w:rPr>
                <w:rFonts w:ascii="宋体" w:hAnsi="宋体" w:cs="宋体"/>
                <w:color w:val="auto"/>
                <w:szCs w:val="21"/>
                <w:highlight w:val="none"/>
              </w:rPr>
            </w:pPr>
          </w:p>
        </w:tc>
        <w:tc>
          <w:tcPr>
            <w:tcW w:w="1020" w:type="dxa"/>
            <w:vAlign w:val="center"/>
          </w:tcPr>
          <w:p w14:paraId="20D09A5F">
            <w:pPr>
              <w:spacing w:line="360" w:lineRule="auto"/>
              <w:ind w:leftChars="-35" w:hanging="73" w:hangingChars="35"/>
              <w:jc w:val="center"/>
              <w:rPr>
                <w:rFonts w:ascii="宋体" w:hAnsi="宋体" w:cs="宋体"/>
                <w:color w:val="auto"/>
                <w:szCs w:val="21"/>
                <w:highlight w:val="none"/>
              </w:rPr>
            </w:pPr>
          </w:p>
        </w:tc>
        <w:tc>
          <w:tcPr>
            <w:tcW w:w="849" w:type="dxa"/>
            <w:vAlign w:val="center"/>
          </w:tcPr>
          <w:p w14:paraId="7CE5F991">
            <w:pPr>
              <w:spacing w:line="360" w:lineRule="auto"/>
              <w:ind w:leftChars="-35" w:hanging="73" w:hangingChars="35"/>
              <w:jc w:val="center"/>
              <w:rPr>
                <w:rFonts w:ascii="宋体" w:hAnsi="宋体" w:cs="宋体"/>
                <w:color w:val="auto"/>
                <w:szCs w:val="21"/>
                <w:highlight w:val="none"/>
              </w:rPr>
            </w:pPr>
          </w:p>
        </w:tc>
        <w:tc>
          <w:tcPr>
            <w:tcW w:w="1134" w:type="dxa"/>
            <w:vAlign w:val="center"/>
          </w:tcPr>
          <w:p w14:paraId="38AA0EAD">
            <w:pPr>
              <w:spacing w:line="360" w:lineRule="auto"/>
              <w:ind w:leftChars="-35" w:hanging="73" w:hangingChars="35"/>
              <w:jc w:val="center"/>
              <w:rPr>
                <w:rFonts w:ascii="宋体" w:hAnsi="宋体" w:cs="宋体"/>
                <w:color w:val="auto"/>
                <w:szCs w:val="21"/>
                <w:highlight w:val="none"/>
              </w:rPr>
            </w:pPr>
          </w:p>
        </w:tc>
        <w:tc>
          <w:tcPr>
            <w:tcW w:w="1277" w:type="dxa"/>
            <w:vAlign w:val="center"/>
          </w:tcPr>
          <w:p w14:paraId="19B359A5">
            <w:pPr>
              <w:spacing w:line="360" w:lineRule="auto"/>
              <w:ind w:leftChars="-35" w:hanging="73" w:hangingChars="35"/>
              <w:jc w:val="center"/>
              <w:rPr>
                <w:rFonts w:ascii="宋体" w:hAnsi="宋体" w:cs="宋体"/>
                <w:color w:val="auto"/>
                <w:szCs w:val="21"/>
                <w:highlight w:val="none"/>
              </w:rPr>
            </w:pPr>
          </w:p>
        </w:tc>
        <w:tc>
          <w:tcPr>
            <w:tcW w:w="1116" w:type="dxa"/>
            <w:vAlign w:val="center"/>
          </w:tcPr>
          <w:p w14:paraId="1F59E21D">
            <w:pPr>
              <w:spacing w:line="360" w:lineRule="auto"/>
              <w:ind w:leftChars="-35" w:hanging="73" w:hangingChars="35"/>
              <w:jc w:val="center"/>
              <w:rPr>
                <w:rFonts w:ascii="宋体" w:hAnsi="宋体" w:cs="宋体"/>
                <w:color w:val="auto"/>
                <w:szCs w:val="21"/>
                <w:highlight w:val="none"/>
              </w:rPr>
            </w:pPr>
          </w:p>
        </w:tc>
        <w:tc>
          <w:tcPr>
            <w:tcW w:w="756" w:type="dxa"/>
            <w:vAlign w:val="center"/>
          </w:tcPr>
          <w:p w14:paraId="00BF3486">
            <w:pPr>
              <w:spacing w:line="360" w:lineRule="auto"/>
              <w:ind w:leftChars="-35" w:hanging="73" w:hangingChars="35"/>
              <w:jc w:val="center"/>
              <w:rPr>
                <w:rFonts w:ascii="宋体" w:hAnsi="宋体" w:cs="宋体"/>
                <w:color w:val="auto"/>
                <w:szCs w:val="21"/>
                <w:highlight w:val="none"/>
              </w:rPr>
            </w:pPr>
          </w:p>
        </w:tc>
      </w:tr>
      <w:tr w14:paraId="0FC62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54C59B8E">
            <w:pPr>
              <w:spacing w:line="360" w:lineRule="auto"/>
              <w:ind w:leftChars="-35" w:hanging="73" w:hangingChars="35"/>
              <w:jc w:val="center"/>
              <w:rPr>
                <w:rFonts w:ascii="宋体" w:hAnsi="宋体" w:cs="宋体"/>
                <w:color w:val="auto"/>
                <w:szCs w:val="21"/>
                <w:highlight w:val="none"/>
              </w:rPr>
            </w:pPr>
          </w:p>
        </w:tc>
        <w:tc>
          <w:tcPr>
            <w:tcW w:w="1512" w:type="dxa"/>
            <w:vAlign w:val="center"/>
          </w:tcPr>
          <w:p w14:paraId="23914211">
            <w:pPr>
              <w:spacing w:line="360" w:lineRule="auto"/>
              <w:ind w:leftChars="-35" w:hanging="73" w:hangingChars="35"/>
              <w:jc w:val="center"/>
              <w:rPr>
                <w:rFonts w:ascii="宋体" w:hAnsi="宋体" w:cs="宋体"/>
                <w:color w:val="auto"/>
                <w:szCs w:val="21"/>
                <w:highlight w:val="none"/>
              </w:rPr>
            </w:pPr>
          </w:p>
        </w:tc>
        <w:tc>
          <w:tcPr>
            <w:tcW w:w="1051" w:type="dxa"/>
            <w:vAlign w:val="center"/>
          </w:tcPr>
          <w:p w14:paraId="78D944D1">
            <w:pPr>
              <w:spacing w:line="360" w:lineRule="auto"/>
              <w:ind w:leftChars="-35" w:hanging="73" w:hangingChars="35"/>
              <w:jc w:val="center"/>
              <w:rPr>
                <w:rFonts w:ascii="宋体" w:hAnsi="宋体" w:cs="宋体"/>
                <w:color w:val="auto"/>
                <w:szCs w:val="21"/>
                <w:highlight w:val="none"/>
              </w:rPr>
            </w:pPr>
          </w:p>
        </w:tc>
        <w:tc>
          <w:tcPr>
            <w:tcW w:w="1020" w:type="dxa"/>
            <w:vAlign w:val="center"/>
          </w:tcPr>
          <w:p w14:paraId="6C247AB3">
            <w:pPr>
              <w:spacing w:line="360" w:lineRule="auto"/>
              <w:ind w:leftChars="-35" w:hanging="73" w:hangingChars="35"/>
              <w:jc w:val="center"/>
              <w:rPr>
                <w:rFonts w:ascii="宋体" w:hAnsi="宋体" w:cs="宋体"/>
                <w:color w:val="auto"/>
                <w:szCs w:val="21"/>
                <w:highlight w:val="none"/>
              </w:rPr>
            </w:pPr>
          </w:p>
        </w:tc>
        <w:tc>
          <w:tcPr>
            <w:tcW w:w="849" w:type="dxa"/>
            <w:vAlign w:val="center"/>
          </w:tcPr>
          <w:p w14:paraId="15CB27BC">
            <w:pPr>
              <w:spacing w:line="360" w:lineRule="auto"/>
              <w:ind w:leftChars="-35" w:hanging="73" w:hangingChars="35"/>
              <w:jc w:val="center"/>
              <w:rPr>
                <w:rFonts w:ascii="宋体" w:hAnsi="宋体" w:cs="宋体"/>
                <w:color w:val="auto"/>
                <w:szCs w:val="21"/>
                <w:highlight w:val="none"/>
              </w:rPr>
            </w:pPr>
          </w:p>
        </w:tc>
        <w:tc>
          <w:tcPr>
            <w:tcW w:w="1134" w:type="dxa"/>
            <w:vAlign w:val="center"/>
          </w:tcPr>
          <w:p w14:paraId="59BD86C8">
            <w:pPr>
              <w:spacing w:line="360" w:lineRule="auto"/>
              <w:ind w:leftChars="-35" w:hanging="73" w:hangingChars="35"/>
              <w:jc w:val="center"/>
              <w:rPr>
                <w:rFonts w:ascii="宋体" w:hAnsi="宋体" w:cs="宋体"/>
                <w:color w:val="auto"/>
                <w:szCs w:val="21"/>
                <w:highlight w:val="none"/>
              </w:rPr>
            </w:pPr>
          </w:p>
        </w:tc>
        <w:tc>
          <w:tcPr>
            <w:tcW w:w="1277" w:type="dxa"/>
            <w:vAlign w:val="center"/>
          </w:tcPr>
          <w:p w14:paraId="17D000F0">
            <w:pPr>
              <w:spacing w:line="360" w:lineRule="auto"/>
              <w:ind w:leftChars="-35" w:hanging="73" w:hangingChars="35"/>
              <w:jc w:val="center"/>
              <w:rPr>
                <w:rFonts w:ascii="宋体" w:hAnsi="宋体" w:cs="宋体"/>
                <w:color w:val="auto"/>
                <w:szCs w:val="21"/>
                <w:highlight w:val="none"/>
              </w:rPr>
            </w:pPr>
          </w:p>
        </w:tc>
        <w:tc>
          <w:tcPr>
            <w:tcW w:w="1116" w:type="dxa"/>
            <w:vAlign w:val="center"/>
          </w:tcPr>
          <w:p w14:paraId="2D901256">
            <w:pPr>
              <w:spacing w:line="360" w:lineRule="auto"/>
              <w:ind w:leftChars="-35" w:hanging="73" w:hangingChars="35"/>
              <w:jc w:val="center"/>
              <w:rPr>
                <w:rFonts w:ascii="宋体" w:hAnsi="宋体" w:cs="宋体"/>
                <w:color w:val="auto"/>
                <w:szCs w:val="21"/>
                <w:highlight w:val="none"/>
              </w:rPr>
            </w:pPr>
          </w:p>
        </w:tc>
        <w:tc>
          <w:tcPr>
            <w:tcW w:w="756" w:type="dxa"/>
            <w:vAlign w:val="center"/>
          </w:tcPr>
          <w:p w14:paraId="495F65E1">
            <w:pPr>
              <w:spacing w:line="360" w:lineRule="auto"/>
              <w:ind w:leftChars="-35" w:hanging="73" w:hangingChars="35"/>
              <w:jc w:val="center"/>
              <w:rPr>
                <w:rFonts w:ascii="宋体" w:hAnsi="宋体" w:cs="宋体"/>
                <w:color w:val="auto"/>
                <w:szCs w:val="21"/>
                <w:highlight w:val="none"/>
              </w:rPr>
            </w:pPr>
          </w:p>
        </w:tc>
      </w:tr>
      <w:tr w14:paraId="3D61E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50387EF4">
            <w:pPr>
              <w:spacing w:line="360" w:lineRule="auto"/>
              <w:ind w:leftChars="-35" w:hanging="73" w:hangingChars="35"/>
              <w:jc w:val="center"/>
              <w:rPr>
                <w:rFonts w:ascii="宋体" w:hAnsi="宋体" w:cs="宋体"/>
                <w:color w:val="auto"/>
                <w:szCs w:val="21"/>
                <w:highlight w:val="none"/>
              </w:rPr>
            </w:pPr>
          </w:p>
        </w:tc>
        <w:tc>
          <w:tcPr>
            <w:tcW w:w="1512" w:type="dxa"/>
            <w:vAlign w:val="center"/>
          </w:tcPr>
          <w:p w14:paraId="76EAA297">
            <w:pPr>
              <w:spacing w:line="360" w:lineRule="auto"/>
              <w:ind w:leftChars="-35" w:hanging="73" w:hangingChars="35"/>
              <w:jc w:val="center"/>
              <w:rPr>
                <w:rFonts w:ascii="宋体" w:hAnsi="宋体" w:cs="宋体"/>
                <w:color w:val="auto"/>
                <w:szCs w:val="21"/>
                <w:highlight w:val="none"/>
              </w:rPr>
            </w:pPr>
          </w:p>
        </w:tc>
        <w:tc>
          <w:tcPr>
            <w:tcW w:w="1051" w:type="dxa"/>
            <w:vAlign w:val="center"/>
          </w:tcPr>
          <w:p w14:paraId="30F3D924">
            <w:pPr>
              <w:spacing w:line="360" w:lineRule="auto"/>
              <w:ind w:leftChars="-35" w:hanging="73" w:hangingChars="35"/>
              <w:jc w:val="center"/>
              <w:rPr>
                <w:rFonts w:ascii="宋体" w:hAnsi="宋体" w:cs="宋体"/>
                <w:color w:val="auto"/>
                <w:szCs w:val="21"/>
                <w:highlight w:val="none"/>
              </w:rPr>
            </w:pPr>
          </w:p>
        </w:tc>
        <w:tc>
          <w:tcPr>
            <w:tcW w:w="1020" w:type="dxa"/>
            <w:vAlign w:val="center"/>
          </w:tcPr>
          <w:p w14:paraId="66B80560">
            <w:pPr>
              <w:spacing w:line="360" w:lineRule="auto"/>
              <w:ind w:leftChars="-35" w:hanging="73" w:hangingChars="35"/>
              <w:jc w:val="center"/>
              <w:rPr>
                <w:rFonts w:ascii="宋体" w:hAnsi="宋体" w:cs="宋体"/>
                <w:color w:val="auto"/>
                <w:szCs w:val="21"/>
                <w:highlight w:val="none"/>
              </w:rPr>
            </w:pPr>
          </w:p>
        </w:tc>
        <w:tc>
          <w:tcPr>
            <w:tcW w:w="849" w:type="dxa"/>
            <w:vAlign w:val="center"/>
          </w:tcPr>
          <w:p w14:paraId="0C2E51A1">
            <w:pPr>
              <w:spacing w:line="360" w:lineRule="auto"/>
              <w:ind w:leftChars="-35" w:hanging="73" w:hangingChars="35"/>
              <w:jc w:val="center"/>
              <w:rPr>
                <w:rFonts w:ascii="宋体" w:hAnsi="宋体" w:cs="宋体"/>
                <w:color w:val="auto"/>
                <w:szCs w:val="21"/>
                <w:highlight w:val="none"/>
              </w:rPr>
            </w:pPr>
          </w:p>
        </w:tc>
        <w:tc>
          <w:tcPr>
            <w:tcW w:w="1134" w:type="dxa"/>
            <w:vAlign w:val="center"/>
          </w:tcPr>
          <w:p w14:paraId="36E0AB26">
            <w:pPr>
              <w:spacing w:line="360" w:lineRule="auto"/>
              <w:ind w:leftChars="-35" w:hanging="73" w:hangingChars="35"/>
              <w:jc w:val="center"/>
              <w:rPr>
                <w:rFonts w:ascii="宋体" w:hAnsi="宋体" w:cs="宋体"/>
                <w:color w:val="auto"/>
                <w:szCs w:val="21"/>
                <w:highlight w:val="none"/>
              </w:rPr>
            </w:pPr>
          </w:p>
        </w:tc>
        <w:tc>
          <w:tcPr>
            <w:tcW w:w="1277" w:type="dxa"/>
            <w:vAlign w:val="center"/>
          </w:tcPr>
          <w:p w14:paraId="003072F7">
            <w:pPr>
              <w:spacing w:line="360" w:lineRule="auto"/>
              <w:ind w:leftChars="-35" w:hanging="73" w:hangingChars="35"/>
              <w:jc w:val="center"/>
              <w:rPr>
                <w:rFonts w:ascii="宋体" w:hAnsi="宋体" w:cs="宋体"/>
                <w:color w:val="auto"/>
                <w:szCs w:val="21"/>
                <w:highlight w:val="none"/>
              </w:rPr>
            </w:pPr>
          </w:p>
        </w:tc>
        <w:tc>
          <w:tcPr>
            <w:tcW w:w="1116" w:type="dxa"/>
            <w:vAlign w:val="center"/>
          </w:tcPr>
          <w:p w14:paraId="689C0C4A">
            <w:pPr>
              <w:spacing w:line="360" w:lineRule="auto"/>
              <w:ind w:leftChars="-35" w:hanging="73" w:hangingChars="35"/>
              <w:jc w:val="center"/>
              <w:rPr>
                <w:rFonts w:ascii="宋体" w:hAnsi="宋体" w:cs="宋体"/>
                <w:color w:val="auto"/>
                <w:szCs w:val="21"/>
                <w:highlight w:val="none"/>
              </w:rPr>
            </w:pPr>
          </w:p>
        </w:tc>
        <w:tc>
          <w:tcPr>
            <w:tcW w:w="756" w:type="dxa"/>
            <w:vAlign w:val="center"/>
          </w:tcPr>
          <w:p w14:paraId="52D37E41">
            <w:pPr>
              <w:spacing w:line="360" w:lineRule="auto"/>
              <w:ind w:leftChars="-35" w:hanging="73" w:hangingChars="35"/>
              <w:jc w:val="center"/>
              <w:rPr>
                <w:rFonts w:ascii="宋体" w:hAnsi="宋体" w:cs="宋体"/>
                <w:color w:val="auto"/>
                <w:szCs w:val="21"/>
                <w:highlight w:val="none"/>
              </w:rPr>
            </w:pPr>
          </w:p>
        </w:tc>
      </w:tr>
      <w:tr w14:paraId="413DF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51F445D6">
            <w:pPr>
              <w:spacing w:line="360" w:lineRule="auto"/>
              <w:ind w:leftChars="-35" w:hanging="73" w:hangingChars="35"/>
              <w:jc w:val="center"/>
              <w:rPr>
                <w:rFonts w:ascii="宋体" w:hAnsi="宋体" w:cs="宋体"/>
                <w:color w:val="auto"/>
                <w:szCs w:val="21"/>
                <w:highlight w:val="none"/>
              </w:rPr>
            </w:pPr>
          </w:p>
        </w:tc>
        <w:tc>
          <w:tcPr>
            <w:tcW w:w="1512" w:type="dxa"/>
            <w:vAlign w:val="center"/>
          </w:tcPr>
          <w:p w14:paraId="558DBC17">
            <w:pPr>
              <w:spacing w:line="360" w:lineRule="auto"/>
              <w:ind w:leftChars="-35" w:hanging="73" w:hangingChars="35"/>
              <w:jc w:val="center"/>
              <w:rPr>
                <w:rFonts w:ascii="宋体" w:hAnsi="宋体" w:cs="宋体"/>
                <w:color w:val="auto"/>
                <w:szCs w:val="21"/>
                <w:highlight w:val="none"/>
              </w:rPr>
            </w:pPr>
          </w:p>
        </w:tc>
        <w:tc>
          <w:tcPr>
            <w:tcW w:w="1051" w:type="dxa"/>
            <w:vAlign w:val="center"/>
          </w:tcPr>
          <w:p w14:paraId="23A5B68E">
            <w:pPr>
              <w:spacing w:line="360" w:lineRule="auto"/>
              <w:ind w:leftChars="-35" w:hanging="73" w:hangingChars="35"/>
              <w:jc w:val="center"/>
              <w:rPr>
                <w:rFonts w:ascii="宋体" w:hAnsi="宋体" w:cs="宋体"/>
                <w:color w:val="auto"/>
                <w:szCs w:val="21"/>
                <w:highlight w:val="none"/>
              </w:rPr>
            </w:pPr>
          </w:p>
        </w:tc>
        <w:tc>
          <w:tcPr>
            <w:tcW w:w="1020" w:type="dxa"/>
            <w:vAlign w:val="center"/>
          </w:tcPr>
          <w:p w14:paraId="72ADC345">
            <w:pPr>
              <w:spacing w:line="360" w:lineRule="auto"/>
              <w:ind w:leftChars="-35" w:hanging="73" w:hangingChars="35"/>
              <w:jc w:val="center"/>
              <w:rPr>
                <w:rFonts w:ascii="宋体" w:hAnsi="宋体" w:cs="宋体"/>
                <w:color w:val="auto"/>
                <w:szCs w:val="21"/>
                <w:highlight w:val="none"/>
              </w:rPr>
            </w:pPr>
          </w:p>
        </w:tc>
        <w:tc>
          <w:tcPr>
            <w:tcW w:w="849" w:type="dxa"/>
            <w:vAlign w:val="center"/>
          </w:tcPr>
          <w:p w14:paraId="64632768">
            <w:pPr>
              <w:spacing w:line="360" w:lineRule="auto"/>
              <w:ind w:leftChars="-35" w:hanging="73" w:hangingChars="35"/>
              <w:jc w:val="center"/>
              <w:rPr>
                <w:rFonts w:ascii="宋体" w:hAnsi="宋体" w:cs="宋体"/>
                <w:color w:val="auto"/>
                <w:szCs w:val="21"/>
                <w:highlight w:val="none"/>
              </w:rPr>
            </w:pPr>
          </w:p>
        </w:tc>
        <w:tc>
          <w:tcPr>
            <w:tcW w:w="1134" w:type="dxa"/>
            <w:vAlign w:val="center"/>
          </w:tcPr>
          <w:p w14:paraId="4153A4D6">
            <w:pPr>
              <w:spacing w:line="360" w:lineRule="auto"/>
              <w:ind w:leftChars="-35" w:hanging="73" w:hangingChars="35"/>
              <w:jc w:val="center"/>
              <w:rPr>
                <w:rFonts w:ascii="宋体" w:hAnsi="宋体" w:cs="宋体"/>
                <w:color w:val="auto"/>
                <w:szCs w:val="21"/>
                <w:highlight w:val="none"/>
              </w:rPr>
            </w:pPr>
          </w:p>
        </w:tc>
        <w:tc>
          <w:tcPr>
            <w:tcW w:w="1277" w:type="dxa"/>
            <w:vAlign w:val="center"/>
          </w:tcPr>
          <w:p w14:paraId="523E4724">
            <w:pPr>
              <w:spacing w:line="360" w:lineRule="auto"/>
              <w:ind w:leftChars="-35" w:hanging="73" w:hangingChars="35"/>
              <w:jc w:val="center"/>
              <w:rPr>
                <w:rFonts w:ascii="宋体" w:hAnsi="宋体" w:cs="宋体"/>
                <w:color w:val="auto"/>
                <w:szCs w:val="21"/>
                <w:highlight w:val="none"/>
              </w:rPr>
            </w:pPr>
          </w:p>
        </w:tc>
        <w:tc>
          <w:tcPr>
            <w:tcW w:w="1116" w:type="dxa"/>
            <w:vAlign w:val="center"/>
          </w:tcPr>
          <w:p w14:paraId="0F8D5A78">
            <w:pPr>
              <w:spacing w:line="360" w:lineRule="auto"/>
              <w:ind w:leftChars="-35" w:hanging="73" w:hangingChars="35"/>
              <w:jc w:val="center"/>
              <w:rPr>
                <w:rFonts w:ascii="宋体" w:hAnsi="宋体" w:cs="宋体"/>
                <w:color w:val="auto"/>
                <w:szCs w:val="21"/>
                <w:highlight w:val="none"/>
              </w:rPr>
            </w:pPr>
          </w:p>
        </w:tc>
        <w:tc>
          <w:tcPr>
            <w:tcW w:w="756" w:type="dxa"/>
            <w:vAlign w:val="center"/>
          </w:tcPr>
          <w:p w14:paraId="4BC30F3E">
            <w:pPr>
              <w:spacing w:line="360" w:lineRule="auto"/>
              <w:ind w:leftChars="-35" w:hanging="73" w:hangingChars="35"/>
              <w:jc w:val="center"/>
              <w:rPr>
                <w:rFonts w:ascii="宋体" w:hAnsi="宋体" w:cs="宋体"/>
                <w:color w:val="auto"/>
                <w:szCs w:val="21"/>
                <w:highlight w:val="none"/>
              </w:rPr>
            </w:pPr>
          </w:p>
        </w:tc>
      </w:tr>
      <w:tr w14:paraId="29DBA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43CFE63">
            <w:pPr>
              <w:spacing w:line="360" w:lineRule="auto"/>
              <w:ind w:leftChars="-35" w:hanging="73" w:hangingChars="35"/>
              <w:jc w:val="center"/>
              <w:rPr>
                <w:rFonts w:ascii="宋体" w:hAnsi="宋体" w:cs="宋体"/>
                <w:color w:val="auto"/>
                <w:szCs w:val="21"/>
                <w:highlight w:val="none"/>
              </w:rPr>
            </w:pPr>
          </w:p>
        </w:tc>
        <w:tc>
          <w:tcPr>
            <w:tcW w:w="1512" w:type="dxa"/>
            <w:vAlign w:val="center"/>
          </w:tcPr>
          <w:p w14:paraId="1A3AE49A">
            <w:pPr>
              <w:spacing w:line="360" w:lineRule="auto"/>
              <w:ind w:leftChars="-35" w:hanging="73" w:hangingChars="35"/>
              <w:jc w:val="center"/>
              <w:rPr>
                <w:rFonts w:ascii="宋体" w:hAnsi="宋体" w:cs="宋体"/>
                <w:color w:val="auto"/>
                <w:szCs w:val="21"/>
                <w:highlight w:val="none"/>
              </w:rPr>
            </w:pPr>
          </w:p>
        </w:tc>
        <w:tc>
          <w:tcPr>
            <w:tcW w:w="1051" w:type="dxa"/>
            <w:vAlign w:val="center"/>
          </w:tcPr>
          <w:p w14:paraId="66125D2C">
            <w:pPr>
              <w:spacing w:line="360" w:lineRule="auto"/>
              <w:ind w:leftChars="-35" w:hanging="73" w:hangingChars="35"/>
              <w:jc w:val="center"/>
              <w:rPr>
                <w:rFonts w:ascii="宋体" w:hAnsi="宋体" w:cs="宋体"/>
                <w:color w:val="auto"/>
                <w:szCs w:val="21"/>
                <w:highlight w:val="none"/>
              </w:rPr>
            </w:pPr>
          </w:p>
        </w:tc>
        <w:tc>
          <w:tcPr>
            <w:tcW w:w="1020" w:type="dxa"/>
            <w:vAlign w:val="center"/>
          </w:tcPr>
          <w:p w14:paraId="32F8CDB6">
            <w:pPr>
              <w:spacing w:line="360" w:lineRule="auto"/>
              <w:ind w:leftChars="-35" w:hanging="73" w:hangingChars="35"/>
              <w:jc w:val="center"/>
              <w:rPr>
                <w:rFonts w:ascii="宋体" w:hAnsi="宋体" w:cs="宋体"/>
                <w:color w:val="auto"/>
                <w:szCs w:val="21"/>
                <w:highlight w:val="none"/>
              </w:rPr>
            </w:pPr>
          </w:p>
        </w:tc>
        <w:tc>
          <w:tcPr>
            <w:tcW w:w="849" w:type="dxa"/>
            <w:vAlign w:val="center"/>
          </w:tcPr>
          <w:p w14:paraId="323F8F5F">
            <w:pPr>
              <w:spacing w:line="360" w:lineRule="auto"/>
              <w:ind w:leftChars="-35" w:hanging="73" w:hangingChars="35"/>
              <w:jc w:val="center"/>
              <w:rPr>
                <w:rFonts w:ascii="宋体" w:hAnsi="宋体" w:cs="宋体"/>
                <w:color w:val="auto"/>
                <w:szCs w:val="21"/>
                <w:highlight w:val="none"/>
              </w:rPr>
            </w:pPr>
          </w:p>
        </w:tc>
        <w:tc>
          <w:tcPr>
            <w:tcW w:w="1134" w:type="dxa"/>
            <w:vAlign w:val="center"/>
          </w:tcPr>
          <w:p w14:paraId="28F0B60E">
            <w:pPr>
              <w:spacing w:line="360" w:lineRule="auto"/>
              <w:ind w:leftChars="-35" w:hanging="73" w:hangingChars="35"/>
              <w:jc w:val="center"/>
              <w:rPr>
                <w:rFonts w:ascii="宋体" w:hAnsi="宋体" w:cs="宋体"/>
                <w:color w:val="auto"/>
                <w:szCs w:val="21"/>
                <w:highlight w:val="none"/>
              </w:rPr>
            </w:pPr>
          </w:p>
        </w:tc>
        <w:tc>
          <w:tcPr>
            <w:tcW w:w="1277" w:type="dxa"/>
            <w:vAlign w:val="center"/>
          </w:tcPr>
          <w:p w14:paraId="15D5D413">
            <w:pPr>
              <w:spacing w:line="360" w:lineRule="auto"/>
              <w:ind w:leftChars="-35" w:hanging="73" w:hangingChars="35"/>
              <w:jc w:val="center"/>
              <w:rPr>
                <w:rFonts w:ascii="宋体" w:hAnsi="宋体" w:cs="宋体"/>
                <w:color w:val="auto"/>
                <w:szCs w:val="21"/>
                <w:highlight w:val="none"/>
              </w:rPr>
            </w:pPr>
          </w:p>
        </w:tc>
        <w:tc>
          <w:tcPr>
            <w:tcW w:w="1116" w:type="dxa"/>
            <w:vAlign w:val="center"/>
          </w:tcPr>
          <w:p w14:paraId="763FE5C8">
            <w:pPr>
              <w:spacing w:line="360" w:lineRule="auto"/>
              <w:ind w:leftChars="-35" w:hanging="73" w:hangingChars="35"/>
              <w:jc w:val="center"/>
              <w:rPr>
                <w:rFonts w:ascii="宋体" w:hAnsi="宋体" w:cs="宋体"/>
                <w:color w:val="auto"/>
                <w:szCs w:val="21"/>
                <w:highlight w:val="none"/>
              </w:rPr>
            </w:pPr>
          </w:p>
        </w:tc>
        <w:tc>
          <w:tcPr>
            <w:tcW w:w="756" w:type="dxa"/>
            <w:vAlign w:val="center"/>
          </w:tcPr>
          <w:p w14:paraId="0372D598">
            <w:pPr>
              <w:spacing w:line="360" w:lineRule="auto"/>
              <w:ind w:leftChars="-35" w:hanging="73" w:hangingChars="35"/>
              <w:jc w:val="center"/>
              <w:rPr>
                <w:rFonts w:ascii="宋体" w:hAnsi="宋体" w:cs="宋体"/>
                <w:color w:val="auto"/>
                <w:szCs w:val="21"/>
                <w:highlight w:val="none"/>
              </w:rPr>
            </w:pPr>
          </w:p>
        </w:tc>
      </w:tr>
      <w:tr w14:paraId="2C35F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FD08759">
            <w:pPr>
              <w:spacing w:line="360" w:lineRule="auto"/>
              <w:ind w:leftChars="-35" w:hanging="73" w:hangingChars="35"/>
              <w:jc w:val="center"/>
              <w:rPr>
                <w:rFonts w:ascii="宋体" w:hAnsi="宋体" w:cs="宋体"/>
                <w:color w:val="auto"/>
                <w:szCs w:val="21"/>
                <w:highlight w:val="none"/>
              </w:rPr>
            </w:pPr>
          </w:p>
        </w:tc>
        <w:tc>
          <w:tcPr>
            <w:tcW w:w="1512" w:type="dxa"/>
            <w:vAlign w:val="center"/>
          </w:tcPr>
          <w:p w14:paraId="13B7FE41">
            <w:pPr>
              <w:spacing w:line="360" w:lineRule="auto"/>
              <w:ind w:leftChars="-35" w:hanging="73" w:hangingChars="35"/>
              <w:jc w:val="center"/>
              <w:rPr>
                <w:rFonts w:ascii="宋体" w:hAnsi="宋体" w:cs="宋体"/>
                <w:color w:val="auto"/>
                <w:szCs w:val="21"/>
                <w:highlight w:val="none"/>
              </w:rPr>
            </w:pPr>
          </w:p>
        </w:tc>
        <w:tc>
          <w:tcPr>
            <w:tcW w:w="1051" w:type="dxa"/>
            <w:vAlign w:val="center"/>
          </w:tcPr>
          <w:p w14:paraId="489B515F">
            <w:pPr>
              <w:spacing w:line="360" w:lineRule="auto"/>
              <w:ind w:leftChars="-35" w:hanging="73" w:hangingChars="35"/>
              <w:jc w:val="center"/>
              <w:rPr>
                <w:rFonts w:ascii="宋体" w:hAnsi="宋体" w:cs="宋体"/>
                <w:color w:val="auto"/>
                <w:szCs w:val="21"/>
                <w:highlight w:val="none"/>
              </w:rPr>
            </w:pPr>
          </w:p>
        </w:tc>
        <w:tc>
          <w:tcPr>
            <w:tcW w:w="1020" w:type="dxa"/>
            <w:vAlign w:val="center"/>
          </w:tcPr>
          <w:p w14:paraId="0719E5DC">
            <w:pPr>
              <w:spacing w:line="360" w:lineRule="auto"/>
              <w:ind w:leftChars="-35" w:hanging="73" w:hangingChars="35"/>
              <w:jc w:val="center"/>
              <w:rPr>
                <w:rFonts w:ascii="宋体" w:hAnsi="宋体" w:cs="宋体"/>
                <w:color w:val="auto"/>
                <w:szCs w:val="21"/>
                <w:highlight w:val="none"/>
              </w:rPr>
            </w:pPr>
          </w:p>
        </w:tc>
        <w:tc>
          <w:tcPr>
            <w:tcW w:w="849" w:type="dxa"/>
            <w:vAlign w:val="center"/>
          </w:tcPr>
          <w:p w14:paraId="5E6EB35F">
            <w:pPr>
              <w:spacing w:line="360" w:lineRule="auto"/>
              <w:ind w:leftChars="-35" w:hanging="73" w:hangingChars="35"/>
              <w:jc w:val="center"/>
              <w:rPr>
                <w:rFonts w:ascii="宋体" w:hAnsi="宋体" w:cs="宋体"/>
                <w:color w:val="auto"/>
                <w:szCs w:val="21"/>
                <w:highlight w:val="none"/>
              </w:rPr>
            </w:pPr>
          </w:p>
        </w:tc>
        <w:tc>
          <w:tcPr>
            <w:tcW w:w="1134" w:type="dxa"/>
            <w:vAlign w:val="center"/>
          </w:tcPr>
          <w:p w14:paraId="333434CF">
            <w:pPr>
              <w:spacing w:line="360" w:lineRule="auto"/>
              <w:ind w:leftChars="-35" w:hanging="73" w:hangingChars="35"/>
              <w:jc w:val="center"/>
              <w:rPr>
                <w:rFonts w:ascii="宋体" w:hAnsi="宋体" w:cs="宋体"/>
                <w:color w:val="auto"/>
                <w:szCs w:val="21"/>
                <w:highlight w:val="none"/>
              </w:rPr>
            </w:pPr>
          </w:p>
        </w:tc>
        <w:tc>
          <w:tcPr>
            <w:tcW w:w="1277" w:type="dxa"/>
            <w:vAlign w:val="center"/>
          </w:tcPr>
          <w:p w14:paraId="69A92359">
            <w:pPr>
              <w:spacing w:line="360" w:lineRule="auto"/>
              <w:ind w:leftChars="-35" w:hanging="73" w:hangingChars="35"/>
              <w:jc w:val="center"/>
              <w:rPr>
                <w:rFonts w:ascii="宋体" w:hAnsi="宋体" w:cs="宋体"/>
                <w:color w:val="auto"/>
                <w:szCs w:val="21"/>
                <w:highlight w:val="none"/>
              </w:rPr>
            </w:pPr>
          </w:p>
        </w:tc>
        <w:tc>
          <w:tcPr>
            <w:tcW w:w="1116" w:type="dxa"/>
            <w:vAlign w:val="center"/>
          </w:tcPr>
          <w:p w14:paraId="280C5719">
            <w:pPr>
              <w:spacing w:line="360" w:lineRule="auto"/>
              <w:ind w:leftChars="-35" w:hanging="73" w:hangingChars="35"/>
              <w:jc w:val="center"/>
              <w:rPr>
                <w:rFonts w:ascii="宋体" w:hAnsi="宋体" w:cs="宋体"/>
                <w:color w:val="auto"/>
                <w:szCs w:val="21"/>
                <w:highlight w:val="none"/>
              </w:rPr>
            </w:pPr>
          </w:p>
        </w:tc>
        <w:tc>
          <w:tcPr>
            <w:tcW w:w="756" w:type="dxa"/>
            <w:vAlign w:val="center"/>
          </w:tcPr>
          <w:p w14:paraId="6DA96DFE">
            <w:pPr>
              <w:spacing w:line="360" w:lineRule="auto"/>
              <w:ind w:leftChars="-35" w:hanging="73" w:hangingChars="35"/>
              <w:jc w:val="center"/>
              <w:rPr>
                <w:rFonts w:ascii="宋体" w:hAnsi="宋体" w:cs="宋体"/>
                <w:color w:val="auto"/>
                <w:szCs w:val="21"/>
                <w:highlight w:val="none"/>
              </w:rPr>
            </w:pPr>
          </w:p>
        </w:tc>
      </w:tr>
      <w:tr w14:paraId="0303D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30AE35E">
            <w:pPr>
              <w:spacing w:line="360" w:lineRule="auto"/>
              <w:ind w:leftChars="-35" w:hanging="73" w:hangingChars="35"/>
              <w:jc w:val="center"/>
              <w:rPr>
                <w:rFonts w:ascii="宋体" w:hAnsi="宋体" w:cs="宋体"/>
                <w:color w:val="auto"/>
                <w:szCs w:val="21"/>
                <w:highlight w:val="none"/>
              </w:rPr>
            </w:pPr>
          </w:p>
        </w:tc>
        <w:tc>
          <w:tcPr>
            <w:tcW w:w="1512" w:type="dxa"/>
            <w:vAlign w:val="center"/>
          </w:tcPr>
          <w:p w14:paraId="405FDA68">
            <w:pPr>
              <w:spacing w:line="360" w:lineRule="auto"/>
              <w:ind w:leftChars="-35" w:hanging="73" w:hangingChars="35"/>
              <w:jc w:val="center"/>
              <w:rPr>
                <w:rFonts w:ascii="宋体" w:hAnsi="宋体" w:cs="宋体"/>
                <w:color w:val="auto"/>
                <w:szCs w:val="21"/>
                <w:highlight w:val="none"/>
              </w:rPr>
            </w:pPr>
          </w:p>
        </w:tc>
        <w:tc>
          <w:tcPr>
            <w:tcW w:w="1051" w:type="dxa"/>
            <w:vAlign w:val="center"/>
          </w:tcPr>
          <w:p w14:paraId="2E1DB202">
            <w:pPr>
              <w:spacing w:line="360" w:lineRule="auto"/>
              <w:ind w:leftChars="-35" w:hanging="73" w:hangingChars="35"/>
              <w:jc w:val="center"/>
              <w:rPr>
                <w:rFonts w:ascii="宋体" w:hAnsi="宋体" w:cs="宋体"/>
                <w:color w:val="auto"/>
                <w:szCs w:val="21"/>
                <w:highlight w:val="none"/>
              </w:rPr>
            </w:pPr>
          </w:p>
        </w:tc>
        <w:tc>
          <w:tcPr>
            <w:tcW w:w="1020" w:type="dxa"/>
            <w:vAlign w:val="center"/>
          </w:tcPr>
          <w:p w14:paraId="7730A44C">
            <w:pPr>
              <w:spacing w:line="360" w:lineRule="auto"/>
              <w:ind w:leftChars="-35" w:hanging="73" w:hangingChars="35"/>
              <w:jc w:val="center"/>
              <w:rPr>
                <w:rFonts w:ascii="宋体" w:hAnsi="宋体" w:cs="宋体"/>
                <w:color w:val="auto"/>
                <w:szCs w:val="21"/>
                <w:highlight w:val="none"/>
              </w:rPr>
            </w:pPr>
          </w:p>
        </w:tc>
        <w:tc>
          <w:tcPr>
            <w:tcW w:w="849" w:type="dxa"/>
            <w:vAlign w:val="center"/>
          </w:tcPr>
          <w:p w14:paraId="5CC9CD63">
            <w:pPr>
              <w:spacing w:line="360" w:lineRule="auto"/>
              <w:ind w:leftChars="-35" w:hanging="73" w:hangingChars="35"/>
              <w:jc w:val="center"/>
              <w:rPr>
                <w:rFonts w:ascii="宋体" w:hAnsi="宋体" w:cs="宋体"/>
                <w:color w:val="auto"/>
                <w:szCs w:val="21"/>
                <w:highlight w:val="none"/>
              </w:rPr>
            </w:pPr>
          </w:p>
        </w:tc>
        <w:tc>
          <w:tcPr>
            <w:tcW w:w="1134" w:type="dxa"/>
            <w:vAlign w:val="center"/>
          </w:tcPr>
          <w:p w14:paraId="3F11F048">
            <w:pPr>
              <w:spacing w:line="360" w:lineRule="auto"/>
              <w:ind w:leftChars="-35" w:hanging="73" w:hangingChars="35"/>
              <w:jc w:val="center"/>
              <w:rPr>
                <w:rFonts w:ascii="宋体" w:hAnsi="宋体" w:cs="宋体"/>
                <w:color w:val="auto"/>
                <w:szCs w:val="21"/>
                <w:highlight w:val="none"/>
              </w:rPr>
            </w:pPr>
          </w:p>
        </w:tc>
        <w:tc>
          <w:tcPr>
            <w:tcW w:w="1277" w:type="dxa"/>
            <w:vAlign w:val="center"/>
          </w:tcPr>
          <w:p w14:paraId="1588DA04">
            <w:pPr>
              <w:spacing w:line="360" w:lineRule="auto"/>
              <w:ind w:leftChars="-35" w:hanging="73" w:hangingChars="35"/>
              <w:jc w:val="center"/>
              <w:rPr>
                <w:rFonts w:ascii="宋体" w:hAnsi="宋体" w:cs="宋体"/>
                <w:color w:val="auto"/>
                <w:szCs w:val="21"/>
                <w:highlight w:val="none"/>
              </w:rPr>
            </w:pPr>
          </w:p>
        </w:tc>
        <w:tc>
          <w:tcPr>
            <w:tcW w:w="1116" w:type="dxa"/>
            <w:vAlign w:val="center"/>
          </w:tcPr>
          <w:p w14:paraId="736C2521">
            <w:pPr>
              <w:spacing w:line="360" w:lineRule="auto"/>
              <w:ind w:leftChars="-35" w:hanging="73" w:hangingChars="35"/>
              <w:jc w:val="center"/>
              <w:rPr>
                <w:rFonts w:ascii="宋体" w:hAnsi="宋体" w:cs="宋体"/>
                <w:color w:val="auto"/>
                <w:szCs w:val="21"/>
                <w:highlight w:val="none"/>
              </w:rPr>
            </w:pPr>
          </w:p>
        </w:tc>
        <w:tc>
          <w:tcPr>
            <w:tcW w:w="756" w:type="dxa"/>
            <w:vAlign w:val="center"/>
          </w:tcPr>
          <w:p w14:paraId="7DF04926">
            <w:pPr>
              <w:spacing w:line="360" w:lineRule="auto"/>
              <w:ind w:leftChars="-35" w:hanging="73" w:hangingChars="35"/>
              <w:jc w:val="center"/>
              <w:rPr>
                <w:rFonts w:ascii="宋体" w:hAnsi="宋体" w:cs="宋体"/>
                <w:color w:val="auto"/>
                <w:szCs w:val="21"/>
                <w:highlight w:val="none"/>
              </w:rPr>
            </w:pPr>
          </w:p>
        </w:tc>
      </w:tr>
      <w:tr w14:paraId="13539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vAlign w:val="center"/>
          </w:tcPr>
          <w:p w14:paraId="7C14ED66">
            <w:pPr>
              <w:spacing w:line="360" w:lineRule="auto"/>
              <w:ind w:leftChars="-35" w:hanging="73" w:hangingChars="35"/>
              <w:jc w:val="center"/>
              <w:rPr>
                <w:rFonts w:ascii="宋体" w:hAnsi="宋体" w:cs="宋体"/>
                <w:color w:val="auto"/>
                <w:szCs w:val="21"/>
                <w:highlight w:val="none"/>
              </w:rPr>
            </w:pPr>
          </w:p>
        </w:tc>
        <w:tc>
          <w:tcPr>
            <w:tcW w:w="1512" w:type="dxa"/>
            <w:vAlign w:val="center"/>
          </w:tcPr>
          <w:p w14:paraId="63EFF076">
            <w:pPr>
              <w:spacing w:line="360" w:lineRule="auto"/>
              <w:ind w:leftChars="-35" w:hanging="73" w:hangingChars="35"/>
              <w:jc w:val="center"/>
              <w:rPr>
                <w:rFonts w:ascii="宋体" w:hAnsi="宋体" w:cs="宋体"/>
                <w:color w:val="auto"/>
                <w:szCs w:val="21"/>
                <w:highlight w:val="none"/>
              </w:rPr>
            </w:pPr>
          </w:p>
        </w:tc>
        <w:tc>
          <w:tcPr>
            <w:tcW w:w="1051" w:type="dxa"/>
            <w:vAlign w:val="center"/>
          </w:tcPr>
          <w:p w14:paraId="55A1F88A">
            <w:pPr>
              <w:spacing w:line="360" w:lineRule="auto"/>
              <w:ind w:leftChars="-35" w:hanging="73" w:hangingChars="35"/>
              <w:jc w:val="center"/>
              <w:rPr>
                <w:rFonts w:ascii="宋体" w:hAnsi="宋体" w:cs="宋体"/>
                <w:color w:val="auto"/>
                <w:szCs w:val="21"/>
                <w:highlight w:val="none"/>
              </w:rPr>
            </w:pPr>
          </w:p>
        </w:tc>
        <w:tc>
          <w:tcPr>
            <w:tcW w:w="1020" w:type="dxa"/>
            <w:vAlign w:val="center"/>
          </w:tcPr>
          <w:p w14:paraId="61E5004B">
            <w:pPr>
              <w:spacing w:line="360" w:lineRule="auto"/>
              <w:ind w:leftChars="-35" w:hanging="73" w:hangingChars="35"/>
              <w:jc w:val="center"/>
              <w:rPr>
                <w:rFonts w:ascii="宋体" w:hAnsi="宋体" w:cs="宋体"/>
                <w:color w:val="auto"/>
                <w:szCs w:val="21"/>
                <w:highlight w:val="none"/>
              </w:rPr>
            </w:pPr>
          </w:p>
        </w:tc>
        <w:tc>
          <w:tcPr>
            <w:tcW w:w="849" w:type="dxa"/>
            <w:vAlign w:val="center"/>
          </w:tcPr>
          <w:p w14:paraId="6DC3E281">
            <w:pPr>
              <w:spacing w:line="360" w:lineRule="auto"/>
              <w:ind w:leftChars="-35" w:hanging="73" w:hangingChars="35"/>
              <w:jc w:val="center"/>
              <w:rPr>
                <w:rFonts w:ascii="宋体" w:hAnsi="宋体" w:cs="宋体"/>
                <w:color w:val="auto"/>
                <w:szCs w:val="21"/>
                <w:highlight w:val="none"/>
              </w:rPr>
            </w:pPr>
          </w:p>
        </w:tc>
        <w:tc>
          <w:tcPr>
            <w:tcW w:w="1134" w:type="dxa"/>
            <w:vAlign w:val="center"/>
          </w:tcPr>
          <w:p w14:paraId="4D1AB413">
            <w:pPr>
              <w:spacing w:line="360" w:lineRule="auto"/>
              <w:ind w:leftChars="-35" w:hanging="73" w:hangingChars="35"/>
              <w:jc w:val="center"/>
              <w:rPr>
                <w:rFonts w:ascii="宋体" w:hAnsi="宋体" w:cs="宋体"/>
                <w:color w:val="auto"/>
                <w:szCs w:val="21"/>
                <w:highlight w:val="none"/>
              </w:rPr>
            </w:pPr>
          </w:p>
        </w:tc>
        <w:tc>
          <w:tcPr>
            <w:tcW w:w="1277" w:type="dxa"/>
            <w:vAlign w:val="center"/>
          </w:tcPr>
          <w:p w14:paraId="68C64664">
            <w:pPr>
              <w:spacing w:line="360" w:lineRule="auto"/>
              <w:ind w:leftChars="-35" w:hanging="73" w:hangingChars="35"/>
              <w:jc w:val="center"/>
              <w:rPr>
                <w:rFonts w:ascii="宋体" w:hAnsi="宋体" w:cs="宋体"/>
                <w:color w:val="auto"/>
                <w:szCs w:val="21"/>
                <w:highlight w:val="none"/>
              </w:rPr>
            </w:pPr>
          </w:p>
        </w:tc>
        <w:tc>
          <w:tcPr>
            <w:tcW w:w="1116" w:type="dxa"/>
            <w:vAlign w:val="center"/>
          </w:tcPr>
          <w:p w14:paraId="5C9F8ACA">
            <w:pPr>
              <w:spacing w:line="360" w:lineRule="auto"/>
              <w:ind w:leftChars="-35" w:hanging="73" w:hangingChars="35"/>
              <w:jc w:val="center"/>
              <w:rPr>
                <w:rFonts w:ascii="宋体" w:hAnsi="宋体" w:cs="宋体"/>
                <w:color w:val="auto"/>
                <w:szCs w:val="21"/>
                <w:highlight w:val="none"/>
              </w:rPr>
            </w:pPr>
          </w:p>
        </w:tc>
        <w:tc>
          <w:tcPr>
            <w:tcW w:w="756" w:type="dxa"/>
            <w:vAlign w:val="center"/>
          </w:tcPr>
          <w:p w14:paraId="04C498BC">
            <w:pPr>
              <w:spacing w:line="360" w:lineRule="auto"/>
              <w:ind w:leftChars="-35" w:hanging="73" w:hangingChars="35"/>
              <w:jc w:val="center"/>
              <w:rPr>
                <w:rFonts w:ascii="宋体" w:hAnsi="宋体" w:cs="宋体"/>
                <w:color w:val="auto"/>
                <w:szCs w:val="21"/>
                <w:highlight w:val="none"/>
              </w:rPr>
            </w:pPr>
          </w:p>
        </w:tc>
      </w:tr>
    </w:tbl>
    <w:p w14:paraId="3BB8326D">
      <w:pPr>
        <w:spacing w:line="360" w:lineRule="auto"/>
        <w:rPr>
          <w:rFonts w:ascii="宋体" w:hAnsi="宋体" w:cs="宋体"/>
          <w:b/>
          <w:color w:val="auto"/>
          <w:szCs w:val="21"/>
          <w:highlight w:val="none"/>
        </w:rPr>
        <w:sectPr>
          <w:pgSz w:w="11907" w:h="16840"/>
          <w:pgMar w:top="1304" w:right="1134" w:bottom="1134" w:left="1304" w:header="851" w:footer="851" w:gutter="0"/>
          <w:cols w:space="720" w:num="1"/>
          <w:docGrid w:linePitch="312" w:charSpace="0"/>
        </w:sectPr>
      </w:pPr>
    </w:p>
    <w:p w14:paraId="6F7A5480">
      <w:pPr>
        <w:jc w:val="left"/>
        <w:rPr>
          <w:rFonts w:ascii="宋体" w:hAnsi="宋体"/>
          <w:bCs/>
          <w:color w:val="auto"/>
          <w:spacing w:val="10"/>
          <w:sz w:val="24"/>
          <w:highlight w:val="none"/>
        </w:rPr>
      </w:pPr>
    </w:p>
    <w:p w14:paraId="2FEF9AD6">
      <w:pPr>
        <w:spacing w:line="360" w:lineRule="auto"/>
        <w:rPr>
          <w:rFonts w:ascii="宋体" w:hAnsi="宋体" w:cs="宋体"/>
          <w:b/>
          <w:color w:val="auto"/>
          <w:szCs w:val="21"/>
          <w:highlight w:val="none"/>
        </w:rPr>
      </w:pPr>
      <w:r>
        <w:rPr>
          <w:rFonts w:hint="eastAsia" w:ascii="宋体" w:hAnsi="宋体" w:cs="宋体"/>
          <w:b/>
          <w:color w:val="auto"/>
          <w:szCs w:val="21"/>
          <w:highlight w:val="none"/>
        </w:rPr>
        <w:t>附件2：</w:t>
      </w:r>
    </w:p>
    <w:p w14:paraId="779B0E24">
      <w:pPr>
        <w:spacing w:before="120" w:beforeLines="50" w:after="120" w:afterLines="50"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承包人主要施工管理人员表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95"/>
        <w:gridCol w:w="1094"/>
        <w:gridCol w:w="1434"/>
        <w:gridCol w:w="1433"/>
        <w:gridCol w:w="3584"/>
      </w:tblGrid>
      <w:tr w14:paraId="6059A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5" w:hRule="atLeast"/>
          <w:jc w:val="center"/>
        </w:trPr>
        <w:tc>
          <w:tcPr>
            <w:tcW w:w="1895" w:type="dxa"/>
            <w:tcBorders>
              <w:top w:val="single" w:color="auto" w:sz="12" w:space="0"/>
              <w:bottom w:val="double" w:color="auto" w:sz="6" w:space="0"/>
            </w:tcBorders>
            <w:vAlign w:val="center"/>
          </w:tcPr>
          <w:p w14:paraId="76B21707">
            <w:pPr>
              <w:keepNext/>
              <w:spacing w:after="120" w:line="360" w:lineRule="auto"/>
              <w:ind w:left="63" w:right="63"/>
              <w:rPr>
                <w:rFonts w:ascii="宋体" w:hAnsi="宋体" w:cs="宋体"/>
                <w:color w:val="auto"/>
                <w:szCs w:val="21"/>
                <w:highlight w:val="none"/>
              </w:rPr>
            </w:pPr>
            <w:r>
              <w:rPr>
                <w:rFonts w:hint="eastAsia" w:ascii="宋体" w:hAnsi="宋体" w:cs="宋体"/>
                <w:color w:val="auto"/>
                <w:szCs w:val="21"/>
                <w:highlight w:val="none"/>
              </w:rPr>
              <w:t>名    称</w:t>
            </w:r>
          </w:p>
        </w:tc>
        <w:tc>
          <w:tcPr>
            <w:tcW w:w="1094" w:type="dxa"/>
            <w:tcBorders>
              <w:top w:val="single" w:color="auto" w:sz="12" w:space="0"/>
              <w:bottom w:val="double" w:color="auto" w:sz="6" w:space="0"/>
            </w:tcBorders>
            <w:vAlign w:val="center"/>
          </w:tcPr>
          <w:p w14:paraId="22A51C18">
            <w:pPr>
              <w:keepNext/>
              <w:spacing w:after="120" w:line="360" w:lineRule="auto"/>
              <w:ind w:left="63" w:right="63"/>
              <w:rPr>
                <w:rFonts w:ascii="宋体" w:hAnsi="宋体" w:cs="宋体"/>
                <w:color w:val="auto"/>
                <w:szCs w:val="21"/>
                <w:highlight w:val="none"/>
              </w:rPr>
            </w:pPr>
            <w:r>
              <w:rPr>
                <w:rFonts w:hint="eastAsia" w:ascii="宋体" w:hAnsi="宋体" w:cs="宋体"/>
                <w:color w:val="auto"/>
                <w:szCs w:val="21"/>
                <w:highlight w:val="none"/>
              </w:rPr>
              <w:t>姓名</w:t>
            </w:r>
          </w:p>
        </w:tc>
        <w:tc>
          <w:tcPr>
            <w:tcW w:w="1434" w:type="dxa"/>
            <w:tcBorders>
              <w:top w:val="single" w:color="auto" w:sz="12" w:space="0"/>
              <w:bottom w:val="double" w:color="auto" w:sz="6" w:space="0"/>
            </w:tcBorders>
            <w:vAlign w:val="center"/>
          </w:tcPr>
          <w:p w14:paraId="53F4E397">
            <w:pPr>
              <w:keepNext/>
              <w:spacing w:after="120" w:line="360" w:lineRule="auto"/>
              <w:ind w:left="63" w:right="63"/>
              <w:rPr>
                <w:rFonts w:ascii="宋体" w:hAnsi="宋体" w:cs="宋体"/>
                <w:color w:val="auto"/>
                <w:szCs w:val="21"/>
                <w:highlight w:val="none"/>
              </w:rPr>
            </w:pPr>
            <w:r>
              <w:rPr>
                <w:rFonts w:hint="eastAsia" w:ascii="宋体" w:hAnsi="宋体" w:cs="宋体"/>
                <w:color w:val="auto"/>
                <w:szCs w:val="21"/>
                <w:highlight w:val="none"/>
              </w:rPr>
              <w:t>职务</w:t>
            </w:r>
          </w:p>
        </w:tc>
        <w:tc>
          <w:tcPr>
            <w:tcW w:w="1433" w:type="dxa"/>
            <w:tcBorders>
              <w:top w:val="single" w:color="auto" w:sz="12" w:space="0"/>
              <w:bottom w:val="double" w:color="auto" w:sz="6" w:space="0"/>
            </w:tcBorders>
            <w:vAlign w:val="center"/>
          </w:tcPr>
          <w:p w14:paraId="0C724E21">
            <w:pPr>
              <w:keepNext/>
              <w:spacing w:after="120" w:line="360" w:lineRule="auto"/>
              <w:ind w:left="63" w:right="63"/>
              <w:rPr>
                <w:rFonts w:ascii="宋体" w:hAnsi="宋体" w:cs="宋体"/>
                <w:color w:val="auto"/>
                <w:szCs w:val="21"/>
                <w:highlight w:val="none"/>
              </w:rPr>
            </w:pPr>
            <w:r>
              <w:rPr>
                <w:rFonts w:hint="eastAsia" w:ascii="宋体" w:hAnsi="宋体" w:cs="宋体"/>
                <w:color w:val="auto"/>
                <w:szCs w:val="21"/>
                <w:highlight w:val="none"/>
              </w:rPr>
              <w:t>职称</w:t>
            </w:r>
          </w:p>
        </w:tc>
        <w:tc>
          <w:tcPr>
            <w:tcW w:w="3584" w:type="dxa"/>
            <w:tcBorders>
              <w:top w:val="single" w:color="auto" w:sz="12" w:space="0"/>
              <w:bottom w:val="double" w:color="auto" w:sz="6" w:space="0"/>
            </w:tcBorders>
            <w:vAlign w:val="center"/>
          </w:tcPr>
          <w:p w14:paraId="7DDCB8D9">
            <w:pPr>
              <w:keepNext/>
              <w:spacing w:after="120" w:line="360" w:lineRule="auto"/>
              <w:ind w:left="63" w:right="63"/>
              <w:rPr>
                <w:rFonts w:ascii="宋体" w:hAnsi="宋体" w:cs="宋体"/>
                <w:color w:val="auto"/>
                <w:szCs w:val="21"/>
                <w:highlight w:val="none"/>
              </w:rPr>
            </w:pPr>
            <w:r>
              <w:rPr>
                <w:rFonts w:hint="eastAsia" w:ascii="宋体" w:hAnsi="宋体" w:cs="宋体"/>
                <w:color w:val="auto"/>
                <w:szCs w:val="21"/>
                <w:highlight w:val="none"/>
              </w:rPr>
              <w:t>主要资历、经验及承担过的项目</w:t>
            </w:r>
          </w:p>
        </w:tc>
      </w:tr>
      <w:tr w14:paraId="19BE9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7" w:hRule="atLeast"/>
          <w:jc w:val="center"/>
        </w:trPr>
        <w:tc>
          <w:tcPr>
            <w:tcW w:w="9440" w:type="dxa"/>
            <w:gridSpan w:val="5"/>
            <w:tcBorders>
              <w:top w:val="double" w:color="auto" w:sz="6" w:space="0"/>
              <w:bottom w:val="single" w:color="auto" w:sz="6" w:space="0"/>
            </w:tcBorders>
            <w:vAlign w:val="center"/>
          </w:tcPr>
          <w:p w14:paraId="5F316A72">
            <w:pPr>
              <w:keepNext/>
              <w:spacing w:after="120" w:line="360" w:lineRule="auto"/>
              <w:ind w:left="63" w:right="63"/>
              <w:rPr>
                <w:rFonts w:ascii="宋体" w:hAnsi="宋体" w:cs="宋体"/>
                <w:color w:val="auto"/>
                <w:szCs w:val="21"/>
                <w:highlight w:val="none"/>
              </w:rPr>
            </w:pPr>
            <w:r>
              <w:rPr>
                <w:rFonts w:hint="eastAsia" w:ascii="宋体" w:hAnsi="宋体" w:cs="宋体"/>
                <w:color w:val="auto"/>
                <w:szCs w:val="21"/>
                <w:highlight w:val="none"/>
              </w:rPr>
              <w:t>一、总部人员</w:t>
            </w:r>
          </w:p>
        </w:tc>
      </w:tr>
      <w:tr w14:paraId="6F53E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0B10C453">
            <w:pPr>
              <w:keepNext/>
              <w:spacing w:after="120" w:line="360" w:lineRule="auto"/>
              <w:ind w:left="63" w:right="63"/>
              <w:rPr>
                <w:rFonts w:ascii="宋体" w:hAnsi="宋体" w:cs="宋体"/>
                <w:color w:val="auto"/>
                <w:szCs w:val="21"/>
                <w:highlight w:val="none"/>
              </w:rPr>
            </w:pPr>
            <w:r>
              <w:rPr>
                <w:rFonts w:hint="eastAsia" w:ascii="宋体" w:hAnsi="宋体" w:cs="宋体"/>
                <w:color w:val="auto"/>
                <w:szCs w:val="21"/>
                <w:highlight w:val="none"/>
              </w:rPr>
              <w:t>项目主管</w:t>
            </w:r>
          </w:p>
        </w:tc>
        <w:tc>
          <w:tcPr>
            <w:tcW w:w="1094" w:type="dxa"/>
            <w:tcBorders>
              <w:top w:val="nil"/>
            </w:tcBorders>
            <w:vAlign w:val="center"/>
          </w:tcPr>
          <w:p w14:paraId="0BFEB9C9">
            <w:pPr>
              <w:keepNext/>
              <w:spacing w:after="120" w:line="360" w:lineRule="auto"/>
              <w:ind w:left="63" w:right="63"/>
              <w:rPr>
                <w:rFonts w:ascii="宋体" w:hAnsi="宋体" w:cs="宋体"/>
                <w:color w:val="auto"/>
                <w:szCs w:val="21"/>
                <w:highlight w:val="none"/>
              </w:rPr>
            </w:pPr>
          </w:p>
        </w:tc>
        <w:tc>
          <w:tcPr>
            <w:tcW w:w="1434" w:type="dxa"/>
            <w:tcBorders>
              <w:top w:val="nil"/>
            </w:tcBorders>
            <w:vAlign w:val="center"/>
          </w:tcPr>
          <w:p w14:paraId="0EE96BB5">
            <w:pPr>
              <w:keepNext/>
              <w:spacing w:after="120" w:line="360" w:lineRule="auto"/>
              <w:ind w:left="63" w:right="63"/>
              <w:rPr>
                <w:rFonts w:ascii="宋体" w:hAnsi="宋体" w:cs="宋体"/>
                <w:color w:val="auto"/>
                <w:szCs w:val="21"/>
                <w:highlight w:val="none"/>
              </w:rPr>
            </w:pPr>
          </w:p>
        </w:tc>
        <w:tc>
          <w:tcPr>
            <w:tcW w:w="1433" w:type="dxa"/>
            <w:tcBorders>
              <w:top w:val="nil"/>
            </w:tcBorders>
            <w:vAlign w:val="center"/>
          </w:tcPr>
          <w:p w14:paraId="55B2B27A">
            <w:pPr>
              <w:keepNext/>
              <w:spacing w:after="120" w:line="360" w:lineRule="auto"/>
              <w:ind w:left="63" w:right="63"/>
              <w:rPr>
                <w:rFonts w:ascii="宋体" w:hAnsi="宋体" w:cs="宋体"/>
                <w:color w:val="auto"/>
                <w:szCs w:val="21"/>
                <w:highlight w:val="none"/>
              </w:rPr>
            </w:pPr>
          </w:p>
        </w:tc>
        <w:tc>
          <w:tcPr>
            <w:tcW w:w="3584" w:type="dxa"/>
            <w:tcBorders>
              <w:top w:val="nil"/>
            </w:tcBorders>
            <w:vAlign w:val="center"/>
          </w:tcPr>
          <w:p w14:paraId="59FCEB2E">
            <w:pPr>
              <w:keepNext/>
              <w:spacing w:after="120" w:line="360" w:lineRule="auto"/>
              <w:ind w:left="63" w:right="63"/>
              <w:rPr>
                <w:rFonts w:ascii="宋体" w:hAnsi="宋体" w:cs="宋体"/>
                <w:color w:val="auto"/>
                <w:szCs w:val="21"/>
                <w:highlight w:val="none"/>
              </w:rPr>
            </w:pPr>
          </w:p>
        </w:tc>
      </w:tr>
      <w:tr w14:paraId="5DEE2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nil"/>
            </w:tcBorders>
            <w:vAlign w:val="center"/>
          </w:tcPr>
          <w:p w14:paraId="0FF689F2">
            <w:pPr>
              <w:keepNext/>
              <w:spacing w:after="120" w:line="360" w:lineRule="auto"/>
              <w:ind w:left="63" w:right="63"/>
              <w:rPr>
                <w:rFonts w:ascii="宋体" w:hAnsi="宋体" w:cs="宋体"/>
                <w:color w:val="auto"/>
                <w:szCs w:val="21"/>
                <w:highlight w:val="none"/>
              </w:rPr>
            </w:pPr>
          </w:p>
        </w:tc>
        <w:tc>
          <w:tcPr>
            <w:tcW w:w="1094" w:type="dxa"/>
            <w:vAlign w:val="center"/>
          </w:tcPr>
          <w:p w14:paraId="7EA7F18F">
            <w:pPr>
              <w:keepNext/>
              <w:spacing w:after="120" w:line="360" w:lineRule="auto"/>
              <w:ind w:left="63" w:right="63"/>
              <w:rPr>
                <w:rFonts w:ascii="宋体" w:hAnsi="宋体" w:cs="宋体"/>
                <w:color w:val="auto"/>
                <w:szCs w:val="21"/>
                <w:highlight w:val="none"/>
              </w:rPr>
            </w:pPr>
          </w:p>
        </w:tc>
        <w:tc>
          <w:tcPr>
            <w:tcW w:w="1434" w:type="dxa"/>
            <w:vAlign w:val="center"/>
          </w:tcPr>
          <w:p w14:paraId="609E728B">
            <w:pPr>
              <w:keepNext/>
              <w:spacing w:after="120" w:line="360" w:lineRule="auto"/>
              <w:ind w:left="63" w:right="63"/>
              <w:rPr>
                <w:rFonts w:ascii="宋体" w:hAnsi="宋体" w:cs="宋体"/>
                <w:color w:val="auto"/>
                <w:szCs w:val="21"/>
                <w:highlight w:val="none"/>
              </w:rPr>
            </w:pPr>
          </w:p>
        </w:tc>
        <w:tc>
          <w:tcPr>
            <w:tcW w:w="1433" w:type="dxa"/>
            <w:vAlign w:val="center"/>
          </w:tcPr>
          <w:p w14:paraId="172460E4">
            <w:pPr>
              <w:keepNext/>
              <w:spacing w:after="120" w:line="360" w:lineRule="auto"/>
              <w:ind w:left="63" w:right="63"/>
              <w:rPr>
                <w:rFonts w:ascii="宋体" w:hAnsi="宋体" w:cs="宋体"/>
                <w:color w:val="auto"/>
                <w:szCs w:val="21"/>
                <w:highlight w:val="none"/>
              </w:rPr>
            </w:pPr>
          </w:p>
        </w:tc>
        <w:tc>
          <w:tcPr>
            <w:tcW w:w="3584" w:type="dxa"/>
            <w:vAlign w:val="center"/>
          </w:tcPr>
          <w:p w14:paraId="088DB174">
            <w:pPr>
              <w:keepNext/>
              <w:spacing w:after="120" w:line="360" w:lineRule="auto"/>
              <w:ind w:left="63" w:right="63"/>
              <w:rPr>
                <w:rFonts w:ascii="宋体" w:hAnsi="宋体" w:cs="宋体"/>
                <w:color w:val="auto"/>
                <w:szCs w:val="21"/>
                <w:highlight w:val="none"/>
              </w:rPr>
            </w:pPr>
          </w:p>
        </w:tc>
      </w:tr>
      <w:tr w14:paraId="752C3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41D6A20E">
            <w:pPr>
              <w:keepNext/>
              <w:spacing w:after="120" w:line="360" w:lineRule="auto"/>
              <w:ind w:left="63" w:right="63"/>
              <w:rPr>
                <w:rFonts w:ascii="宋体" w:hAnsi="宋体" w:cs="宋体"/>
                <w:color w:val="auto"/>
                <w:szCs w:val="21"/>
                <w:highlight w:val="none"/>
              </w:rPr>
            </w:pPr>
            <w:r>
              <w:rPr>
                <w:rFonts w:hint="eastAsia" w:ascii="宋体" w:hAnsi="宋体" w:cs="宋体"/>
                <w:color w:val="auto"/>
                <w:szCs w:val="21"/>
                <w:highlight w:val="none"/>
              </w:rPr>
              <w:t>其他人员</w:t>
            </w:r>
          </w:p>
        </w:tc>
        <w:tc>
          <w:tcPr>
            <w:tcW w:w="1094" w:type="dxa"/>
            <w:vAlign w:val="center"/>
          </w:tcPr>
          <w:p w14:paraId="6774C7BC">
            <w:pPr>
              <w:keepNext/>
              <w:spacing w:after="120" w:line="360" w:lineRule="auto"/>
              <w:ind w:left="63" w:right="63"/>
              <w:rPr>
                <w:rFonts w:ascii="宋体" w:hAnsi="宋体" w:cs="宋体"/>
                <w:color w:val="auto"/>
                <w:szCs w:val="21"/>
                <w:highlight w:val="none"/>
              </w:rPr>
            </w:pPr>
          </w:p>
        </w:tc>
        <w:tc>
          <w:tcPr>
            <w:tcW w:w="1434" w:type="dxa"/>
            <w:vAlign w:val="center"/>
          </w:tcPr>
          <w:p w14:paraId="773B72D6">
            <w:pPr>
              <w:keepNext/>
              <w:spacing w:after="120" w:line="360" w:lineRule="auto"/>
              <w:ind w:left="63" w:right="63"/>
              <w:rPr>
                <w:rFonts w:ascii="宋体" w:hAnsi="宋体" w:cs="宋体"/>
                <w:color w:val="auto"/>
                <w:szCs w:val="21"/>
                <w:highlight w:val="none"/>
              </w:rPr>
            </w:pPr>
          </w:p>
        </w:tc>
        <w:tc>
          <w:tcPr>
            <w:tcW w:w="1433" w:type="dxa"/>
            <w:vAlign w:val="center"/>
          </w:tcPr>
          <w:p w14:paraId="3A4063F7">
            <w:pPr>
              <w:keepNext/>
              <w:spacing w:after="120" w:line="360" w:lineRule="auto"/>
              <w:ind w:left="63" w:right="63"/>
              <w:rPr>
                <w:rFonts w:ascii="宋体" w:hAnsi="宋体" w:cs="宋体"/>
                <w:color w:val="auto"/>
                <w:szCs w:val="21"/>
                <w:highlight w:val="none"/>
              </w:rPr>
            </w:pPr>
          </w:p>
        </w:tc>
        <w:tc>
          <w:tcPr>
            <w:tcW w:w="3584" w:type="dxa"/>
            <w:vAlign w:val="center"/>
          </w:tcPr>
          <w:p w14:paraId="4ED0928A">
            <w:pPr>
              <w:keepNext/>
              <w:spacing w:after="120" w:line="360" w:lineRule="auto"/>
              <w:ind w:left="63" w:right="63"/>
              <w:rPr>
                <w:rFonts w:ascii="宋体" w:hAnsi="宋体" w:cs="宋体"/>
                <w:color w:val="auto"/>
                <w:szCs w:val="21"/>
                <w:highlight w:val="none"/>
              </w:rPr>
            </w:pPr>
          </w:p>
        </w:tc>
      </w:tr>
      <w:tr w14:paraId="3E86E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61BF0483">
            <w:pPr>
              <w:keepNext/>
              <w:spacing w:after="120" w:line="360" w:lineRule="auto"/>
              <w:ind w:left="63" w:right="63"/>
              <w:rPr>
                <w:rFonts w:ascii="宋体" w:hAnsi="宋体" w:cs="宋体"/>
                <w:color w:val="auto"/>
                <w:szCs w:val="21"/>
                <w:highlight w:val="none"/>
              </w:rPr>
            </w:pPr>
          </w:p>
        </w:tc>
        <w:tc>
          <w:tcPr>
            <w:tcW w:w="1094" w:type="dxa"/>
            <w:vAlign w:val="center"/>
          </w:tcPr>
          <w:p w14:paraId="3264C852">
            <w:pPr>
              <w:keepNext/>
              <w:spacing w:after="120" w:line="360" w:lineRule="auto"/>
              <w:ind w:left="63" w:right="63"/>
              <w:rPr>
                <w:rFonts w:ascii="宋体" w:hAnsi="宋体" w:cs="宋体"/>
                <w:color w:val="auto"/>
                <w:szCs w:val="21"/>
                <w:highlight w:val="none"/>
              </w:rPr>
            </w:pPr>
          </w:p>
        </w:tc>
        <w:tc>
          <w:tcPr>
            <w:tcW w:w="1434" w:type="dxa"/>
            <w:vAlign w:val="center"/>
          </w:tcPr>
          <w:p w14:paraId="72568D44">
            <w:pPr>
              <w:keepNext/>
              <w:spacing w:after="120" w:line="360" w:lineRule="auto"/>
              <w:ind w:left="63" w:right="63"/>
              <w:rPr>
                <w:rFonts w:ascii="宋体" w:hAnsi="宋体" w:cs="宋体"/>
                <w:color w:val="auto"/>
                <w:szCs w:val="21"/>
                <w:highlight w:val="none"/>
              </w:rPr>
            </w:pPr>
          </w:p>
        </w:tc>
        <w:tc>
          <w:tcPr>
            <w:tcW w:w="1433" w:type="dxa"/>
            <w:vAlign w:val="center"/>
          </w:tcPr>
          <w:p w14:paraId="79BE06C0">
            <w:pPr>
              <w:keepNext/>
              <w:spacing w:after="120" w:line="360" w:lineRule="auto"/>
              <w:ind w:left="63" w:right="63"/>
              <w:rPr>
                <w:rFonts w:ascii="宋体" w:hAnsi="宋体" w:cs="宋体"/>
                <w:color w:val="auto"/>
                <w:szCs w:val="21"/>
                <w:highlight w:val="none"/>
              </w:rPr>
            </w:pPr>
          </w:p>
        </w:tc>
        <w:tc>
          <w:tcPr>
            <w:tcW w:w="3584" w:type="dxa"/>
            <w:vAlign w:val="center"/>
          </w:tcPr>
          <w:p w14:paraId="02140DA5">
            <w:pPr>
              <w:keepNext/>
              <w:spacing w:after="120" w:line="360" w:lineRule="auto"/>
              <w:ind w:left="63" w:right="63"/>
              <w:rPr>
                <w:rFonts w:ascii="宋体" w:hAnsi="宋体" w:cs="宋体"/>
                <w:color w:val="auto"/>
                <w:szCs w:val="21"/>
                <w:highlight w:val="none"/>
              </w:rPr>
            </w:pPr>
          </w:p>
        </w:tc>
      </w:tr>
      <w:tr w14:paraId="4A840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9440" w:type="dxa"/>
            <w:gridSpan w:val="5"/>
            <w:tcBorders>
              <w:top w:val="single" w:color="auto" w:sz="6" w:space="0"/>
              <w:bottom w:val="single" w:color="auto" w:sz="6" w:space="0"/>
            </w:tcBorders>
            <w:vAlign w:val="center"/>
          </w:tcPr>
          <w:p w14:paraId="395701BF">
            <w:pPr>
              <w:keepNext/>
              <w:spacing w:after="120" w:line="360" w:lineRule="auto"/>
              <w:ind w:left="63" w:right="63"/>
              <w:rPr>
                <w:rFonts w:ascii="宋体" w:hAnsi="宋体" w:cs="宋体"/>
                <w:color w:val="auto"/>
                <w:szCs w:val="21"/>
                <w:highlight w:val="none"/>
              </w:rPr>
            </w:pPr>
            <w:r>
              <w:rPr>
                <w:rFonts w:hint="eastAsia" w:ascii="宋体" w:hAnsi="宋体" w:cs="宋体"/>
                <w:color w:val="auto"/>
                <w:szCs w:val="21"/>
                <w:highlight w:val="none"/>
              </w:rPr>
              <w:t>二、现场人员</w:t>
            </w:r>
          </w:p>
        </w:tc>
      </w:tr>
      <w:tr w14:paraId="3CA8F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199970BE">
            <w:pPr>
              <w:keepNext/>
              <w:spacing w:after="120" w:line="360" w:lineRule="auto"/>
              <w:ind w:left="63" w:right="63"/>
              <w:rPr>
                <w:rFonts w:ascii="宋体" w:hAnsi="宋体" w:cs="宋体"/>
                <w:color w:val="auto"/>
                <w:szCs w:val="21"/>
                <w:highlight w:val="none"/>
              </w:rPr>
            </w:pPr>
          </w:p>
        </w:tc>
        <w:tc>
          <w:tcPr>
            <w:tcW w:w="1094" w:type="dxa"/>
            <w:vAlign w:val="center"/>
          </w:tcPr>
          <w:p w14:paraId="6DFC0157">
            <w:pPr>
              <w:keepNext/>
              <w:spacing w:after="120" w:line="360" w:lineRule="auto"/>
              <w:ind w:left="63" w:right="63"/>
              <w:rPr>
                <w:rFonts w:ascii="宋体" w:hAnsi="宋体" w:cs="宋体"/>
                <w:color w:val="auto"/>
                <w:szCs w:val="21"/>
                <w:highlight w:val="none"/>
              </w:rPr>
            </w:pPr>
          </w:p>
        </w:tc>
        <w:tc>
          <w:tcPr>
            <w:tcW w:w="1434" w:type="dxa"/>
            <w:vAlign w:val="center"/>
          </w:tcPr>
          <w:p w14:paraId="366A47F5">
            <w:pPr>
              <w:keepNext/>
              <w:spacing w:after="120" w:line="360" w:lineRule="auto"/>
              <w:ind w:left="63" w:right="63"/>
              <w:rPr>
                <w:rFonts w:ascii="宋体" w:hAnsi="宋体" w:cs="宋体"/>
                <w:color w:val="auto"/>
                <w:szCs w:val="21"/>
                <w:highlight w:val="none"/>
              </w:rPr>
            </w:pPr>
          </w:p>
        </w:tc>
        <w:tc>
          <w:tcPr>
            <w:tcW w:w="1433" w:type="dxa"/>
            <w:vAlign w:val="center"/>
          </w:tcPr>
          <w:p w14:paraId="7BB61292">
            <w:pPr>
              <w:keepNext/>
              <w:spacing w:after="120" w:line="360" w:lineRule="auto"/>
              <w:ind w:left="63" w:right="63"/>
              <w:rPr>
                <w:rFonts w:ascii="宋体" w:hAnsi="宋体" w:cs="宋体"/>
                <w:color w:val="auto"/>
                <w:szCs w:val="21"/>
                <w:highlight w:val="none"/>
              </w:rPr>
            </w:pPr>
          </w:p>
        </w:tc>
        <w:tc>
          <w:tcPr>
            <w:tcW w:w="3584" w:type="dxa"/>
            <w:vAlign w:val="center"/>
          </w:tcPr>
          <w:p w14:paraId="18E53038">
            <w:pPr>
              <w:keepNext/>
              <w:spacing w:after="120" w:line="360" w:lineRule="auto"/>
              <w:ind w:left="63" w:right="63"/>
              <w:rPr>
                <w:rFonts w:ascii="宋体" w:hAnsi="宋体" w:cs="宋体"/>
                <w:color w:val="auto"/>
                <w:szCs w:val="21"/>
                <w:highlight w:val="none"/>
              </w:rPr>
            </w:pPr>
          </w:p>
        </w:tc>
      </w:tr>
      <w:tr w14:paraId="5D51A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13A05CDC">
            <w:pPr>
              <w:keepNext/>
              <w:spacing w:after="120" w:line="360" w:lineRule="auto"/>
              <w:ind w:left="63" w:right="63"/>
              <w:rPr>
                <w:rFonts w:ascii="宋体" w:hAnsi="宋体" w:cs="宋体"/>
                <w:color w:val="auto"/>
                <w:szCs w:val="21"/>
                <w:highlight w:val="none"/>
              </w:rPr>
            </w:pPr>
          </w:p>
        </w:tc>
        <w:tc>
          <w:tcPr>
            <w:tcW w:w="1094" w:type="dxa"/>
            <w:vAlign w:val="center"/>
          </w:tcPr>
          <w:p w14:paraId="6FD1EE78">
            <w:pPr>
              <w:keepNext/>
              <w:spacing w:after="120" w:line="360" w:lineRule="auto"/>
              <w:ind w:left="63" w:right="63"/>
              <w:rPr>
                <w:rFonts w:ascii="宋体" w:hAnsi="宋体" w:cs="宋体"/>
                <w:color w:val="auto"/>
                <w:szCs w:val="21"/>
                <w:highlight w:val="none"/>
              </w:rPr>
            </w:pPr>
          </w:p>
        </w:tc>
        <w:tc>
          <w:tcPr>
            <w:tcW w:w="1434" w:type="dxa"/>
            <w:vAlign w:val="center"/>
          </w:tcPr>
          <w:p w14:paraId="228E7C96">
            <w:pPr>
              <w:keepNext/>
              <w:spacing w:after="120" w:line="360" w:lineRule="auto"/>
              <w:ind w:left="63" w:right="63"/>
              <w:rPr>
                <w:rFonts w:ascii="宋体" w:hAnsi="宋体" w:cs="宋体"/>
                <w:color w:val="auto"/>
                <w:szCs w:val="21"/>
                <w:highlight w:val="none"/>
              </w:rPr>
            </w:pPr>
          </w:p>
        </w:tc>
        <w:tc>
          <w:tcPr>
            <w:tcW w:w="1433" w:type="dxa"/>
            <w:vAlign w:val="center"/>
          </w:tcPr>
          <w:p w14:paraId="3A8FA21C">
            <w:pPr>
              <w:keepNext/>
              <w:spacing w:after="120" w:line="360" w:lineRule="auto"/>
              <w:ind w:left="63" w:right="63"/>
              <w:rPr>
                <w:rFonts w:ascii="宋体" w:hAnsi="宋体" w:cs="宋体"/>
                <w:color w:val="auto"/>
                <w:szCs w:val="21"/>
                <w:highlight w:val="none"/>
              </w:rPr>
            </w:pPr>
          </w:p>
        </w:tc>
        <w:tc>
          <w:tcPr>
            <w:tcW w:w="3584" w:type="dxa"/>
            <w:vAlign w:val="center"/>
          </w:tcPr>
          <w:p w14:paraId="2F946774">
            <w:pPr>
              <w:keepNext/>
              <w:spacing w:after="120" w:line="360" w:lineRule="auto"/>
              <w:ind w:left="63" w:right="63"/>
              <w:rPr>
                <w:rFonts w:ascii="宋体" w:hAnsi="宋体" w:cs="宋体"/>
                <w:color w:val="auto"/>
                <w:szCs w:val="21"/>
                <w:highlight w:val="none"/>
              </w:rPr>
            </w:pPr>
          </w:p>
        </w:tc>
      </w:tr>
      <w:tr w14:paraId="4D10A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108C9ED9">
            <w:pPr>
              <w:keepNext/>
              <w:spacing w:after="120" w:line="360" w:lineRule="auto"/>
              <w:ind w:left="63" w:right="63"/>
              <w:rPr>
                <w:rFonts w:ascii="宋体" w:hAnsi="宋体" w:cs="宋体"/>
                <w:color w:val="auto"/>
                <w:szCs w:val="21"/>
                <w:highlight w:val="none"/>
              </w:rPr>
            </w:pPr>
          </w:p>
        </w:tc>
        <w:tc>
          <w:tcPr>
            <w:tcW w:w="1094" w:type="dxa"/>
            <w:vAlign w:val="center"/>
          </w:tcPr>
          <w:p w14:paraId="1ECDA420">
            <w:pPr>
              <w:keepNext/>
              <w:spacing w:after="120" w:line="360" w:lineRule="auto"/>
              <w:ind w:left="63" w:right="63"/>
              <w:rPr>
                <w:rFonts w:ascii="宋体" w:hAnsi="宋体" w:cs="宋体"/>
                <w:color w:val="auto"/>
                <w:szCs w:val="21"/>
                <w:highlight w:val="none"/>
              </w:rPr>
            </w:pPr>
          </w:p>
        </w:tc>
        <w:tc>
          <w:tcPr>
            <w:tcW w:w="1434" w:type="dxa"/>
            <w:vAlign w:val="center"/>
          </w:tcPr>
          <w:p w14:paraId="48ADDF55">
            <w:pPr>
              <w:keepNext/>
              <w:spacing w:after="120" w:line="360" w:lineRule="auto"/>
              <w:ind w:left="63" w:right="63"/>
              <w:rPr>
                <w:rFonts w:ascii="宋体" w:hAnsi="宋体" w:cs="宋体"/>
                <w:color w:val="auto"/>
                <w:szCs w:val="21"/>
                <w:highlight w:val="none"/>
              </w:rPr>
            </w:pPr>
          </w:p>
        </w:tc>
        <w:tc>
          <w:tcPr>
            <w:tcW w:w="1433" w:type="dxa"/>
            <w:vAlign w:val="center"/>
          </w:tcPr>
          <w:p w14:paraId="1ACCABE9">
            <w:pPr>
              <w:keepNext/>
              <w:spacing w:after="120" w:line="360" w:lineRule="auto"/>
              <w:ind w:left="63" w:right="63"/>
              <w:rPr>
                <w:rFonts w:ascii="宋体" w:hAnsi="宋体" w:cs="宋体"/>
                <w:color w:val="auto"/>
                <w:szCs w:val="21"/>
                <w:highlight w:val="none"/>
              </w:rPr>
            </w:pPr>
          </w:p>
        </w:tc>
        <w:tc>
          <w:tcPr>
            <w:tcW w:w="3584" w:type="dxa"/>
            <w:vAlign w:val="center"/>
          </w:tcPr>
          <w:p w14:paraId="024A900F">
            <w:pPr>
              <w:keepNext/>
              <w:spacing w:after="120" w:line="360" w:lineRule="auto"/>
              <w:ind w:left="63" w:right="63"/>
              <w:rPr>
                <w:rFonts w:ascii="宋体" w:hAnsi="宋体" w:cs="宋体"/>
                <w:color w:val="auto"/>
                <w:szCs w:val="21"/>
                <w:highlight w:val="none"/>
              </w:rPr>
            </w:pPr>
          </w:p>
        </w:tc>
      </w:tr>
      <w:tr w14:paraId="0B785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1DE8D4B0">
            <w:pPr>
              <w:keepNext/>
              <w:spacing w:after="120" w:line="360" w:lineRule="auto"/>
              <w:ind w:left="63" w:right="63"/>
              <w:rPr>
                <w:rFonts w:ascii="宋体" w:hAnsi="宋体" w:cs="宋体"/>
                <w:color w:val="auto"/>
                <w:szCs w:val="21"/>
                <w:highlight w:val="none"/>
              </w:rPr>
            </w:pPr>
          </w:p>
        </w:tc>
        <w:tc>
          <w:tcPr>
            <w:tcW w:w="1094" w:type="dxa"/>
            <w:vAlign w:val="center"/>
          </w:tcPr>
          <w:p w14:paraId="09626F16">
            <w:pPr>
              <w:keepNext/>
              <w:spacing w:after="120" w:line="360" w:lineRule="auto"/>
              <w:ind w:left="63" w:right="63"/>
              <w:rPr>
                <w:rFonts w:ascii="宋体" w:hAnsi="宋体" w:cs="宋体"/>
                <w:color w:val="auto"/>
                <w:szCs w:val="21"/>
                <w:highlight w:val="none"/>
              </w:rPr>
            </w:pPr>
          </w:p>
        </w:tc>
        <w:tc>
          <w:tcPr>
            <w:tcW w:w="1434" w:type="dxa"/>
            <w:vAlign w:val="center"/>
          </w:tcPr>
          <w:p w14:paraId="7BDD7EA5">
            <w:pPr>
              <w:keepNext/>
              <w:spacing w:after="120" w:line="360" w:lineRule="auto"/>
              <w:ind w:left="63" w:right="63"/>
              <w:rPr>
                <w:rFonts w:ascii="宋体" w:hAnsi="宋体" w:cs="宋体"/>
                <w:color w:val="auto"/>
                <w:szCs w:val="21"/>
                <w:highlight w:val="none"/>
              </w:rPr>
            </w:pPr>
          </w:p>
        </w:tc>
        <w:tc>
          <w:tcPr>
            <w:tcW w:w="1433" w:type="dxa"/>
            <w:vAlign w:val="center"/>
          </w:tcPr>
          <w:p w14:paraId="41E46448">
            <w:pPr>
              <w:keepNext/>
              <w:spacing w:after="120" w:line="360" w:lineRule="auto"/>
              <w:ind w:left="63" w:right="63"/>
              <w:rPr>
                <w:rFonts w:ascii="宋体" w:hAnsi="宋体" w:cs="宋体"/>
                <w:color w:val="auto"/>
                <w:szCs w:val="21"/>
                <w:highlight w:val="none"/>
              </w:rPr>
            </w:pPr>
          </w:p>
        </w:tc>
        <w:tc>
          <w:tcPr>
            <w:tcW w:w="3584" w:type="dxa"/>
            <w:vAlign w:val="center"/>
          </w:tcPr>
          <w:p w14:paraId="19621392">
            <w:pPr>
              <w:keepNext/>
              <w:spacing w:after="120" w:line="360" w:lineRule="auto"/>
              <w:ind w:left="63" w:right="63"/>
              <w:rPr>
                <w:rFonts w:ascii="宋体" w:hAnsi="宋体" w:cs="宋体"/>
                <w:color w:val="auto"/>
                <w:szCs w:val="21"/>
                <w:highlight w:val="none"/>
              </w:rPr>
            </w:pPr>
          </w:p>
        </w:tc>
      </w:tr>
      <w:tr w14:paraId="29594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049909FD">
            <w:pPr>
              <w:keepNext/>
              <w:spacing w:after="120" w:line="360" w:lineRule="auto"/>
              <w:ind w:left="63" w:right="63"/>
              <w:rPr>
                <w:rFonts w:ascii="宋体" w:hAnsi="宋体" w:cs="宋体"/>
                <w:color w:val="auto"/>
                <w:szCs w:val="21"/>
                <w:highlight w:val="none"/>
              </w:rPr>
            </w:pPr>
          </w:p>
        </w:tc>
        <w:tc>
          <w:tcPr>
            <w:tcW w:w="1094" w:type="dxa"/>
            <w:vAlign w:val="center"/>
          </w:tcPr>
          <w:p w14:paraId="064E2098">
            <w:pPr>
              <w:keepNext/>
              <w:spacing w:after="120" w:line="360" w:lineRule="auto"/>
              <w:ind w:left="63" w:right="63"/>
              <w:rPr>
                <w:rFonts w:ascii="宋体" w:hAnsi="宋体" w:cs="宋体"/>
                <w:color w:val="auto"/>
                <w:szCs w:val="21"/>
                <w:highlight w:val="none"/>
              </w:rPr>
            </w:pPr>
          </w:p>
        </w:tc>
        <w:tc>
          <w:tcPr>
            <w:tcW w:w="1434" w:type="dxa"/>
            <w:vAlign w:val="center"/>
          </w:tcPr>
          <w:p w14:paraId="759E0835">
            <w:pPr>
              <w:keepNext/>
              <w:spacing w:after="120" w:line="360" w:lineRule="auto"/>
              <w:ind w:left="63" w:right="63"/>
              <w:rPr>
                <w:rFonts w:ascii="宋体" w:hAnsi="宋体" w:cs="宋体"/>
                <w:color w:val="auto"/>
                <w:szCs w:val="21"/>
                <w:highlight w:val="none"/>
              </w:rPr>
            </w:pPr>
          </w:p>
        </w:tc>
        <w:tc>
          <w:tcPr>
            <w:tcW w:w="1433" w:type="dxa"/>
            <w:vAlign w:val="center"/>
          </w:tcPr>
          <w:p w14:paraId="7C907E15">
            <w:pPr>
              <w:keepNext/>
              <w:spacing w:after="120" w:line="360" w:lineRule="auto"/>
              <w:ind w:left="63" w:right="63"/>
              <w:rPr>
                <w:rFonts w:ascii="宋体" w:hAnsi="宋体" w:cs="宋体"/>
                <w:color w:val="auto"/>
                <w:szCs w:val="21"/>
                <w:highlight w:val="none"/>
              </w:rPr>
            </w:pPr>
          </w:p>
        </w:tc>
        <w:tc>
          <w:tcPr>
            <w:tcW w:w="3584" w:type="dxa"/>
            <w:vAlign w:val="center"/>
          </w:tcPr>
          <w:p w14:paraId="5893B339">
            <w:pPr>
              <w:keepNext/>
              <w:spacing w:after="120" w:line="360" w:lineRule="auto"/>
              <w:ind w:left="63" w:right="63"/>
              <w:rPr>
                <w:rFonts w:ascii="宋体" w:hAnsi="宋体" w:cs="宋体"/>
                <w:color w:val="auto"/>
                <w:szCs w:val="21"/>
                <w:highlight w:val="none"/>
              </w:rPr>
            </w:pPr>
          </w:p>
        </w:tc>
      </w:tr>
      <w:tr w14:paraId="3C73F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483E8E19">
            <w:pPr>
              <w:keepNext/>
              <w:spacing w:after="120" w:line="360" w:lineRule="auto"/>
              <w:ind w:left="63" w:right="63"/>
              <w:rPr>
                <w:rFonts w:ascii="宋体" w:hAnsi="宋体" w:cs="宋体"/>
                <w:color w:val="auto"/>
                <w:szCs w:val="21"/>
                <w:highlight w:val="none"/>
              </w:rPr>
            </w:pPr>
          </w:p>
        </w:tc>
        <w:tc>
          <w:tcPr>
            <w:tcW w:w="1094" w:type="dxa"/>
            <w:vAlign w:val="center"/>
          </w:tcPr>
          <w:p w14:paraId="4D37481C">
            <w:pPr>
              <w:keepNext/>
              <w:spacing w:after="120" w:line="360" w:lineRule="auto"/>
              <w:ind w:left="63" w:right="63"/>
              <w:rPr>
                <w:rFonts w:ascii="宋体" w:hAnsi="宋体" w:cs="宋体"/>
                <w:color w:val="auto"/>
                <w:szCs w:val="21"/>
                <w:highlight w:val="none"/>
              </w:rPr>
            </w:pPr>
          </w:p>
        </w:tc>
        <w:tc>
          <w:tcPr>
            <w:tcW w:w="1434" w:type="dxa"/>
            <w:vAlign w:val="center"/>
          </w:tcPr>
          <w:p w14:paraId="4C16C9A6">
            <w:pPr>
              <w:keepNext/>
              <w:spacing w:after="120" w:line="360" w:lineRule="auto"/>
              <w:ind w:left="63" w:right="63"/>
              <w:rPr>
                <w:rFonts w:ascii="宋体" w:hAnsi="宋体" w:cs="宋体"/>
                <w:color w:val="auto"/>
                <w:szCs w:val="21"/>
                <w:highlight w:val="none"/>
              </w:rPr>
            </w:pPr>
          </w:p>
        </w:tc>
        <w:tc>
          <w:tcPr>
            <w:tcW w:w="1433" w:type="dxa"/>
            <w:vAlign w:val="center"/>
          </w:tcPr>
          <w:p w14:paraId="1DC36CDD">
            <w:pPr>
              <w:keepNext/>
              <w:spacing w:after="120" w:line="360" w:lineRule="auto"/>
              <w:ind w:left="63" w:right="63"/>
              <w:rPr>
                <w:rFonts w:ascii="宋体" w:hAnsi="宋体" w:cs="宋体"/>
                <w:color w:val="auto"/>
                <w:szCs w:val="21"/>
                <w:highlight w:val="none"/>
              </w:rPr>
            </w:pPr>
          </w:p>
        </w:tc>
        <w:tc>
          <w:tcPr>
            <w:tcW w:w="3584" w:type="dxa"/>
            <w:vAlign w:val="center"/>
          </w:tcPr>
          <w:p w14:paraId="4809DF3B">
            <w:pPr>
              <w:keepNext/>
              <w:spacing w:after="120" w:line="360" w:lineRule="auto"/>
              <w:ind w:left="63" w:right="63"/>
              <w:rPr>
                <w:rFonts w:ascii="宋体" w:hAnsi="宋体" w:cs="宋体"/>
                <w:color w:val="auto"/>
                <w:szCs w:val="21"/>
                <w:highlight w:val="none"/>
              </w:rPr>
            </w:pPr>
          </w:p>
        </w:tc>
      </w:tr>
      <w:tr w14:paraId="21B9A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0151FBCA">
            <w:pPr>
              <w:keepNext/>
              <w:spacing w:after="120" w:line="360" w:lineRule="auto"/>
              <w:ind w:left="63" w:right="63"/>
              <w:rPr>
                <w:rFonts w:ascii="宋体" w:hAnsi="宋体" w:cs="宋体"/>
                <w:color w:val="auto"/>
                <w:szCs w:val="21"/>
                <w:highlight w:val="none"/>
              </w:rPr>
            </w:pPr>
          </w:p>
        </w:tc>
        <w:tc>
          <w:tcPr>
            <w:tcW w:w="1094" w:type="dxa"/>
            <w:vAlign w:val="center"/>
          </w:tcPr>
          <w:p w14:paraId="5CF6B682">
            <w:pPr>
              <w:keepNext/>
              <w:spacing w:after="120" w:line="360" w:lineRule="auto"/>
              <w:ind w:left="63" w:right="63"/>
              <w:rPr>
                <w:rFonts w:ascii="宋体" w:hAnsi="宋体" w:cs="宋体"/>
                <w:color w:val="auto"/>
                <w:szCs w:val="21"/>
                <w:highlight w:val="none"/>
              </w:rPr>
            </w:pPr>
          </w:p>
        </w:tc>
        <w:tc>
          <w:tcPr>
            <w:tcW w:w="1434" w:type="dxa"/>
            <w:vAlign w:val="center"/>
          </w:tcPr>
          <w:p w14:paraId="5D7CE488">
            <w:pPr>
              <w:keepNext/>
              <w:spacing w:after="120" w:line="360" w:lineRule="auto"/>
              <w:ind w:left="63" w:right="63"/>
              <w:rPr>
                <w:rFonts w:ascii="宋体" w:hAnsi="宋体" w:cs="宋体"/>
                <w:color w:val="auto"/>
                <w:szCs w:val="21"/>
                <w:highlight w:val="none"/>
              </w:rPr>
            </w:pPr>
          </w:p>
        </w:tc>
        <w:tc>
          <w:tcPr>
            <w:tcW w:w="1433" w:type="dxa"/>
            <w:vAlign w:val="center"/>
          </w:tcPr>
          <w:p w14:paraId="6229E26E">
            <w:pPr>
              <w:keepNext/>
              <w:spacing w:after="120" w:line="360" w:lineRule="auto"/>
              <w:ind w:left="63" w:right="63"/>
              <w:rPr>
                <w:rFonts w:ascii="宋体" w:hAnsi="宋体" w:cs="宋体"/>
                <w:color w:val="auto"/>
                <w:szCs w:val="21"/>
                <w:highlight w:val="none"/>
              </w:rPr>
            </w:pPr>
          </w:p>
        </w:tc>
        <w:tc>
          <w:tcPr>
            <w:tcW w:w="3584" w:type="dxa"/>
            <w:vAlign w:val="center"/>
          </w:tcPr>
          <w:p w14:paraId="6EF64826">
            <w:pPr>
              <w:keepNext/>
              <w:spacing w:after="120" w:line="360" w:lineRule="auto"/>
              <w:ind w:left="63" w:right="63"/>
              <w:rPr>
                <w:rFonts w:ascii="宋体" w:hAnsi="宋体" w:cs="宋体"/>
                <w:color w:val="auto"/>
                <w:szCs w:val="21"/>
                <w:highlight w:val="none"/>
              </w:rPr>
            </w:pPr>
          </w:p>
        </w:tc>
      </w:tr>
      <w:tr w14:paraId="1035A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4EE98BFD">
            <w:pPr>
              <w:keepNext/>
              <w:spacing w:after="120" w:line="360" w:lineRule="auto"/>
              <w:ind w:left="63" w:right="63"/>
              <w:rPr>
                <w:rFonts w:ascii="宋体" w:hAnsi="宋体" w:cs="宋体"/>
                <w:color w:val="auto"/>
                <w:szCs w:val="21"/>
                <w:highlight w:val="none"/>
              </w:rPr>
            </w:pPr>
          </w:p>
        </w:tc>
        <w:tc>
          <w:tcPr>
            <w:tcW w:w="1094" w:type="dxa"/>
            <w:vAlign w:val="center"/>
          </w:tcPr>
          <w:p w14:paraId="2A7706E3">
            <w:pPr>
              <w:keepNext/>
              <w:spacing w:after="120" w:line="360" w:lineRule="auto"/>
              <w:ind w:left="63" w:right="63"/>
              <w:rPr>
                <w:rFonts w:ascii="宋体" w:hAnsi="宋体" w:cs="宋体"/>
                <w:color w:val="auto"/>
                <w:szCs w:val="21"/>
                <w:highlight w:val="none"/>
              </w:rPr>
            </w:pPr>
          </w:p>
        </w:tc>
        <w:tc>
          <w:tcPr>
            <w:tcW w:w="1434" w:type="dxa"/>
            <w:vAlign w:val="center"/>
          </w:tcPr>
          <w:p w14:paraId="6B32724A">
            <w:pPr>
              <w:keepNext/>
              <w:spacing w:after="120" w:line="360" w:lineRule="auto"/>
              <w:ind w:left="63" w:right="63"/>
              <w:rPr>
                <w:rFonts w:ascii="宋体" w:hAnsi="宋体" w:cs="宋体"/>
                <w:color w:val="auto"/>
                <w:szCs w:val="21"/>
                <w:highlight w:val="none"/>
              </w:rPr>
            </w:pPr>
          </w:p>
        </w:tc>
        <w:tc>
          <w:tcPr>
            <w:tcW w:w="1433" w:type="dxa"/>
            <w:vAlign w:val="center"/>
          </w:tcPr>
          <w:p w14:paraId="027F5593">
            <w:pPr>
              <w:keepNext/>
              <w:spacing w:after="120" w:line="360" w:lineRule="auto"/>
              <w:ind w:left="63" w:right="63"/>
              <w:rPr>
                <w:rFonts w:ascii="宋体" w:hAnsi="宋体" w:cs="宋体"/>
                <w:color w:val="auto"/>
                <w:szCs w:val="21"/>
                <w:highlight w:val="none"/>
              </w:rPr>
            </w:pPr>
          </w:p>
        </w:tc>
        <w:tc>
          <w:tcPr>
            <w:tcW w:w="3584" w:type="dxa"/>
            <w:vAlign w:val="center"/>
          </w:tcPr>
          <w:p w14:paraId="59336512">
            <w:pPr>
              <w:keepNext/>
              <w:spacing w:after="120" w:line="360" w:lineRule="auto"/>
              <w:ind w:left="63" w:right="63"/>
              <w:rPr>
                <w:rFonts w:ascii="宋体" w:hAnsi="宋体" w:cs="宋体"/>
                <w:color w:val="auto"/>
                <w:szCs w:val="21"/>
                <w:highlight w:val="none"/>
              </w:rPr>
            </w:pPr>
          </w:p>
        </w:tc>
      </w:tr>
    </w:tbl>
    <w:p w14:paraId="1837A952">
      <w:pPr>
        <w:spacing w:line="360" w:lineRule="auto"/>
        <w:rPr>
          <w:rFonts w:ascii="宋体" w:hAnsi="宋体" w:cs="宋体"/>
          <w:color w:val="auto"/>
          <w:szCs w:val="21"/>
          <w:highlight w:val="none"/>
        </w:rPr>
      </w:pPr>
    </w:p>
    <w:p w14:paraId="21550FB3">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w:t>
      </w:r>
    </w:p>
    <w:p w14:paraId="08782862">
      <w:pPr>
        <w:spacing w:line="360" w:lineRule="auto"/>
        <w:rPr>
          <w:rFonts w:ascii="宋体" w:hAnsi="宋体" w:cs="宋体"/>
          <w:b/>
          <w:color w:val="auto"/>
          <w:szCs w:val="21"/>
          <w:highlight w:val="none"/>
        </w:rPr>
      </w:pPr>
    </w:p>
    <w:p w14:paraId="5050EBA3">
      <w:pPr>
        <w:spacing w:line="360" w:lineRule="auto"/>
        <w:rPr>
          <w:rFonts w:ascii="宋体" w:hAnsi="宋体" w:cs="宋体"/>
          <w:b/>
          <w:color w:val="auto"/>
          <w:szCs w:val="21"/>
          <w:highlight w:val="none"/>
        </w:rPr>
      </w:pPr>
    </w:p>
    <w:p w14:paraId="4149459A">
      <w:pPr>
        <w:spacing w:line="360" w:lineRule="auto"/>
        <w:rPr>
          <w:rFonts w:ascii="宋体" w:hAnsi="宋体" w:cs="宋体"/>
          <w:b/>
          <w:color w:val="auto"/>
          <w:szCs w:val="21"/>
          <w:highlight w:val="none"/>
        </w:rPr>
        <w:sectPr>
          <w:pgSz w:w="11907" w:h="16840"/>
          <w:pgMar w:top="1304" w:right="1134" w:bottom="1134" w:left="1304" w:header="851" w:footer="851" w:gutter="0"/>
          <w:cols w:space="720" w:num="1"/>
          <w:docGrid w:linePitch="312" w:charSpace="0"/>
        </w:sectPr>
      </w:pPr>
    </w:p>
    <w:p w14:paraId="1C43C093">
      <w:pPr>
        <w:spacing w:line="360" w:lineRule="auto"/>
        <w:rPr>
          <w:rFonts w:ascii="宋体" w:hAnsi="宋体" w:cs="宋体"/>
          <w:b/>
          <w:color w:val="auto"/>
          <w:szCs w:val="21"/>
          <w:highlight w:val="none"/>
        </w:rPr>
      </w:pPr>
    </w:p>
    <w:p w14:paraId="2793B370">
      <w:pPr>
        <w:spacing w:line="360" w:lineRule="auto"/>
        <w:rPr>
          <w:rFonts w:ascii="宋体" w:hAnsi="宋体" w:cs="宋体"/>
          <w:color w:val="auto"/>
          <w:szCs w:val="21"/>
          <w:highlight w:val="none"/>
        </w:rPr>
      </w:pPr>
      <w:r>
        <w:rPr>
          <w:rFonts w:hint="eastAsia" w:ascii="宋体" w:hAnsi="宋体" w:cs="宋体"/>
          <w:b/>
          <w:bCs/>
          <w:color w:val="auto"/>
          <w:szCs w:val="21"/>
          <w:highlight w:val="none"/>
        </w:rPr>
        <w:t>附件3：</w:t>
      </w:r>
    </w:p>
    <w:p w14:paraId="337FF55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安全生产承诺书</w:t>
      </w:r>
    </w:p>
    <w:p w14:paraId="7C9D669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根据《中华人民共和国安全生产法》、《中华人民共和国建筑法》、《</w:t>
      </w:r>
      <w:r>
        <w:rPr>
          <w:rFonts w:hint="eastAsia" w:ascii="宋体" w:hAnsi="宋体" w:cs="宋体"/>
          <w:color w:val="auto"/>
          <w:szCs w:val="21"/>
          <w:highlight w:val="none"/>
          <w:lang w:eastAsia="zh-CN"/>
        </w:rPr>
        <w:t>建设</w:t>
      </w:r>
      <w:r>
        <w:rPr>
          <w:rFonts w:hint="eastAsia" w:ascii="宋体" w:hAnsi="宋体" w:cs="宋体"/>
          <w:color w:val="auto"/>
          <w:szCs w:val="21"/>
          <w:highlight w:val="none"/>
        </w:rPr>
        <w:t>工程安全生产管理条例》和《建筑工程安全生产监督管理工作导则》及与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签订的施工合同的相关约定，我公司将对工程中的安全生产实施全过程全方位的管理，加大检查力度，增加安全投入，消除各类安全隐患，认真履行以下安全生产管理责任：</w:t>
      </w:r>
    </w:p>
    <w:p w14:paraId="15CEE2D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1、严格按合同约定（符合国家相关规定）计取安全生产费，并保证此项经费专户核算、按施工进度使用，同时还自愿接受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和监理单位对此项费用的使用进行监督。</w:t>
      </w:r>
    </w:p>
    <w:p w14:paraId="233C9F8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建立安全生产责任制度和安全生产教育培训制度，制定安全生产规章制度、安全生产检查制度和操作规程，保证对该工程定期进行专项安全检查，并做好安全检查记录。现委托项目经理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（注册证号：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对该工程项目的安全施工负责，落实安全生产责任制度、安全生产规章制度和操作规程，确保安全生产费用的有效使用，并根据工程的特点组织制定安全施工措施。消除安全事故隐患，及时、如实报告生产安全事故，并保证每周在施工现场履职时间按招投标合同中的要求执行。</w:t>
      </w:r>
    </w:p>
    <w:p w14:paraId="702912B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3、委派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同志（证书编号：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担任该工程的专职安全生产管理人员，负责对安全生产进行现场监督检查。发现安全事故隐患，应当及时向项目经理和安全生产管理机构报告；对违章指挥、违章操作的，应当立即制止，且保证其每周常驻现场不少于6天。电工、电焊工、塔吊司机、垂直运输机械作业人员、安装拆卸工、起重信号工、登高架设作业人员等特种作业人员持有特种作业操作资格证书，方允许其上岗作业。</w:t>
      </w:r>
    </w:p>
    <w:p w14:paraId="5E8A24F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按照建设部“建质[2009]87号”规定，对施工过程中含有危险性较（重）大的分部（分项）工程，必须严格执行专项施工方案的编制、审核、审批程序，在施工时还应做好安全技术交底和检查验收工作。对危险性重大工程（重大危险源工程）的专项施工方案，还应组织不少于5人（本专业工程的高级工程师）的专家组对已编制的方案进行论证审查，且要有专家组作出书面论证的审查报告后，方可进行施工。</w:t>
      </w:r>
    </w:p>
    <w:p w14:paraId="2E33EA4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该工程施工前，我公司负责项目管理的技术人员对有关安全施工的技术要求向施工作业班组、作业人员作出详细说明，并由双方签字确认。对该工程施工现场的出入口处、施工起重机械、临时用电设施、脚手架、出入通道口、楼梯口、电梯井口、孔洞口、基坑边沿等危险部位，设置安全防护和明显的安全警示标志，安全警示标志的设置必须符合有关标准。</w:t>
      </w:r>
    </w:p>
    <w:p w14:paraId="5E2B423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施工现场的办公、生活区与作业区做到分开设置，并保持安全距离；办公区、生活区的选址必须符合相关安全性规定要求。职工的伙食、饮水和休息场所应当符合卫生标准。坚决杜绝在尚未竣工的建筑物内设置员工集体宿舍。施工现场临时搭建的建筑物和施工场地、道路及施工围墙的设置必须符合相关安全性规定要求。</w:t>
      </w:r>
    </w:p>
    <w:p w14:paraId="03DD474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对因施工可能造成损害的毗邻建筑物、构筑物和地下管线等应当采取专项防护措施，并遵守环境保护有关的法律法规。在施工现场采取措施，防止或者减少粉尘、废气、废水、固体废物、噪声和施工照明对人和环境造成的危害和污染。在施工现场建立消防安全责任制度，确定消防安全责任人，制定用火、用电、使用易燃易爆材料等各项消防安全管理制度和操作规程，设置消防通道、储备消防水源、配备消防设施和器材，并在施工现场作业区设置明显标志。</w:t>
      </w:r>
    </w:p>
    <w:p w14:paraId="233039E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认真做好“三级”安全教育工作，作业人员进入新的岗位或者新的施工项目开工前，必须接受安全生产教育培训。未经教育培训或者教育培训考核不合格的人员不得上岗作业；同时要向作业人员提供必要的安全生产防护用具和用品，并告知危险岗位的操作规程和违章操作的危害。一旦在施工中发生危及人身安全的紧急情况时，立即停止作业，采取必要的应急措施或撤离危险区域。教育施工作业人员遵守安全施工的强制性标准、规章制度和操作规程，正确使用安全防护用具、机械设备等。在采用新技术、新工艺、新设备、新材料时，也要对作业人员进行相应的安全生产教育培训。</w:t>
      </w:r>
    </w:p>
    <w:p w14:paraId="78FDE15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采购、租赁的安全防护用具、机械设备、施工机具及配件，应具有生产（制造）许可证、产品合格证，并在进入施工现场前进行查验。施工现场的安全防护用具、机械设备、施工机具及配件等由专人管理，定期进行检查、维修和保养，确保其性能指标处于良好的工作状态。</w:t>
      </w:r>
    </w:p>
    <w:p w14:paraId="14BB529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所使用的各种施工起重机械和整体提升（自升式）脚手架、模板等危险性较大工程（设备）在安装、搭设、使用前，应组织有关单位对其安全性能进行验收，或委托具有相应资质的检验检测机构进行验收；使用承租的机械设备和施工机具及配件的，由施工总承包单位、分包单位、出租单位和安装单位共同进行安全性能验收。验收合格后方可使用，并按相关规定做好登记备案工作。</w:t>
      </w:r>
    </w:p>
    <w:p w14:paraId="745E672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11、认真抓好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安全生产监督部门对该项工程存在事故隐患下达的限期安全整改通知单的整改、复查及回复工作，坚决做到令行禁止，不违法违规施工。</w:t>
      </w:r>
    </w:p>
    <w:p w14:paraId="2EAEC39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12、扎实做好该项目部所有从业人员的维权工作，保证所有从业人员的工资按合同约定及时、足额发放。</w:t>
      </w:r>
    </w:p>
    <w:p w14:paraId="31F6802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我代表公司承诺：严格执行上述内容及标准抓好该项工程的安全管理，随时接受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安全生产监督部门的监督。如果违反相关法律法规的条款造成不良社会影响或者严重后果的，本公司自愿接受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参照双方签订的施工合同中约定的相关条款实施的各项处罚。</w:t>
      </w:r>
    </w:p>
    <w:p w14:paraId="65C6026D">
      <w:pPr>
        <w:adjustRightInd w:val="0"/>
        <w:snapToGrid w:val="0"/>
        <w:spacing w:line="360" w:lineRule="auto"/>
        <w:ind w:firstLine="420" w:firstLineChars="200"/>
        <w:rPr>
          <w:rFonts w:ascii="宋体" w:hAnsi="宋体" w:cs="宋体"/>
          <w:color w:val="auto"/>
          <w:szCs w:val="21"/>
          <w:highlight w:val="none"/>
        </w:rPr>
      </w:pPr>
    </w:p>
    <w:p w14:paraId="14ED0BB7">
      <w:pPr>
        <w:adjustRightInd w:val="0"/>
        <w:snapToGrid w:val="0"/>
        <w:spacing w:line="360" w:lineRule="auto"/>
        <w:ind w:firstLine="420" w:firstLineChars="200"/>
        <w:rPr>
          <w:rFonts w:ascii="宋体" w:hAnsi="宋体" w:cs="宋体"/>
          <w:color w:val="auto"/>
          <w:szCs w:val="21"/>
          <w:highlight w:val="none"/>
        </w:rPr>
      </w:pPr>
    </w:p>
    <w:p w14:paraId="10906AA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发包人：（盖章）                     承包人：（盖章）</w:t>
      </w:r>
    </w:p>
    <w:p w14:paraId="57E43D6E">
      <w:pPr>
        <w:adjustRightInd w:val="0"/>
        <w:snapToGrid w:val="0"/>
        <w:spacing w:line="360" w:lineRule="auto"/>
        <w:ind w:firstLine="420" w:firstLineChars="200"/>
        <w:rPr>
          <w:rFonts w:ascii="宋体" w:hAnsi="宋体" w:cs="宋体"/>
          <w:color w:val="auto"/>
          <w:szCs w:val="21"/>
          <w:highlight w:val="none"/>
        </w:rPr>
      </w:pPr>
    </w:p>
    <w:p w14:paraId="348E8435">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年    月      日                     年    月      日  </w:t>
      </w:r>
    </w:p>
    <w:p w14:paraId="50E785B7">
      <w:pPr>
        <w:adjustRightInd w:val="0"/>
        <w:snapToGrid w:val="0"/>
        <w:spacing w:line="360" w:lineRule="auto"/>
        <w:rPr>
          <w:rFonts w:ascii="宋体" w:hAnsi="宋体" w:cs="宋体"/>
          <w:color w:val="auto"/>
          <w:szCs w:val="21"/>
          <w:highlight w:val="none"/>
        </w:rPr>
      </w:pPr>
    </w:p>
    <w:p w14:paraId="41A46DDD">
      <w:pPr>
        <w:spacing w:line="360" w:lineRule="auto"/>
        <w:rPr>
          <w:rFonts w:ascii="宋体" w:hAnsi="宋体" w:cs="宋体"/>
          <w:b/>
          <w:color w:val="auto"/>
          <w:szCs w:val="21"/>
          <w:highlight w:val="none"/>
        </w:rPr>
        <w:sectPr>
          <w:pgSz w:w="11907" w:h="16840"/>
          <w:pgMar w:top="1304" w:right="1134" w:bottom="1134" w:left="1304" w:header="851" w:footer="851" w:gutter="0"/>
          <w:cols w:space="720" w:num="1"/>
          <w:docGrid w:linePitch="312" w:charSpace="0"/>
        </w:sectPr>
      </w:pPr>
    </w:p>
    <w:p w14:paraId="6B9BA606">
      <w:pPr>
        <w:spacing w:line="360" w:lineRule="auto"/>
        <w:rPr>
          <w:rFonts w:ascii="宋体" w:hAnsi="宋体" w:cs="宋体"/>
          <w:b/>
          <w:color w:val="auto"/>
          <w:szCs w:val="21"/>
          <w:highlight w:val="none"/>
        </w:rPr>
      </w:pPr>
    </w:p>
    <w:p w14:paraId="5DB8FBC4">
      <w:pPr>
        <w:spacing w:line="360" w:lineRule="auto"/>
        <w:rPr>
          <w:rFonts w:ascii="宋体" w:hAnsi="宋体" w:cs="宋体"/>
          <w:b/>
          <w:color w:val="auto"/>
          <w:szCs w:val="21"/>
          <w:highlight w:val="none"/>
        </w:rPr>
      </w:pPr>
      <w:r>
        <w:rPr>
          <w:rFonts w:hint="eastAsia" w:ascii="宋体" w:hAnsi="宋体" w:cs="宋体"/>
          <w:b/>
          <w:color w:val="auto"/>
          <w:szCs w:val="21"/>
          <w:highlight w:val="none"/>
        </w:rPr>
        <w:t>附件4：</w:t>
      </w:r>
    </w:p>
    <w:p w14:paraId="3F188876">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工程建设项目廉政责任书</w:t>
      </w:r>
    </w:p>
    <w:p w14:paraId="110F6D88">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工程项目名称：</w:t>
      </w:r>
      <w:r>
        <w:rPr>
          <w:rFonts w:hint="eastAsia" w:ascii="宋体" w:hAnsi="宋体" w:cs="宋体"/>
          <w:color w:val="auto"/>
          <w:szCs w:val="21"/>
          <w:highlight w:val="none"/>
          <w:u w:val="single"/>
        </w:rPr>
        <w:t xml:space="preserve">                            </w:t>
      </w:r>
    </w:p>
    <w:p w14:paraId="4CAFE7DD">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工程项目地址：</w:t>
      </w:r>
      <w:r>
        <w:rPr>
          <w:rFonts w:hint="eastAsia" w:ascii="宋体" w:hAnsi="宋体" w:cs="宋体"/>
          <w:color w:val="auto"/>
          <w:szCs w:val="21"/>
          <w:highlight w:val="none"/>
          <w:u w:val="single"/>
        </w:rPr>
        <w:t xml:space="preserve">                            </w:t>
      </w:r>
    </w:p>
    <w:p w14:paraId="57097DCE">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建设单位（甲方）：</w:t>
      </w:r>
      <w:r>
        <w:rPr>
          <w:rFonts w:hint="eastAsia" w:ascii="宋体" w:hAnsi="宋体" w:cs="宋体"/>
          <w:color w:val="auto"/>
          <w:szCs w:val="21"/>
          <w:highlight w:val="none"/>
          <w:u w:val="single"/>
        </w:rPr>
        <w:t xml:space="preserve">                       　</w:t>
      </w:r>
    </w:p>
    <w:p w14:paraId="07918AF4">
      <w:pPr>
        <w:spacing w:line="360" w:lineRule="auto"/>
        <w:rPr>
          <w:rFonts w:ascii="宋体" w:hAnsi="宋体" w:cs="宋体"/>
          <w:color w:val="auto"/>
          <w:szCs w:val="21"/>
          <w:highlight w:val="none"/>
        </w:rPr>
      </w:pPr>
      <w:r>
        <w:rPr>
          <w:rFonts w:hint="eastAsia" w:ascii="宋体" w:hAnsi="宋体" w:cs="宋体"/>
          <w:color w:val="auto"/>
          <w:szCs w:val="21"/>
          <w:highlight w:val="none"/>
        </w:rPr>
        <w:t>施工单位（乙方）：</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p>
    <w:p w14:paraId="157BBA6E">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36DABBE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第一条  甲乙方双方的责任</w:t>
      </w:r>
    </w:p>
    <w:p w14:paraId="270D7E3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（一）应严格遵守国家关于市场准入、项目招标投标、工程建设、施工安装和市场活动等有关法律、法规、相关政策，以及廉政建设的各项规定。</w:t>
      </w:r>
    </w:p>
    <w:p w14:paraId="62788B7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（二）严格执行建设工程项目承发包合同文件，自觉按合同办事。</w:t>
      </w:r>
    </w:p>
    <w:p w14:paraId="0A94A79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（三）业务活动必须坚持公开、公平、公正、诚信、透明的原则（除法律法规另有规定者外），不得为获取不正当的利益，损害国家、集体和对方利益，不得违反工程建设管理、施工安装的规章制度。</w:t>
      </w:r>
    </w:p>
    <w:p w14:paraId="3B3D155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（四）发现对方在业务活动中有违规、违纪、违法行为的，应及时提醒对方，情节严重的，应向其上级主管部门或纪检监察、司法等有关机关举报。</w:t>
      </w:r>
    </w:p>
    <w:p w14:paraId="2B0DB14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第二条  甲方相关人员的责任</w:t>
      </w:r>
    </w:p>
    <w:p w14:paraId="2C4ABA5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甲方的领导和从事该建设工程项目的工作人员，在工程建设的事前、事中、事后应遵守以下规定：</w:t>
      </w:r>
    </w:p>
    <w:p w14:paraId="1DBFDE5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（一）不准向乙方和相关单位索要或接受回扣、礼金、有价证券、贵重物品和好处费、感谢费等。</w:t>
      </w:r>
    </w:p>
    <w:p w14:paraId="5A21476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（二）不准在乙方和相关单位报销任何应由甲方或个人支付的费用。</w:t>
      </w:r>
    </w:p>
    <w:p w14:paraId="3C2F0E7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（三）不准要求、暗示和接受乙方和相关单位为个人装修住房、婚丧嫁娶、配偶子女的工作安排以及出国（境）、旅游等提供方便。</w:t>
      </w:r>
    </w:p>
    <w:p w14:paraId="3080D62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（四）不准参加有可能影响公正执行公务的乙方和相关单位的宴请和健身、娱乐等活动。</w:t>
      </w:r>
    </w:p>
    <w:p w14:paraId="10D14B8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2D51B9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第三条  乙方相关人员的责任</w:t>
      </w:r>
    </w:p>
    <w:p w14:paraId="50F42B5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应与甲方保持正常的业务交往，按照有关法律法规和程序开展业务工作，严格执行工程建设的有关方针、政策，尤其是有关建筑施工安装的强制性标准和规范，并遵守以下规定：</w:t>
      </w:r>
    </w:p>
    <w:p w14:paraId="39472D0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（一）不准以任何理由向甲方、相关单位及其工作人员索要、接受或赠送礼金、有价证券、贵重物品和回扣、好处费、感谢费等。</w:t>
      </w:r>
    </w:p>
    <w:p w14:paraId="271EEB2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（二）不准以任何理由为甲方和相关单位报销应由对方或个人支付的费用。</w:t>
      </w:r>
    </w:p>
    <w:p w14:paraId="1512434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（三）不准接受或暗示为甲方、相关单位或个人装修住房、婚丧嫁娶、配偶子女的工作安排以及出国（境）、旅游等提供方便。</w:t>
      </w:r>
    </w:p>
    <w:p w14:paraId="4BE9279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（四）不准以任何理由为甲方、相关单位或个人组织有可能影响公正执行公务的宴请和健身、娱乐等活动。</w:t>
      </w:r>
    </w:p>
    <w:p w14:paraId="3D6C27A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第四条  违约责任</w:t>
      </w:r>
    </w:p>
    <w:p w14:paraId="7199E07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赔偿。</w:t>
      </w:r>
    </w:p>
    <w:p w14:paraId="7351131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赔偿。</w:t>
      </w:r>
    </w:p>
    <w:p w14:paraId="6C105BD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第五条  本责任书为工程施工合同的附件，与工程施工合同具有同等法律效力。经双方签署后立即生效。</w:t>
      </w:r>
    </w:p>
    <w:p w14:paraId="129E0BD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第六条  本责任书的有效期为双方签署之日起至该工程项目竣工验收合格时止。</w:t>
      </w:r>
    </w:p>
    <w:p w14:paraId="04179C7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第七条  本责任书份数与合同协议书一致。</w:t>
      </w:r>
    </w:p>
    <w:p w14:paraId="23337773">
      <w:pPr>
        <w:adjustRightInd w:val="0"/>
        <w:snapToGrid w:val="0"/>
        <w:spacing w:line="360" w:lineRule="auto"/>
        <w:rPr>
          <w:rFonts w:ascii="宋体" w:hAnsi="宋体" w:cs="宋体"/>
          <w:color w:val="auto"/>
          <w:szCs w:val="21"/>
          <w:highlight w:val="none"/>
        </w:rPr>
      </w:pPr>
    </w:p>
    <w:tbl>
      <w:tblPr>
        <w:tblStyle w:val="44"/>
        <w:tblpPr w:leftFromText="180" w:rightFromText="180" w:vertAnchor="text" w:horzAnchor="page" w:tblpX="1393" w:tblpY="245"/>
        <w:tblOverlap w:val="never"/>
        <w:tblW w:w="0" w:type="auto"/>
        <w:tblInd w:w="0" w:type="dxa"/>
        <w:tblLayout w:type="fixed"/>
        <w:tblCellMar>
          <w:top w:w="0" w:type="dxa"/>
          <w:left w:w="0" w:type="dxa"/>
          <w:bottom w:w="0" w:type="dxa"/>
          <w:right w:w="0" w:type="dxa"/>
        </w:tblCellMar>
      </w:tblPr>
      <w:tblGrid>
        <w:gridCol w:w="4753"/>
        <w:gridCol w:w="4744"/>
      </w:tblGrid>
      <w:tr w14:paraId="7366947A">
        <w:tblPrEx>
          <w:tblCellMar>
            <w:top w:w="0" w:type="dxa"/>
            <w:left w:w="0" w:type="dxa"/>
            <w:bottom w:w="0" w:type="dxa"/>
            <w:right w:w="0" w:type="dxa"/>
          </w:tblCellMar>
        </w:tblPrEx>
        <w:trPr>
          <w:trHeight w:val="330" w:hRule="atLeast"/>
        </w:trPr>
        <w:tc>
          <w:tcPr>
            <w:tcW w:w="4753" w:type="dxa"/>
          </w:tcPr>
          <w:p w14:paraId="725A862A">
            <w:pPr>
              <w:spacing w:line="360" w:lineRule="auto"/>
              <w:ind w:right="-11" w:firstLine="840" w:firstLineChars="400"/>
              <w:jc w:val="left"/>
              <w:rPr>
                <w:rFonts w:ascii="宋体" w:hAnsi="宋体" w:cs="宋体"/>
                <w:color w:val="auto"/>
                <w:kern w:val="0"/>
                <w:highlight w:val="none"/>
              </w:rPr>
            </w:pPr>
            <w:r>
              <w:rPr>
                <w:rFonts w:hint="eastAsia" w:ascii="宋体" w:hAnsi="宋体" w:cs="宋体"/>
                <w:color w:val="auto"/>
                <w:kern w:val="0"/>
                <w:highlight w:val="none"/>
              </w:rPr>
              <w:t>发 包 人（盖章）：</w:t>
            </w:r>
          </w:p>
        </w:tc>
        <w:tc>
          <w:tcPr>
            <w:tcW w:w="4744" w:type="dxa"/>
            <w:tcMar>
              <w:right w:w="0" w:type="dxa"/>
            </w:tcMar>
          </w:tcPr>
          <w:p w14:paraId="395C58C9">
            <w:pPr>
              <w:spacing w:line="360" w:lineRule="auto"/>
              <w:ind w:right="-11"/>
              <w:jc w:val="left"/>
              <w:rPr>
                <w:rFonts w:ascii="宋体" w:hAnsi="宋体" w:cs="宋体"/>
                <w:color w:val="auto"/>
                <w:kern w:val="0"/>
                <w:highlight w:val="none"/>
              </w:rPr>
            </w:pPr>
            <w:r>
              <w:rPr>
                <w:rFonts w:hint="eastAsia" w:ascii="宋体" w:hAnsi="宋体" w:cs="宋体"/>
                <w:color w:val="auto"/>
                <w:kern w:val="0"/>
                <w:highlight w:val="none"/>
              </w:rPr>
              <w:t xml:space="preserve">   承 包 人（盖章）：</w:t>
            </w:r>
          </w:p>
          <w:p w14:paraId="305F205E">
            <w:pPr>
              <w:spacing w:line="360" w:lineRule="auto"/>
              <w:ind w:right="-11" w:firstLine="1995" w:firstLineChars="950"/>
              <w:jc w:val="left"/>
              <w:rPr>
                <w:rFonts w:ascii="宋体" w:hAnsi="宋体" w:cs="宋体"/>
                <w:color w:val="auto"/>
                <w:kern w:val="0"/>
                <w:highlight w:val="none"/>
              </w:rPr>
            </w:pPr>
          </w:p>
        </w:tc>
      </w:tr>
      <w:tr w14:paraId="1E2533DA">
        <w:tblPrEx>
          <w:tblCellMar>
            <w:top w:w="0" w:type="dxa"/>
            <w:left w:w="0" w:type="dxa"/>
            <w:bottom w:w="0" w:type="dxa"/>
            <w:right w:w="0" w:type="dxa"/>
          </w:tblCellMar>
        </w:tblPrEx>
        <w:tc>
          <w:tcPr>
            <w:tcW w:w="4753" w:type="dxa"/>
          </w:tcPr>
          <w:p w14:paraId="5F25702E">
            <w:pPr>
              <w:spacing w:line="360" w:lineRule="auto"/>
              <w:ind w:right="-11" w:firstLine="840" w:firstLineChars="400"/>
              <w:jc w:val="left"/>
              <w:rPr>
                <w:rFonts w:ascii="宋体" w:hAnsi="宋体" w:cs="宋体"/>
                <w:color w:val="auto"/>
                <w:kern w:val="0"/>
                <w:highlight w:val="none"/>
              </w:rPr>
            </w:pPr>
            <w:r>
              <w:rPr>
                <w:rFonts w:hint="eastAsia" w:ascii="宋体" w:hAnsi="宋体" w:cs="宋体"/>
                <w:color w:val="auto"/>
                <w:kern w:val="0"/>
                <w:highlight w:val="none"/>
              </w:rPr>
              <w:t>法定代表人：</w:t>
            </w:r>
          </w:p>
          <w:p w14:paraId="2C5121B6">
            <w:pPr>
              <w:spacing w:line="360" w:lineRule="auto"/>
              <w:ind w:right="-11" w:firstLine="735" w:firstLineChars="350"/>
              <w:jc w:val="left"/>
              <w:rPr>
                <w:rFonts w:ascii="宋体" w:hAnsi="宋体" w:cs="宋体"/>
                <w:color w:val="auto"/>
                <w:kern w:val="0"/>
                <w:highlight w:val="none"/>
              </w:rPr>
            </w:pPr>
            <w:r>
              <w:rPr>
                <w:rFonts w:hint="eastAsia" w:ascii="宋体" w:hAnsi="宋体" w:cs="宋体"/>
                <w:color w:val="auto"/>
                <w:kern w:val="0"/>
                <w:highlight w:val="none"/>
              </w:rPr>
              <w:t>（签字或盖章）</w:t>
            </w:r>
          </w:p>
        </w:tc>
        <w:tc>
          <w:tcPr>
            <w:tcW w:w="4744" w:type="dxa"/>
            <w:tcMar>
              <w:right w:w="0" w:type="dxa"/>
            </w:tcMar>
          </w:tcPr>
          <w:p w14:paraId="6B63E013">
            <w:pPr>
              <w:spacing w:line="360" w:lineRule="auto"/>
              <w:ind w:right="-11"/>
              <w:jc w:val="left"/>
              <w:rPr>
                <w:rFonts w:ascii="宋体" w:hAnsi="宋体" w:cs="宋体"/>
                <w:color w:val="auto"/>
                <w:kern w:val="0"/>
                <w:highlight w:val="none"/>
              </w:rPr>
            </w:pPr>
            <w:r>
              <w:rPr>
                <w:rFonts w:hint="eastAsia" w:ascii="宋体" w:hAnsi="宋体" w:cs="宋体"/>
                <w:color w:val="auto"/>
                <w:kern w:val="0"/>
                <w:highlight w:val="none"/>
              </w:rPr>
              <w:t xml:space="preserve">   法定代表人：</w:t>
            </w:r>
          </w:p>
          <w:p w14:paraId="061DFD8C">
            <w:pPr>
              <w:spacing w:line="360" w:lineRule="auto"/>
              <w:ind w:right="-11" w:firstLine="210" w:firstLineChars="100"/>
              <w:jc w:val="left"/>
              <w:rPr>
                <w:rFonts w:ascii="宋体" w:hAnsi="宋体" w:cs="宋体"/>
                <w:color w:val="auto"/>
                <w:kern w:val="0"/>
                <w:highlight w:val="none"/>
              </w:rPr>
            </w:pPr>
            <w:r>
              <w:rPr>
                <w:rFonts w:hint="eastAsia" w:ascii="宋体" w:hAnsi="宋体" w:cs="宋体"/>
                <w:color w:val="auto"/>
                <w:kern w:val="0"/>
                <w:highlight w:val="none"/>
              </w:rPr>
              <w:t>（签字或盖章）</w:t>
            </w:r>
          </w:p>
          <w:p w14:paraId="2B5BCE43">
            <w:pPr>
              <w:spacing w:line="360" w:lineRule="auto"/>
              <w:ind w:right="-11"/>
              <w:jc w:val="left"/>
              <w:rPr>
                <w:rFonts w:ascii="宋体" w:hAnsi="宋体" w:cs="宋体"/>
                <w:color w:val="auto"/>
                <w:kern w:val="0"/>
                <w:highlight w:val="none"/>
              </w:rPr>
            </w:pPr>
          </w:p>
        </w:tc>
      </w:tr>
    </w:tbl>
    <w:p w14:paraId="6870E93D">
      <w:pPr>
        <w:spacing w:line="360" w:lineRule="auto"/>
        <w:rPr>
          <w:rFonts w:ascii="宋体" w:hAnsi="宋体" w:cs="宋体"/>
          <w:color w:val="auto"/>
          <w:szCs w:val="21"/>
          <w:highlight w:val="none"/>
        </w:rPr>
      </w:pPr>
    </w:p>
    <w:p w14:paraId="18C59E06">
      <w:pPr>
        <w:spacing w:line="360" w:lineRule="auto"/>
        <w:rPr>
          <w:rFonts w:ascii="宋体" w:hAnsi="宋体" w:cs="宋体"/>
          <w:color w:val="auto"/>
          <w:szCs w:val="21"/>
          <w:highlight w:val="none"/>
        </w:rPr>
      </w:pPr>
    </w:p>
    <w:p w14:paraId="7A240EA4">
      <w:pPr>
        <w:spacing w:line="360" w:lineRule="auto"/>
        <w:rPr>
          <w:rFonts w:ascii="宋体" w:hAnsi="宋体" w:cs="宋体"/>
          <w:color w:val="auto"/>
          <w:szCs w:val="21"/>
          <w:highlight w:val="none"/>
        </w:rPr>
      </w:pPr>
    </w:p>
    <w:p w14:paraId="1C2229F6">
      <w:pPr>
        <w:spacing w:line="360" w:lineRule="auto"/>
        <w:rPr>
          <w:rFonts w:ascii="宋体" w:hAnsi="宋体" w:cs="宋体"/>
          <w:color w:val="auto"/>
          <w:szCs w:val="21"/>
          <w:highlight w:val="none"/>
        </w:rPr>
      </w:pPr>
    </w:p>
    <w:p w14:paraId="354F7BE8">
      <w:pPr>
        <w:tabs>
          <w:tab w:val="left" w:pos="1080"/>
        </w:tabs>
        <w:spacing w:line="360" w:lineRule="auto"/>
        <w:rPr>
          <w:rFonts w:ascii="宋体" w:hAnsi="宋体"/>
          <w:b/>
          <w:color w:val="auto"/>
          <w:sz w:val="24"/>
          <w:highlight w:val="none"/>
        </w:rPr>
      </w:pPr>
    </w:p>
    <w:p w14:paraId="21C629EA">
      <w:pPr>
        <w:rPr>
          <w:rFonts w:ascii="宋体" w:hAnsi="宋体"/>
          <w:b/>
          <w:color w:val="auto"/>
          <w:sz w:val="32"/>
          <w:szCs w:val="32"/>
          <w:highlight w:val="none"/>
        </w:rPr>
      </w:pPr>
    </w:p>
    <w:p w14:paraId="308B1E76">
      <w:pPr>
        <w:rPr>
          <w:rFonts w:ascii="宋体" w:hAnsi="宋体"/>
          <w:b/>
          <w:color w:val="auto"/>
          <w:sz w:val="32"/>
          <w:szCs w:val="32"/>
          <w:highlight w:val="none"/>
        </w:rPr>
      </w:pPr>
      <w:r>
        <w:rPr>
          <w:rFonts w:ascii="宋体" w:hAnsi="宋体"/>
          <w:b/>
          <w:color w:val="auto"/>
          <w:sz w:val="32"/>
          <w:szCs w:val="32"/>
          <w:highlight w:val="none"/>
        </w:rPr>
        <w:br w:type="page"/>
      </w:r>
    </w:p>
    <w:p w14:paraId="15174F7A">
      <w:pPr>
        <w:pStyle w:val="3"/>
        <w:spacing w:line="500" w:lineRule="exact"/>
        <w:jc w:val="center"/>
        <w:rPr>
          <w:rFonts w:ascii="宋体" w:hAnsi="宋体" w:cs="宋体"/>
          <w:color w:val="auto"/>
          <w:sz w:val="32"/>
          <w:highlight w:val="none"/>
        </w:rPr>
      </w:pPr>
      <w:bookmarkStart w:id="1247" w:name="_Toc25225"/>
      <w:r>
        <w:rPr>
          <w:rFonts w:hint="eastAsia" w:ascii="宋体" w:hAnsi="宋体" w:cs="宋体"/>
          <w:color w:val="auto"/>
          <w:sz w:val="32"/>
          <w:highlight w:val="none"/>
        </w:rPr>
        <w:t>第四章  图纸</w:t>
      </w:r>
      <w:bookmarkEnd w:id="151"/>
      <w:bookmarkEnd w:id="1247"/>
    </w:p>
    <w:p w14:paraId="2AEA099A">
      <w:pPr>
        <w:pStyle w:val="3"/>
        <w:jc w:val="center"/>
        <w:rPr>
          <w:rFonts w:ascii="宋体" w:hAnsi="宋体"/>
          <w:color w:val="auto"/>
          <w:sz w:val="32"/>
          <w:szCs w:val="32"/>
          <w:highlight w:val="none"/>
        </w:rPr>
      </w:pPr>
      <w:bookmarkStart w:id="1248" w:name="_Toc80818642"/>
      <w:bookmarkStart w:id="1249" w:name="_Toc26251"/>
      <w:r>
        <w:rPr>
          <w:rFonts w:hint="eastAsia" w:ascii="宋体" w:hAnsi="宋体"/>
          <w:b w:val="0"/>
          <w:color w:val="auto"/>
          <w:sz w:val="32"/>
          <w:szCs w:val="32"/>
          <w:highlight w:val="none"/>
        </w:rPr>
        <w:t>请供应商自行到</w:t>
      </w:r>
      <w:r>
        <w:rPr>
          <w:rFonts w:hint="eastAsia" w:ascii="宋体" w:hAnsi="宋体"/>
          <w:b w:val="0"/>
          <w:color w:val="auto"/>
          <w:sz w:val="32"/>
          <w:szCs w:val="32"/>
          <w:highlight w:val="none"/>
          <w:lang w:eastAsia="zh-CN"/>
        </w:rPr>
        <w:t>广西政府采购云</w:t>
      </w:r>
      <w:r>
        <w:rPr>
          <w:rFonts w:hint="eastAsia" w:ascii="宋体" w:hAnsi="宋体"/>
          <w:b w:val="0"/>
          <w:color w:val="auto"/>
          <w:sz w:val="32"/>
          <w:szCs w:val="32"/>
          <w:highlight w:val="none"/>
        </w:rPr>
        <w:t>平台（https://www.zcygov.cn/）下载。</w:t>
      </w:r>
      <w:bookmarkEnd w:id="1248"/>
      <w:bookmarkEnd w:id="1249"/>
    </w:p>
    <w:p w14:paraId="14DAC8DA">
      <w:pPr>
        <w:rPr>
          <w:rFonts w:ascii="宋体" w:hAnsi="宋体"/>
          <w:color w:val="auto"/>
          <w:highlight w:val="none"/>
        </w:rPr>
      </w:pPr>
    </w:p>
    <w:p w14:paraId="4B29494B">
      <w:pPr>
        <w:rPr>
          <w:rFonts w:ascii="宋体" w:hAnsi="宋体"/>
          <w:color w:val="auto"/>
          <w:highlight w:val="none"/>
        </w:rPr>
      </w:pPr>
    </w:p>
    <w:p w14:paraId="1CAD1B53">
      <w:pPr>
        <w:rPr>
          <w:rFonts w:ascii="宋体" w:hAnsi="宋体"/>
          <w:color w:val="auto"/>
          <w:highlight w:val="none"/>
        </w:rPr>
      </w:pPr>
    </w:p>
    <w:p w14:paraId="5F6FFEDE">
      <w:pPr>
        <w:rPr>
          <w:rFonts w:ascii="宋体" w:hAnsi="宋体"/>
          <w:color w:val="auto"/>
          <w:highlight w:val="none"/>
        </w:rPr>
      </w:pPr>
    </w:p>
    <w:p w14:paraId="116EF64A">
      <w:pPr>
        <w:rPr>
          <w:rFonts w:ascii="宋体" w:hAnsi="宋体"/>
          <w:color w:val="auto"/>
          <w:highlight w:val="none"/>
        </w:rPr>
      </w:pPr>
    </w:p>
    <w:p w14:paraId="1A3FACC9">
      <w:pPr>
        <w:rPr>
          <w:rFonts w:ascii="宋体" w:hAnsi="宋体"/>
          <w:color w:val="auto"/>
          <w:highlight w:val="none"/>
        </w:rPr>
      </w:pPr>
    </w:p>
    <w:p w14:paraId="2189BA3A">
      <w:pPr>
        <w:rPr>
          <w:rFonts w:ascii="宋体" w:hAnsi="宋体"/>
          <w:color w:val="auto"/>
          <w:highlight w:val="none"/>
        </w:rPr>
      </w:pPr>
    </w:p>
    <w:p w14:paraId="07ACCFDA">
      <w:pPr>
        <w:rPr>
          <w:rFonts w:ascii="宋体" w:hAnsi="宋体"/>
          <w:color w:val="auto"/>
          <w:highlight w:val="none"/>
        </w:rPr>
      </w:pPr>
    </w:p>
    <w:p w14:paraId="15FF424D">
      <w:pPr>
        <w:rPr>
          <w:rFonts w:ascii="宋体" w:hAnsi="宋体"/>
          <w:color w:val="auto"/>
          <w:highlight w:val="none"/>
        </w:rPr>
      </w:pPr>
    </w:p>
    <w:p w14:paraId="12694EBE">
      <w:pPr>
        <w:rPr>
          <w:rFonts w:ascii="宋体" w:hAnsi="宋体"/>
          <w:color w:val="auto"/>
          <w:highlight w:val="none"/>
        </w:rPr>
      </w:pPr>
    </w:p>
    <w:p w14:paraId="71AE7F50">
      <w:pPr>
        <w:rPr>
          <w:rFonts w:ascii="宋体" w:hAnsi="宋体"/>
          <w:color w:val="auto"/>
          <w:highlight w:val="none"/>
        </w:rPr>
      </w:pPr>
    </w:p>
    <w:p w14:paraId="592B886D">
      <w:pPr>
        <w:rPr>
          <w:rFonts w:ascii="宋体" w:hAnsi="宋体"/>
          <w:color w:val="auto"/>
          <w:highlight w:val="none"/>
        </w:rPr>
      </w:pPr>
    </w:p>
    <w:p w14:paraId="457D9FFD">
      <w:pPr>
        <w:rPr>
          <w:rFonts w:ascii="宋体" w:hAnsi="宋体"/>
          <w:color w:val="auto"/>
          <w:highlight w:val="none"/>
        </w:rPr>
      </w:pPr>
    </w:p>
    <w:p w14:paraId="4E003E8F">
      <w:pPr>
        <w:rPr>
          <w:rFonts w:ascii="宋体" w:hAnsi="宋体"/>
          <w:color w:val="auto"/>
          <w:highlight w:val="none"/>
        </w:rPr>
      </w:pPr>
    </w:p>
    <w:p w14:paraId="6767D775">
      <w:pPr>
        <w:rPr>
          <w:rFonts w:ascii="宋体" w:hAnsi="宋体"/>
          <w:color w:val="auto"/>
          <w:highlight w:val="none"/>
        </w:rPr>
      </w:pPr>
    </w:p>
    <w:p w14:paraId="07C58115">
      <w:pPr>
        <w:rPr>
          <w:rFonts w:ascii="宋体" w:hAnsi="宋体"/>
          <w:color w:val="auto"/>
          <w:highlight w:val="none"/>
        </w:rPr>
      </w:pPr>
    </w:p>
    <w:p w14:paraId="098EEB41">
      <w:pPr>
        <w:rPr>
          <w:rFonts w:ascii="宋体" w:hAnsi="宋体"/>
          <w:color w:val="auto"/>
          <w:highlight w:val="none"/>
        </w:rPr>
      </w:pPr>
    </w:p>
    <w:p w14:paraId="5B128121">
      <w:pPr>
        <w:rPr>
          <w:rFonts w:ascii="宋体" w:hAnsi="宋体"/>
          <w:color w:val="auto"/>
          <w:highlight w:val="none"/>
        </w:rPr>
      </w:pPr>
    </w:p>
    <w:p w14:paraId="142B2DD7">
      <w:pPr>
        <w:rPr>
          <w:rFonts w:ascii="宋体" w:hAnsi="宋体"/>
          <w:color w:val="auto"/>
          <w:highlight w:val="none"/>
        </w:rPr>
      </w:pPr>
    </w:p>
    <w:p w14:paraId="46F5E649">
      <w:pPr>
        <w:rPr>
          <w:rFonts w:ascii="宋体" w:hAnsi="宋体"/>
          <w:color w:val="auto"/>
          <w:highlight w:val="none"/>
        </w:rPr>
      </w:pPr>
    </w:p>
    <w:p w14:paraId="309BEB08">
      <w:pPr>
        <w:rPr>
          <w:rFonts w:ascii="宋体" w:hAnsi="宋体"/>
          <w:color w:val="auto"/>
          <w:highlight w:val="none"/>
        </w:rPr>
      </w:pPr>
    </w:p>
    <w:p w14:paraId="57C732EC">
      <w:pPr>
        <w:rPr>
          <w:rFonts w:ascii="宋体" w:hAnsi="宋体"/>
          <w:color w:val="auto"/>
          <w:highlight w:val="none"/>
        </w:rPr>
      </w:pPr>
    </w:p>
    <w:p w14:paraId="15A0B5A5">
      <w:pPr>
        <w:rPr>
          <w:rFonts w:ascii="宋体" w:hAnsi="宋体"/>
          <w:color w:val="auto"/>
          <w:highlight w:val="none"/>
        </w:rPr>
      </w:pPr>
    </w:p>
    <w:p w14:paraId="500E9E80">
      <w:pPr>
        <w:rPr>
          <w:rFonts w:ascii="宋体" w:hAnsi="宋体"/>
          <w:color w:val="auto"/>
          <w:highlight w:val="none"/>
        </w:rPr>
      </w:pPr>
    </w:p>
    <w:p w14:paraId="3009E98E">
      <w:pPr>
        <w:rPr>
          <w:rFonts w:ascii="宋体" w:hAnsi="宋体"/>
          <w:color w:val="auto"/>
          <w:highlight w:val="none"/>
        </w:rPr>
      </w:pPr>
    </w:p>
    <w:p w14:paraId="681C4447">
      <w:pPr>
        <w:rPr>
          <w:rFonts w:ascii="宋体" w:hAnsi="宋体"/>
          <w:color w:val="auto"/>
          <w:highlight w:val="none"/>
        </w:rPr>
      </w:pPr>
    </w:p>
    <w:p w14:paraId="00315017">
      <w:pPr>
        <w:rPr>
          <w:rFonts w:ascii="宋体" w:hAnsi="宋体"/>
          <w:color w:val="auto"/>
          <w:highlight w:val="none"/>
        </w:rPr>
      </w:pPr>
    </w:p>
    <w:p w14:paraId="1A74E7B6">
      <w:pPr>
        <w:rPr>
          <w:rFonts w:ascii="宋体" w:hAnsi="宋体"/>
          <w:color w:val="auto"/>
          <w:highlight w:val="none"/>
        </w:rPr>
      </w:pPr>
    </w:p>
    <w:p w14:paraId="109C34D1">
      <w:pPr>
        <w:rPr>
          <w:rFonts w:ascii="宋体" w:hAnsi="宋体"/>
          <w:color w:val="auto"/>
          <w:highlight w:val="none"/>
        </w:rPr>
      </w:pPr>
    </w:p>
    <w:p w14:paraId="7202A20D">
      <w:pPr>
        <w:rPr>
          <w:rFonts w:ascii="宋体" w:hAnsi="宋体"/>
          <w:color w:val="auto"/>
          <w:highlight w:val="none"/>
        </w:rPr>
      </w:pPr>
    </w:p>
    <w:p w14:paraId="014B09B2">
      <w:pPr>
        <w:rPr>
          <w:rFonts w:ascii="宋体" w:hAnsi="宋体"/>
          <w:color w:val="auto"/>
          <w:highlight w:val="none"/>
        </w:rPr>
      </w:pPr>
    </w:p>
    <w:p w14:paraId="602E50BA">
      <w:pPr>
        <w:rPr>
          <w:rFonts w:ascii="宋体" w:hAnsi="宋体"/>
          <w:color w:val="auto"/>
          <w:highlight w:val="none"/>
        </w:rPr>
      </w:pPr>
    </w:p>
    <w:p w14:paraId="4B3AB476">
      <w:pPr>
        <w:rPr>
          <w:rFonts w:ascii="宋体" w:hAnsi="宋体"/>
          <w:color w:val="auto"/>
          <w:highlight w:val="none"/>
        </w:rPr>
      </w:pPr>
    </w:p>
    <w:p w14:paraId="63D8590B">
      <w:pPr>
        <w:rPr>
          <w:rFonts w:ascii="宋体" w:hAnsi="宋体"/>
          <w:color w:val="auto"/>
          <w:highlight w:val="none"/>
        </w:rPr>
      </w:pPr>
    </w:p>
    <w:p w14:paraId="2A475F28">
      <w:pPr>
        <w:rPr>
          <w:rFonts w:ascii="宋体" w:hAnsi="宋体"/>
          <w:color w:val="auto"/>
          <w:highlight w:val="none"/>
        </w:rPr>
      </w:pPr>
    </w:p>
    <w:p w14:paraId="6A547E8F">
      <w:pPr>
        <w:rPr>
          <w:rFonts w:ascii="宋体" w:hAnsi="宋体"/>
          <w:color w:val="auto"/>
          <w:highlight w:val="none"/>
        </w:rPr>
      </w:pPr>
    </w:p>
    <w:p w14:paraId="1A47BF48">
      <w:pPr>
        <w:rPr>
          <w:rFonts w:ascii="宋体" w:hAnsi="宋体"/>
          <w:color w:val="auto"/>
          <w:highlight w:val="none"/>
        </w:rPr>
      </w:pPr>
    </w:p>
    <w:p w14:paraId="0FCB031E">
      <w:pPr>
        <w:rPr>
          <w:rFonts w:ascii="宋体" w:hAnsi="宋体"/>
          <w:color w:val="auto"/>
          <w:highlight w:val="none"/>
        </w:rPr>
      </w:pPr>
    </w:p>
    <w:p w14:paraId="2356ADD0">
      <w:pPr>
        <w:rPr>
          <w:rFonts w:ascii="宋体" w:hAnsi="宋体"/>
          <w:color w:val="auto"/>
          <w:highlight w:val="none"/>
        </w:rPr>
      </w:pPr>
    </w:p>
    <w:p w14:paraId="46B552ED">
      <w:pPr>
        <w:rPr>
          <w:rFonts w:ascii="宋体" w:hAnsi="宋体"/>
          <w:color w:val="auto"/>
          <w:highlight w:val="none"/>
        </w:rPr>
      </w:pPr>
    </w:p>
    <w:p w14:paraId="3F080483">
      <w:pPr>
        <w:pStyle w:val="3"/>
        <w:jc w:val="center"/>
        <w:rPr>
          <w:rFonts w:ascii="宋体" w:hAnsi="宋体"/>
          <w:color w:val="auto"/>
          <w:sz w:val="32"/>
          <w:szCs w:val="32"/>
          <w:highlight w:val="none"/>
        </w:rPr>
      </w:pPr>
      <w:bookmarkStart w:id="1250" w:name="_Toc5969"/>
      <w:r>
        <w:rPr>
          <w:rFonts w:hint="eastAsia" w:ascii="宋体" w:hAnsi="宋体"/>
          <w:color w:val="auto"/>
          <w:sz w:val="32"/>
          <w:szCs w:val="32"/>
          <w:highlight w:val="none"/>
        </w:rPr>
        <w:t>第五章  技术规范</w:t>
      </w:r>
      <w:bookmarkEnd w:id="1250"/>
    </w:p>
    <w:p w14:paraId="27B669F8">
      <w:pPr>
        <w:jc w:val="center"/>
        <w:rPr>
          <w:rFonts w:ascii="宋体" w:hAnsi="宋体"/>
          <w:color w:val="auto"/>
          <w:szCs w:val="21"/>
          <w:highlight w:val="none"/>
        </w:rPr>
      </w:pPr>
      <w:r>
        <w:rPr>
          <w:rFonts w:hint="eastAsia" w:ascii="宋体" w:hAnsi="宋体" w:cs="宋体"/>
          <w:color w:val="auto"/>
          <w:sz w:val="28"/>
          <w:szCs w:val="28"/>
          <w:highlight w:val="none"/>
        </w:rPr>
        <w:t>按国家行业和地方现行标准、规范和规程等要求执行。</w:t>
      </w:r>
    </w:p>
    <w:p w14:paraId="67955F3F">
      <w:pPr>
        <w:pStyle w:val="3"/>
        <w:rPr>
          <w:rFonts w:ascii="宋体" w:hAnsi="宋体"/>
          <w:color w:val="auto"/>
          <w:sz w:val="32"/>
          <w:szCs w:val="32"/>
          <w:highlight w:val="none"/>
        </w:rPr>
      </w:pPr>
    </w:p>
    <w:p w14:paraId="3533D510">
      <w:pPr>
        <w:rPr>
          <w:rFonts w:ascii="宋体" w:hAnsi="宋体"/>
          <w:color w:val="auto"/>
          <w:highlight w:val="none"/>
        </w:rPr>
      </w:pPr>
    </w:p>
    <w:p w14:paraId="3A495E18">
      <w:pPr>
        <w:rPr>
          <w:rFonts w:ascii="宋体" w:hAnsi="宋体"/>
          <w:color w:val="auto"/>
          <w:highlight w:val="none"/>
        </w:rPr>
      </w:pPr>
    </w:p>
    <w:p w14:paraId="26070328">
      <w:pPr>
        <w:rPr>
          <w:rFonts w:ascii="宋体" w:hAnsi="宋体"/>
          <w:color w:val="auto"/>
          <w:highlight w:val="none"/>
        </w:rPr>
      </w:pPr>
    </w:p>
    <w:p w14:paraId="633036BF">
      <w:pPr>
        <w:rPr>
          <w:rFonts w:ascii="宋体" w:hAnsi="宋体"/>
          <w:color w:val="auto"/>
          <w:highlight w:val="none"/>
        </w:rPr>
      </w:pPr>
    </w:p>
    <w:p w14:paraId="58D4F6DC">
      <w:pPr>
        <w:rPr>
          <w:rFonts w:ascii="宋体" w:hAnsi="宋体"/>
          <w:color w:val="auto"/>
          <w:highlight w:val="none"/>
        </w:rPr>
      </w:pPr>
    </w:p>
    <w:p w14:paraId="70763284">
      <w:pPr>
        <w:rPr>
          <w:rFonts w:ascii="宋体" w:hAnsi="宋体"/>
          <w:color w:val="auto"/>
          <w:highlight w:val="none"/>
        </w:rPr>
      </w:pPr>
    </w:p>
    <w:p w14:paraId="3DCC0DB8">
      <w:pPr>
        <w:rPr>
          <w:rFonts w:ascii="宋体" w:hAnsi="宋体"/>
          <w:color w:val="auto"/>
          <w:highlight w:val="none"/>
        </w:rPr>
      </w:pPr>
    </w:p>
    <w:p w14:paraId="318AF92D">
      <w:pPr>
        <w:rPr>
          <w:rFonts w:ascii="宋体" w:hAnsi="宋体"/>
          <w:color w:val="auto"/>
          <w:highlight w:val="none"/>
        </w:rPr>
      </w:pPr>
    </w:p>
    <w:p w14:paraId="6DBE3BA2">
      <w:pPr>
        <w:rPr>
          <w:rFonts w:ascii="宋体" w:hAnsi="宋体"/>
          <w:color w:val="auto"/>
          <w:highlight w:val="none"/>
        </w:rPr>
      </w:pPr>
    </w:p>
    <w:p w14:paraId="661AE1BC">
      <w:pPr>
        <w:rPr>
          <w:rFonts w:ascii="宋体" w:hAnsi="宋体"/>
          <w:color w:val="auto"/>
          <w:highlight w:val="none"/>
        </w:rPr>
      </w:pPr>
    </w:p>
    <w:p w14:paraId="7C39FF6F">
      <w:pPr>
        <w:rPr>
          <w:rFonts w:ascii="宋体" w:hAnsi="宋体"/>
          <w:color w:val="auto"/>
          <w:highlight w:val="none"/>
        </w:rPr>
      </w:pPr>
    </w:p>
    <w:p w14:paraId="4D195BA8">
      <w:pPr>
        <w:rPr>
          <w:rFonts w:ascii="宋体" w:hAnsi="宋体"/>
          <w:color w:val="auto"/>
          <w:highlight w:val="none"/>
        </w:rPr>
      </w:pPr>
    </w:p>
    <w:p w14:paraId="279FF014">
      <w:pPr>
        <w:rPr>
          <w:rFonts w:ascii="宋体" w:hAnsi="宋体"/>
          <w:color w:val="auto"/>
          <w:highlight w:val="none"/>
        </w:rPr>
      </w:pPr>
    </w:p>
    <w:p w14:paraId="56CEA5FD">
      <w:pPr>
        <w:rPr>
          <w:rFonts w:ascii="宋体" w:hAnsi="宋体"/>
          <w:color w:val="auto"/>
          <w:highlight w:val="none"/>
        </w:rPr>
      </w:pPr>
    </w:p>
    <w:p w14:paraId="69D6A11A">
      <w:pPr>
        <w:rPr>
          <w:rFonts w:ascii="宋体" w:hAnsi="宋体"/>
          <w:color w:val="auto"/>
          <w:highlight w:val="none"/>
        </w:rPr>
      </w:pPr>
    </w:p>
    <w:p w14:paraId="6DF252F2">
      <w:pPr>
        <w:rPr>
          <w:rFonts w:ascii="宋体" w:hAnsi="宋体"/>
          <w:color w:val="auto"/>
          <w:highlight w:val="none"/>
        </w:rPr>
      </w:pPr>
    </w:p>
    <w:p w14:paraId="6A87F57A">
      <w:pPr>
        <w:rPr>
          <w:rFonts w:ascii="宋体" w:hAnsi="宋体"/>
          <w:color w:val="auto"/>
          <w:highlight w:val="none"/>
        </w:rPr>
      </w:pPr>
    </w:p>
    <w:p w14:paraId="61335EC0">
      <w:pPr>
        <w:rPr>
          <w:rFonts w:ascii="宋体" w:hAnsi="宋体"/>
          <w:color w:val="auto"/>
          <w:highlight w:val="none"/>
        </w:rPr>
      </w:pPr>
    </w:p>
    <w:p w14:paraId="1139B5AD">
      <w:pPr>
        <w:rPr>
          <w:rFonts w:ascii="宋体" w:hAnsi="宋体"/>
          <w:color w:val="auto"/>
          <w:highlight w:val="none"/>
        </w:rPr>
      </w:pPr>
    </w:p>
    <w:p w14:paraId="65585840">
      <w:pPr>
        <w:rPr>
          <w:rFonts w:ascii="宋体" w:hAnsi="宋体"/>
          <w:color w:val="auto"/>
          <w:highlight w:val="none"/>
        </w:rPr>
      </w:pPr>
    </w:p>
    <w:p w14:paraId="4596B1FC">
      <w:pPr>
        <w:rPr>
          <w:rFonts w:ascii="宋体" w:hAnsi="宋体"/>
          <w:color w:val="auto"/>
          <w:highlight w:val="none"/>
        </w:rPr>
      </w:pPr>
    </w:p>
    <w:p w14:paraId="00B58E5C">
      <w:pPr>
        <w:rPr>
          <w:rFonts w:ascii="宋体" w:hAnsi="宋体"/>
          <w:color w:val="auto"/>
          <w:highlight w:val="none"/>
        </w:rPr>
      </w:pPr>
    </w:p>
    <w:p w14:paraId="19CFE19A">
      <w:pPr>
        <w:rPr>
          <w:rFonts w:ascii="宋体" w:hAnsi="宋体"/>
          <w:color w:val="auto"/>
          <w:highlight w:val="none"/>
        </w:rPr>
      </w:pPr>
    </w:p>
    <w:p w14:paraId="54FEB4E1">
      <w:pPr>
        <w:rPr>
          <w:rFonts w:ascii="宋体" w:hAnsi="宋体"/>
          <w:color w:val="auto"/>
          <w:highlight w:val="none"/>
        </w:rPr>
      </w:pPr>
    </w:p>
    <w:p w14:paraId="357C8D3E">
      <w:pPr>
        <w:rPr>
          <w:rFonts w:ascii="宋体" w:hAnsi="宋体"/>
          <w:color w:val="auto"/>
          <w:highlight w:val="none"/>
        </w:rPr>
      </w:pPr>
    </w:p>
    <w:p w14:paraId="1D545793">
      <w:pPr>
        <w:rPr>
          <w:rFonts w:ascii="宋体" w:hAnsi="宋体"/>
          <w:color w:val="auto"/>
          <w:highlight w:val="none"/>
        </w:rPr>
      </w:pPr>
    </w:p>
    <w:p w14:paraId="6FE30D8F">
      <w:pPr>
        <w:rPr>
          <w:rFonts w:ascii="宋体" w:hAnsi="宋体"/>
          <w:color w:val="auto"/>
          <w:highlight w:val="none"/>
        </w:rPr>
      </w:pPr>
    </w:p>
    <w:p w14:paraId="14620B14">
      <w:pPr>
        <w:rPr>
          <w:rFonts w:ascii="宋体" w:hAnsi="宋体"/>
          <w:color w:val="auto"/>
          <w:highlight w:val="none"/>
        </w:rPr>
      </w:pPr>
    </w:p>
    <w:p w14:paraId="4CBD750A">
      <w:pPr>
        <w:rPr>
          <w:rFonts w:ascii="宋体" w:hAnsi="宋体"/>
          <w:color w:val="auto"/>
          <w:highlight w:val="none"/>
        </w:rPr>
      </w:pPr>
    </w:p>
    <w:p w14:paraId="731326D4">
      <w:pPr>
        <w:rPr>
          <w:rFonts w:ascii="宋体" w:hAnsi="宋体"/>
          <w:color w:val="auto"/>
          <w:highlight w:val="none"/>
        </w:rPr>
      </w:pPr>
    </w:p>
    <w:p w14:paraId="5A605BF4">
      <w:pPr>
        <w:rPr>
          <w:rFonts w:ascii="宋体" w:hAnsi="宋体"/>
          <w:color w:val="auto"/>
          <w:highlight w:val="none"/>
        </w:rPr>
      </w:pPr>
    </w:p>
    <w:p w14:paraId="05E2677F">
      <w:pPr>
        <w:rPr>
          <w:rFonts w:ascii="宋体" w:hAnsi="宋体"/>
          <w:color w:val="auto"/>
          <w:highlight w:val="none"/>
        </w:rPr>
      </w:pPr>
    </w:p>
    <w:p w14:paraId="37F2C834">
      <w:pPr>
        <w:rPr>
          <w:rFonts w:ascii="宋体" w:hAnsi="宋体"/>
          <w:color w:val="auto"/>
          <w:highlight w:val="none"/>
        </w:rPr>
      </w:pPr>
    </w:p>
    <w:p w14:paraId="11263E85">
      <w:pPr>
        <w:rPr>
          <w:rFonts w:ascii="宋体" w:hAnsi="宋体"/>
          <w:color w:val="auto"/>
          <w:highlight w:val="none"/>
        </w:rPr>
      </w:pPr>
      <w:r>
        <w:rPr>
          <w:rFonts w:ascii="宋体" w:hAnsi="宋体"/>
          <w:color w:val="auto"/>
          <w:highlight w:val="none"/>
        </w:rPr>
        <w:br w:type="page"/>
      </w:r>
    </w:p>
    <w:p w14:paraId="135F001B">
      <w:pPr>
        <w:pStyle w:val="3"/>
        <w:spacing w:line="276" w:lineRule="auto"/>
        <w:jc w:val="center"/>
        <w:rPr>
          <w:rFonts w:ascii="宋体" w:hAnsi="宋体"/>
          <w:color w:val="auto"/>
          <w:sz w:val="32"/>
          <w:szCs w:val="32"/>
          <w:highlight w:val="none"/>
        </w:rPr>
      </w:pPr>
      <w:bookmarkStart w:id="1251" w:name="_Toc1649"/>
      <w:r>
        <w:rPr>
          <w:rFonts w:ascii="宋体" w:hAnsi="宋体"/>
          <w:color w:val="auto"/>
          <w:sz w:val="32"/>
          <w:szCs w:val="32"/>
          <w:highlight w:val="none"/>
        </w:rPr>
        <w:t>第</w:t>
      </w:r>
      <w:r>
        <w:rPr>
          <w:rFonts w:hint="eastAsia" w:ascii="宋体" w:hAnsi="宋体"/>
          <w:color w:val="auto"/>
          <w:sz w:val="32"/>
          <w:szCs w:val="32"/>
          <w:highlight w:val="none"/>
        </w:rPr>
        <w:t>六</w:t>
      </w:r>
      <w:r>
        <w:rPr>
          <w:rFonts w:ascii="宋体" w:hAnsi="宋体"/>
          <w:color w:val="auto"/>
          <w:sz w:val="32"/>
          <w:szCs w:val="32"/>
          <w:highlight w:val="none"/>
        </w:rPr>
        <w:t>章</w:t>
      </w:r>
      <w:r>
        <w:rPr>
          <w:rFonts w:hint="eastAsia" w:ascii="宋体" w:hAnsi="宋体"/>
          <w:color w:val="auto"/>
          <w:sz w:val="32"/>
          <w:szCs w:val="32"/>
          <w:highlight w:val="none"/>
        </w:rPr>
        <w:t xml:space="preserve">  </w:t>
      </w:r>
      <w:r>
        <w:rPr>
          <w:rFonts w:ascii="宋体" w:hAnsi="宋体"/>
          <w:color w:val="auto"/>
          <w:sz w:val="32"/>
          <w:szCs w:val="32"/>
          <w:highlight w:val="none"/>
        </w:rPr>
        <w:t>工程量清单</w:t>
      </w:r>
      <w:bookmarkEnd w:id="1251"/>
    </w:p>
    <w:p w14:paraId="7FF3497F">
      <w:pPr>
        <w:spacing w:line="390" w:lineRule="exact"/>
        <w:rPr>
          <w:rFonts w:ascii="宋体" w:hAnsi="宋体"/>
          <w:color w:val="auto"/>
          <w:szCs w:val="21"/>
          <w:highlight w:val="none"/>
        </w:rPr>
      </w:pPr>
      <w:bookmarkStart w:id="1252" w:name="_Toc346264361"/>
    </w:p>
    <w:p w14:paraId="5F014D7D">
      <w:pPr>
        <w:pStyle w:val="3"/>
        <w:jc w:val="center"/>
        <w:rPr>
          <w:rFonts w:ascii="宋体" w:hAnsi="宋体"/>
          <w:color w:val="auto"/>
          <w:sz w:val="32"/>
          <w:szCs w:val="32"/>
          <w:highlight w:val="none"/>
        </w:rPr>
      </w:pPr>
      <w:bookmarkStart w:id="1253" w:name="_Toc80818645"/>
      <w:bookmarkStart w:id="1254" w:name="_Toc10747"/>
      <w:r>
        <w:rPr>
          <w:rFonts w:hint="eastAsia" w:ascii="宋体" w:hAnsi="宋体"/>
          <w:b w:val="0"/>
          <w:color w:val="auto"/>
          <w:sz w:val="32"/>
          <w:szCs w:val="32"/>
          <w:highlight w:val="none"/>
        </w:rPr>
        <w:t>请供应商自行到</w:t>
      </w:r>
      <w:r>
        <w:rPr>
          <w:rFonts w:hint="eastAsia" w:ascii="宋体" w:hAnsi="宋体"/>
          <w:b w:val="0"/>
          <w:color w:val="auto"/>
          <w:sz w:val="32"/>
          <w:szCs w:val="32"/>
          <w:highlight w:val="none"/>
          <w:lang w:eastAsia="zh-CN"/>
        </w:rPr>
        <w:t>广西政府采购云</w:t>
      </w:r>
      <w:r>
        <w:rPr>
          <w:rFonts w:hint="eastAsia" w:ascii="宋体" w:hAnsi="宋体"/>
          <w:b w:val="0"/>
          <w:color w:val="auto"/>
          <w:sz w:val="32"/>
          <w:szCs w:val="32"/>
          <w:highlight w:val="none"/>
        </w:rPr>
        <w:t>平台（https://www.zcygov.cn/）下载。</w:t>
      </w:r>
      <w:bookmarkEnd w:id="1253"/>
      <w:bookmarkEnd w:id="1254"/>
    </w:p>
    <w:p w14:paraId="306C1243">
      <w:pPr>
        <w:spacing w:line="390" w:lineRule="exact"/>
        <w:rPr>
          <w:rFonts w:ascii="宋体" w:hAnsi="宋体"/>
          <w:b/>
          <w:color w:val="auto"/>
          <w:szCs w:val="21"/>
          <w:highlight w:val="none"/>
        </w:rPr>
      </w:pPr>
    </w:p>
    <w:p w14:paraId="24A42287">
      <w:pPr>
        <w:spacing w:line="390" w:lineRule="exact"/>
        <w:rPr>
          <w:rFonts w:ascii="宋体" w:hAnsi="宋体"/>
          <w:b/>
          <w:color w:val="auto"/>
          <w:szCs w:val="21"/>
          <w:highlight w:val="none"/>
        </w:rPr>
      </w:pPr>
    </w:p>
    <w:p w14:paraId="60982293">
      <w:pPr>
        <w:spacing w:line="390" w:lineRule="exact"/>
        <w:rPr>
          <w:rFonts w:ascii="宋体" w:hAnsi="宋体"/>
          <w:b/>
          <w:color w:val="auto"/>
          <w:szCs w:val="21"/>
          <w:highlight w:val="none"/>
        </w:rPr>
      </w:pPr>
    </w:p>
    <w:p w14:paraId="5A1B4775">
      <w:pPr>
        <w:spacing w:line="390" w:lineRule="exact"/>
        <w:rPr>
          <w:rFonts w:ascii="宋体" w:hAnsi="宋体"/>
          <w:b/>
          <w:color w:val="auto"/>
          <w:szCs w:val="21"/>
          <w:highlight w:val="none"/>
        </w:rPr>
      </w:pPr>
    </w:p>
    <w:p w14:paraId="7CD5BB63">
      <w:pPr>
        <w:spacing w:line="390" w:lineRule="exact"/>
        <w:rPr>
          <w:rFonts w:ascii="宋体" w:hAnsi="宋体"/>
          <w:b/>
          <w:color w:val="auto"/>
          <w:szCs w:val="21"/>
          <w:highlight w:val="none"/>
        </w:rPr>
      </w:pPr>
    </w:p>
    <w:p w14:paraId="7F7D6F04">
      <w:pPr>
        <w:spacing w:line="390" w:lineRule="exact"/>
        <w:rPr>
          <w:rFonts w:ascii="宋体" w:hAnsi="宋体"/>
          <w:b/>
          <w:color w:val="auto"/>
          <w:szCs w:val="21"/>
          <w:highlight w:val="none"/>
        </w:rPr>
      </w:pPr>
    </w:p>
    <w:p w14:paraId="5A7050CC">
      <w:pPr>
        <w:spacing w:line="390" w:lineRule="exact"/>
        <w:rPr>
          <w:rFonts w:ascii="宋体" w:hAnsi="宋体"/>
          <w:b/>
          <w:color w:val="auto"/>
          <w:szCs w:val="21"/>
          <w:highlight w:val="none"/>
        </w:rPr>
      </w:pPr>
    </w:p>
    <w:p w14:paraId="7F94F818">
      <w:pPr>
        <w:spacing w:line="390" w:lineRule="exact"/>
        <w:rPr>
          <w:rFonts w:ascii="宋体" w:hAnsi="宋体"/>
          <w:b/>
          <w:color w:val="auto"/>
          <w:szCs w:val="21"/>
          <w:highlight w:val="none"/>
        </w:rPr>
      </w:pPr>
    </w:p>
    <w:p w14:paraId="5B1F965E">
      <w:pPr>
        <w:spacing w:line="390" w:lineRule="exact"/>
        <w:rPr>
          <w:rFonts w:ascii="宋体" w:hAnsi="宋体"/>
          <w:b/>
          <w:color w:val="auto"/>
          <w:szCs w:val="21"/>
          <w:highlight w:val="none"/>
        </w:rPr>
      </w:pPr>
    </w:p>
    <w:p w14:paraId="514D9D3D">
      <w:pPr>
        <w:spacing w:line="390" w:lineRule="exact"/>
        <w:rPr>
          <w:rFonts w:ascii="宋体" w:hAnsi="宋体"/>
          <w:b/>
          <w:color w:val="auto"/>
          <w:szCs w:val="21"/>
          <w:highlight w:val="none"/>
        </w:rPr>
      </w:pPr>
    </w:p>
    <w:p w14:paraId="785ABCFC">
      <w:pPr>
        <w:spacing w:line="390" w:lineRule="exact"/>
        <w:rPr>
          <w:rFonts w:ascii="宋体" w:hAnsi="宋体"/>
          <w:b/>
          <w:color w:val="auto"/>
          <w:szCs w:val="21"/>
          <w:highlight w:val="none"/>
        </w:rPr>
      </w:pPr>
    </w:p>
    <w:p w14:paraId="2D6FF9BE">
      <w:pPr>
        <w:spacing w:line="390" w:lineRule="exact"/>
        <w:rPr>
          <w:rFonts w:ascii="宋体" w:hAnsi="宋体"/>
          <w:b/>
          <w:color w:val="auto"/>
          <w:szCs w:val="21"/>
          <w:highlight w:val="none"/>
        </w:rPr>
      </w:pPr>
    </w:p>
    <w:p w14:paraId="1D4B688F">
      <w:pPr>
        <w:spacing w:line="390" w:lineRule="exact"/>
        <w:rPr>
          <w:rFonts w:ascii="宋体" w:hAnsi="宋体"/>
          <w:b/>
          <w:color w:val="auto"/>
          <w:szCs w:val="21"/>
          <w:highlight w:val="none"/>
        </w:rPr>
      </w:pPr>
    </w:p>
    <w:p w14:paraId="3012E90C">
      <w:pPr>
        <w:spacing w:line="390" w:lineRule="exact"/>
        <w:rPr>
          <w:rFonts w:ascii="宋体" w:hAnsi="宋体"/>
          <w:b/>
          <w:color w:val="auto"/>
          <w:szCs w:val="21"/>
          <w:highlight w:val="none"/>
        </w:rPr>
      </w:pPr>
    </w:p>
    <w:p w14:paraId="5FBA675E">
      <w:pPr>
        <w:spacing w:line="390" w:lineRule="exact"/>
        <w:rPr>
          <w:rFonts w:ascii="宋体" w:hAnsi="宋体"/>
          <w:b/>
          <w:color w:val="auto"/>
          <w:szCs w:val="21"/>
          <w:highlight w:val="none"/>
        </w:rPr>
      </w:pPr>
    </w:p>
    <w:p w14:paraId="644E71ED">
      <w:pPr>
        <w:spacing w:line="390" w:lineRule="exact"/>
        <w:rPr>
          <w:rFonts w:ascii="宋体" w:hAnsi="宋体"/>
          <w:b/>
          <w:color w:val="auto"/>
          <w:szCs w:val="21"/>
          <w:highlight w:val="none"/>
        </w:rPr>
      </w:pPr>
    </w:p>
    <w:p w14:paraId="353920A8">
      <w:pPr>
        <w:spacing w:line="390" w:lineRule="exact"/>
        <w:rPr>
          <w:rFonts w:ascii="宋体" w:hAnsi="宋体"/>
          <w:b/>
          <w:color w:val="auto"/>
          <w:szCs w:val="21"/>
          <w:highlight w:val="none"/>
        </w:rPr>
      </w:pPr>
    </w:p>
    <w:p w14:paraId="18D6E9F4">
      <w:pPr>
        <w:spacing w:line="390" w:lineRule="exact"/>
        <w:rPr>
          <w:rFonts w:ascii="宋体" w:hAnsi="宋体"/>
          <w:b/>
          <w:color w:val="auto"/>
          <w:szCs w:val="21"/>
          <w:highlight w:val="none"/>
        </w:rPr>
      </w:pPr>
    </w:p>
    <w:p w14:paraId="745FCB60">
      <w:pPr>
        <w:spacing w:line="390" w:lineRule="exact"/>
        <w:rPr>
          <w:rFonts w:ascii="宋体" w:hAnsi="宋体"/>
          <w:b/>
          <w:color w:val="auto"/>
          <w:szCs w:val="21"/>
          <w:highlight w:val="none"/>
        </w:rPr>
      </w:pPr>
    </w:p>
    <w:p w14:paraId="4CCBCA04">
      <w:pPr>
        <w:spacing w:line="390" w:lineRule="exact"/>
        <w:rPr>
          <w:rFonts w:ascii="宋体" w:hAnsi="宋体"/>
          <w:b/>
          <w:color w:val="auto"/>
          <w:szCs w:val="21"/>
          <w:highlight w:val="none"/>
        </w:rPr>
      </w:pPr>
    </w:p>
    <w:p w14:paraId="746B43A3">
      <w:pPr>
        <w:spacing w:line="390" w:lineRule="exact"/>
        <w:rPr>
          <w:rFonts w:ascii="宋体" w:hAnsi="宋体"/>
          <w:b/>
          <w:color w:val="auto"/>
          <w:szCs w:val="21"/>
          <w:highlight w:val="none"/>
        </w:rPr>
      </w:pPr>
    </w:p>
    <w:p w14:paraId="2D115E21">
      <w:pPr>
        <w:spacing w:line="390" w:lineRule="exact"/>
        <w:rPr>
          <w:rFonts w:ascii="宋体" w:hAnsi="宋体"/>
          <w:b/>
          <w:color w:val="auto"/>
          <w:szCs w:val="21"/>
          <w:highlight w:val="none"/>
        </w:rPr>
      </w:pPr>
    </w:p>
    <w:p w14:paraId="21577F46">
      <w:pPr>
        <w:spacing w:line="390" w:lineRule="exact"/>
        <w:rPr>
          <w:rFonts w:ascii="宋体" w:hAnsi="宋体"/>
          <w:b/>
          <w:color w:val="auto"/>
          <w:szCs w:val="21"/>
          <w:highlight w:val="none"/>
        </w:rPr>
      </w:pPr>
    </w:p>
    <w:p w14:paraId="4F7ECA43">
      <w:pPr>
        <w:spacing w:line="390" w:lineRule="exact"/>
        <w:rPr>
          <w:rFonts w:ascii="宋体" w:hAnsi="宋体"/>
          <w:b/>
          <w:color w:val="auto"/>
          <w:highlight w:val="none"/>
        </w:rPr>
      </w:pPr>
    </w:p>
    <w:p w14:paraId="0365ADCB">
      <w:pPr>
        <w:spacing w:line="390" w:lineRule="exact"/>
        <w:rPr>
          <w:rFonts w:ascii="宋体" w:hAnsi="宋体"/>
          <w:b/>
          <w:color w:val="auto"/>
          <w:highlight w:val="none"/>
        </w:rPr>
      </w:pPr>
    </w:p>
    <w:p w14:paraId="59D49DFE">
      <w:pPr>
        <w:spacing w:line="390" w:lineRule="exact"/>
        <w:rPr>
          <w:rFonts w:ascii="宋体" w:hAnsi="宋体"/>
          <w:b/>
          <w:color w:val="auto"/>
          <w:highlight w:val="none"/>
        </w:rPr>
      </w:pPr>
    </w:p>
    <w:p w14:paraId="13A107EC">
      <w:pPr>
        <w:spacing w:line="390" w:lineRule="exact"/>
        <w:rPr>
          <w:rFonts w:ascii="宋体" w:hAnsi="宋体"/>
          <w:b/>
          <w:color w:val="auto"/>
          <w:highlight w:val="none"/>
        </w:rPr>
      </w:pPr>
    </w:p>
    <w:p w14:paraId="0B7B1E1C">
      <w:pPr>
        <w:pStyle w:val="3"/>
        <w:jc w:val="center"/>
        <w:rPr>
          <w:rFonts w:ascii="宋体" w:hAnsi="宋体"/>
          <w:color w:val="auto"/>
          <w:sz w:val="40"/>
          <w:szCs w:val="32"/>
          <w:highlight w:val="none"/>
        </w:rPr>
      </w:pPr>
      <w:bookmarkStart w:id="1255" w:name="_Toc29132"/>
      <w:r>
        <w:rPr>
          <w:rFonts w:hint="eastAsia" w:ascii="宋体" w:hAnsi="宋体"/>
          <w:color w:val="auto"/>
          <w:sz w:val="40"/>
          <w:szCs w:val="32"/>
          <w:highlight w:val="none"/>
        </w:rPr>
        <w:t>第七章  响应文件格式</w:t>
      </w:r>
      <w:bookmarkEnd w:id="1252"/>
      <w:bookmarkEnd w:id="1255"/>
    </w:p>
    <w:p w14:paraId="3D5671F0">
      <w:pPr>
        <w:widowControl/>
        <w:ind w:firstLine="420"/>
        <w:jc w:val="left"/>
        <w:rPr>
          <w:rFonts w:ascii="宋体" w:hAnsi="宋体"/>
          <w:color w:val="auto"/>
          <w:kern w:val="0"/>
          <w:sz w:val="24"/>
          <w:highlight w:val="none"/>
        </w:rPr>
      </w:pPr>
      <w:r>
        <w:rPr>
          <w:rFonts w:hint="eastAsia" w:ascii="宋体" w:hAnsi="宋体"/>
          <w:color w:val="auto"/>
          <w:kern w:val="0"/>
          <w:sz w:val="24"/>
          <w:highlight w:val="none"/>
        </w:rPr>
        <w:t>封面格式</w:t>
      </w:r>
    </w:p>
    <w:p w14:paraId="1BA25A8A">
      <w:pPr>
        <w:widowControl/>
        <w:ind w:firstLine="420"/>
        <w:jc w:val="left"/>
        <w:rPr>
          <w:rFonts w:ascii="宋体" w:hAnsi="宋体"/>
          <w:color w:val="auto"/>
          <w:kern w:val="0"/>
          <w:sz w:val="24"/>
          <w:highlight w:val="none"/>
        </w:rPr>
      </w:pPr>
    </w:p>
    <w:p w14:paraId="3EF85999">
      <w:pPr>
        <w:widowControl/>
        <w:ind w:firstLine="420"/>
        <w:jc w:val="left"/>
        <w:rPr>
          <w:rFonts w:ascii="宋体" w:hAnsi="宋体"/>
          <w:color w:val="auto"/>
          <w:kern w:val="0"/>
          <w:sz w:val="24"/>
          <w:highlight w:val="none"/>
        </w:rPr>
      </w:pPr>
    </w:p>
    <w:p w14:paraId="35A710BA">
      <w:pPr>
        <w:pStyle w:val="253"/>
        <w:ind w:left="2477" w:leftChars="950" w:hanging="482" w:hangingChars="150"/>
        <w:rPr>
          <w:rFonts w:hint="eastAsia" w:hAnsi="宋体" w:eastAsia="宋体"/>
          <w:b/>
          <w:color w:val="auto"/>
          <w:sz w:val="28"/>
          <w:szCs w:val="28"/>
          <w:highlight w:val="none"/>
          <w:lang w:eastAsia="zh-CN"/>
        </w:rPr>
      </w:pPr>
      <w:r>
        <w:rPr>
          <w:rFonts w:hint="eastAsia" w:hAnsi="宋体"/>
          <w:b/>
          <w:color w:val="auto"/>
          <w:sz w:val="32"/>
          <w:szCs w:val="32"/>
          <w:highlight w:val="none"/>
          <w:lang w:eastAsia="zh-CN"/>
        </w:rPr>
        <w:t xml:space="preserve">铁匠村广屋片东门小型桥梁、上罗村山谷塘片16社-23社小型农田水利项目 </w:t>
      </w:r>
    </w:p>
    <w:p w14:paraId="77D40A26">
      <w:pPr>
        <w:widowControl/>
        <w:ind w:firstLine="996" w:firstLineChars="310"/>
        <w:jc w:val="center"/>
        <w:rPr>
          <w:rFonts w:ascii="宋体" w:hAnsi="宋体"/>
          <w:b/>
          <w:color w:val="auto"/>
          <w:sz w:val="32"/>
          <w:szCs w:val="32"/>
          <w:highlight w:val="none"/>
        </w:rPr>
      </w:pPr>
    </w:p>
    <w:p w14:paraId="3907A212">
      <w:pPr>
        <w:widowControl/>
        <w:ind w:firstLine="992" w:firstLineChars="310"/>
        <w:jc w:val="left"/>
        <w:rPr>
          <w:rFonts w:ascii="宋体" w:hAnsi="宋体"/>
          <w:color w:val="auto"/>
          <w:kern w:val="0"/>
          <w:sz w:val="32"/>
          <w:szCs w:val="32"/>
          <w:highlight w:val="none"/>
          <w:u w:val="single"/>
        </w:rPr>
      </w:pPr>
    </w:p>
    <w:p w14:paraId="3B0A2122">
      <w:pPr>
        <w:spacing w:line="540" w:lineRule="exact"/>
        <w:ind w:firstLine="1968" w:firstLineChars="700"/>
        <w:rPr>
          <w:rFonts w:ascii="宋体" w:hAnsi="宋体"/>
          <w:b/>
          <w:color w:val="auto"/>
          <w:sz w:val="28"/>
          <w:szCs w:val="28"/>
          <w:highlight w:val="none"/>
          <w:u w:val="single"/>
        </w:rPr>
      </w:pPr>
      <w:r>
        <w:rPr>
          <w:rFonts w:hint="eastAsia" w:ascii="宋体" w:hAnsi="宋体"/>
          <w:b/>
          <w:color w:val="auto"/>
          <w:kern w:val="0"/>
          <w:sz w:val="28"/>
          <w:szCs w:val="28"/>
          <w:highlight w:val="none"/>
        </w:rPr>
        <w:t>项目编号：</w:t>
      </w:r>
      <w:r>
        <w:rPr>
          <w:rFonts w:hint="eastAsia" w:ascii="宋体" w:hAnsi="宋体"/>
          <w:b/>
          <w:color w:val="auto"/>
          <w:sz w:val="28"/>
          <w:szCs w:val="28"/>
          <w:highlight w:val="none"/>
          <w:u w:val="single"/>
          <w:lang w:eastAsia="zh-CN"/>
        </w:rPr>
        <w:t>YLZC2025-C2-020039-GXXQ</w:t>
      </w:r>
      <w:r>
        <w:rPr>
          <w:rFonts w:hint="eastAsia" w:ascii="宋体" w:hAnsi="宋体"/>
          <w:b/>
          <w:color w:val="auto"/>
          <w:sz w:val="28"/>
          <w:szCs w:val="28"/>
          <w:highlight w:val="none"/>
          <w:u w:val="single"/>
        </w:rPr>
        <w:t xml:space="preserve"> </w:t>
      </w:r>
    </w:p>
    <w:p w14:paraId="20FE2891">
      <w:pPr>
        <w:widowControl/>
        <w:ind w:firstLine="689" w:firstLineChars="245"/>
        <w:jc w:val="center"/>
        <w:rPr>
          <w:rFonts w:ascii="宋体" w:hAnsi="宋体"/>
          <w:b/>
          <w:color w:val="auto"/>
          <w:kern w:val="0"/>
          <w:sz w:val="28"/>
          <w:szCs w:val="28"/>
          <w:highlight w:val="none"/>
        </w:rPr>
      </w:pPr>
    </w:p>
    <w:p w14:paraId="7603EAD3">
      <w:pPr>
        <w:widowControl/>
        <w:ind w:firstLine="992" w:firstLineChars="310"/>
        <w:jc w:val="left"/>
        <w:rPr>
          <w:rFonts w:ascii="宋体" w:hAnsi="宋体"/>
          <w:color w:val="auto"/>
          <w:kern w:val="0"/>
          <w:sz w:val="32"/>
          <w:szCs w:val="32"/>
          <w:highlight w:val="none"/>
          <w:u w:val="single"/>
        </w:rPr>
      </w:pPr>
    </w:p>
    <w:p w14:paraId="6B9F3B0B">
      <w:pPr>
        <w:widowControl/>
        <w:ind w:firstLine="992" w:firstLineChars="310"/>
        <w:jc w:val="left"/>
        <w:rPr>
          <w:rFonts w:ascii="宋体" w:hAnsi="宋体"/>
          <w:color w:val="auto"/>
          <w:kern w:val="0"/>
          <w:sz w:val="32"/>
          <w:szCs w:val="32"/>
          <w:highlight w:val="none"/>
          <w:u w:val="single"/>
        </w:rPr>
      </w:pPr>
    </w:p>
    <w:p w14:paraId="16299FCE">
      <w:pPr>
        <w:widowControl/>
        <w:ind w:firstLine="992" w:firstLineChars="310"/>
        <w:jc w:val="left"/>
        <w:rPr>
          <w:rFonts w:ascii="宋体" w:hAnsi="宋体"/>
          <w:color w:val="auto"/>
          <w:kern w:val="0"/>
          <w:sz w:val="32"/>
          <w:szCs w:val="32"/>
          <w:highlight w:val="none"/>
          <w:u w:val="single"/>
        </w:rPr>
      </w:pPr>
    </w:p>
    <w:p w14:paraId="6CFD03B0">
      <w:pPr>
        <w:widowControl/>
        <w:jc w:val="center"/>
        <w:rPr>
          <w:rFonts w:ascii="宋体" w:hAnsi="宋体"/>
          <w:b/>
          <w:color w:val="auto"/>
          <w:kern w:val="0"/>
          <w:sz w:val="48"/>
          <w:szCs w:val="32"/>
          <w:highlight w:val="none"/>
        </w:rPr>
      </w:pPr>
      <w:r>
        <w:rPr>
          <w:rFonts w:hint="eastAsia" w:ascii="宋体" w:hAnsi="宋体"/>
          <w:b/>
          <w:color w:val="auto"/>
          <w:kern w:val="0"/>
          <w:sz w:val="48"/>
          <w:szCs w:val="32"/>
          <w:highlight w:val="none"/>
        </w:rPr>
        <w:t xml:space="preserve"> 响 应 文 件</w:t>
      </w:r>
    </w:p>
    <w:p w14:paraId="0F113622">
      <w:pPr>
        <w:widowControl/>
        <w:ind w:firstLine="868" w:firstLineChars="310"/>
        <w:jc w:val="left"/>
        <w:rPr>
          <w:rFonts w:ascii="宋体" w:hAnsi="宋体"/>
          <w:color w:val="auto"/>
          <w:kern w:val="0"/>
          <w:sz w:val="28"/>
          <w:szCs w:val="28"/>
          <w:highlight w:val="none"/>
        </w:rPr>
      </w:pPr>
    </w:p>
    <w:p w14:paraId="532D2194">
      <w:pPr>
        <w:widowControl/>
        <w:jc w:val="center"/>
        <w:rPr>
          <w:rFonts w:ascii="宋体" w:hAnsi="宋体"/>
          <w:color w:val="auto"/>
          <w:kern w:val="0"/>
          <w:sz w:val="28"/>
          <w:szCs w:val="28"/>
          <w:highlight w:val="none"/>
        </w:rPr>
      </w:pPr>
    </w:p>
    <w:p w14:paraId="7F2A6F08">
      <w:pPr>
        <w:widowControl/>
        <w:jc w:val="center"/>
        <w:rPr>
          <w:rFonts w:ascii="宋体" w:hAnsi="宋体"/>
          <w:b/>
          <w:color w:val="auto"/>
          <w:kern w:val="0"/>
          <w:sz w:val="28"/>
          <w:szCs w:val="28"/>
          <w:highlight w:val="none"/>
        </w:rPr>
      </w:pPr>
      <w:r>
        <w:rPr>
          <w:rFonts w:hint="eastAsia" w:ascii="宋体" w:hAnsi="宋体"/>
          <w:b/>
          <w:color w:val="auto"/>
          <w:kern w:val="0"/>
          <w:sz w:val="28"/>
          <w:szCs w:val="28"/>
          <w:highlight w:val="none"/>
        </w:rPr>
        <w:t xml:space="preserve"> </w:t>
      </w:r>
    </w:p>
    <w:p w14:paraId="3A92214E">
      <w:pPr>
        <w:widowControl/>
        <w:ind w:firstLine="868" w:firstLineChars="310"/>
        <w:rPr>
          <w:rFonts w:ascii="宋体" w:hAnsi="宋体"/>
          <w:color w:val="auto"/>
          <w:kern w:val="0"/>
          <w:sz w:val="28"/>
          <w:szCs w:val="28"/>
          <w:highlight w:val="none"/>
        </w:rPr>
      </w:pPr>
    </w:p>
    <w:p w14:paraId="49C47E3E">
      <w:pPr>
        <w:widowControl/>
        <w:jc w:val="left"/>
        <w:rPr>
          <w:rFonts w:ascii="宋体" w:hAnsi="宋体"/>
          <w:color w:val="auto"/>
          <w:kern w:val="0"/>
          <w:sz w:val="20"/>
          <w:szCs w:val="20"/>
          <w:highlight w:val="none"/>
        </w:rPr>
      </w:pPr>
    </w:p>
    <w:p w14:paraId="0578C783">
      <w:pPr>
        <w:widowControl/>
        <w:ind w:firstLine="420"/>
        <w:jc w:val="left"/>
        <w:rPr>
          <w:rFonts w:ascii="宋体" w:hAnsi="宋体"/>
          <w:color w:val="auto"/>
          <w:kern w:val="0"/>
          <w:sz w:val="20"/>
          <w:szCs w:val="20"/>
          <w:highlight w:val="none"/>
        </w:rPr>
      </w:pPr>
    </w:p>
    <w:p w14:paraId="5FEED08F">
      <w:pPr>
        <w:widowControl/>
        <w:ind w:firstLine="420"/>
        <w:jc w:val="left"/>
        <w:rPr>
          <w:rFonts w:ascii="宋体" w:hAnsi="宋体"/>
          <w:color w:val="auto"/>
          <w:kern w:val="0"/>
          <w:sz w:val="20"/>
          <w:szCs w:val="20"/>
          <w:highlight w:val="none"/>
        </w:rPr>
      </w:pPr>
    </w:p>
    <w:p w14:paraId="43F1D69B">
      <w:pPr>
        <w:widowControl/>
        <w:ind w:firstLine="700" w:firstLineChars="249"/>
        <w:rPr>
          <w:rFonts w:ascii="宋体" w:hAnsi="宋体"/>
          <w:b/>
          <w:color w:val="auto"/>
          <w:kern w:val="0"/>
          <w:sz w:val="28"/>
          <w:szCs w:val="28"/>
          <w:highlight w:val="none"/>
          <w:u w:val="single"/>
        </w:rPr>
      </w:pPr>
      <w:r>
        <w:rPr>
          <w:rFonts w:hint="eastAsia" w:ascii="宋体" w:hAnsi="宋体"/>
          <w:b/>
          <w:color w:val="auto"/>
          <w:kern w:val="0"/>
          <w:sz w:val="28"/>
          <w:szCs w:val="28"/>
          <w:highlight w:val="none"/>
        </w:rPr>
        <w:t>供应商：</w:t>
      </w:r>
      <w:r>
        <w:rPr>
          <w:rFonts w:hint="eastAsia" w:ascii="宋体" w:hAnsi="宋体"/>
          <w:b/>
          <w:color w:val="auto"/>
          <w:kern w:val="0"/>
          <w:sz w:val="28"/>
          <w:szCs w:val="28"/>
          <w:highlight w:val="none"/>
          <w:u w:val="single"/>
        </w:rPr>
        <w:t xml:space="preserve">                                   （盖章）</w:t>
      </w:r>
    </w:p>
    <w:p w14:paraId="44468D6E">
      <w:pPr>
        <w:widowControl/>
        <w:ind w:firstLine="647" w:firstLineChars="230"/>
        <w:rPr>
          <w:rFonts w:ascii="宋体" w:hAnsi="宋体"/>
          <w:b/>
          <w:color w:val="auto"/>
          <w:kern w:val="0"/>
          <w:sz w:val="28"/>
          <w:szCs w:val="28"/>
          <w:highlight w:val="none"/>
        </w:rPr>
      </w:pPr>
    </w:p>
    <w:p w14:paraId="79456FCF">
      <w:pPr>
        <w:widowControl/>
        <w:ind w:firstLine="647" w:firstLineChars="230"/>
        <w:rPr>
          <w:rFonts w:ascii="宋体" w:hAnsi="宋体"/>
          <w:b/>
          <w:color w:val="auto"/>
          <w:kern w:val="0"/>
          <w:sz w:val="28"/>
          <w:szCs w:val="28"/>
          <w:highlight w:val="none"/>
          <w:u w:val="single"/>
        </w:rPr>
      </w:pPr>
      <w:r>
        <w:rPr>
          <w:rFonts w:hint="eastAsia" w:ascii="宋体" w:hAnsi="宋体"/>
          <w:b/>
          <w:color w:val="auto"/>
          <w:kern w:val="0"/>
          <w:sz w:val="28"/>
          <w:szCs w:val="28"/>
          <w:highlight w:val="none"/>
        </w:rPr>
        <w:t>法定代表人或其委托代理人：</w:t>
      </w:r>
      <w:r>
        <w:rPr>
          <w:rFonts w:hint="eastAsia" w:ascii="宋体" w:hAnsi="宋体"/>
          <w:b/>
          <w:color w:val="auto"/>
          <w:kern w:val="0"/>
          <w:sz w:val="28"/>
          <w:szCs w:val="28"/>
          <w:highlight w:val="none"/>
          <w:u w:val="single"/>
        </w:rPr>
        <w:t xml:space="preserve">               （签字或盖章）</w:t>
      </w:r>
    </w:p>
    <w:p w14:paraId="2A15F94C">
      <w:pPr>
        <w:adjustRightInd w:val="0"/>
        <w:spacing w:line="312" w:lineRule="atLeast"/>
        <w:jc w:val="center"/>
        <w:textAlignment w:val="baseline"/>
        <w:rPr>
          <w:rFonts w:ascii="宋体" w:hAnsi="宋体"/>
          <w:b/>
          <w:color w:val="auto"/>
          <w:kern w:val="0"/>
          <w:sz w:val="28"/>
          <w:szCs w:val="28"/>
          <w:highlight w:val="none"/>
        </w:rPr>
      </w:pPr>
    </w:p>
    <w:p w14:paraId="7581A6EF">
      <w:pPr>
        <w:adjustRightInd w:val="0"/>
        <w:spacing w:line="312" w:lineRule="atLeast"/>
        <w:ind w:firstLine="689" w:firstLineChars="245"/>
        <w:textAlignment w:val="baseline"/>
        <w:rPr>
          <w:rFonts w:ascii="宋体" w:hAnsi="宋体"/>
          <w:b/>
          <w:color w:val="auto"/>
          <w:kern w:val="0"/>
          <w:sz w:val="28"/>
          <w:szCs w:val="28"/>
          <w:highlight w:val="none"/>
        </w:rPr>
      </w:pPr>
      <w:r>
        <w:rPr>
          <w:rFonts w:hint="eastAsia" w:ascii="宋体" w:hAnsi="宋体"/>
          <w:b/>
          <w:color w:val="auto"/>
          <w:kern w:val="0"/>
          <w:sz w:val="28"/>
          <w:szCs w:val="28"/>
          <w:highlight w:val="none"/>
        </w:rPr>
        <w:t>日期：</w:t>
      </w:r>
      <w:r>
        <w:rPr>
          <w:rFonts w:hint="eastAsia" w:ascii="宋体" w:hAnsi="宋体"/>
          <w:b/>
          <w:color w:val="auto"/>
          <w:kern w:val="0"/>
          <w:sz w:val="28"/>
          <w:szCs w:val="28"/>
          <w:highlight w:val="none"/>
          <w:u w:val="single"/>
        </w:rPr>
        <w:t xml:space="preserve">         </w:t>
      </w:r>
      <w:r>
        <w:rPr>
          <w:rFonts w:hint="eastAsia" w:ascii="宋体" w:hAnsi="宋体"/>
          <w:b/>
          <w:color w:val="auto"/>
          <w:kern w:val="0"/>
          <w:sz w:val="28"/>
          <w:szCs w:val="28"/>
          <w:highlight w:val="none"/>
        </w:rPr>
        <w:t>年</w:t>
      </w:r>
      <w:r>
        <w:rPr>
          <w:rFonts w:hint="eastAsia" w:ascii="宋体" w:hAnsi="宋体"/>
          <w:b/>
          <w:color w:val="auto"/>
          <w:kern w:val="0"/>
          <w:sz w:val="28"/>
          <w:szCs w:val="28"/>
          <w:highlight w:val="none"/>
          <w:u w:val="single"/>
        </w:rPr>
        <w:t xml:space="preserve">          </w:t>
      </w:r>
      <w:r>
        <w:rPr>
          <w:rFonts w:hint="eastAsia" w:ascii="宋体" w:hAnsi="宋体"/>
          <w:b/>
          <w:color w:val="auto"/>
          <w:kern w:val="0"/>
          <w:sz w:val="28"/>
          <w:szCs w:val="28"/>
          <w:highlight w:val="none"/>
        </w:rPr>
        <w:t>月</w:t>
      </w:r>
      <w:r>
        <w:rPr>
          <w:rFonts w:hint="eastAsia" w:ascii="宋体" w:hAnsi="宋体"/>
          <w:b/>
          <w:color w:val="auto"/>
          <w:kern w:val="0"/>
          <w:sz w:val="28"/>
          <w:szCs w:val="28"/>
          <w:highlight w:val="none"/>
          <w:u w:val="single"/>
        </w:rPr>
        <w:t xml:space="preserve">        </w:t>
      </w:r>
      <w:r>
        <w:rPr>
          <w:rFonts w:hint="eastAsia" w:ascii="宋体" w:hAnsi="宋体"/>
          <w:b/>
          <w:color w:val="auto"/>
          <w:kern w:val="0"/>
          <w:sz w:val="28"/>
          <w:szCs w:val="28"/>
          <w:highlight w:val="none"/>
        </w:rPr>
        <w:t>日</w:t>
      </w:r>
    </w:p>
    <w:p w14:paraId="42536D4C">
      <w:pPr>
        <w:spacing w:line="400" w:lineRule="exact"/>
        <w:jc w:val="center"/>
        <w:rPr>
          <w:rFonts w:ascii="宋体" w:hAnsi="宋体"/>
          <w:b/>
          <w:color w:val="auto"/>
          <w:sz w:val="44"/>
          <w:szCs w:val="44"/>
          <w:highlight w:val="none"/>
        </w:rPr>
      </w:pPr>
      <w:r>
        <w:rPr>
          <w:rFonts w:ascii="宋体" w:hAnsi="宋体"/>
          <w:b/>
          <w:color w:val="auto"/>
          <w:kern w:val="0"/>
          <w:szCs w:val="20"/>
          <w:highlight w:val="none"/>
        </w:rPr>
        <w:br w:type="page"/>
      </w:r>
      <w:r>
        <w:rPr>
          <w:rFonts w:hint="eastAsia" w:ascii="宋体" w:hAnsi="宋体"/>
          <w:b/>
          <w:color w:val="auto"/>
          <w:sz w:val="44"/>
          <w:szCs w:val="44"/>
          <w:highlight w:val="none"/>
        </w:rPr>
        <w:t>目  录</w:t>
      </w:r>
    </w:p>
    <w:p w14:paraId="67532FAB">
      <w:pPr>
        <w:spacing w:line="360" w:lineRule="auto"/>
        <w:jc w:val="center"/>
        <w:rPr>
          <w:rFonts w:ascii="宋体" w:hAnsi="宋体"/>
          <w:b/>
          <w:color w:val="auto"/>
          <w:sz w:val="44"/>
          <w:szCs w:val="44"/>
          <w:highlight w:val="none"/>
        </w:rPr>
      </w:pPr>
    </w:p>
    <w:p w14:paraId="47F787E1">
      <w:pPr>
        <w:spacing w:line="600" w:lineRule="exact"/>
        <w:ind w:firstLine="472" w:firstLineChars="196"/>
        <w:rPr>
          <w:rFonts w:ascii="宋体" w:hAnsi="宋体"/>
          <w:b/>
          <w:color w:val="auto"/>
          <w:sz w:val="24"/>
          <w:highlight w:val="none"/>
        </w:rPr>
      </w:pPr>
      <w:r>
        <w:rPr>
          <w:rFonts w:hint="eastAsia" w:ascii="宋体" w:hAnsi="宋体"/>
          <w:b/>
          <w:color w:val="auto"/>
          <w:sz w:val="24"/>
          <w:highlight w:val="none"/>
        </w:rPr>
        <w:t>一、资格文件</w:t>
      </w:r>
    </w:p>
    <w:p w14:paraId="6460BEEC">
      <w:pPr>
        <w:snapToGrid w:val="0"/>
        <w:spacing w:line="600" w:lineRule="exact"/>
        <w:ind w:firstLine="480" w:firstLineChars="200"/>
        <w:rPr>
          <w:rFonts w:ascii="宋体" w:hAnsi="宋体"/>
          <w:bCs/>
          <w:color w:val="auto"/>
          <w:sz w:val="24"/>
          <w:highlight w:val="none"/>
        </w:rPr>
      </w:pPr>
      <w:r>
        <w:rPr>
          <w:rFonts w:hint="eastAsia" w:ascii="宋体" w:hAnsi="宋体"/>
          <w:bCs/>
          <w:color w:val="auto"/>
          <w:sz w:val="24"/>
          <w:highlight w:val="none"/>
        </w:rPr>
        <w:t>（按供应商须知第9.2条要求内容顺序编写）</w:t>
      </w:r>
    </w:p>
    <w:p w14:paraId="0DDCFD1F">
      <w:pPr>
        <w:spacing w:line="600" w:lineRule="exact"/>
        <w:ind w:firstLine="472" w:firstLineChars="196"/>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商务</w:t>
      </w:r>
      <w:r>
        <w:rPr>
          <w:rFonts w:hint="eastAsia" w:ascii="宋体" w:hAnsi="宋体"/>
          <w:b/>
          <w:color w:val="auto"/>
          <w:sz w:val="24"/>
          <w:highlight w:val="none"/>
        </w:rPr>
        <w:t>技术文件</w:t>
      </w:r>
    </w:p>
    <w:p w14:paraId="016695BE">
      <w:pPr>
        <w:snapToGrid w:val="0"/>
        <w:spacing w:line="600" w:lineRule="exact"/>
        <w:ind w:firstLine="480" w:firstLineChars="200"/>
        <w:rPr>
          <w:rFonts w:ascii="宋体" w:hAnsi="宋体"/>
          <w:bCs/>
          <w:color w:val="auto"/>
          <w:sz w:val="24"/>
          <w:highlight w:val="none"/>
        </w:rPr>
      </w:pPr>
      <w:r>
        <w:rPr>
          <w:rFonts w:hint="eastAsia" w:ascii="宋体" w:hAnsi="宋体"/>
          <w:bCs/>
          <w:color w:val="auto"/>
          <w:sz w:val="24"/>
          <w:highlight w:val="none"/>
        </w:rPr>
        <w:t>（按供应商须知第9.3条要求内容顺序编写）</w:t>
      </w:r>
    </w:p>
    <w:p w14:paraId="7D78E754">
      <w:pPr>
        <w:spacing w:line="600" w:lineRule="exact"/>
        <w:ind w:firstLine="472" w:firstLineChars="196"/>
        <w:rPr>
          <w:rFonts w:ascii="宋体" w:hAnsi="宋体"/>
          <w:b/>
          <w:color w:val="auto"/>
          <w:sz w:val="24"/>
          <w:highlight w:val="none"/>
        </w:rPr>
      </w:pPr>
      <w:r>
        <w:rPr>
          <w:rFonts w:hint="eastAsia" w:ascii="宋体" w:hAnsi="宋体"/>
          <w:b/>
          <w:color w:val="auto"/>
          <w:sz w:val="24"/>
          <w:highlight w:val="none"/>
        </w:rPr>
        <w:t>三、报价文件</w:t>
      </w:r>
    </w:p>
    <w:p w14:paraId="099B548A">
      <w:pPr>
        <w:spacing w:line="600" w:lineRule="exact"/>
        <w:ind w:firstLine="470" w:firstLineChars="196"/>
        <w:rPr>
          <w:rFonts w:ascii="宋体" w:hAnsi="宋体"/>
          <w:bCs/>
          <w:color w:val="auto"/>
          <w:sz w:val="24"/>
          <w:highlight w:val="none"/>
        </w:rPr>
      </w:pPr>
      <w:r>
        <w:rPr>
          <w:rFonts w:hint="eastAsia" w:ascii="宋体" w:hAnsi="宋体"/>
          <w:bCs/>
          <w:color w:val="auto"/>
          <w:sz w:val="24"/>
          <w:highlight w:val="none"/>
        </w:rPr>
        <w:t>（按供应商须知第9.4条要求内容顺序编写）</w:t>
      </w:r>
    </w:p>
    <w:p w14:paraId="33F107D4">
      <w:pPr>
        <w:snapToGrid w:val="0"/>
        <w:spacing w:line="600" w:lineRule="exact"/>
        <w:ind w:firstLine="552" w:firstLineChars="250"/>
        <w:rPr>
          <w:rFonts w:ascii="宋体" w:hAnsi="宋体" w:cs="宋体"/>
          <w:b/>
          <w:color w:val="auto"/>
          <w:sz w:val="22"/>
          <w:szCs w:val="21"/>
          <w:highlight w:val="none"/>
        </w:rPr>
      </w:pPr>
    </w:p>
    <w:p w14:paraId="489D6B1F">
      <w:pPr>
        <w:spacing w:line="600" w:lineRule="exact"/>
        <w:rPr>
          <w:rFonts w:ascii="宋体" w:hAnsi="宋体" w:cs="宋体"/>
          <w:color w:val="auto"/>
          <w:highlight w:val="none"/>
        </w:rPr>
      </w:pPr>
    </w:p>
    <w:p w14:paraId="03F41D18">
      <w:pPr>
        <w:spacing w:line="600" w:lineRule="exact"/>
        <w:ind w:firstLine="660" w:firstLineChars="300"/>
        <w:rPr>
          <w:rFonts w:ascii="宋体" w:hAnsi="宋体" w:cs="宋体"/>
          <w:color w:val="auto"/>
          <w:sz w:val="22"/>
          <w:szCs w:val="21"/>
          <w:highlight w:val="none"/>
        </w:rPr>
      </w:pPr>
    </w:p>
    <w:p w14:paraId="33EA008E">
      <w:pPr>
        <w:snapToGrid w:val="0"/>
        <w:spacing w:line="600" w:lineRule="exact"/>
        <w:ind w:firstLine="315" w:firstLineChars="150"/>
        <w:rPr>
          <w:rFonts w:ascii="宋体" w:hAnsi="宋体" w:cs="宋体"/>
          <w:color w:val="auto"/>
          <w:szCs w:val="21"/>
          <w:highlight w:val="none"/>
        </w:rPr>
      </w:pPr>
    </w:p>
    <w:p w14:paraId="17334CE9">
      <w:pPr>
        <w:snapToGrid w:val="0"/>
        <w:spacing w:line="600" w:lineRule="exact"/>
        <w:ind w:firstLine="315" w:firstLineChars="150"/>
        <w:rPr>
          <w:rFonts w:ascii="宋体" w:hAnsi="宋体" w:cs="宋体"/>
          <w:color w:val="auto"/>
          <w:szCs w:val="21"/>
          <w:highlight w:val="none"/>
        </w:rPr>
      </w:pPr>
    </w:p>
    <w:p w14:paraId="0A04CCBD">
      <w:pPr>
        <w:snapToGrid w:val="0"/>
        <w:spacing w:line="360" w:lineRule="auto"/>
        <w:ind w:firstLine="315" w:firstLineChars="150"/>
        <w:rPr>
          <w:rFonts w:ascii="宋体" w:hAnsi="宋体" w:cs="宋体"/>
          <w:color w:val="auto"/>
          <w:szCs w:val="21"/>
          <w:highlight w:val="none"/>
        </w:rPr>
      </w:pPr>
    </w:p>
    <w:p w14:paraId="33AE9336">
      <w:pPr>
        <w:snapToGrid w:val="0"/>
        <w:spacing w:line="360" w:lineRule="auto"/>
        <w:ind w:firstLine="315" w:firstLineChars="150"/>
        <w:rPr>
          <w:rFonts w:ascii="宋体" w:hAnsi="宋体" w:cs="宋体"/>
          <w:color w:val="auto"/>
          <w:szCs w:val="21"/>
          <w:highlight w:val="none"/>
        </w:rPr>
      </w:pPr>
    </w:p>
    <w:p w14:paraId="0359C9AA">
      <w:pPr>
        <w:snapToGrid w:val="0"/>
        <w:spacing w:line="360" w:lineRule="auto"/>
        <w:ind w:firstLine="315" w:firstLineChars="150"/>
        <w:rPr>
          <w:rFonts w:ascii="宋体" w:hAnsi="宋体" w:cs="宋体"/>
          <w:color w:val="auto"/>
          <w:szCs w:val="21"/>
          <w:highlight w:val="none"/>
        </w:rPr>
      </w:pPr>
    </w:p>
    <w:p w14:paraId="5B443105">
      <w:pPr>
        <w:snapToGrid w:val="0"/>
        <w:spacing w:line="360" w:lineRule="auto"/>
        <w:ind w:firstLine="315" w:firstLineChars="150"/>
        <w:rPr>
          <w:rFonts w:ascii="宋体" w:hAnsi="宋体" w:cs="宋体"/>
          <w:color w:val="auto"/>
          <w:szCs w:val="21"/>
          <w:highlight w:val="none"/>
        </w:rPr>
      </w:pPr>
    </w:p>
    <w:p w14:paraId="1338E77B">
      <w:pPr>
        <w:snapToGrid w:val="0"/>
        <w:spacing w:line="360" w:lineRule="auto"/>
        <w:ind w:firstLine="315" w:firstLineChars="150"/>
        <w:rPr>
          <w:rFonts w:ascii="宋体" w:hAnsi="宋体" w:cs="宋体"/>
          <w:color w:val="auto"/>
          <w:szCs w:val="21"/>
          <w:highlight w:val="none"/>
        </w:rPr>
      </w:pPr>
    </w:p>
    <w:p w14:paraId="2DC611A6">
      <w:pPr>
        <w:adjustRightInd w:val="0"/>
        <w:spacing w:line="360" w:lineRule="auto"/>
        <w:jc w:val="center"/>
        <w:textAlignment w:val="baseline"/>
        <w:rPr>
          <w:rFonts w:ascii="宋体" w:hAnsi="宋体"/>
          <w:b/>
          <w:color w:val="auto"/>
          <w:kern w:val="0"/>
          <w:sz w:val="32"/>
          <w:szCs w:val="20"/>
          <w:highlight w:val="none"/>
        </w:rPr>
      </w:pPr>
    </w:p>
    <w:p w14:paraId="131B5BF0">
      <w:pPr>
        <w:adjustRightInd w:val="0"/>
        <w:spacing w:line="360" w:lineRule="auto"/>
        <w:jc w:val="center"/>
        <w:textAlignment w:val="baseline"/>
        <w:rPr>
          <w:rFonts w:ascii="宋体" w:hAnsi="宋体"/>
          <w:b/>
          <w:color w:val="auto"/>
          <w:kern w:val="0"/>
          <w:sz w:val="32"/>
          <w:szCs w:val="20"/>
          <w:highlight w:val="none"/>
        </w:rPr>
      </w:pPr>
    </w:p>
    <w:p w14:paraId="09BAC473">
      <w:pPr>
        <w:adjustRightInd w:val="0"/>
        <w:spacing w:line="360" w:lineRule="auto"/>
        <w:jc w:val="center"/>
        <w:textAlignment w:val="baseline"/>
        <w:rPr>
          <w:rFonts w:ascii="宋体" w:hAnsi="宋体"/>
          <w:b/>
          <w:color w:val="auto"/>
          <w:kern w:val="0"/>
          <w:sz w:val="32"/>
          <w:szCs w:val="20"/>
          <w:highlight w:val="none"/>
        </w:rPr>
      </w:pPr>
    </w:p>
    <w:p w14:paraId="5C6C4C1A">
      <w:pPr>
        <w:adjustRightInd w:val="0"/>
        <w:spacing w:line="360" w:lineRule="auto"/>
        <w:jc w:val="center"/>
        <w:textAlignment w:val="baseline"/>
        <w:rPr>
          <w:rFonts w:ascii="宋体" w:hAnsi="宋体"/>
          <w:b/>
          <w:color w:val="auto"/>
          <w:kern w:val="0"/>
          <w:sz w:val="32"/>
          <w:szCs w:val="20"/>
          <w:highlight w:val="none"/>
        </w:rPr>
      </w:pPr>
    </w:p>
    <w:p w14:paraId="55911EEA">
      <w:pPr>
        <w:adjustRightInd w:val="0"/>
        <w:spacing w:line="360" w:lineRule="auto"/>
        <w:jc w:val="center"/>
        <w:textAlignment w:val="baseline"/>
        <w:rPr>
          <w:rFonts w:ascii="宋体" w:hAnsi="宋体"/>
          <w:b/>
          <w:color w:val="auto"/>
          <w:kern w:val="0"/>
          <w:sz w:val="32"/>
          <w:szCs w:val="20"/>
          <w:highlight w:val="none"/>
        </w:rPr>
      </w:pPr>
    </w:p>
    <w:p w14:paraId="7875501D">
      <w:pPr>
        <w:adjustRightInd w:val="0"/>
        <w:spacing w:line="360" w:lineRule="auto"/>
        <w:jc w:val="center"/>
        <w:textAlignment w:val="baseline"/>
        <w:rPr>
          <w:rFonts w:ascii="宋体" w:hAnsi="宋体"/>
          <w:b/>
          <w:color w:val="auto"/>
          <w:kern w:val="0"/>
          <w:sz w:val="32"/>
          <w:szCs w:val="20"/>
          <w:highlight w:val="none"/>
        </w:rPr>
      </w:pPr>
    </w:p>
    <w:p w14:paraId="5FBDB506">
      <w:pPr>
        <w:adjustRightInd w:val="0"/>
        <w:spacing w:line="360" w:lineRule="auto"/>
        <w:jc w:val="center"/>
        <w:textAlignment w:val="baseline"/>
        <w:rPr>
          <w:rFonts w:ascii="宋体" w:hAnsi="宋体"/>
          <w:b/>
          <w:color w:val="auto"/>
          <w:kern w:val="0"/>
          <w:sz w:val="32"/>
          <w:szCs w:val="20"/>
          <w:highlight w:val="none"/>
        </w:rPr>
      </w:pPr>
    </w:p>
    <w:p w14:paraId="180C8DBC">
      <w:pPr>
        <w:rPr>
          <w:rFonts w:ascii="宋体" w:hAnsi="宋体"/>
          <w:b/>
          <w:color w:val="auto"/>
          <w:sz w:val="24"/>
          <w:highlight w:val="none"/>
        </w:rPr>
      </w:pPr>
    </w:p>
    <w:p w14:paraId="5BFE3165">
      <w:pPr>
        <w:jc w:val="left"/>
        <w:rPr>
          <w:rFonts w:ascii="宋体" w:hAnsi="宋体"/>
          <w:b/>
          <w:color w:val="auto"/>
          <w:sz w:val="24"/>
          <w:highlight w:val="none"/>
        </w:rPr>
      </w:pPr>
      <w:r>
        <w:rPr>
          <w:rFonts w:hint="eastAsia" w:ascii="宋体" w:hAnsi="宋体"/>
          <w:b/>
          <w:color w:val="auto"/>
          <w:sz w:val="24"/>
          <w:highlight w:val="none"/>
        </w:rPr>
        <w:t>格式一：</w:t>
      </w:r>
    </w:p>
    <w:p w14:paraId="2322B32B">
      <w:pPr>
        <w:spacing w:line="420" w:lineRule="exact"/>
        <w:ind w:firstLine="482" w:firstLineChars="200"/>
        <w:jc w:val="left"/>
        <w:rPr>
          <w:rFonts w:ascii="宋体" w:hAnsi="宋体"/>
          <w:b/>
          <w:color w:val="auto"/>
          <w:sz w:val="24"/>
          <w:highlight w:val="none"/>
        </w:rPr>
      </w:pPr>
    </w:p>
    <w:p w14:paraId="1E215C9A">
      <w:pPr>
        <w:spacing w:line="420" w:lineRule="exact"/>
        <w:ind w:firstLine="482" w:firstLineChars="200"/>
        <w:jc w:val="left"/>
        <w:rPr>
          <w:rFonts w:ascii="宋体" w:hAnsi="宋体"/>
          <w:color w:val="auto"/>
          <w:sz w:val="24"/>
          <w:highlight w:val="none"/>
        </w:rPr>
      </w:pPr>
      <w:r>
        <w:rPr>
          <w:rFonts w:hint="eastAsia" w:ascii="宋体" w:hAnsi="宋体"/>
          <w:b/>
          <w:color w:val="auto"/>
          <w:sz w:val="24"/>
          <w:highlight w:val="none"/>
        </w:rPr>
        <w:t>供应商参与政府采购活动前三年在经营活动中没有重大违法记录的书面声明函</w:t>
      </w:r>
    </w:p>
    <w:p w14:paraId="2DFE44E7">
      <w:pPr>
        <w:spacing w:line="400" w:lineRule="exact"/>
        <w:ind w:left="28" w:firstLine="452"/>
        <w:jc w:val="center"/>
        <w:rPr>
          <w:rFonts w:ascii="宋体" w:hAnsi="宋体"/>
          <w:b/>
          <w:color w:val="auto"/>
          <w:sz w:val="24"/>
          <w:highlight w:val="none"/>
        </w:rPr>
      </w:pPr>
    </w:p>
    <w:p w14:paraId="07AB256C">
      <w:pPr>
        <w:spacing w:line="400" w:lineRule="exact"/>
        <w:ind w:left="28" w:firstLine="452"/>
        <w:jc w:val="center"/>
        <w:rPr>
          <w:rFonts w:ascii="宋体" w:hAnsi="宋体"/>
          <w:b/>
          <w:color w:val="auto"/>
          <w:sz w:val="24"/>
          <w:highlight w:val="none"/>
        </w:rPr>
      </w:pPr>
    </w:p>
    <w:p w14:paraId="235380D0">
      <w:pPr>
        <w:spacing w:line="46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（采购人） </w:t>
      </w:r>
    </w:p>
    <w:p w14:paraId="42AA2C2F">
      <w:pPr>
        <w:spacing w:line="460" w:lineRule="exact"/>
        <w:ind w:firstLine="315" w:firstLineChars="150"/>
        <w:rPr>
          <w:rFonts w:ascii="宋体" w:hAnsi="宋体"/>
          <w:color w:val="auto"/>
          <w:szCs w:val="21"/>
          <w:highlight w:val="none"/>
        </w:rPr>
      </w:pPr>
    </w:p>
    <w:p w14:paraId="2797957E">
      <w:pPr>
        <w:spacing w:line="460" w:lineRule="exact"/>
        <w:ind w:firstLine="315" w:firstLineChars="150"/>
        <w:rPr>
          <w:rFonts w:ascii="宋体" w:hAnsi="宋体"/>
          <w:color w:val="auto"/>
          <w:szCs w:val="21"/>
          <w:highlight w:val="none"/>
        </w:rPr>
      </w:pPr>
      <w:r>
        <w:rPr>
          <w:rFonts w:hint="eastAsia" w:ascii="宋体" w:hAnsi="宋体"/>
          <w:color w:val="auto"/>
          <w:szCs w:val="21"/>
          <w:highlight w:val="none"/>
        </w:rPr>
        <w:t>我单位近三年在经营活动中没有重大违法记录（包括：因违法经营受到刑事处罚或者责令停产停业，吊销许可证或者执照、较大数额罚款等行政处罚），特此声明。</w:t>
      </w:r>
    </w:p>
    <w:p w14:paraId="00011815">
      <w:pPr>
        <w:spacing w:line="460" w:lineRule="exact"/>
        <w:ind w:firstLine="315" w:firstLineChars="150"/>
        <w:rPr>
          <w:rFonts w:ascii="宋体" w:hAnsi="宋体"/>
          <w:color w:val="auto"/>
          <w:szCs w:val="21"/>
          <w:highlight w:val="none"/>
        </w:rPr>
      </w:pPr>
      <w:r>
        <w:rPr>
          <w:rFonts w:hint="eastAsia" w:ascii="宋体" w:hAnsi="宋体"/>
          <w:color w:val="auto"/>
          <w:szCs w:val="21"/>
          <w:highlight w:val="none"/>
        </w:rPr>
        <w:t>若采购单位在本项目采购过程中发现我单位近三年内在经营活动中有重大违法记录，我单位将无条件地退出本项目的磋商，并承担因此引起的一切后果。</w:t>
      </w:r>
    </w:p>
    <w:p w14:paraId="70CF5291">
      <w:pPr>
        <w:spacing w:line="460" w:lineRule="exact"/>
        <w:ind w:firstLine="315" w:firstLineChars="150"/>
        <w:rPr>
          <w:rFonts w:ascii="宋体" w:hAnsi="宋体"/>
          <w:color w:val="auto"/>
          <w:szCs w:val="21"/>
          <w:highlight w:val="none"/>
        </w:rPr>
      </w:pPr>
    </w:p>
    <w:p w14:paraId="4110D6F5">
      <w:pPr>
        <w:spacing w:line="360" w:lineRule="exact"/>
        <w:rPr>
          <w:rFonts w:ascii="宋体" w:hAnsi="宋体"/>
          <w:color w:val="auto"/>
          <w:szCs w:val="21"/>
          <w:highlight w:val="none"/>
        </w:rPr>
      </w:pPr>
    </w:p>
    <w:p w14:paraId="7810D554">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供应商（公章）：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105234A">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 xml:space="preserve"> </w:t>
      </w:r>
    </w:p>
    <w:p w14:paraId="64BE64FC">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法定代表人或授权委托代理人（签字）：</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60E2A5D">
      <w:pPr>
        <w:spacing w:line="360" w:lineRule="exact"/>
        <w:ind w:firstLine="315" w:firstLineChars="150"/>
        <w:rPr>
          <w:rFonts w:ascii="宋体" w:hAnsi="宋体"/>
          <w:color w:val="auto"/>
          <w:szCs w:val="21"/>
          <w:highlight w:val="none"/>
        </w:rPr>
      </w:pPr>
    </w:p>
    <w:p w14:paraId="25EA367F">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14:paraId="1E48F63E">
      <w:pPr>
        <w:jc w:val="center"/>
        <w:rPr>
          <w:rFonts w:ascii="宋体" w:hAnsi="宋体"/>
          <w:b/>
          <w:color w:val="auto"/>
          <w:sz w:val="24"/>
          <w:highlight w:val="none"/>
        </w:rPr>
      </w:pPr>
    </w:p>
    <w:p w14:paraId="77DE4603">
      <w:pPr>
        <w:jc w:val="center"/>
        <w:rPr>
          <w:rFonts w:ascii="宋体" w:hAnsi="宋体"/>
          <w:b/>
          <w:color w:val="auto"/>
          <w:sz w:val="24"/>
          <w:highlight w:val="none"/>
        </w:rPr>
      </w:pPr>
    </w:p>
    <w:p w14:paraId="18937956">
      <w:pPr>
        <w:jc w:val="center"/>
        <w:rPr>
          <w:rFonts w:ascii="宋体" w:hAnsi="宋体"/>
          <w:b/>
          <w:color w:val="auto"/>
          <w:sz w:val="24"/>
          <w:highlight w:val="none"/>
        </w:rPr>
      </w:pPr>
    </w:p>
    <w:p w14:paraId="46DE84F9">
      <w:pPr>
        <w:jc w:val="center"/>
        <w:rPr>
          <w:rFonts w:ascii="宋体" w:hAnsi="宋体"/>
          <w:b/>
          <w:color w:val="auto"/>
          <w:sz w:val="24"/>
          <w:highlight w:val="none"/>
        </w:rPr>
      </w:pPr>
    </w:p>
    <w:p w14:paraId="6128951A">
      <w:pPr>
        <w:jc w:val="center"/>
        <w:rPr>
          <w:rFonts w:ascii="宋体" w:hAnsi="宋体"/>
          <w:b/>
          <w:color w:val="auto"/>
          <w:sz w:val="24"/>
          <w:highlight w:val="none"/>
        </w:rPr>
      </w:pPr>
    </w:p>
    <w:p w14:paraId="5A9CD62D">
      <w:pPr>
        <w:jc w:val="center"/>
        <w:rPr>
          <w:rFonts w:ascii="宋体" w:hAnsi="宋体"/>
          <w:b/>
          <w:color w:val="auto"/>
          <w:sz w:val="24"/>
          <w:highlight w:val="none"/>
        </w:rPr>
      </w:pPr>
    </w:p>
    <w:p w14:paraId="1392E663">
      <w:pPr>
        <w:jc w:val="center"/>
        <w:rPr>
          <w:rFonts w:ascii="宋体" w:hAnsi="宋体"/>
          <w:b/>
          <w:color w:val="auto"/>
          <w:sz w:val="24"/>
          <w:highlight w:val="none"/>
        </w:rPr>
      </w:pPr>
    </w:p>
    <w:p w14:paraId="145FB227">
      <w:pPr>
        <w:jc w:val="center"/>
        <w:rPr>
          <w:rFonts w:ascii="宋体" w:hAnsi="宋体"/>
          <w:b/>
          <w:color w:val="auto"/>
          <w:sz w:val="24"/>
          <w:highlight w:val="none"/>
        </w:rPr>
      </w:pPr>
    </w:p>
    <w:p w14:paraId="2E566008">
      <w:pPr>
        <w:jc w:val="center"/>
        <w:rPr>
          <w:rFonts w:ascii="宋体" w:hAnsi="宋体"/>
          <w:b/>
          <w:color w:val="auto"/>
          <w:sz w:val="24"/>
          <w:highlight w:val="none"/>
        </w:rPr>
      </w:pPr>
    </w:p>
    <w:p w14:paraId="505C4E56">
      <w:pPr>
        <w:jc w:val="center"/>
        <w:rPr>
          <w:rFonts w:ascii="宋体" w:hAnsi="宋体"/>
          <w:b/>
          <w:color w:val="auto"/>
          <w:sz w:val="24"/>
          <w:highlight w:val="none"/>
        </w:rPr>
      </w:pPr>
    </w:p>
    <w:p w14:paraId="55AB1CED">
      <w:pPr>
        <w:jc w:val="center"/>
        <w:rPr>
          <w:rFonts w:ascii="宋体" w:hAnsi="宋体"/>
          <w:b/>
          <w:color w:val="auto"/>
          <w:sz w:val="24"/>
          <w:highlight w:val="none"/>
        </w:rPr>
      </w:pPr>
    </w:p>
    <w:p w14:paraId="01580A8F">
      <w:pPr>
        <w:jc w:val="center"/>
        <w:rPr>
          <w:rFonts w:ascii="宋体" w:hAnsi="宋体"/>
          <w:b/>
          <w:color w:val="auto"/>
          <w:sz w:val="24"/>
          <w:highlight w:val="none"/>
        </w:rPr>
      </w:pPr>
    </w:p>
    <w:p w14:paraId="6DB7B9C7">
      <w:pPr>
        <w:jc w:val="center"/>
        <w:rPr>
          <w:rFonts w:ascii="宋体" w:hAnsi="宋体"/>
          <w:b/>
          <w:color w:val="auto"/>
          <w:sz w:val="24"/>
          <w:highlight w:val="none"/>
        </w:rPr>
      </w:pPr>
    </w:p>
    <w:p w14:paraId="794FB2D5">
      <w:pPr>
        <w:jc w:val="center"/>
        <w:rPr>
          <w:rFonts w:ascii="宋体" w:hAnsi="宋体"/>
          <w:b/>
          <w:color w:val="auto"/>
          <w:sz w:val="24"/>
          <w:highlight w:val="none"/>
        </w:rPr>
      </w:pPr>
    </w:p>
    <w:p w14:paraId="7A4E9F2B">
      <w:pPr>
        <w:jc w:val="center"/>
        <w:rPr>
          <w:rFonts w:ascii="宋体" w:hAnsi="宋体"/>
          <w:b/>
          <w:color w:val="auto"/>
          <w:sz w:val="24"/>
          <w:highlight w:val="none"/>
        </w:rPr>
      </w:pPr>
    </w:p>
    <w:p w14:paraId="2D5417C4">
      <w:pPr>
        <w:jc w:val="center"/>
        <w:rPr>
          <w:rFonts w:ascii="宋体" w:hAnsi="宋体"/>
          <w:b/>
          <w:color w:val="auto"/>
          <w:sz w:val="24"/>
          <w:highlight w:val="none"/>
        </w:rPr>
      </w:pPr>
    </w:p>
    <w:p w14:paraId="7D647EF6">
      <w:pPr>
        <w:jc w:val="center"/>
        <w:rPr>
          <w:rFonts w:ascii="宋体" w:hAnsi="宋体"/>
          <w:b/>
          <w:color w:val="auto"/>
          <w:sz w:val="24"/>
          <w:highlight w:val="none"/>
        </w:rPr>
      </w:pPr>
    </w:p>
    <w:p w14:paraId="460A1F43">
      <w:pPr>
        <w:jc w:val="center"/>
        <w:rPr>
          <w:rFonts w:ascii="宋体" w:hAnsi="宋体"/>
          <w:b/>
          <w:color w:val="auto"/>
          <w:sz w:val="24"/>
          <w:highlight w:val="none"/>
        </w:rPr>
      </w:pPr>
    </w:p>
    <w:p w14:paraId="30130435">
      <w:pPr>
        <w:jc w:val="center"/>
        <w:rPr>
          <w:rFonts w:ascii="宋体" w:hAnsi="宋体"/>
          <w:b/>
          <w:color w:val="auto"/>
          <w:sz w:val="24"/>
          <w:highlight w:val="none"/>
        </w:rPr>
      </w:pPr>
    </w:p>
    <w:p w14:paraId="2B5BED55">
      <w:pPr>
        <w:jc w:val="center"/>
        <w:rPr>
          <w:rFonts w:ascii="宋体" w:hAnsi="宋体"/>
          <w:b/>
          <w:color w:val="auto"/>
          <w:sz w:val="24"/>
          <w:highlight w:val="none"/>
        </w:rPr>
      </w:pPr>
    </w:p>
    <w:p w14:paraId="59F8243D">
      <w:pPr>
        <w:jc w:val="center"/>
        <w:rPr>
          <w:rFonts w:ascii="宋体" w:hAnsi="宋体"/>
          <w:b/>
          <w:color w:val="auto"/>
          <w:sz w:val="24"/>
          <w:highlight w:val="none"/>
        </w:rPr>
      </w:pPr>
    </w:p>
    <w:p w14:paraId="2C8357C1">
      <w:pPr>
        <w:jc w:val="center"/>
        <w:rPr>
          <w:rFonts w:ascii="宋体" w:hAnsi="宋体"/>
          <w:b/>
          <w:color w:val="auto"/>
          <w:sz w:val="24"/>
          <w:highlight w:val="none"/>
        </w:rPr>
      </w:pPr>
    </w:p>
    <w:p w14:paraId="21C5BF28">
      <w:pPr>
        <w:jc w:val="left"/>
        <w:rPr>
          <w:rFonts w:ascii="宋体" w:hAnsi="宋体"/>
          <w:b/>
          <w:color w:val="auto"/>
          <w:sz w:val="24"/>
          <w:highlight w:val="none"/>
        </w:rPr>
      </w:pPr>
      <w:r>
        <w:rPr>
          <w:rFonts w:hint="eastAsia" w:ascii="宋体" w:hAnsi="宋体"/>
          <w:b/>
          <w:color w:val="auto"/>
          <w:sz w:val="24"/>
          <w:highlight w:val="none"/>
        </w:rPr>
        <w:t>格式二：</w:t>
      </w:r>
    </w:p>
    <w:p w14:paraId="15873C31">
      <w:pPr>
        <w:jc w:val="center"/>
        <w:rPr>
          <w:rFonts w:ascii="宋体" w:hAnsi="宋体"/>
          <w:b/>
          <w:color w:val="auto"/>
          <w:sz w:val="24"/>
          <w:highlight w:val="none"/>
        </w:rPr>
      </w:pPr>
    </w:p>
    <w:p w14:paraId="691467D4">
      <w:pPr>
        <w:jc w:val="center"/>
        <w:rPr>
          <w:rFonts w:ascii="宋体" w:hAnsi="宋体"/>
          <w:b/>
          <w:color w:val="auto"/>
          <w:sz w:val="24"/>
          <w:highlight w:val="none"/>
        </w:rPr>
      </w:pPr>
      <w:r>
        <w:rPr>
          <w:rFonts w:hint="eastAsia" w:ascii="宋体" w:hAnsi="宋体"/>
          <w:b/>
          <w:color w:val="auto"/>
          <w:sz w:val="24"/>
          <w:highlight w:val="none"/>
        </w:rPr>
        <w:t xml:space="preserve"> </w:t>
      </w:r>
      <w:r>
        <w:rPr>
          <w:rFonts w:ascii="宋体" w:hAnsi="宋体"/>
          <w:b/>
          <w:color w:val="auto"/>
          <w:sz w:val="24"/>
          <w:highlight w:val="none"/>
        </w:rPr>
        <w:t>诚信声明</w:t>
      </w:r>
      <w:r>
        <w:rPr>
          <w:rFonts w:hint="eastAsia" w:ascii="宋体" w:hAnsi="宋体"/>
          <w:b/>
          <w:color w:val="auto"/>
          <w:sz w:val="24"/>
          <w:highlight w:val="none"/>
        </w:rPr>
        <w:t xml:space="preserve"> </w:t>
      </w:r>
    </w:p>
    <w:p w14:paraId="7018F3C4">
      <w:pPr>
        <w:spacing w:line="520" w:lineRule="exact"/>
        <w:rPr>
          <w:rFonts w:ascii="宋体" w:hAnsi="宋体"/>
          <w:color w:val="auto"/>
          <w:highlight w:val="none"/>
        </w:rPr>
      </w:pPr>
    </w:p>
    <w:p w14:paraId="61A874F7">
      <w:pPr>
        <w:spacing w:line="460" w:lineRule="exact"/>
        <w:ind w:firstLine="315" w:firstLineChars="150"/>
        <w:rPr>
          <w:rFonts w:ascii="宋体" w:hAnsi="宋体"/>
          <w:color w:val="auto"/>
          <w:highlight w:val="none"/>
        </w:rPr>
      </w:pPr>
      <w:r>
        <w:rPr>
          <w:rFonts w:hint="eastAsia" w:ascii="宋体" w:hAnsi="宋体"/>
          <w:color w:val="auto"/>
          <w:highlight w:val="none"/>
        </w:rPr>
        <w:t>本人</w:t>
      </w:r>
      <w:r>
        <w:rPr>
          <w:rFonts w:ascii="宋体" w:hAnsi="宋体"/>
          <w:color w:val="auto"/>
          <w:highlight w:val="none"/>
          <w:u w:val="single"/>
        </w:rPr>
        <w:t xml:space="preserve">       </w:t>
      </w:r>
      <w:r>
        <w:rPr>
          <w:rFonts w:hint="eastAsia" w:ascii="宋体" w:hAnsi="宋体"/>
          <w:color w:val="auto"/>
          <w:highlight w:val="none"/>
          <w:u w:val="single"/>
        </w:rPr>
        <w:t>（法定代表人、身份证号码）</w:t>
      </w:r>
      <w:r>
        <w:rPr>
          <w:rFonts w:ascii="宋体" w:hAnsi="宋体"/>
          <w:color w:val="auto"/>
          <w:highlight w:val="none"/>
          <w:u w:val="single"/>
        </w:rPr>
        <w:t xml:space="preserve">         </w:t>
      </w:r>
      <w:r>
        <w:rPr>
          <w:rFonts w:hint="eastAsia" w:ascii="宋体" w:hAnsi="宋体"/>
          <w:color w:val="auto"/>
          <w:highlight w:val="none"/>
        </w:rPr>
        <w:t>郑重声明，本企业参加</w:t>
      </w:r>
      <w:r>
        <w:rPr>
          <w:rFonts w:ascii="宋体" w:hAnsi="宋体"/>
          <w:color w:val="auto"/>
          <w:highlight w:val="none"/>
          <w:u w:val="single"/>
        </w:rPr>
        <w:t xml:space="preserve">  </w:t>
      </w:r>
      <w:r>
        <w:rPr>
          <w:rFonts w:hint="eastAsia" w:ascii="宋体" w:hAnsi="宋体"/>
          <w:color w:val="auto"/>
          <w:highlight w:val="none"/>
          <w:u w:val="single"/>
        </w:rPr>
        <w:t>（项目名称）</w:t>
      </w:r>
      <w:r>
        <w:rPr>
          <w:rFonts w:ascii="宋体" w:hAnsi="宋体"/>
          <w:color w:val="auto"/>
          <w:highlight w:val="none"/>
          <w:u w:val="single"/>
        </w:rPr>
        <w:t xml:space="preserve"> </w:t>
      </w:r>
      <w:r>
        <w:rPr>
          <w:rFonts w:hint="eastAsia" w:ascii="宋体" w:hAnsi="宋体"/>
          <w:color w:val="auto"/>
          <w:highlight w:val="none"/>
        </w:rPr>
        <w:t>磋商活动所提交的所有资料、填写数据及所包含的附件资料内容是真实的、合法的、有效的，同样我在此所作的声明也是真实有效的，并愿意对在磋商过程中有关部门的调查结果承担责任。</w:t>
      </w:r>
    </w:p>
    <w:p w14:paraId="4924A5F0">
      <w:pPr>
        <w:spacing w:line="460" w:lineRule="exact"/>
        <w:ind w:firstLine="480"/>
        <w:rPr>
          <w:rFonts w:ascii="宋体" w:hAnsi="宋体"/>
          <w:color w:val="auto"/>
          <w:highlight w:val="none"/>
        </w:rPr>
      </w:pPr>
      <w:r>
        <w:rPr>
          <w:rFonts w:hint="eastAsia" w:ascii="宋体" w:hAnsi="宋体"/>
          <w:color w:val="auto"/>
          <w:highlight w:val="none"/>
        </w:rPr>
        <w:t>本企业提交的所有磋商资料如有不实，愿接受政府采购监督管理部门和建设行政主管部门依据有关法律法规给予的处罚。</w:t>
      </w:r>
    </w:p>
    <w:p w14:paraId="2E9D149A">
      <w:pPr>
        <w:spacing w:line="460" w:lineRule="exact"/>
        <w:rPr>
          <w:rFonts w:ascii="宋体" w:hAnsi="宋体"/>
          <w:color w:val="auto"/>
          <w:highlight w:val="none"/>
        </w:rPr>
      </w:pPr>
    </w:p>
    <w:p w14:paraId="49CFF6BE">
      <w:pPr>
        <w:spacing w:line="440" w:lineRule="exact"/>
        <w:rPr>
          <w:rFonts w:ascii="宋体" w:hAnsi="宋体"/>
          <w:color w:val="auto"/>
          <w:highlight w:val="none"/>
        </w:rPr>
      </w:pPr>
    </w:p>
    <w:p w14:paraId="7F44D11E">
      <w:pPr>
        <w:spacing w:line="440" w:lineRule="exact"/>
        <w:ind w:firstLine="4410" w:firstLineChars="2100"/>
        <w:rPr>
          <w:rFonts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u w:val="single"/>
        </w:rPr>
        <w:t xml:space="preserve">   （全称）         </w:t>
      </w:r>
      <w:r>
        <w:rPr>
          <w:rFonts w:hint="eastAsia" w:ascii="宋体" w:hAnsi="宋体"/>
          <w:color w:val="auto"/>
          <w:highlight w:val="none"/>
        </w:rPr>
        <w:t>（盖单位章）</w:t>
      </w:r>
    </w:p>
    <w:p w14:paraId="0156B382">
      <w:pPr>
        <w:spacing w:line="440" w:lineRule="exact"/>
        <w:ind w:firstLine="4410" w:firstLineChars="210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14:paraId="4B6D07CC">
      <w:pPr>
        <w:spacing w:line="440" w:lineRule="exact"/>
        <w:ind w:firstLine="5775" w:firstLineChars="2750"/>
        <w:rPr>
          <w:rFonts w:ascii="宋体" w:hAnsi="宋体"/>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14:paraId="39293F66">
      <w:pPr>
        <w:spacing w:line="440" w:lineRule="exact"/>
        <w:rPr>
          <w:rFonts w:ascii="宋体" w:hAnsi="宋体"/>
          <w:color w:val="auto"/>
          <w:sz w:val="24"/>
          <w:highlight w:val="none"/>
        </w:rPr>
      </w:pPr>
    </w:p>
    <w:p w14:paraId="34D1D4E9">
      <w:pPr>
        <w:spacing w:line="440" w:lineRule="exact"/>
        <w:rPr>
          <w:rFonts w:ascii="宋体" w:hAnsi="宋体"/>
          <w:color w:val="auto"/>
          <w:sz w:val="24"/>
          <w:highlight w:val="none"/>
        </w:rPr>
      </w:pPr>
      <w:bookmarkStart w:id="1256" w:name="_Toc163270989"/>
      <w:bookmarkStart w:id="1257" w:name="_Toc158458008"/>
    </w:p>
    <w:p w14:paraId="7D0AE67B">
      <w:pPr>
        <w:spacing w:line="440" w:lineRule="exact"/>
        <w:rPr>
          <w:rFonts w:ascii="宋体" w:hAnsi="宋体"/>
          <w:color w:val="auto"/>
          <w:sz w:val="24"/>
          <w:highlight w:val="none"/>
        </w:rPr>
      </w:pPr>
    </w:p>
    <w:p w14:paraId="0AC14E8C">
      <w:pPr>
        <w:spacing w:line="440" w:lineRule="exact"/>
        <w:rPr>
          <w:rFonts w:ascii="宋体" w:hAnsi="宋体"/>
          <w:color w:val="auto"/>
          <w:sz w:val="24"/>
          <w:highlight w:val="none"/>
        </w:rPr>
      </w:pPr>
    </w:p>
    <w:p w14:paraId="77BD753A">
      <w:pPr>
        <w:spacing w:line="440" w:lineRule="exact"/>
        <w:rPr>
          <w:rFonts w:ascii="宋体" w:hAnsi="宋体"/>
          <w:color w:val="auto"/>
          <w:sz w:val="24"/>
          <w:highlight w:val="none"/>
        </w:rPr>
      </w:pPr>
    </w:p>
    <w:p w14:paraId="5FCEE80A">
      <w:pPr>
        <w:spacing w:line="440" w:lineRule="exact"/>
        <w:rPr>
          <w:rFonts w:ascii="宋体" w:hAnsi="宋体"/>
          <w:color w:val="auto"/>
          <w:sz w:val="24"/>
          <w:highlight w:val="none"/>
        </w:rPr>
      </w:pPr>
    </w:p>
    <w:p w14:paraId="5EEE7408">
      <w:pPr>
        <w:spacing w:line="440" w:lineRule="exact"/>
        <w:rPr>
          <w:rFonts w:ascii="宋体" w:hAnsi="宋体"/>
          <w:color w:val="auto"/>
          <w:sz w:val="24"/>
          <w:highlight w:val="none"/>
        </w:rPr>
      </w:pPr>
    </w:p>
    <w:p w14:paraId="76F75C7B">
      <w:pPr>
        <w:spacing w:line="440" w:lineRule="exact"/>
        <w:rPr>
          <w:rFonts w:ascii="宋体" w:hAnsi="宋体"/>
          <w:color w:val="auto"/>
          <w:sz w:val="24"/>
          <w:highlight w:val="none"/>
        </w:rPr>
      </w:pPr>
    </w:p>
    <w:p w14:paraId="7B474FC7">
      <w:pPr>
        <w:spacing w:line="440" w:lineRule="exact"/>
        <w:rPr>
          <w:rFonts w:ascii="宋体" w:hAnsi="宋体"/>
          <w:color w:val="auto"/>
          <w:sz w:val="24"/>
          <w:highlight w:val="none"/>
        </w:rPr>
      </w:pPr>
    </w:p>
    <w:p w14:paraId="62F3BF21">
      <w:pPr>
        <w:spacing w:line="440" w:lineRule="exact"/>
        <w:rPr>
          <w:rFonts w:ascii="宋体" w:hAnsi="宋体"/>
          <w:color w:val="auto"/>
          <w:sz w:val="24"/>
          <w:highlight w:val="none"/>
        </w:rPr>
      </w:pPr>
    </w:p>
    <w:p w14:paraId="57E6A9B1">
      <w:pPr>
        <w:spacing w:line="440" w:lineRule="exact"/>
        <w:rPr>
          <w:rFonts w:ascii="宋体" w:hAnsi="宋体"/>
          <w:color w:val="auto"/>
          <w:sz w:val="24"/>
          <w:highlight w:val="none"/>
        </w:rPr>
      </w:pPr>
    </w:p>
    <w:p w14:paraId="5E8A4C2E">
      <w:pPr>
        <w:spacing w:line="440" w:lineRule="exact"/>
        <w:rPr>
          <w:rFonts w:ascii="宋体" w:hAnsi="宋体"/>
          <w:color w:val="auto"/>
          <w:sz w:val="24"/>
          <w:highlight w:val="none"/>
        </w:rPr>
      </w:pPr>
    </w:p>
    <w:p w14:paraId="683BBBCA">
      <w:pPr>
        <w:spacing w:line="440" w:lineRule="exact"/>
        <w:rPr>
          <w:rFonts w:ascii="宋体" w:hAnsi="宋体"/>
          <w:color w:val="auto"/>
          <w:sz w:val="24"/>
          <w:highlight w:val="none"/>
        </w:rPr>
      </w:pPr>
    </w:p>
    <w:p w14:paraId="26B34C0B">
      <w:pPr>
        <w:spacing w:line="440" w:lineRule="exact"/>
        <w:rPr>
          <w:rFonts w:ascii="宋体" w:hAnsi="宋体"/>
          <w:color w:val="auto"/>
          <w:sz w:val="24"/>
          <w:highlight w:val="none"/>
        </w:rPr>
      </w:pPr>
    </w:p>
    <w:p w14:paraId="44F43F79">
      <w:pPr>
        <w:spacing w:line="440" w:lineRule="exact"/>
        <w:rPr>
          <w:rFonts w:ascii="宋体" w:hAnsi="宋体"/>
          <w:color w:val="auto"/>
          <w:sz w:val="24"/>
          <w:highlight w:val="none"/>
        </w:rPr>
      </w:pPr>
    </w:p>
    <w:p w14:paraId="08E30FD5">
      <w:pPr>
        <w:spacing w:line="440" w:lineRule="exact"/>
        <w:rPr>
          <w:rFonts w:ascii="宋体" w:hAnsi="宋体"/>
          <w:color w:val="auto"/>
          <w:sz w:val="24"/>
          <w:highlight w:val="none"/>
        </w:rPr>
      </w:pPr>
    </w:p>
    <w:p w14:paraId="19B3A427">
      <w:pPr>
        <w:spacing w:line="440" w:lineRule="exact"/>
        <w:rPr>
          <w:rFonts w:ascii="宋体" w:hAnsi="宋体"/>
          <w:color w:val="auto"/>
          <w:sz w:val="24"/>
          <w:highlight w:val="none"/>
        </w:rPr>
      </w:pPr>
    </w:p>
    <w:p w14:paraId="2E53D8A1">
      <w:pPr>
        <w:spacing w:line="440" w:lineRule="exact"/>
        <w:rPr>
          <w:rFonts w:ascii="宋体" w:hAnsi="宋体"/>
          <w:color w:val="auto"/>
          <w:sz w:val="24"/>
          <w:highlight w:val="none"/>
        </w:rPr>
      </w:pPr>
    </w:p>
    <w:p w14:paraId="6A3E9173">
      <w:pPr>
        <w:spacing w:line="440" w:lineRule="exact"/>
        <w:jc w:val="left"/>
        <w:rPr>
          <w:rFonts w:ascii="宋体" w:hAnsi="宋体"/>
          <w:b/>
          <w:color w:val="auto"/>
          <w:sz w:val="24"/>
          <w:highlight w:val="none"/>
        </w:rPr>
      </w:pPr>
      <w:r>
        <w:rPr>
          <w:rFonts w:ascii="宋体" w:hAnsi="宋体"/>
          <w:color w:val="auto"/>
          <w:sz w:val="24"/>
          <w:highlight w:val="none"/>
        </w:rPr>
        <w:br w:type="page"/>
      </w:r>
      <w:bookmarkStart w:id="1258" w:name="_Toc173558684"/>
      <w:r>
        <w:rPr>
          <w:rFonts w:hint="eastAsia" w:ascii="宋体" w:hAnsi="宋体"/>
          <w:b/>
          <w:color w:val="auto"/>
          <w:sz w:val="24"/>
          <w:highlight w:val="none"/>
        </w:rPr>
        <w:t>格式三：</w:t>
      </w:r>
    </w:p>
    <w:p w14:paraId="10263A10">
      <w:pPr>
        <w:jc w:val="center"/>
        <w:rPr>
          <w:rFonts w:ascii="宋体" w:hAnsi="宋体"/>
          <w:b/>
          <w:color w:val="auto"/>
          <w:sz w:val="24"/>
          <w:highlight w:val="none"/>
        </w:rPr>
      </w:pPr>
      <w:r>
        <w:rPr>
          <w:rFonts w:hint="eastAsia" w:ascii="宋体" w:hAnsi="宋体"/>
          <w:b/>
          <w:color w:val="auto"/>
          <w:sz w:val="24"/>
          <w:highlight w:val="none"/>
        </w:rPr>
        <w:t>法定代表人授权委托书</w:t>
      </w:r>
    </w:p>
    <w:p w14:paraId="4C387782">
      <w:pPr>
        <w:spacing w:after="156" w:line="360" w:lineRule="auto"/>
        <w:rPr>
          <w:rFonts w:ascii="宋体" w:hAnsi="宋体"/>
          <w:color w:val="auto"/>
          <w:highlight w:val="none"/>
        </w:rPr>
      </w:pPr>
    </w:p>
    <w:p w14:paraId="1E0CA904">
      <w:pPr>
        <w:spacing w:line="440" w:lineRule="exact"/>
        <w:ind w:firstLine="420" w:firstLineChars="200"/>
        <w:rPr>
          <w:rFonts w:ascii="宋体" w:hAnsi="宋体"/>
          <w:color w:val="auto"/>
          <w:highlight w:val="none"/>
        </w:rPr>
      </w:pPr>
      <w:r>
        <w:rPr>
          <w:rFonts w:ascii="宋体" w:hAnsi="宋体"/>
          <w:color w:val="auto"/>
          <w:highlight w:val="none"/>
        </w:rPr>
        <w:t>本授权委托书声明：我</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供应商</w:t>
      </w:r>
      <w:r>
        <w:rPr>
          <w:rFonts w:ascii="宋体" w:hAnsi="宋体"/>
          <w:color w:val="auto"/>
          <w:highlight w:val="none"/>
        </w:rPr>
        <w:t>名称）的法定代表人，现授权委托</w:t>
      </w:r>
      <w:r>
        <w:rPr>
          <w:rFonts w:ascii="宋体" w:hAnsi="宋体"/>
          <w:color w:val="auto"/>
          <w:highlight w:val="none"/>
          <w:u w:val="single"/>
        </w:rPr>
        <w:t xml:space="preserve">      </w:t>
      </w:r>
      <w:r>
        <w:rPr>
          <w:rFonts w:ascii="宋体" w:hAnsi="宋体"/>
          <w:color w:val="auto"/>
          <w:highlight w:val="none"/>
        </w:rPr>
        <w:t>（单位名称）的</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（姓名）为我公司签署</w:t>
      </w:r>
      <w:r>
        <w:rPr>
          <w:rFonts w:hint="eastAsia" w:ascii="宋体" w:hAnsi="宋体"/>
          <w:color w:val="auto"/>
          <w:highlight w:val="none"/>
          <w:u w:val="single"/>
        </w:rPr>
        <w:t xml:space="preserve">    </w:t>
      </w:r>
      <w:r>
        <w:rPr>
          <w:rFonts w:hint="eastAsia" w:ascii="宋体" w:hAnsi="宋体"/>
          <w:color w:val="auto"/>
          <w:highlight w:val="none"/>
        </w:rPr>
        <w:t>（项目名称），项目编号为</w:t>
      </w:r>
      <w:r>
        <w:rPr>
          <w:rFonts w:hint="eastAsia" w:ascii="宋体" w:hAnsi="宋体"/>
          <w:color w:val="auto"/>
          <w:highlight w:val="none"/>
          <w:u w:val="single"/>
        </w:rPr>
        <w:t xml:space="preserve">           </w:t>
      </w:r>
      <w:r>
        <w:rPr>
          <w:rFonts w:ascii="宋体" w:hAnsi="宋体"/>
          <w:color w:val="auto"/>
          <w:highlight w:val="none"/>
        </w:rPr>
        <w:t>的</w:t>
      </w:r>
      <w:r>
        <w:rPr>
          <w:rFonts w:hint="eastAsia" w:ascii="宋体" w:hAnsi="宋体"/>
          <w:color w:val="auto"/>
          <w:highlight w:val="none"/>
        </w:rPr>
        <w:t>响应文件</w:t>
      </w:r>
      <w:r>
        <w:rPr>
          <w:rFonts w:ascii="宋体" w:hAnsi="宋体"/>
          <w:color w:val="auto"/>
          <w:highlight w:val="none"/>
        </w:rPr>
        <w:t>的法定代表人授权委托代理人，我承认代理人全权代表我所签署的本工程的</w:t>
      </w:r>
      <w:r>
        <w:rPr>
          <w:rFonts w:hint="eastAsia" w:ascii="宋体" w:hAnsi="宋体"/>
          <w:color w:val="auto"/>
          <w:highlight w:val="none"/>
        </w:rPr>
        <w:t>响应文件</w:t>
      </w:r>
      <w:r>
        <w:rPr>
          <w:rFonts w:ascii="宋体" w:hAnsi="宋体"/>
          <w:color w:val="auto"/>
          <w:highlight w:val="none"/>
        </w:rPr>
        <w:t>的内容。</w:t>
      </w:r>
    </w:p>
    <w:p w14:paraId="7ED3564A">
      <w:pPr>
        <w:spacing w:line="440" w:lineRule="exact"/>
        <w:ind w:firstLine="420" w:firstLineChars="200"/>
        <w:rPr>
          <w:rFonts w:ascii="宋体" w:hAnsi="宋体"/>
          <w:color w:val="auto"/>
          <w:highlight w:val="none"/>
        </w:rPr>
      </w:pPr>
      <w:r>
        <w:rPr>
          <w:rFonts w:ascii="宋体" w:hAnsi="宋体"/>
          <w:color w:val="auto"/>
          <w:highlight w:val="none"/>
        </w:rPr>
        <w:t>代理人无转委托权，特此委托。</w:t>
      </w:r>
    </w:p>
    <w:p w14:paraId="4E17BCF6">
      <w:pPr>
        <w:spacing w:line="440" w:lineRule="exact"/>
        <w:ind w:firstLine="420" w:firstLineChars="200"/>
        <w:rPr>
          <w:rFonts w:ascii="宋体" w:hAnsi="宋体"/>
          <w:color w:val="auto"/>
          <w:highlight w:val="none"/>
        </w:rPr>
      </w:pPr>
      <w:r>
        <w:rPr>
          <w:rFonts w:ascii="宋体" w:hAnsi="宋体"/>
          <w:color w:val="auto"/>
          <w:highlight w:val="none"/>
        </w:rPr>
        <w:t>授权</w:t>
      </w:r>
      <w:r>
        <w:rPr>
          <w:rFonts w:hint="eastAsia" w:ascii="宋体" w:hAnsi="宋体"/>
          <w:color w:val="auto"/>
          <w:highlight w:val="none"/>
        </w:rPr>
        <w:t>委托</w:t>
      </w:r>
      <w:r>
        <w:rPr>
          <w:rFonts w:ascii="宋体" w:hAnsi="宋体"/>
          <w:color w:val="auto"/>
          <w:highlight w:val="none"/>
        </w:rPr>
        <w:t>代理</w:t>
      </w:r>
      <w:r>
        <w:rPr>
          <w:rFonts w:hint="eastAsia" w:ascii="宋体" w:hAnsi="宋体"/>
          <w:color w:val="auto"/>
          <w:highlight w:val="none"/>
        </w:rPr>
        <w:t>期限：</w:t>
      </w:r>
      <w:r>
        <w:rPr>
          <w:rFonts w:hint="eastAsia" w:ascii="宋体" w:hAnsi="宋体"/>
          <w:color w:val="auto"/>
          <w:highlight w:val="none"/>
          <w:u w:val="single"/>
          <w:lang w:val="en-US" w:eastAsia="zh-CN"/>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日至</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日</w:t>
      </w:r>
    </w:p>
    <w:p w14:paraId="1C993A7F">
      <w:pPr>
        <w:spacing w:line="440" w:lineRule="exact"/>
        <w:ind w:firstLine="413" w:firstLineChars="196"/>
        <w:rPr>
          <w:rFonts w:ascii="宋体" w:hAnsi="宋体"/>
          <w:color w:val="auto"/>
          <w:highlight w:val="none"/>
        </w:rPr>
      </w:pPr>
      <w:r>
        <w:rPr>
          <w:rFonts w:hint="eastAsia" w:ascii="宋体" w:hAnsi="宋体"/>
          <w:b/>
          <w:color w:val="auto"/>
          <w:highlight w:val="none"/>
        </w:rPr>
        <w:t>附：委托代理人身份证复印件</w:t>
      </w:r>
    </w:p>
    <w:p w14:paraId="033A53AE">
      <w:pPr>
        <w:spacing w:line="440" w:lineRule="exact"/>
        <w:rPr>
          <w:rFonts w:ascii="宋体" w:hAnsi="宋体"/>
          <w:color w:val="auto"/>
          <w:highlight w:val="none"/>
        </w:rPr>
      </w:pPr>
    </w:p>
    <w:p w14:paraId="46D936E6">
      <w:pPr>
        <w:spacing w:line="440" w:lineRule="exact"/>
        <w:ind w:left="2699"/>
        <w:rPr>
          <w:rFonts w:ascii="宋体" w:hAnsi="宋体"/>
          <w:color w:val="auto"/>
          <w:highlight w:val="none"/>
          <w:u w:val="single"/>
        </w:rPr>
      </w:pPr>
      <w:r>
        <w:rPr>
          <w:rFonts w:ascii="宋体" w:hAnsi="宋体"/>
          <w:color w:val="auto"/>
          <w:highlight w:val="none"/>
        </w:rPr>
        <w:t>代理人：</w:t>
      </w:r>
      <w:r>
        <w:rPr>
          <w:rFonts w:ascii="宋体" w:hAnsi="宋体"/>
          <w:color w:val="auto"/>
          <w:highlight w:val="none"/>
          <w:u w:val="single"/>
        </w:rPr>
        <w:t xml:space="preserve">   （签字）</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性别 ：</w:t>
      </w:r>
      <w:r>
        <w:rPr>
          <w:rFonts w:ascii="宋体" w:hAnsi="宋体"/>
          <w:color w:val="auto"/>
          <w:highlight w:val="none"/>
          <w:u w:val="single"/>
        </w:rPr>
        <w:t xml:space="preserve">          </w:t>
      </w:r>
      <w:r>
        <w:rPr>
          <w:rFonts w:ascii="宋体" w:hAnsi="宋体"/>
          <w:color w:val="auto"/>
          <w:highlight w:val="none"/>
        </w:rPr>
        <w:t>年龄：_______</w:t>
      </w:r>
    </w:p>
    <w:p w14:paraId="20FB013B">
      <w:pPr>
        <w:spacing w:line="440" w:lineRule="exact"/>
        <w:ind w:left="2699"/>
        <w:rPr>
          <w:rFonts w:ascii="宋体" w:hAnsi="宋体"/>
          <w:b/>
          <w:color w:val="auto"/>
          <w:highlight w:val="none"/>
          <w:u w:val="single"/>
        </w:rPr>
      </w:pPr>
      <w:r>
        <w:rPr>
          <w:rFonts w:ascii="宋体" w:hAnsi="宋体"/>
          <w:color w:val="auto"/>
          <w:highlight w:val="none"/>
        </w:rPr>
        <w:t>身份证号码：</w:t>
      </w:r>
      <w:r>
        <w:rPr>
          <w:rFonts w:ascii="宋体" w:hAnsi="宋体"/>
          <w:color w:val="auto"/>
          <w:highlight w:val="none"/>
          <w:u w:val="single"/>
        </w:rPr>
        <w:t xml:space="preserve">                    </w:t>
      </w:r>
      <w:r>
        <w:rPr>
          <w:rFonts w:ascii="宋体" w:hAnsi="宋体"/>
          <w:color w:val="auto"/>
          <w:highlight w:val="none"/>
        </w:rPr>
        <w:t>职务：</w:t>
      </w:r>
      <w:r>
        <w:rPr>
          <w:rFonts w:ascii="宋体" w:hAnsi="宋体"/>
          <w:b/>
          <w:color w:val="auto"/>
          <w:highlight w:val="none"/>
          <w:u w:val="single"/>
        </w:rPr>
        <w:t xml:space="preserve">       </w:t>
      </w:r>
      <w:r>
        <w:rPr>
          <w:rFonts w:hint="eastAsia" w:ascii="宋体" w:hAnsi="宋体"/>
          <w:b/>
          <w:color w:val="auto"/>
          <w:highlight w:val="none"/>
          <w:u w:val="single"/>
        </w:rPr>
        <w:t xml:space="preserve">      </w:t>
      </w:r>
      <w:r>
        <w:rPr>
          <w:rFonts w:ascii="宋体" w:hAnsi="宋体"/>
          <w:b/>
          <w:color w:val="auto"/>
          <w:highlight w:val="none"/>
          <w:u w:val="single"/>
        </w:rPr>
        <w:t xml:space="preserve">  </w:t>
      </w:r>
    </w:p>
    <w:p w14:paraId="44162084">
      <w:pPr>
        <w:spacing w:line="440" w:lineRule="exact"/>
        <w:ind w:left="2699"/>
        <w:rPr>
          <w:rFonts w:ascii="宋体" w:hAnsi="宋体"/>
          <w:color w:val="auto"/>
          <w:highlight w:val="none"/>
        </w:rPr>
      </w:pPr>
      <w:r>
        <w:rPr>
          <w:rFonts w:hint="eastAsia" w:ascii="宋体" w:hAnsi="宋体"/>
          <w:color w:val="auto"/>
          <w:highlight w:val="none"/>
        </w:rPr>
        <w:t>供应商</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（全称）</w:t>
      </w:r>
      <w:r>
        <w:rPr>
          <w:rFonts w:ascii="宋体" w:hAnsi="宋体"/>
          <w:color w:val="auto"/>
          <w:highlight w:val="none"/>
          <w:u w:val="single"/>
        </w:rPr>
        <w:t xml:space="preserve">                 </w:t>
      </w:r>
      <w:r>
        <w:rPr>
          <w:rFonts w:ascii="宋体" w:hAnsi="宋体"/>
          <w:color w:val="auto"/>
          <w:highlight w:val="none"/>
        </w:rPr>
        <w:t>（盖</w:t>
      </w:r>
      <w:r>
        <w:rPr>
          <w:rFonts w:hint="eastAsia" w:ascii="宋体" w:hAnsi="宋体"/>
          <w:color w:val="auto"/>
          <w:highlight w:val="none"/>
        </w:rPr>
        <w:t>单位</w:t>
      </w:r>
      <w:r>
        <w:rPr>
          <w:rFonts w:ascii="宋体" w:hAnsi="宋体"/>
          <w:color w:val="auto"/>
          <w:highlight w:val="none"/>
        </w:rPr>
        <w:t>章）</w:t>
      </w:r>
    </w:p>
    <w:p w14:paraId="1D62ECAD">
      <w:pPr>
        <w:spacing w:line="440" w:lineRule="exact"/>
        <w:ind w:left="2699"/>
        <w:rPr>
          <w:rFonts w:ascii="宋体" w:hAnsi="宋体"/>
          <w:color w:val="auto"/>
          <w:highlight w:val="none"/>
        </w:rPr>
      </w:pPr>
      <w:r>
        <w:rPr>
          <w:rFonts w:ascii="宋体" w:hAnsi="宋体"/>
          <w:color w:val="auto"/>
          <w:highlight w:val="none"/>
        </w:rPr>
        <w:t>法定代表人：</w:t>
      </w:r>
      <w:r>
        <w:rPr>
          <w:rFonts w:ascii="宋体" w:hAnsi="宋体"/>
          <w:color w:val="auto"/>
          <w:highlight w:val="none"/>
          <w:u w:val="single"/>
        </w:rPr>
        <w:t xml:space="preserve">                            </w:t>
      </w:r>
      <w:r>
        <w:rPr>
          <w:rFonts w:ascii="宋体" w:hAnsi="宋体"/>
          <w:color w:val="auto"/>
          <w:highlight w:val="none"/>
        </w:rPr>
        <w:t>（签字）</w:t>
      </w:r>
    </w:p>
    <w:p w14:paraId="53FB6F2B">
      <w:pPr>
        <w:spacing w:line="440" w:lineRule="exact"/>
        <w:ind w:left="2699"/>
        <w:rPr>
          <w:rFonts w:ascii="宋体" w:hAnsi="宋体"/>
          <w:color w:val="auto"/>
          <w:highlight w:val="none"/>
        </w:rPr>
      </w:pPr>
      <w:r>
        <w:rPr>
          <w:rFonts w:ascii="宋体" w:hAnsi="宋体"/>
          <w:color w:val="auto"/>
          <w:highlight w:val="none"/>
        </w:rPr>
        <w:t>授权委托日期：</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4D1F01F4">
      <w:pPr>
        <w:spacing w:line="360" w:lineRule="auto"/>
        <w:rPr>
          <w:rFonts w:ascii="宋体" w:hAnsi="宋体"/>
          <w:color w:val="auto"/>
          <w:highlight w:val="none"/>
        </w:rPr>
      </w:pPr>
    </w:p>
    <w:p w14:paraId="7019FAA9">
      <w:pPr>
        <w:spacing w:line="400" w:lineRule="exact"/>
        <w:ind w:left="28" w:firstLine="452"/>
        <w:rPr>
          <w:rFonts w:ascii="宋体" w:hAnsi="宋体"/>
          <w:color w:val="auto"/>
          <w:highlight w:val="none"/>
        </w:rPr>
      </w:pPr>
      <w:r>
        <w:rPr>
          <w:rFonts w:ascii="宋体" w:hAnsi="宋体"/>
          <w:color w:val="auto"/>
          <w:highlight w:val="none"/>
        </w:rPr>
        <w:br w:type="page"/>
      </w:r>
      <w:r>
        <w:rPr>
          <w:rFonts w:hint="eastAsia" w:ascii="宋体" w:hAnsi="宋体"/>
          <w:b/>
          <w:color w:val="auto"/>
          <w:sz w:val="24"/>
          <w:highlight w:val="none"/>
        </w:rPr>
        <w:t>格式四：</w:t>
      </w:r>
    </w:p>
    <w:p w14:paraId="78968046">
      <w:pPr>
        <w:spacing w:line="400" w:lineRule="exact"/>
        <w:ind w:left="28" w:firstLine="452"/>
        <w:rPr>
          <w:rFonts w:ascii="宋体" w:hAnsi="宋体"/>
          <w:color w:val="auto"/>
          <w:highlight w:val="none"/>
        </w:rPr>
      </w:pPr>
    </w:p>
    <w:p w14:paraId="7526CA96">
      <w:pPr>
        <w:spacing w:line="400" w:lineRule="exact"/>
        <w:ind w:left="28" w:firstLine="452"/>
        <w:jc w:val="center"/>
        <w:rPr>
          <w:rFonts w:ascii="宋体" w:hAnsi="宋体"/>
          <w:b/>
          <w:color w:val="auto"/>
          <w:sz w:val="24"/>
          <w:highlight w:val="none"/>
        </w:rPr>
      </w:pPr>
      <w:r>
        <w:rPr>
          <w:rFonts w:hint="eastAsia" w:ascii="宋体" w:hAnsi="宋体"/>
          <w:b/>
          <w:color w:val="auto"/>
          <w:sz w:val="24"/>
          <w:highlight w:val="none"/>
        </w:rPr>
        <w:t>足额缴纳农民工工资的承诺书</w:t>
      </w:r>
    </w:p>
    <w:p w14:paraId="1F80D3B7">
      <w:pPr>
        <w:spacing w:line="400" w:lineRule="exact"/>
        <w:ind w:left="28" w:firstLine="452"/>
        <w:jc w:val="center"/>
        <w:rPr>
          <w:rFonts w:ascii="宋体" w:hAnsi="宋体" w:cs="宋体"/>
          <w:color w:val="auto"/>
          <w:highlight w:val="none"/>
        </w:rPr>
      </w:pPr>
    </w:p>
    <w:p w14:paraId="7BACF892">
      <w:pPr>
        <w:spacing w:line="480" w:lineRule="auto"/>
        <w:jc w:val="left"/>
        <w:rPr>
          <w:rFonts w:ascii="宋体" w:hAnsi="宋体"/>
          <w:color w:val="auto"/>
          <w:highlight w:val="none"/>
        </w:rPr>
      </w:pPr>
      <w:r>
        <w:rPr>
          <w:rFonts w:hint="eastAsia" w:ascii="宋体" w:hAnsi="宋体" w:cs="宋体"/>
          <w:color w:val="auto"/>
          <w:highlight w:val="none"/>
        </w:rPr>
        <w:t>致</w:t>
      </w:r>
      <w:r>
        <w:rPr>
          <w:rFonts w:ascii="宋体" w:hAnsi="宋体"/>
          <w:color w:val="auto"/>
          <w:highlight w:val="none"/>
          <w:u w:val="single"/>
        </w:rPr>
        <w:t xml:space="preserve">                        </w:t>
      </w:r>
      <w:r>
        <w:rPr>
          <w:rFonts w:hint="eastAsia" w:ascii="宋体" w:hAnsi="宋体" w:cs="宋体"/>
          <w:color w:val="auto"/>
          <w:highlight w:val="none"/>
        </w:rPr>
        <w:t>（采购人名称）：</w:t>
      </w:r>
    </w:p>
    <w:p w14:paraId="7BDBF08F">
      <w:pPr>
        <w:spacing w:line="520" w:lineRule="exact"/>
        <w:ind w:left="-10" w:firstLine="455" w:firstLineChars="217"/>
        <w:jc w:val="left"/>
        <w:rPr>
          <w:rFonts w:ascii="宋体" w:hAnsi="宋体"/>
          <w:b/>
          <w:color w:val="auto"/>
          <w:sz w:val="24"/>
          <w:highlight w:val="none"/>
        </w:rPr>
      </w:pPr>
      <w:r>
        <w:rPr>
          <w:rFonts w:hint="eastAsia" w:ascii="宋体" w:hAnsi="宋体" w:cs="宋体"/>
          <w:color w:val="auto"/>
          <w:highlight w:val="none"/>
        </w:rPr>
        <w:t>作为参与</w:t>
      </w:r>
      <w:r>
        <w:rPr>
          <w:rFonts w:ascii="宋体" w:hAnsi="宋体"/>
          <w:color w:val="auto"/>
          <w:highlight w:val="none"/>
          <w:u w:val="single"/>
        </w:rPr>
        <w:t xml:space="preserve">                  </w:t>
      </w:r>
      <w:r>
        <w:rPr>
          <w:rFonts w:hint="eastAsia" w:ascii="宋体" w:hAnsi="宋体" w:cs="宋体"/>
          <w:color w:val="auto"/>
          <w:highlight w:val="none"/>
        </w:rPr>
        <w:t>（工程名称）项目的供应商，根据国家、自治区相关文件规定，我方在此向采标人承诺：</w:t>
      </w:r>
    </w:p>
    <w:p w14:paraId="4A12ACAC">
      <w:pPr>
        <w:spacing w:line="520" w:lineRule="exact"/>
        <w:ind w:left="-10" w:firstLine="455" w:firstLineChars="217"/>
        <w:jc w:val="left"/>
        <w:rPr>
          <w:rFonts w:ascii="宋体" w:hAnsi="宋体" w:cs="宋体"/>
          <w:color w:val="auto"/>
          <w:highlight w:val="none"/>
        </w:rPr>
      </w:pPr>
      <w:r>
        <w:rPr>
          <w:rFonts w:hint="eastAsia" w:ascii="宋体" w:hAnsi="宋体" w:cs="宋体"/>
          <w:color w:val="auto"/>
          <w:highlight w:val="none"/>
        </w:rPr>
        <w:t>一旦成交，我方保证按照政府相关部门的规定，在发出成交通知书之日起</w:t>
      </w:r>
      <w:r>
        <w:rPr>
          <w:rFonts w:ascii="宋体" w:hAnsi="宋体"/>
          <w:color w:val="auto"/>
          <w:highlight w:val="none"/>
        </w:rPr>
        <w:t>7</w:t>
      </w:r>
      <w:r>
        <w:rPr>
          <w:rFonts w:hint="eastAsia" w:ascii="宋体" w:hAnsi="宋体" w:cs="宋体"/>
          <w:color w:val="auto"/>
          <w:highlight w:val="none"/>
        </w:rPr>
        <w:t>个工作日内足额将农民工工资保障金转入农民工工资保障金专用账户，或向采购人提供由工程项目所在地（工程项目所在省区范围内）商业银行出具同等金额农民工工资保证金银行保函，作为支付承包人拖欠的农民工工资的保证。一旦我方所承包的该项目中出现拖欠农民工工资情况，由劳动保障、住房城乡建设行政主管部门按照《关于进一步完善建筑行业农民工工资保证金制度的通知》（桂劳社发〔</w:t>
      </w:r>
      <w:r>
        <w:rPr>
          <w:rFonts w:ascii="宋体" w:hAnsi="宋体"/>
          <w:color w:val="auto"/>
          <w:highlight w:val="none"/>
        </w:rPr>
        <w:t>2009</w:t>
      </w:r>
      <w:r>
        <w:rPr>
          <w:rFonts w:hint="eastAsia" w:ascii="宋体" w:hAnsi="宋体" w:cs="宋体"/>
          <w:color w:val="auto"/>
          <w:highlight w:val="none"/>
        </w:rPr>
        <w:t>〕</w:t>
      </w:r>
      <w:r>
        <w:rPr>
          <w:rFonts w:ascii="宋体" w:hAnsi="宋体"/>
          <w:color w:val="auto"/>
          <w:highlight w:val="none"/>
        </w:rPr>
        <w:t>50</w:t>
      </w:r>
      <w:r>
        <w:rPr>
          <w:rFonts w:hint="eastAsia" w:ascii="宋体" w:hAnsi="宋体" w:cs="宋体"/>
          <w:color w:val="auto"/>
          <w:highlight w:val="none"/>
        </w:rPr>
        <w:t>号）从我方农民工工资保障金中先予划支。</w:t>
      </w:r>
    </w:p>
    <w:p w14:paraId="2C4D9D52">
      <w:pPr>
        <w:spacing w:line="520" w:lineRule="exact"/>
        <w:ind w:left="-10" w:firstLine="455" w:firstLineChars="217"/>
        <w:jc w:val="left"/>
        <w:rPr>
          <w:rFonts w:ascii="宋体" w:hAnsi="宋体" w:cs="宋体"/>
          <w:color w:val="auto"/>
          <w:highlight w:val="none"/>
        </w:rPr>
      </w:pPr>
    </w:p>
    <w:p w14:paraId="30B4B865">
      <w:pPr>
        <w:pStyle w:val="23"/>
        <w:rPr>
          <w:rFonts w:hAnsi="宋体"/>
          <w:color w:val="auto"/>
          <w:sz w:val="24"/>
          <w:highlight w:val="none"/>
          <w:u w:val="single"/>
        </w:rPr>
      </w:pPr>
    </w:p>
    <w:p w14:paraId="7FA4168E">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供应商（公章）：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0B963FC0">
      <w:pPr>
        <w:spacing w:line="360" w:lineRule="exact"/>
        <w:ind w:firstLine="315" w:firstLineChars="150"/>
        <w:rPr>
          <w:rFonts w:ascii="宋体" w:hAnsi="宋体"/>
          <w:color w:val="auto"/>
          <w:szCs w:val="21"/>
          <w:highlight w:val="none"/>
        </w:rPr>
      </w:pPr>
    </w:p>
    <w:p w14:paraId="786AD0F4">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法定代表人或授权委托代理人（签字）：</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26207C17">
      <w:pPr>
        <w:spacing w:line="360" w:lineRule="exact"/>
        <w:ind w:firstLine="315" w:firstLineChars="150"/>
        <w:rPr>
          <w:rFonts w:ascii="宋体" w:hAnsi="宋体"/>
          <w:color w:val="auto"/>
          <w:szCs w:val="21"/>
          <w:highlight w:val="none"/>
        </w:rPr>
      </w:pPr>
    </w:p>
    <w:p w14:paraId="135FD839">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14:paraId="1B74BAC5">
      <w:pPr>
        <w:spacing w:line="520" w:lineRule="exact"/>
        <w:ind w:left="-10" w:firstLine="455" w:firstLineChars="217"/>
        <w:jc w:val="left"/>
        <w:rPr>
          <w:rFonts w:ascii="宋体" w:hAnsi="宋体"/>
          <w:color w:val="auto"/>
          <w:highlight w:val="none"/>
        </w:rPr>
      </w:pPr>
    </w:p>
    <w:p w14:paraId="48ED2039">
      <w:pPr>
        <w:spacing w:line="520" w:lineRule="exact"/>
        <w:ind w:left="-10" w:firstLine="455" w:firstLineChars="217"/>
        <w:jc w:val="left"/>
        <w:rPr>
          <w:rFonts w:ascii="宋体" w:hAnsi="宋体"/>
          <w:color w:val="auto"/>
          <w:highlight w:val="none"/>
        </w:rPr>
      </w:pPr>
    </w:p>
    <w:p w14:paraId="6EEF16B3">
      <w:pPr>
        <w:spacing w:line="520" w:lineRule="exact"/>
        <w:ind w:left="-10" w:firstLine="455" w:firstLineChars="217"/>
        <w:jc w:val="left"/>
        <w:rPr>
          <w:rFonts w:ascii="宋体" w:hAnsi="宋体"/>
          <w:color w:val="auto"/>
          <w:highlight w:val="none"/>
        </w:rPr>
      </w:pPr>
    </w:p>
    <w:p w14:paraId="2AA5DF0A">
      <w:pPr>
        <w:spacing w:line="520" w:lineRule="exact"/>
        <w:ind w:left="-10" w:firstLine="455" w:firstLineChars="217"/>
        <w:jc w:val="left"/>
        <w:rPr>
          <w:rFonts w:ascii="宋体" w:hAnsi="宋体"/>
          <w:color w:val="auto"/>
          <w:highlight w:val="none"/>
        </w:rPr>
      </w:pPr>
    </w:p>
    <w:p w14:paraId="1F3561A4">
      <w:pPr>
        <w:spacing w:line="520" w:lineRule="exact"/>
        <w:ind w:left="-10" w:firstLine="455" w:firstLineChars="217"/>
        <w:jc w:val="left"/>
        <w:rPr>
          <w:rFonts w:ascii="宋体" w:hAnsi="宋体"/>
          <w:color w:val="auto"/>
          <w:highlight w:val="none"/>
        </w:rPr>
      </w:pPr>
    </w:p>
    <w:p w14:paraId="410B8C50">
      <w:pPr>
        <w:spacing w:line="520" w:lineRule="exact"/>
        <w:ind w:left="-10" w:firstLine="455" w:firstLineChars="217"/>
        <w:jc w:val="left"/>
        <w:rPr>
          <w:rFonts w:ascii="宋体" w:hAnsi="宋体"/>
          <w:color w:val="auto"/>
          <w:highlight w:val="none"/>
        </w:rPr>
      </w:pPr>
    </w:p>
    <w:p w14:paraId="0F0AA893">
      <w:pPr>
        <w:spacing w:line="520" w:lineRule="exact"/>
        <w:ind w:left="-10" w:firstLine="455" w:firstLineChars="217"/>
        <w:jc w:val="left"/>
        <w:rPr>
          <w:rFonts w:ascii="宋体" w:hAnsi="宋体"/>
          <w:color w:val="auto"/>
          <w:highlight w:val="none"/>
        </w:rPr>
      </w:pPr>
    </w:p>
    <w:p w14:paraId="671E0345">
      <w:pPr>
        <w:spacing w:line="520" w:lineRule="exact"/>
        <w:ind w:left="-10" w:firstLine="455" w:firstLineChars="217"/>
        <w:jc w:val="left"/>
        <w:rPr>
          <w:rFonts w:ascii="宋体" w:hAnsi="宋体"/>
          <w:color w:val="auto"/>
          <w:highlight w:val="none"/>
        </w:rPr>
      </w:pPr>
    </w:p>
    <w:p w14:paraId="7ABF51CA">
      <w:pPr>
        <w:spacing w:line="520" w:lineRule="exact"/>
        <w:ind w:left="-10" w:firstLine="455" w:firstLineChars="217"/>
        <w:jc w:val="left"/>
        <w:rPr>
          <w:rFonts w:ascii="宋体" w:hAnsi="宋体"/>
          <w:color w:val="auto"/>
          <w:highlight w:val="none"/>
        </w:rPr>
      </w:pPr>
    </w:p>
    <w:p w14:paraId="40EFCD66">
      <w:pPr>
        <w:spacing w:line="520" w:lineRule="exact"/>
        <w:ind w:left="-10" w:firstLine="455" w:firstLineChars="217"/>
        <w:jc w:val="left"/>
        <w:rPr>
          <w:rFonts w:ascii="宋体" w:hAnsi="宋体"/>
          <w:color w:val="auto"/>
          <w:highlight w:val="none"/>
        </w:rPr>
      </w:pPr>
    </w:p>
    <w:p w14:paraId="5CD76D63">
      <w:pPr>
        <w:spacing w:line="520" w:lineRule="exact"/>
        <w:ind w:left="-10" w:firstLine="523" w:firstLineChars="217"/>
        <w:jc w:val="left"/>
        <w:rPr>
          <w:rFonts w:ascii="宋体" w:hAnsi="宋体"/>
          <w:color w:val="auto"/>
          <w:highlight w:val="none"/>
        </w:rPr>
      </w:pPr>
      <w:r>
        <w:rPr>
          <w:rFonts w:hint="eastAsia" w:ascii="宋体" w:hAnsi="宋体"/>
          <w:b/>
          <w:color w:val="auto"/>
          <w:sz w:val="24"/>
          <w:highlight w:val="none"/>
        </w:rPr>
        <w:t>格式五：</w:t>
      </w:r>
    </w:p>
    <w:p w14:paraId="1211195D">
      <w:pPr>
        <w:spacing w:line="520" w:lineRule="exact"/>
        <w:ind w:left="-10" w:firstLine="523" w:firstLineChars="217"/>
        <w:jc w:val="center"/>
        <w:rPr>
          <w:rFonts w:ascii="宋体" w:hAnsi="宋体"/>
          <w:b/>
          <w:color w:val="auto"/>
          <w:sz w:val="24"/>
          <w:highlight w:val="none"/>
        </w:rPr>
      </w:pPr>
      <w:r>
        <w:rPr>
          <w:rFonts w:hint="eastAsia" w:ascii="宋体" w:hAnsi="宋体"/>
          <w:b/>
          <w:color w:val="auto"/>
          <w:sz w:val="24"/>
          <w:highlight w:val="none"/>
        </w:rPr>
        <w:t>安全防护、文明施工措施方案的承诺书</w:t>
      </w:r>
    </w:p>
    <w:p w14:paraId="36109169">
      <w:pPr>
        <w:spacing w:line="520" w:lineRule="exact"/>
        <w:ind w:left="-10" w:firstLine="523" w:firstLineChars="217"/>
        <w:jc w:val="center"/>
        <w:rPr>
          <w:rFonts w:ascii="宋体" w:hAnsi="宋体"/>
          <w:b/>
          <w:color w:val="auto"/>
          <w:sz w:val="24"/>
          <w:highlight w:val="none"/>
        </w:rPr>
      </w:pPr>
    </w:p>
    <w:p w14:paraId="1C80B6AC">
      <w:pPr>
        <w:spacing w:line="480" w:lineRule="auto"/>
        <w:jc w:val="left"/>
        <w:rPr>
          <w:rFonts w:ascii="宋体" w:hAnsi="宋体"/>
          <w:color w:val="auto"/>
          <w:highlight w:val="none"/>
        </w:rPr>
      </w:pPr>
      <w:r>
        <w:rPr>
          <w:rFonts w:hint="eastAsia" w:ascii="宋体" w:hAnsi="宋体" w:cs="宋体"/>
          <w:color w:val="auto"/>
          <w:highlight w:val="none"/>
        </w:rPr>
        <w:t>致</w:t>
      </w:r>
      <w:r>
        <w:rPr>
          <w:rFonts w:ascii="宋体" w:hAnsi="宋体" w:cs="宋体"/>
          <w:color w:val="auto"/>
          <w:highlight w:val="none"/>
          <w:u w:val="single"/>
        </w:rPr>
        <w:t xml:space="preserve">      </w:t>
      </w:r>
      <w:r>
        <w:rPr>
          <w:rFonts w:hint="eastAsia" w:ascii="宋体" w:hAnsi="宋体" w:cs="宋体"/>
          <w:color w:val="auto"/>
          <w:highlight w:val="none"/>
          <w:u w:val="single"/>
        </w:rPr>
        <w:t>（采购人名称）</w:t>
      </w:r>
      <w:r>
        <w:rPr>
          <w:rFonts w:ascii="宋体" w:hAnsi="宋体" w:cs="宋体"/>
          <w:color w:val="auto"/>
          <w:highlight w:val="none"/>
          <w:u w:val="single"/>
        </w:rPr>
        <w:t xml:space="preserve">     </w:t>
      </w:r>
      <w:r>
        <w:rPr>
          <w:rFonts w:hint="eastAsia" w:ascii="宋体" w:hAnsi="宋体" w:cs="宋体"/>
          <w:color w:val="auto"/>
          <w:highlight w:val="none"/>
        </w:rPr>
        <w:t>：</w:t>
      </w:r>
    </w:p>
    <w:p w14:paraId="68679F5D">
      <w:pPr>
        <w:spacing w:line="480" w:lineRule="auto"/>
        <w:ind w:firstLine="422" w:firstLineChars="201"/>
        <w:jc w:val="left"/>
        <w:rPr>
          <w:rFonts w:ascii="宋体" w:hAnsi="宋体"/>
          <w:color w:val="auto"/>
          <w:highlight w:val="none"/>
        </w:rPr>
      </w:pPr>
      <w:r>
        <w:rPr>
          <w:rFonts w:hint="eastAsia" w:ascii="宋体" w:hAnsi="宋体" w:cs="宋体"/>
          <w:color w:val="auto"/>
          <w:highlight w:val="none"/>
        </w:rPr>
        <w:t>根据桂建质</w:t>
      </w:r>
      <w:r>
        <w:rPr>
          <w:rFonts w:ascii="宋体" w:hAnsi="宋体" w:cs="宋体"/>
          <w:color w:val="auto"/>
          <w:highlight w:val="none"/>
        </w:rPr>
        <w:t>[2015]16</w:t>
      </w:r>
      <w:r>
        <w:rPr>
          <w:rFonts w:hint="eastAsia" w:ascii="宋体" w:hAnsi="宋体" w:cs="宋体"/>
          <w:color w:val="auto"/>
          <w:highlight w:val="none"/>
        </w:rPr>
        <w:t>号文件规定，我方在此向采购人承诺：</w:t>
      </w:r>
    </w:p>
    <w:p w14:paraId="4B8B697B">
      <w:pPr>
        <w:spacing w:line="480" w:lineRule="auto"/>
        <w:ind w:left="-10" w:firstLine="455" w:firstLineChars="217"/>
        <w:jc w:val="left"/>
        <w:rPr>
          <w:rFonts w:ascii="宋体" w:hAnsi="宋体"/>
          <w:color w:val="auto"/>
          <w:highlight w:val="none"/>
        </w:rPr>
      </w:pPr>
      <w:r>
        <w:rPr>
          <w:rFonts w:ascii="宋体" w:hAnsi="宋体" w:cs="宋体"/>
          <w:color w:val="auto"/>
          <w:highlight w:val="none"/>
        </w:rPr>
        <w:t>1</w:t>
      </w:r>
      <w:r>
        <w:rPr>
          <w:rFonts w:hint="eastAsia" w:ascii="宋体" w:hAnsi="宋体" w:cs="宋体"/>
          <w:color w:val="auto"/>
          <w:highlight w:val="none"/>
        </w:rPr>
        <w:t>、我方参与磋商的</w:t>
      </w:r>
      <w:r>
        <w:rPr>
          <w:rFonts w:ascii="宋体" w:hAnsi="宋体" w:cs="宋体"/>
          <w:color w:val="auto"/>
          <w:highlight w:val="none"/>
          <w:u w:val="single"/>
        </w:rPr>
        <w:t xml:space="preserve">    </w:t>
      </w:r>
      <w:r>
        <w:rPr>
          <w:rFonts w:hint="eastAsia" w:ascii="宋体" w:hAnsi="宋体" w:cs="宋体"/>
          <w:color w:val="auto"/>
          <w:highlight w:val="none"/>
          <w:u w:val="single"/>
        </w:rPr>
        <w:t xml:space="preserve">（工程名称） </w:t>
      </w:r>
      <w:r>
        <w:rPr>
          <w:rFonts w:ascii="宋体" w:hAnsi="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rPr>
        <w:t>项目，一旦成交，我方保证在施工过程中，严格执行《广西壮族自治区建筑工程安全防护、文明施工措施费及使用管理细则》（桂建质</w:t>
      </w:r>
      <w:r>
        <w:rPr>
          <w:rFonts w:ascii="宋体" w:hAnsi="宋体" w:cs="宋体"/>
          <w:color w:val="auto"/>
          <w:highlight w:val="none"/>
        </w:rPr>
        <w:t>[2015]16</w:t>
      </w:r>
      <w:r>
        <w:rPr>
          <w:rFonts w:hint="eastAsia" w:ascii="宋体" w:hAnsi="宋体" w:cs="宋体"/>
          <w:color w:val="auto"/>
          <w:highlight w:val="none"/>
        </w:rPr>
        <w:t>号文）的有关规定，确保建设工程各项安全防护、文明施工措施落实到位。</w:t>
      </w:r>
    </w:p>
    <w:p w14:paraId="4DBE4321">
      <w:pPr>
        <w:spacing w:line="480" w:lineRule="auto"/>
        <w:ind w:left="-10" w:firstLine="455" w:firstLineChars="217"/>
        <w:jc w:val="left"/>
        <w:rPr>
          <w:rFonts w:ascii="宋体" w:hAnsi="宋体"/>
          <w:color w:val="auto"/>
          <w:highlight w:val="none"/>
        </w:rPr>
      </w:pPr>
      <w:r>
        <w:rPr>
          <w:rFonts w:ascii="宋体" w:hAnsi="宋体" w:cs="宋体"/>
          <w:color w:val="auto"/>
          <w:highlight w:val="none"/>
        </w:rPr>
        <w:t>2</w:t>
      </w:r>
      <w:r>
        <w:rPr>
          <w:rFonts w:hint="eastAsia" w:ascii="宋体" w:hAnsi="宋体" w:cs="宋体"/>
          <w:color w:val="auto"/>
          <w:highlight w:val="none"/>
        </w:rPr>
        <w:t>、如我方在承包的</w:t>
      </w:r>
      <w:r>
        <w:rPr>
          <w:rFonts w:ascii="宋体" w:hAnsi="宋体" w:cs="宋体"/>
          <w:color w:val="auto"/>
          <w:highlight w:val="none"/>
          <w:u w:val="single"/>
        </w:rPr>
        <w:t xml:space="preserve">    </w:t>
      </w:r>
      <w:r>
        <w:rPr>
          <w:rFonts w:hint="eastAsia" w:ascii="宋体" w:hAnsi="宋体" w:cs="宋体"/>
          <w:color w:val="auto"/>
          <w:highlight w:val="none"/>
          <w:u w:val="single"/>
        </w:rPr>
        <w:t>（工程名称）</w:t>
      </w:r>
      <w:r>
        <w:rPr>
          <w:rFonts w:ascii="宋体" w:hAnsi="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rPr>
        <w:t>项目中出现未按桂建质</w:t>
      </w:r>
      <w:r>
        <w:rPr>
          <w:rFonts w:ascii="宋体" w:hAnsi="宋体" w:cs="宋体"/>
          <w:color w:val="auto"/>
          <w:highlight w:val="none"/>
        </w:rPr>
        <w:t>[2015]16</w:t>
      </w:r>
      <w:r>
        <w:rPr>
          <w:rFonts w:hint="eastAsia" w:ascii="宋体" w:hAnsi="宋体" w:cs="宋体"/>
          <w:color w:val="auto"/>
          <w:highlight w:val="none"/>
        </w:rPr>
        <w:t>号文附件一规定执行的情形，我方愿意按照相关规定接受采购人及有关主管部门的处罚。</w:t>
      </w:r>
    </w:p>
    <w:p w14:paraId="30C6032F">
      <w:pPr>
        <w:spacing w:line="360" w:lineRule="auto"/>
        <w:ind w:left="-2" w:leftChars="-1" w:firstLine="449" w:firstLineChars="214"/>
        <w:jc w:val="left"/>
        <w:rPr>
          <w:rFonts w:ascii="宋体" w:hAnsi="宋体"/>
          <w:color w:val="auto"/>
          <w:highlight w:val="none"/>
        </w:rPr>
      </w:pPr>
    </w:p>
    <w:p w14:paraId="2E7A9550">
      <w:pPr>
        <w:spacing w:line="360" w:lineRule="auto"/>
        <w:jc w:val="left"/>
        <w:rPr>
          <w:rFonts w:ascii="宋体" w:hAnsi="宋体"/>
          <w:color w:val="auto"/>
          <w:highlight w:val="none"/>
        </w:rPr>
      </w:pPr>
    </w:p>
    <w:p w14:paraId="3754C410">
      <w:pPr>
        <w:spacing w:line="360" w:lineRule="auto"/>
        <w:jc w:val="left"/>
        <w:rPr>
          <w:rFonts w:ascii="宋体" w:hAnsi="宋体"/>
          <w:color w:val="auto"/>
          <w:highlight w:val="none"/>
        </w:rPr>
      </w:pPr>
    </w:p>
    <w:p w14:paraId="00B4F7CA">
      <w:pPr>
        <w:spacing w:line="360" w:lineRule="auto"/>
        <w:jc w:val="left"/>
        <w:rPr>
          <w:rFonts w:ascii="宋体" w:hAnsi="宋体"/>
          <w:color w:val="auto"/>
          <w:highlight w:val="none"/>
        </w:rPr>
      </w:pPr>
    </w:p>
    <w:p w14:paraId="186DBD64">
      <w:pPr>
        <w:spacing w:line="360" w:lineRule="auto"/>
        <w:ind w:firstLine="1260" w:firstLineChars="600"/>
        <w:jc w:val="left"/>
        <w:rPr>
          <w:rFonts w:ascii="宋体" w:hAnsi="宋体"/>
          <w:color w:val="auto"/>
          <w:highlight w:val="none"/>
          <w:u w:val="single"/>
        </w:rPr>
      </w:pPr>
      <w:r>
        <w:rPr>
          <w:rFonts w:hint="eastAsia" w:ascii="宋体" w:hAnsi="宋体"/>
          <w:color w:val="auto"/>
          <w:highlight w:val="none"/>
        </w:rPr>
        <w:t>供应商</w:t>
      </w:r>
      <w:r>
        <w:rPr>
          <w:rFonts w:hint="eastAsia" w:ascii="宋体" w:hAnsi="宋体" w:cs="宋体"/>
          <w:color w:val="auto"/>
          <w:highlight w:val="none"/>
        </w:rPr>
        <w:t>：</w:t>
      </w:r>
      <w:r>
        <w:rPr>
          <w:rFonts w:ascii="宋体" w:hAnsi="宋体" w:cs="宋体"/>
          <w:color w:val="auto"/>
          <w:highlight w:val="none"/>
          <w:u w:val="single"/>
        </w:rPr>
        <w:t xml:space="preserve">    </w:t>
      </w:r>
      <w:r>
        <w:rPr>
          <w:rFonts w:hint="eastAsia" w:ascii="宋体" w:hAnsi="宋体" w:cs="宋体"/>
          <w:color w:val="auto"/>
          <w:highlight w:val="none"/>
          <w:u w:val="single"/>
        </w:rPr>
        <w:t>（供应商名称）</w:t>
      </w:r>
      <w:r>
        <w:rPr>
          <w:rFonts w:ascii="宋体" w:hAnsi="宋体" w:cs="宋体"/>
          <w:color w:val="auto"/>
          <w:highlight w:val="none"/>
          <w:u w:val="single"/>
        </w:rPr>
        <w:t xml:space="preserve">    </w:t>
      </w:r>
      <w:r>
        <w:rPr>
          <w:rFonts w:hint="eastAsia" w:ascii="宋体" w:hAnsi="宋体" w:cs="宋体"/>
          <w:color w:val="auto"/>
          <w:highlight w:val="none"/>
          <w:u w:val="single"/>
        </w:rPr>
        <w:t>（盖章）</w:t>
      </w:r>
    </w:p>
    <w:p w14:paraId="26D71FFB">
      <w:pPr>
        <w:spacing w:line="360" w:lineRule="auto"/>
        <w:ind w:firstLine="1260" w:firstLineChars="600"/>
        <w:jc w:val="left"/>
        <w:rPr>
          <w:rFonts w:ascii="宋体" w:hAnsi="宋体"/>
          <w:color w:val="auto"/>
          <w:highlight w:val="none"/>
        </w:rPr>
      </w:pPr>
    </w:p>
    <w:p w14:paraId="4B2A074C">
      <w:pPr>
        <w:spacing w:line="360" w:lineRule="auto"/>
        <w:ind w:firstLine="1260" w:firstLineChars="600"/>
        <w:jc w:val="left"/>
        <w:rPr>
          <w:rFonts w:ascii="宋体" w:hAnsi="宋体"/>
          <w:color w:val="auto"/>
          <w:highlight w:val="none"/>
        </w:rPr>
      </w:pPr>
      <w:r>
        <w:rPr>
          <w:rFonts w:hint="eastAsia" w:ascii="宋体" w:hAnsi="宋体" w:cs="宋体"/>
          <w:color w:val="auto"/>
          <w:highlight w:val="none"/>
        </w:rPr>
        <w:t>法定代表人或授权代理人：</w:t>
      </w:r>
      <w:r>
        <w:rPr>
          <w:rFonts w:ascii="宋体" w:hAnsi="宋体" w:cs="宋体"/>
          <w:color w:val="auto"/>
          <w:highlight w:val="none"/>
        </w:rPr>
        <w:t xml:space="preserve"> </w:t>
      </w:r>
      <w:r>
        <w:rPr>
          <w:rFonts w:hint="eastAsia" w:ascii="宋体" w:hAnsi="宋体" w:cs="宋体"/>
          <w:color w:val="auto"/>
          <w:highlight w:val="none"/>
        </w:rPr>
        <w:t>（签字）</w:t>
      </w:r>
      <w:r>
        <w:rPr>
          <w:rFonts w:ascii="宋体" w:hAnsi="宋体" w:cs="宋体"/>
          <w:color w:val="auto"/>
          <w:highlight w:val="none"/>
        </w:rPr>
        <w:t xml:space="preserve"> </w:t>
      </w:r>
    </w:p>
    <w:p w14:paraId="19288ABC">
      <w:pPr>
        <w:spacing w:line="360" w:lineRule="auto"/>
        <w:ind w:firstLine="1260" w:firstLineChars="600"/>
        <w:jc w:val="left"/>
        <w:rPr>
          <w:rFonts w:ascii="宋体" w:hAnsi="宋体"/>
          <w:color w:val="auto"/>
          <w:highlight w:val="none"/>
        </w:rPr>
      </w:pPr>
    </w:p>
    <w:p w14:paraId="1FB7F306">
      <w:pPr>
        <w:spacing w:line="360" w:lineRule="auto"/>
        <w:ind w:firstLine="1260" w:firstLineChars="600"/>
        <w:jc w:val="left"/>
        <w:rPr>
          <w:rFonts w:ascii="宋体" w:hAnsi="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6CFE01F7">
      <w:pPr>
        <w:spacing w:line="520" w:lineRule="exact"/>
        <w:ind w:left="-10" w:firstLine="455" w:firstLineChars="217"/>
        <w:jc w:val="left"/>
        <w:rPr>
          <w:rFonts w:ascii="宋体" w:hAnsi="宋体"/>
          <w:color w:val="auto"/>
          <w:highlight w:val="none"/>
        </w:rPr>
      </w:pPr>
    </w:p>
    <w:p w14:paraId="21D2D9AE">
      <w:pPr>
        <w:spacing w:line="520" w:lineRule="exact"/>
        <w:ind w:left="-10" w:firstLine="455" w:firstLineChars="217"/>
        <w:jc w:val="left"/>
        <w:rPr>
          <w:rFonts w:ascii="宋体" w:hAnsi="宋体"/>
          <w:color w:val="auto"/>
          <w:highlight w:val="none"/>
        </w:rPr>
      </w:pPr>
    </w:p>
    <w:p w14:paraId="4DC2DEFE">
      <w:pPr>
        <w:spacing w:line="520" w:lineRule="exact"/>
        <w:ind w:left="-10" w:firstLine="455" w:firstLineChars="217"/>
        <w:jc w:val="left"/>
        <w:rPr>
          <w:rFonts w:ascii="宋体" w:hAnsi="宋体"/>
          <w:color w:val="auto"/>
          <w:highlight w:val="none"/>
        </w:rPr>
      </w:pPr>
    </w:p>
    <w:p w14:paraId="031A91C0">
      <w:pPr>
        <w:spacing w:line="520" w:lineRule="exact"/>
        <w:ind w:left="-10" w:firstLine="455" w:firstLineChars="217"/>
        <w:jc w:val="left"/>
        <w:rPr>
          <w:rFonts w:ascii="宋体" w:hAnsi="宋体"/>
          <w:color w:val="auto"/>
          <w:highlight w:val="none"/>
        </w:rPr>
      </w:pPr>
    </w:p>
    <w:p w14:paraId="34A3EAED">
      <w:pPr>
        <w:spacing w:line="520" w:lineRule="exact"/>
        <w:ind w:left="-10" w:firstLine="455" w:firstLineChars="217"/>
        <w:jc w:val="left"/>
        <w:rPr>
          <w:rFonts w:ascii="宋体" w:hAnsi="宋体"/>
          <w:color w:val="auto"/>
          <w:highlight w:val="none"/>
        </w:rPr>
      </w:pPr>
    </w:p>
    <w:p w14:paraId="703D09CE">
      <w:pPr>
        <w:spacing w:line="520" w:lineRule="exact"/>
        <w:ind w:left="-10" w:firstLine="455" w:firstLineChars="217"/>
        <w:jc w:val="left"/>
        <w:rPr>
          <w:rFonts w:ascii="宋体" w:hAnsi="宋体"/>
          <w:color w:val="auto"/>
          <w:highlight w:val="none"/>
        </w:rPr>
      </w:pPr>
      <w:r>
        <w:rPr>
          <w:rFonts w:ascii="宋体" w:hAnsi="宋体"/>
          <w:color w:val="auto"/>
          <w:highlight w:val="none"/>
        </w:rPr>
        <w:br w:type="page"/>
      </w:r>
      <w:bookmarkEnd w:id="1256"/>
      <w:bookmarkEnd w:id="1257"/>
      <w:bookmarkEnd w:id="1258"/>
      <w:r>
        <w:rPr>
          <w:rFonts w:hint="eastAsia" w:ascii="宋体" w:hAnsi="宋体"/>
          <w:b/>
          <w:color w:val="auto"/>
          <w:sz w:val="24"/>
          <w:highlight w:val="none"/>
        </w:rPr>
        <w:t>格式六：</w:t>
      </w:r>
    </w:p>
    <w:p w14:paraId="55BD6083">
      <w:pPr>
        <w:pStyle w:val="23"/>
        <w:jc w:val="center"/>
        <w:rPr>
          <w:rFonts w:hAnsi="宋体"/>
          <w:b/>
          <w:color w:val="auto"/>
          <w:sz w:val="28"/>
          <w:szCs w:val="28"/>
          <w:highlight w:val="none"/>
        </w:rPr>
      </w:pPr>
    </w:p>
    <w:p w14:paraId="3D1005FE">
      <w:pPr>
        <w:snapToGrid w:val="0"/>
        <w:spacing w:line="380" w:lineRule="exact"/>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中小企业声明函</w:t>
      </w:r>
    </w:p>
    <w:p w14:paraId="674ED65C">
      <w:pPr>
        <w:pStyle w:val="28"/>
        <w:rPr>
          <w:rFonts w:hint="eastAsia"/>
          <w:color w:val="auto"/>
          <w:highlight w:val="none"/>
        </w:rPr>
      </w:pPr>
    </w:p>
    <w:p w14:paraId="0860DD6D">
      <w:pPr>
        <w:keepNext w:val="0"/>
        <w:keepLines w:val="0"/>
        <w:pageBreakBefore w:val="0"/>
        <w:widowControl w:val="0"/>
        <w:kinsoku/>
        <w:wordWrap/>
        <w:overflowPunct/>
        <w:topLinePunct w:val="0"/>
        <w:autoSpaceDE/>
        <w:autoSpaceDN/>
        <w:bidi w:val="0"/>
        <w:adjustRightInd/>
        <w:spacing w:line="408" w:lineRule="auto"/>
        <w:ind w:firstLine="422" w:firstLineChars="200"/>
        <w:textAlignment w:val="auto"/>
        <w:rPr>
          <w:rFonts w:hint="eastAsia" w:ascii="宋体" w:hAnsi="宋体" w:eastAsia="宋体" w:cs="宋体"/>
          <w:color w:val="auto"/>
          <w:spacing w:val="6"/>
          <w:sz w:val="21"/>
          <w:szCs w:val="21"/>
          <w:highlight w:val="none"/>
        </w:rPr>
      </w:pPr>
      <w:r>
        <w:rPr>
          <w:rFonts w:hint="eastAsia" w:ascii="宋体" w:hAnsi="宋体" w:cs="宋体"/>
          <w:b/>
          <w:bCs/>
          <w:color w:val="auto"/>
          <w:kern w:val="0"/>
          <w:szCs w:val="21"/>
          <w:highlight w:val="none"/>
        </w:rPr>
        <w:t> </w:t>
      </w:r>
      <w:r>
        <w:rPr>
          <w:rFonts w:hint="eastAsia" w:ascii="宋体" w:hAnsi="宋体" w:cs="宋体"/>
          <w:b w:val="0"/>
          <w:bCs w:val="0"/>
          <w:color w:val="auto"/>
          <w:kern w:val="0"/>
          <w:szCs w:val="21"/>
          <w:highlight w:val="none"/>
          <w:lang w:val="en-US" w:eastAsia="zh-CN"/>
        </w:rPr>
        <w:t xml:space="preserve">   </w:t>
      </w:r>
      <w:r>
        <w:rPr>
          <w:rFonts w:hint="eastAsia" w:ascii="宋体" w:hAnsi="宋体" w:eastAsia="宋体" w:cs="宋体"/>
          <w:color w:val="auto"/>
          <w:spacing w:val="6"/>
          <w:sz w:val="21"/>
          <w:szCs w:val="21"/>
          <w:highlight w:val="none"/>
        </w:rPr>
        <w:t>本公司（联合体）郑重声明，根据《政府采购促进中小企业发展管理办法》（财库﹝2020﹞46 号）的规定，本公司 （联合体）参加（单位名称）的（项目名称）采购活动，工程的施工单位全部为符合政策要求的中小企业（或者：服务全部由符合政策要求的中小企业承接）。相关企业（含联合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14:paraId="07D62047">
      <w:pPr>
        <w:keepNext w:val="0"/>
        <w:keepLines w:val="0"/>
        <w:pageBreakBefore w:val="0"/>
        <w:widowControl w:val="0"/>
        <w:kinsoku/>
        <w:wordWrap/>
        <w:overflowPunct/>
        <w:topLinePunct w:val="0"/>
        <w:autoSpaceDE/>
        <w:autoSpaceDN/>
        <w:bidi w:val="0"/>
        <w:adjustRightInd/>
        <w:spacing w:line="408" w:lineRule="auto"/>
        <w:ind w:firstLine="555" w:firstLineChars="25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1. </w:t>
      </w:r>
      <w:r>
        <w:rPr>
          <w:rFonts w:hint="eastAsia" w:ascii="宋体" w:hAnsi="宋体" w:eastAsia="宋体" w:cs="宋体"/>
          <w:color w:val="auto"/>
          <w:spacing w:val="6"/>
          <w:sz w:val="21"/>
          <w:szCs w:val="21"/>
          <w:highlight w:val="none"/>
          <w:u w:val="single"/>
        </w:rPr>
        <w:t xml:space="preserve">（标的名称） </w:t>
      </w:r>
      <w:r>
        <w:rPr>
          <w:rFonts w:hint="eastAsia" w:ascii="宋体" w:hAnsi="宋体" w:eastAsia="宋体" w:cs="宋体"/>
          <w:color w:val="auto"/>
          <w:spacing w:val="6"/>
          <w:sz w:val="21"/>
          <w:szCs w:val="21"/>
          <w:highlight w:val="none"/>
        </w:rPr>
        <w:t>，属于</w:t>
      </w:r>
      <w:r>
        <w:rPr>
          <w:rFonts w:hint="eastAsia" w:ascii="宋体" w:hAnsi="宋体" w:eastAsia="宋体" w:cs="宋体"/>
          <w:color w:val="auto"/>
          <w:spacing w:val="6"/>
          <w:sz w:val="21"/>
          <w:szCs w:val="21"/>
          <w:highlight w:val="none"/>
          <w:u w:val="single"/>
        </w:rPr>
        <w:t>（采购文件中明确的所属行业）</w:t>
      </w:r>
      <w:r>
        <w:rPr>
          <w:rFonts w:hint="eastAsia" w:ascii="宋体" w:hAnsi="宋体" w:eastAsia="宋体" w:cs="宋体"/>
          <w:color w:val="auto"/>
          <w:spacing w:val="6"/>
          <w:sz w:val="21"/>
          <w:szCs w:val="21"/>
          <w:highlight w:val="none"/>
        </w:rPr>
        <w:t>；承建（承接）企业为</w:t>
      </w:r>
      <w:r>
        <w:rPr>
          <w:rFonts w:hint="eastAsia" w:ascii="宋体" w:hAnsi="宋体" w:eastAsia="宋体" w:cs="宋体"/>
          <w:color w:val="auto"/>
          <w:spacing w:val="6"/>
          <w:sz w:val="21"/>
          <w:szCs w:val="21"/>
          <w:highlight w:val="none"/>
          <w:u w:val="single"/>
        </w:rPr>
        <w:t>（企业名称）</w:t>
      </w:r>
      <w:r>
        <w:rPr>
          <w:rFonts w:hint="eastAsia" w:ascii="宋体" w:hAnsi="宋体" w:eastAsia="宋体" w:cs="宋体"/>
          <w:color w:val="auto"/>
          <w:spacing w:val="6"/>
          <w:sz w:val="21"/>
          <w:szCs w:val="21"/>
          <w:highlight w:val="none"/>
        </w:rPr>
        <w:t>，从业人员</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人，营业收入为 </w:t>
      </w:r>
      <w:r>
        <w:rPr>
          <w:rFonts w:hint="eastAsia" w:ascii="宋体" w:hAnsi="宋体" w:eastAsia="宋体" w:cs="宋体"/>
          <w:color w:val="auto"/>
          <w:spacing w:val="6"/>
          <w:sz w:val="21"/>
          <w:szCs w:val="21"/>
          <w:highlight w:val="none"/>
          <w:u w:val="single"/>
        </w:rPr>
        <w:t xml:space="preserve">   万元</w:t>
      </w:r>
      <w:r>
        <w:rPr>
          <w:rFonts w:hint="eastAsia" w:ascii="宋体" w:hAnsi="宋体" w:eastAsia="宋体" w:cs="宋体"/>
          <w:color w:val="auto"/>
          <w:spacing w:val="6"/>
          <w:sz w:val="21"/>
          <w:szCs w:val="21"/>
          <w:highlight w:val="none"/>
        </w:rPr>
        <w:t>，资产总额为</w:t>
      </w:r>
      <w:r>
        <w:rPr>
          <w:rFonts w:hint="eastAsia" w:ascii="宋体" w:hAnsi="宋体" w:eastAsia="宋体" w:cs="宋体"/>
          <w:color w:val="auto"/>
          <w:spacing w:val="6"/>
          <w:sz w:val="21"/>
          <w:szCs w:val="21"/>
          <w:highlight w:val="none"/>
          <w:u w:val="single"/>
        </w:rPr>
        <w:t xml:space="preserve">     万元</w:t>
      </w:r>
      <w:r>
        <w:rPr>
          <w:rFonts w:hint="eastAsia" w:ascii="宋体" w:hAnsi="宋体" w:eastAsia="宋体" w:cs="宋体"/>
          <w:color w:val="auto"/>
          <w:spacing w:val="6"/>
          <w:sz w:val="21"/>
          <w:szCs w:val="21"/>
          <w:highlight w:val="none"/>
        </w:rPr>
        <w:t>，属于</w:t>
      </w:r>
      <w:r>
        <w:rPr>
          <w:rFonts w:hint="eastAsia" w:ascii="宋体" w:hAnsi="宋体" w:eastAsia="宋体" w:cs="宋体"/>
          <w:color w:val="auto"/>
          <w:spacing w:val="6"/>
          <w:sz w:val="21"/>
          <w:szCs w:val="21"/>
          <w:highlight w:val="none"/>
          <w:u w:val="single"/>
        </w:rPr>
        <w:t>（中型企业、小型企业、微型企业）</w:t>
      </w:r>
      <w:r>
        <w:rPr>
          <w:rFonts w:hint="eastAsia" w:ascii="宋体" w:hAnsi="宋体" w:eastAsia="宋体" w:cs="宋体"/>
          <w:color w:val="auto"/>
          <w:spacing w:val="6"/>
          <w:sz w:val="21"/>
          <w:szCs w:val="21"/>
          <w:highlight w:val="none"/>
        </w:rPr>
        <w:t xml:space="preserve">； </w:t>
      </w:r>
    </w:p>
    <w:p w14:paraId="1A22E7B7">
      <w:pPr>
        <w:keepNext w:val="0"/>
        <w:keepLines w:val="0"/>
        <w:pageBreakBefore w:val="0"/>
        <w:widowControl w:val="0"/>
        <w:kinsoku/>
        <w:wordWrap/>
        <w:overflowPunct/>
        <w:topLinePunct w:val="0"/>
        <w:autoSpaceDE/>
        <w:autoSpaceDN/>
        <w:bidi w:val="0"/>
        <w:adjustRightInd/>
        <w:spacing w:line="408" w:lineRule="auto"/>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u w:val="single"/>
        </w:rPr>
        <w:t xml:space="preserve"> （标的名称） </w:t>
      </w:r>
      <w:r>
        <w:rPr>
          <w:rFonts w:hint="eastAsia" w:ascii="宋体" w:hAnsi="宋体" w:eastAsia="宋体" w:cs="宋体"/>
          <w:color w:val="auto"/>
          <w:spacing w:val="6"/>
          <w:sz w:val="21"/>
          <w:szCs w:val="21"/>
          <w:highlight w:val="none"/>
        </w:rPr>
        <w:t>，属于</w:t>
      </w:r>
      <w:r>
        <w:rPr>
          <w:rFonts w:hint="eastAsia" w:ascii="宋体" w:hAnsi="宋体" w:eastAsia="宋体" w:cs="宋体"/>
          <w:color w:val="auto"/>
          <w:spacing w:val="6"/>
          <w:sz w:val="21"/>
          <w:szCs w:val="21"/>
          <w:highlight w:val="none"/>
          <w:u w:val="single"/>
        </w:rPr>
        <w:t>（采购文件中明确的所属行业）</w:t>
      </w:r>
      <w:r>
        <w:rPr>
          <w:rFonts w:hint="eastAsia" w:ascii="宋体" w:hAnsi="宋体" w:eastAsia="宋体" w:cs="宋体"/>
          <w:color w:val="auto"/>
          <w:spacing w:val="6"/>
          <w:sz w:val="21"/>
          <w:szCs w:val="21"/>
          <w:highlight w:val="none"/>
        </w:rPr>
        <w:t>； 承建（承接）企业为</w:t>
      </w:r>
      <w:r>
        <w:rPr>
          <w:rFonts w:hint="eastAsia" w:ascii="宋体" w:hAnsi="宋体" w:eastAsia="宋体" w:cs="宋体"/>
          <w:color w:val="auto"/>
          <w:spacing w:val="6"/>
          <w:sz w:val="21"/>
          <w:szCs w:val="21"/>
          <w:highlight w:val="none"/>
          <w:u w:val="single"/>
        </w:rPr>
        <w:t>（企业名称）</w:t>
      </w:r>
      <w:r>
        <w:rPr>
          <w:rFonts w:hint="eastAsia" w:ascii="宋体" w:hAnsi="宋体" w:eastAsia="宋体" w:cs="宋体"/>
          <w:color w:val="auto"/>
          <w:spacing w:val="6"/>
          <w:sz w:val="21"/>
          <w:szCs w:val="21"/>
          <w:highlight w:val="none"/>
        </w:rPr>
        <w:t>，从业人员</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人，营业收入为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万元，资产总额为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万元，属于</w:t>
      </w:r>
      <w:r>
        <w:rPr>
          <w:rFonts w:hint="eastAsia" w:ascii="宋体" w:hAnsi="宋体" w:eastAsia="宋体" w:cs="宋体"/>
          <w:color w:val="auto"/>
          <w:spacing w:val="6"/>
          <w:sz w:val="21"/>
          <w:szCs w:val="21"/>
          <w:highlight w:val="none"/>
          <w:u w:val="single"/>
        </w:rPr>
        <w:t>（中型企业、 小型企业、微型企业）</w:t>
      </w:r>
      <w:r>
        <w:rPr>
          <w:rFonts w:hint="eastAsia" w:ascii="宋体" w:hAnsi="宋体" w:eastAsia="宋体" w:cs="宋体"/>
          <w:color w:val="auto"/>
          <w:spacing w:val="6"/>
          <w:sz w:val="21"/>
          <w:szCs w:val="21"/>
          <w:highlight w:val="none"/>
        </w:rPr>
        <w:t xml:space="preserve">； </w:t>
      </w:r>
    </w:p>
    <w:p w14:paraId="7BE51620">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p>
    <w:p w14:paraId="143CADF8">
      <w:pPr>
        <w:keepNext w:val="0"/>
        <w:keepLines w:val="0"/>
        <w:pageBreakBefore w:val="0"/>
        <w:widowControl w:val="0"/>
        <w:kinsoku/>
        <w:wordWrap/>
        <w:overflowPunct/>
        <w:topLinePunct w:val="0"/>
        <w:autoSpaceDE/>
        <w:autoSpaceDN/>
        <w:bidi w:val="0"/>
        <w:adjustRightInd/>
        <w:spacing w:line="408" w:lineRule="auto"/>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以上企业，不属于大企业的分支机构，不存在控股股东为大企业的情形，也不存在与大企业的负责人为同一人的情形。</w:t>
      </w:r>
    </w:p>
    <w:p w14:paraId="2AB6EF6D">
      <w:pPr>
        <w:keepNext w:val="0"/>
        <w:keepLines w:val="0"/>
        <w:pageBreakBefore w:val="0"/>
        <w:widowControl w:val="0"/>
        <w:kinsoku/>
        <w:wordWrap/>
        <w:overflowPunct/>
        <w:topLinePunct w:val="0"/>
        <w:autoSpaceDE/>
        <w:autoSpaceDN/>
        <w:bidi w:val="0"/>
        <w:adjustRightInd/>
        <w:spacing w:line="408" w:lineRule="auto"/>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本企业对上述声明内容的真实性负责。如有虚假，将依法承担相应责任。 </w:t>
      </w:r>
    </w:p>
    <w:p w14:paraId="048B07B0">
      <w:pPr>
        <w:pStyle w:val="28"/>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 w:val="21"/>
          <w:szCs w:val="21"/>
          <w:highlight w:val="none"/>
          <w:lang w:val="en-US" w:eastAsia="zh-CN"/>
        </w:rPr>
      </w:pPr>
    </w:p>
    <w:p w14:paraId="6CCA3D5E">
      <w:pPr>
        <w:pStyle w:val="28"/>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 w:val="21"/>
          <w:szCs w:val="21"/>
          <w:highlight w:val="none"/>
          <w:lang w:val="en-US" w:eastAsia="zh-CN"/>
        </w:rPr>
      </w:pPr>
    </w:p>
    <w:p w14:paraId="29908CD2">
      <w:pPr>
        <w:keepNext w:val="0"/>
        <w:keepLines w:val="0"/>
        <w:pageBreakBefore w:val="0"/>
        <w:widowControl w:val="0"/>
        <w:kinsoku/>
        <w:wordWrap/>
        <w:overflowPunct/>
        <w:topLinePunct w:val="0"/>
        <w:autoSpaceDE/>
        <w:autoSpaceDN/>
        <w:bidi w:val="0"/>
        <w:adjustRightInd/>
        <w:spacing w:line="408" w:lineRule="auto"/>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企业名称（盖章）：</w:t>
      </w:r>
    </w:p>
    <w:p w14:paraId="6D3231D7">
      <w:pPr>
        <w:keepNext w:val="0"/>
        <w:keepLines w:val="0"/>
        <w:pageBreakBefore w:val="0"/>
        <w:widowControl w:val="0"/>
        <w:kinsoku/>
        <w:wordWrap/>
        <w:overflowPunct/>
        <w:topLinePunct w:val="0"/>
        <w:autoSpaceDE/>
        <w:autoSpaceDN/>
        <w:bidi w:val="0"/>
        <w:adjustRightInd/>
        <w:spacing w:line="408" w:lineRule="auto"/>
        <w:ind w:firstLine="444"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 xml:space="preserve">日 </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 xml:space="preserve">期： </w:t>
      </w:r>
      <w:r>
        <w:rPr>
          <w:rFonts w:hint="eastAsia" w:ascii="宋体" w:hAnsi="宋体" w:eastAsia="宋体" w:cs="宋体"/>
          <w:color w:val="auto"/>
          <w:sz w:val="21"/>
          <w:szCs w:val="21"/>
          <w:highlight w:val="none"/>
        </w:rPr>
        <w:t xml:space="preserve">        </w:t>
      </w:r>
    </w:p>
    <w:p w14:paraId="3EB5AA0E">
      <w:pPr>
        <w:spacing w:line="520" w:lineRule="exact"/>
        <w:rPr>
          <w:rFonts w:hint="eastAsia" w:ascii="宋体" w:hAnsi="宋体" w:eastAsia="宋体" w:cs="宋体"/>
          <w:color w:val="auto"/>
          <w:sz w:val="21"/>
          <w:szCs w:val="21"/>
          <w:highlight w:val="none"/>
        </w:rPr>
      </w:pPr>
    </w:p>
    <w:p w14:paraId="72357FDA">
      <w:pPr>
        <w:spacing w:line="5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注：请根据自己的真实情况出具《中小企业声明函》。依法享受中小企业优惠政策的，采购人或采购代理机构在公告中标结果时，同时公告其《中小企业声明函》，接受社会监督。</w:t>
      </w:r>
    </w:p>
    <w:p w14:paraId="60AB9FBD">
      <w:pPr>
        <w:pStyle w:val="12"/>
        <w:rPr>
          <w:rFonts w:hint="eastAsia" w:ascii="宋体" w:hAnsi="宋体"/>
          <w:b/>
          <w:color w:val="auto"/>
          <w:sz w:val="24"/>
          <w:highlight w:val="none"/>
        </w:rPr>
      </w:pPr>
    </w:p>
    <w:p w14:paraId="19598396">
      <w:pPr>
        <w:pStyle w:val="12"/>
        <w:rPr>
          <w:rFonts w:hint="eastAsia" w:ascii="宋体" w:hAnsi="宋体"/>
          <w:b/>
          <w:color w:val="auto"/>
          <w:sz w:val="24"/>
          <w:highlight w:val="none"/>
        </w:rPr>
      </w:pPr>
    </w:p>
    <w:p w14:paraId="4B4AD6CC">
      <w:pPr>
        <w:pStyle w:val="12"/>
        <w:rPr>
          <w:rFonts w:hint="eastAsia" w:ascii="宋体" w:hAnsi="宋体"/>
          <w:b/>
          <w:color w:val="auto"/>
          <w:sz w:val="24"/>
          <w:highlight w:val="none"/>
        </w:rPr>
      </w:pPr>
    </w:p>
    <w:p w14:paraId="1B06E4E1">
      <w:pPr>
        <w:pStyle w:val="12"/>
        <w:rPr>
          <w:rFonts w:hint="eastAsia" w:ascii="宋体" w:hAnsi="宋体"/>
          <w:b/>
          <w:color w:val="auto"/>
          <w:sz w:val="24"/>
          <w:highlight w:val="none"/>
        </w:rPr>
      </w:pPr>
    </w:p>
    <w:p w14:paraId="32243B0B">
      <w:pPr>
        <w:pStyle w:val="12"/>
        <w:rPr>
          <w:rFonts w:hint="eastAsia" w:ascii="宋体" w:hAnsi="宋体"/>
          <w:b/>
          <w:color w:val="auto"/>
          <w:sz w:val="24"/>
          <w:highlight w:val="none"/>
        </w:rPr>
      </w:pPr>
    </w:p>
    <w:p w14:paraId="5D074454">
      <w:pPr>
        <w:pStyle w:val="12"/>
        <w:rPr>
          <w:rFonts w:hint="eastAsia" w:ascii="宋体" w:hAnsi="宋体"/>
          <w:b/>
          <w:color w:val="auto"/>
          <w:sz w:val="24"/>
          <w:highlight w:val="none"/>
        </w:rPr>
      </w:pPr>
    </w:p>
    <w:p w14:paraId="2E373616">
      <w:pPr>
        <w:pStyle w:val="12"/>
        <w:rPr>
          <w:rFonts w:hint="eastAsia" w:ascii="宋体" w:hAnsi="宋体"/>
          <w:b/>
          <w:color w:val="auto"/>
          <w:sz w:val="24"/>
          <w:highlight w:val="none"/>
        </w:rPr>
      </w:pPr>
    </w:p>
    <w:p w14:paraId="4FD5B996">
      <w:pPr>
        <w:pStyle w:val="12"/>
        <w:rPr>
          <w:rFonts w:hint="eastAsia" w:ascii="宋体" w:hAnsi="宋体"/>
          <w:b/>
          <w:color w:val="auto"/>
          <w:sz w:val="24"/>
          <w:highlight w:val="none"/>
        </w:rPr>
      </w:pPr>
    </w:p>
    <w:p w14:paraId="6FC3A97A">
      <w:pPr>
        <w:pStyle w:val="12"/>
        <w:rPr>
          <w:rFonts w:hint="eastAsia" w:ascii="宋体" w:hAnsi="宋体"/>
          <w:b/>
          <w:color w:val="auto"/>
          <w:sz w:val="24"/>
          <w:highlight w:val="none"/>
        </w:rPr>
      </w:pPr>
    </w:p>
    <w:p w14:paraId="2B3A1C1D">
      <w:pPr>
        <w:pStyle w:val="12"/>
        <w:rPr>
          <w:rFonts w:ascii="宋体" w:hAnsi="宋体"/>
          <w:b/>
          <w:color w:val="auto"/>
          <w:sz w:val="28"/>
          <w:szCs w:val="28"/>
          <w:highlight w:val="none"/>
        </w:rPr>
      </w:pPr>
      <w:r>
        <w:rPr>
          <w:rFonts w:hint="eastAsia" w:ascii="宋体" w:hAnsi="宋体"/>
          <w:b/>
          <w:color w:val="auto"/>
          <w:sz w:val="24"/>
          <w:highlight w:val="none"/>
        </w:rPr>
        <w:t>格式七：</w:t>
      </w:r>
    </w:p>
    <w:p w14:paraId="2C1A148F">
      <w:pPr>
        <w:pStyle w:val="23"/>
        <w:spacing w:line="500" w:lineRule="exact"/>
        <w:jc w:val="center"/>
        <w:rPr>
          <w:rFonts w:hAnsi="宋体"/>
          <w:b/>
          <w:color w:val="auto"/>
          <w:sz w:val="28"/>
          <w:szCs w:val="28"/>
          <w:highlight w:val="none"/>
        </w:rPr>
      </w:pPr>
      <w:r>
        <w:rPr>
          <w:rFonts w:hint="eastAsia" w:hAnsi="宋体"/>
          <w:b/>
          <w:color w:val="auto"/>
          <w:sz w:val="28"/>
          <w:szCs w:val="28"/>
          <w:highlight w:val="none"/>
        </w:rPr>
        <w:t xml:space="preserve"> 残疾人福利性单位声明函 </w:t>
      </w:r>
    </w:p>
    <w:p w14:paraId="3CCF7A47">
      <w:pPr>
        <w:pStyle w:val="23"/>
        <w:spacing w:line="500" w:lineRule="exact"/>
        <w:ind w:firstLine="600" w:firstLineChars="250"/>
        <w:rPr>
          <w:rFonts w:hAnsi="宋体"/>
          <w:color w:val="auto"/>
          <w:sz w:val="24"/>
          <w:szCs w:val="24"/>
          <w:highlight w:val="none"/>
        </w:rPr>
      </w:pPr>
    </w:p>
    <w:p w14:paraId="063A9D5A">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 民政部 中国残疾人联合会关于促进残疾人就业政府采购政策的通知》（财库</w:t>
      </w:r>
      <w:r>
        <w:rPr>
          <w:rFonts w:hint="eastAsia" w:ascii="宋体" w:hAnsi="宋体"/>
          <w:color w:val="auto"/>
          <w:szCs w:val="21"/>
          <w:highlight w:val="none"/>
        </w:rPr>
        <w:t>〔2017〕 141</w:t>
      </w:r>
      <w:r>
        <w:rPr>
          <w:rFonts w:hint="eastAsia" w:ascii="宋体" w:hAnsi="宋体"/>
          <w:color w:val="auto"/>
          <w:spacing w:val="6"/>
          <w:szCs w:val="21"/>
          <w:highlight w:val="none"/>
        </w:rPr>
        <w:t>号）的规定，本单位为</w:t>
      </w:r>
      <w:r>
        <w:rPr>
          <w:rFonts w:hint="eastAsia" w:ascii="宋体" w:hAnsi="宋体"/>
          <w:color w:val="auto"/>
          <w:spacing w:val="6"/>
          <w:szCs w:val="21"/>
          <w:highlight w:val="none"/>
          <w:u w:val="single"/>
        </w:rPr>
        <w:t>(符合/不符合)</w:t>
      </w:r>
      <w:r>
        <w:rPr>
          <w:rFonts w:hint="eastAsia" w:ascii="宋体" w:hAnsi="宋体"/>
          <w:color w:val="auto"/>
          <w:spacing w:val="6"/>
          <w:szCs w:val="21"/>
          <w:highlight w:val="none"/>
        </w:rPr>
        <w:t>条件的残疾人福利性单位，且本单位参加</w:t>
      </w:r>
      <w:r>
        <w:rPr>
          <w:rFonts w:hint="eastAsia" w:ascii="宋体" w:hAnsi="宋体"/>
          <w:color w:val="auto"/>
          <w:szCs w:val="21"/>
          <w:highlight w:val="none"/>
          <w:u w:val="single"/>
        </w:rPr>
        <w:t xml:space="preserve">  （采购人名称）     </w:t>
      </w:r>
      <w:r>
        <w:rPr>
          <w:rFonts w:hint="eastAsia" w:ascii="宋体" w:hAnsi="宋体"/>
          <w:color w:val="auto"/>
          <w:spacing w:val="6"/>
          <w:szCs w:val="21"/>
          <w:highlight w:val="none"/>
        </w:rPr>
        <w:t>单位的</w:t>
      </w:r>
      <w:r>
        <w:rPr>
          <w:rFonts w:hint="eastAsia" w:ascii="宋体" w:hAnsi="宋体"/>
          <w:color w:val="auto"/>
          <w:szCs w:val="21"/>
          <w:highlight w:val="none"/>
          <w:u w:val="single"/>
        </w:rPr>
        <w:t xml:space="preserve">      （项目名称）         </w:t>
      </w:r>
      <w:r>
        <w:rPr>
          <w:rFonts w:hint="eastAsia" w:ascii="宋体" w:hAnsi="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1FC8D8B8">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14:paraId="420F0E4E">
      <w:pPr>
        <w:spacing w:line="588" w:lineRule="exact"/>
        <w:ind w:firstLine="444" w:firstLineChars="200"/>
        <w:rPr>
          <w:rFonts w:ascii="宋体" w:hAnsi="宋体"/>
          <w:color w:val="auto"/>
          <w:spacing w:val="6"/>
          <w:szCs w:val="21"/>
          <w:highlight w:val="none"/>
        </w:rPr>
      </w:pPr>
    </w:p>
    <w:p w14:paraId="7798E425">
      <w:pPr>
        <w:spacing w:line="588" w:lineRule="exact"/>
        <w:ind w:firstLine="444" w:firstLineChars="200"/>
        <w:rPr>
          <w:rFonts w:ascii="宋体" w:hAnsi="宋体"/>
          <w:color w:val="auto"/>
          <w:spacing w:val="6"/>
          <w:szCs w:val="21"/>
          <w:highlight w:val="none"/>
        </w:rPr>
      </w:pPr>
    </w:p>
    <w:p w14:paraId="66B5EB88">
      <w:pPr>
        <w:tabs>
          <w:tab w:val="left" w:pos="4860"/>
        </w:tabs>
        <w:spacing w:line="588" w:lineRule="exact"/>
        <w:ind w:right="1560"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 xml:space="preserve">           　　    单位名称（盖章）：</w:t>
      </w:r>
    </w:p>
    <w:p w14:paraId="0B808B13">
      <w:pPr>
        <w:tabs>
          <w:tab w:val="left" w:pos="4860"/>
        </w:tabs>
        <w:spacing w:line="588" w:lineRule="exact"/>
        <w:ind w:right="1560"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 xml:space="preserve">    　　   日  期：</w:t>
      </w:r>
    </w:p>
    <w:p w14:paraId="29891D8E">
      <w:pPr>
        <w:pStyle w:val="23"/>
        <w:spacing w:line="500" w:lineRule="exact"/>
        <w:rPr>
          <w:rFonts w:hAnsi="宋体"/>
          <w:b/>
          <w:color w:val="auto"/>
          <w:highlight w:val="none"/>
        </w:rPr>
      </w:pPr>
    </w:p>
    <w:p w14:paraId="5F5A2791">
      <w:pPr>
        <w:pStyle w:val="23"/>
        <w:spacing w:line="500" w:lineRule="exact"/>
        <w:rPr>
          <w:rFonts w:hAnsi="宋体"/>
          <w:b/>
          <w:color w:val="auto"/>
          <w:highlight w:val="none"/>
        </w:rPr>
      </w:pPr>
    </w:p>
    <w:p w14:paraId="360A6B1A">
      <w:pPr>
        <w:pStyle w:val="23"/>
        <w:spacing w:line="500" w:lineRule="exact"/>
        <w:rPr>
          <w:rFonts w:hAnsi="宋体"/>
          <w:b/>
          <w:color w:val="auto"/>
          <w:highlight w:val="none"/>
        </w:rPr>
      </w:pPr>
    </w:p>
    <w:p w14:paraId="41955984">
      <w:pPr>
        <w:pStyle w:val="23"/>
        <w:spacing w:line="500" w:lineRule="exact"/>
        <w:rPr>
          <w:rFonts w:hAnsi="宋体"/>
          <w:b/>
          <w:color w:val="auto"/>
          <w:highlight w:val="none"/>
        </w:rPr>
      </w:pPr>
    </w:p>
    <w:p w14:paraId="03D0A511">
      <w:pPr>
        <w:pStyle w:val="23"/>
        <w:spacing w:line="500" w:lineRule="exact"/>
        <w:rPr>
          <w:rFonts w:hAnsi="宋体"/>
          <w:b/>
          <w:color w:val="auto"/>
          <w:highlight w:val="none"/>
        </w:rPr>
      </w:pPr>
    </w:p>
    <w:p w14:paraId="12543D60">
      <w:pPr>
        <w:pStyle w:val="23"/>
        <w:spacing w:line="500" w:lineRule="exact"/>
        <w:rPr>
          <w:rFonts w:hAnsi="宋体"/>
          <w:b/>
          <w:color w:val="auto"/>
          <w:highlight w:val="none"/>
        </w:rPr>
      </w:pPr>
    </w:p>
    <w:p w14:paraId="4CE3D605">
      <w:pPr>
        <w:pStyle w:val="23"/>
        <w:spacing w:line="500" w:lineRule="exact"/>
        <w:rPr>
          <w:rFonts w:hAnsi="宋体"/>
          <w:b/>
          <w:color w:val="auto"/>
          <w:highlight w:val="none"/>
        </w:rPr>
      </w:pPr>
    </w:p>
    <w:p w14:paraId="5D84F4BE">
      <w:pPr>
        <w:pStyle w:val="23"/>
        <w:spacing w:line="500" w:lineRule="exact"/>
        <w:rPr>
          <w:rFonts w:hAnsi="宋体"/>
          <w:b/>
          <w:color w:val="auto"/>
          <w:highlight w:val="none"/>
        </w:rPr>
      </w:pPr>
    </w:p>
    <w:p w14:paraId="330961EF">
      <w:pPr>
        <w:pStyle w:val="23"/>
        <w:spacing w:line="500" w:lineRule="exact"/>
        <w:rPr>
          <w:rFonts w:hAnsi="宋体"/>
          <w:b/>
          <w:color w:val="auto"/>
          <w:highlight w:val="none"/>
        </w:rPr>
      </w:pPr>
    </w:p>
    <w:p w14:paraId="02F3437A">
      <w:pPr>
        <w:pStyle w:val="23"/>
        <w:spacing w:line="500" w:lineRule="exact"/>
        <w:rPr>
          <w:rFonts w:hAnsi="宋体"/>
          <w:b/>
          <w:color w:val="auto"/>
          <w:highlight w:val="none"/>
        </w:rPr>
      </w:pPr>
    </w:p>
    <w:p w14:paraId="7055862D">
      <w:pPr>
        <w:pStyle w:val="23"/>
        <w:spacing w:line="500" w:lineRule="exact"/>
        <w:rPr>
          <w:rFonts w:hAnsi="宋体"/>
          <w:b/>
          <w:color w:val="auto"/>
          <w:highlight w:val="none"/>
        </w:rPr>
      </w:pPr>
    </w:p>
    <w:p w14:paraId="55A89984">
      <w:pPr>
        <w:pStyle w:val="23"/>
        <w:spacing w:line="500" w:lineRule="exact"/>
        <w:rPr>
          <w:rFonts w:hAnsi="宋体"/>
          <w:b/>
          <w:color w:val="auto"/>
          <w:highlight w:val="none"/>
        </w:rPr>
      </w:pPr>
    </w:p>
    <w:p w14:paraId="7BB1D079">
      <w:pPr>
        <w:pStyle w:val="23"/>
        <w:spacing w:line="500" w:lineRule="exact"/>
        <w:rPr>
          <w:rFonts w:hAnsi="宋体"/>
          <w:b/>
          <w:color w:val="auto"/>
          <w:highlight w:val="none"/>
        </w:rPr>
      </w:pPr>
    </w:p>
    <w:p w14:paraId="7993C6D6">
      <w:pPr>
        <w:spacing w:line="360" w:lineRule="exact"/>
        <w:rPr>
          <w:rFonts w:ascii="宋体" w:hAnsi="宋体" w:cs="宋体"/>
          <w:color w:val="auto"/>
          <w:highlight w:val="none"/>
        </w:rPr>
      </w:pPr>
    </w:p>
    <w:p w14:paraId="24582A24">
      <w:pPr>
        <w:spacing w:line="360" w:lineRule="exact"/>
        <w:rPr>
          <w:rFonts w:ascii="宋体" w:hAnsi="宋体" w:cs="宋体"/>
          <w:color w:val="auto"/>
          <w:highlight w:val="none"/>
        </w:rPr>
      </w:pPr>
      <w:r>
        <w:rPr>
          <w:rFonts w:hint="eastAsia" w:ascii="宋体" w:hAnsi="宋体"/>
          <w:b/>
          <w:color w:val="auto"/>
          <w:sz w:val="24"/>
          <w:highlight w:val="none"/>
        </w:rPr>
        <w:t>格式八：</w:t>
      </w:r>
    </w:p>
    <w:p w14:paraId="5F2958CC">
      <w:pPr>
        <w:adjustRightInd w:val="0"/>
        <w:spacing w:line="300" w:lineRule="auto"/>
        <w:jc w:val="center"/>
        <w:rPr>
          <w:rFonts w:ascii="宋体" w:hAnsi="宋体" w:cs="宋体"/>
          <w:b/>
          <w:color w:val="auto"/>
          <w:sz w:val="24"/>
          <w:highlight w:val="none"/>
        </w:rPr>
      </w:pPr>
      <w:r>
        <w:rPr>
          <w:rFonts w:hint="eastAsia" w:ascii="宋体" w:hAnsi="宋体" w:cs="宋体"/>
          <w:b/>
          <w:color w:val="auto"/>
          <w:sz w:val="24"/>
          <w:highlight w:val="none"/>
        </w:rPr>
        <w:t>（一）项目管理机构配备情况表</w:t>
      </w:r>
    </w:p>
    <w:tbl>
      <w:tblPr>
        <w:tblStyle w:val="44"/>
        <w:tblW w:w="0" w:type="auto"/>
        <w:jc w:val="center"/>
        <w:tblLayout w:type="fixed"/>
        <w:tblCellMar>
          <w:top w:w="0" w:type="dxa"/>
          <w:left w:w="0" w:type="dxa"/>
          <w:bottom w:w="0" w:type="dxa"/>
          <w:right w:w="0" w:type="dxa"/>
        </w:tblCellMar>
      </w:tblPr>
      <w:tblGrid>
        <w:gridCol w:w="2428"/>
        <w:gridCol w:w="1027"/>
        <w:gridCol w:w="857"/>
        <w:gridCol w:w="706"/>
        <w:gridCol w:w="808"/>
        <w:gridCol w:w="850"/>
        <w:gridCol w:w="1339"/>
        <w:gridCol w:w="1164"/>
      </w:tblGrid>
      <w:tr w14:paraId="4DF05A65">
        <w:tblPrEx>
          <w:tblCellMar>
            <w:top w:w="0" w:type="dxa"/>
            <w:left w:w="0" w:type="dxa"/>
            <w:bottom w:w="0" w:type="dxa"/>
            <w:right w:w="0" w:type="dxa"/>
          </w:tblCellMar>
        </w:tblPrEx>
        <w:trPr>
          <w:trHeight w:val="913" w:hRule="exact"/>
          <w:jc w:val="center"/>
        </w:trPr>
        <w:tc>
          <w:tcPr>
            <w:tcW w:w="24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70CE93">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工作岗位名称</w:t>
            </w:r>
          </w:p>
        </w:tc>
        <w:tc>
          <w:tcPr>
            <w:tcW w:w="10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3BF7B0">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85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D1067D9">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68BA46E">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工作职责</w:t>
            </w:r>
          </w:p>
        </w:tc>
        <w:tc>
          <w:tcPr>
            <w:tcW w:w="8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BE47A16">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职  称</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077C93F">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专  业</w:t>
            </w:r>
          </w:p>
        </w:tc>
        <w:tc>
          <w:tcPr>
            <w:tcW w:w="133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C3B01A0">
            <w:pPr>
              <w:adjustRightInd w:val="0"/>
              <w:spacing w:line="320" w:lineRule="exact"/>
              <w:jc w:val="center"/>
              <w:rPr>
                <w:rFonts w:ascii="宋体" w:hAnsi="宋体" w:cs="宋体"/>
                <w:color w:val="auto"/>
                <w:szCs w:val="21"/>
                <w:highlight w:val="none"/>
              </w:rPr>
            </w:pPr>
            <w:r>
              <w:rPr>
                <w:rFonts w:hint="eastAsia" w:ascii="宋体" w:hAnsi="宋体" w:cs="宋体"/>
                <w:bCs/>
                <w:color w:val="auto"/>
                <w:szCs w:val="21"/>
                <w:highlight w:val="none"/>
              </w:rPr>
              <w:t>相关证书名称及编号</w:t>
            </w:r>
          </w:p>
        </w:tc>
        <w:tc>
          <w:tcPr>
            <w:tcW w:w="11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F5EC7CF">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相关工作年限</w:t>
            </w:r>
          </w:p>
        </w:tc>
      </w:tr>
      <w:tr w14:paraId="0575D1B7">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062A0FA">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1、项目经理</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7D33FAB0">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17A6F145">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2150F253">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518D33AB">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51A4C0B6">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0F0BCED8">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3C5A7660">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r>
      <w:tr w14:paraId="47BD69EB">
        <w:tblPrEx>
          <w:tblCellMar>
            <w:top w:w="0" w:type="dxa"/>
            <w:left w:w="0" w:type="dxa"/>
            <w:bottom w:w="0" w:type="dxa"/>
            <w:right w:w="0" w:type="dxa"/>
          </w:tblCellMar>
        </w:tblPrEx>
        <w:trPr>
          <w:trHeight w:val="898"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BA09D10">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2、项目总工</w:t>
            </w:r>
          </w:p>
          <w:p w14:paraId="7706E2F2">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114DB5D8">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59633AD3">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23D2C71F">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59DB34C7">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5BDAD6B6">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3E9453D7">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29AE1789">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r>
      <w:tr w14:paraId="7261C4EC">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083D0E4">
            <w:pPr>
              <w:adjustRightInd w:val="0"/>
              <w:spacing w:line="320" w:lineRule="exact"/>
              <w:jc w:val="center"/>
              <w:rPr>
                <w:rFonts w:ascii="宋体" w:hAnsi="宋体" w:cs="宋体"/>
                <w:color w:val="auto"/>
                <w:szCs w:val="21"/>
                <w:highlight w:val="none"/>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21F7B403">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46929AAE">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29B86758">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45CFC12F">
            <w:pPr>
              <w:pStyle w:val="172"/>
              <w:widowControl w:val="0"/>
              <w:overflowPunct/>
              <w:autoSpaceDE/>
              <w:autoSpaceDN/>
              <w:spacing w:before="0" w:line="320" w:lineRule="exact"/>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0E21B3EA">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262B3909">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232E82CE">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r>
      <w:tr w14:paraId="4B80FB96">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7E2314F">
            <w:pPr>
              <w:adjustRightInd w:val="0"/>
              <w:spacing w:line="320" w:lineRule="exact"/>
              <w:jc w:val="center"/>
              <w:rPr>
                <w:rFonts w:ascii="宋体" w:hAnsi="宋体" w:cs="宋体"/>
                <w:color w:val="auto"/>
                <w:szCs w:val="21"/>
                <w:highlight w:val="none"/>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59396046">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7C28FC54">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0DDD28CD">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2C7B5E45">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77E5FCA7">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2926B9A3">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0D659139">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r>
      <w:tr w14:paraId="011A5BA9">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BB87471">
            <w:pPr>
              <w:adjustRightInd w:val="0"/>
              <w:spacing w:line="320" w:lineRule="exact"/>
              <w:jc w:val="center"/>
              <w:rPr>
                <w:rFonts w:ascii="宋体" w:hAnsi="宋体" w:cs="宋体"/>
                <w:color w:val="auto"/>
                <w:szCs w:val="21"/>
                <w:highlight w:val="none"/>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50C4C9BC">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2508DBD9">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02473C6C">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6254F067">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48562E1F">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1841817F">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5863849F">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r>
      <w:tr w14:paraId="2FE92E2D">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1AFBEE9">
            <w:pPr>
              <w:adjustRightInd w:val="0"/>
              <w:spacing w:line="320" w:lineRule="exact"/>
              <w:jc w:val="center"/>
              <w:rPr>
                <w:rFonts w:ascii="宋体" w:hAnsi="宋体" w:cs="宋体"/>
                <w:color w:val="auto"/>
                <w:szCs w:val="21"/>
                <w:highlight w:val="none"/>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45B8CFF9">
            <w:pPr>
              <w:adjustRightInd w:val="0"/>
              <w:spacing w:line="320" w:lineRule="exact"/>
              <w:rPr>
                <w:rFonts w:ascii="宋体" w:hAnsi="宋体" w:cs="宋体"/>
                <w:color w:val="auto"/>
                <w:szCs w:val="21"/>
                <w:highlight w:val="none"/>
              </w:rPr>
            </w:pP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0BEC430C">
            <w:pPr>
              <w:adjustRightInd w:val="0"/>
              <w:spacing w:line="320" w:lineRule="exact"/>
              <w:rPr>
                <w:rFonts w:ascii="宋体" w:hAnsi="宋体" w:cs="宋体"/>
                <w:color w:val="auto"/>
                <w:szCs w:val="21"/>
                <w:highlight w:val="none"/>
              </w:rPr>
            </w:pP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7AA46782">
            <w:pPr>
              <w:adjustRightInd w:val="0"/>
              <w:spacing w:line="320" w:lineRule="exact"/>
              <w:rPr>
                <w:rFonts w:ascii="宋体" w:hAnsi="宋体" w:cs="宋体"/>
                <w:color w:val="auto"/>
                <w:szCs w:val="21"/>
                <w:highlight w:val="none"/>
              </w:rPr>
            </w:pP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3E403A9C">
            <w:pPr>
              <w:adjustRightInd w:val="0"/>
              <w:spacing w:line="320" w:lineRule="exact"/>
              <w:rPr>
                <w:rFonts w:ascii="宋体" w:hAnsi="宋体" w:cs="宋体"/>
                <w:color w:val="auto"/>
                <w:szCs w:val="21"/>
                <w:highlight w:val="none"/>
              </w:rPr>
            </w:pP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066DAFF5">
            <w:pPr>
              <w:adjustRightInd w:val="0"/>
              <w:spacing w:line="320" w:lineRule="exact"/>
              <w:rPr>
                <w:rFonts w:ascii="宋体" w:hAnsi="宋体" w:cs="宋体"/>
                <w:color w:val="auto"/>
                <w:szCs w:val="21"/>
                <w:highlight w:val="none"/>
              </w:rPr>
            </w:pP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06E3716F">
            <w:pPr>
              <w:adjustRightInd w:val="0"/>
              <w:spacing w:line="320" w:lineRule="exact"/>
              <w:rPr>
                <w:rFonts w:ascii="宋体" w:hAnsi="宋体" w:cs="宋体"/>
                <w:color w:val="auto"/>
                <w:szCs w:val="21"/>
                <w:highlight w:val="none"/>
              </w:rPr>
            </w:pP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3CD59E49">
            <w:pPr>
              <w:adjustRightInd w:val="0"/>
              <w:spacing w:line="320" w:lineRule="exact"/>
              <w:rPr>
                <w:rFonts w:ascii="宋体" w:hAnsi="宋体" w:cs="宋体"/>
                <w:color w:val="auto"/>
                <w:szCs w:val="21"/>
                <w:highlight w:val="none"/>
              </w:rPr>
            </w:pPr>
          </w:p>
        </w:tc>
      </w:tr>
      <w:tr w14:paraId="18CCBD4C">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EFB3E26">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56C4FE5B">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784014C2">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26C271D5">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2505B63A">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1962CC3F">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71E6E2C2">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551F1BA0">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r>
    </w:tbl>
    <w:p w14:paraId="270FE96B">
      <w:pPr>
        <w:pStyle w:val="23"/>
        <w:ind w:firstLine="2835" w:firstLineChars="1350"/>
        <w:rPr>
          <w:rFonts w:hAnsi="宋体"/>
          <w:color w:val="auto"/>
          <w:szCs w:val="21"/>
          <w:highlight w:val="none"/>
        </w:rPr>
      </w:pPr>
    </w:p>
    <w:p w14:paraId="11D3DCFB">
      <w:pPr>
        <w:pStyle w:val="23"/>
        <w:ind w:firstLine="3990" w:firstLineChars="1900"/>
        <w:rPr>
          <w:rFonts w:hAnsi="宋体"/>
          <w:color w:val="auto"/>
          <w:szCs w:val="21"/>
          <w:highlight w:val="none"/>
        </w:rPr>
      </w:pPr>
      <w:r>
        <w:rPr>
          <w:rFonts w:hint="eastAsia" w:hAnsi="宋体"/>
          <w:color w:val="auto"/>
          <w:szCs w:val="21"/>
          <w:highlight w:val="none"/>
        </w:rPr>
        <w:t>法定代表人或委托代理人签字：</w:t>
      </w:r>
      <w:r>
        <w:rPr>
          <w:rFonts w:hint="eastAsia" w:hAnsi="宋体"/>
          <w:color w:val="auto"/>
          <w:szCs w:val="21"/>
          <w:highlight w:val="none"/>
          <w:u w:val="single"/>
        </w:rPr>
        <w:t>　　　　　　　　　　</w:t>
      </w:r>
    </w:p>
    <w:p w14:paraId="72A382AF">
      <w:pPr>
        <w:pStyle w:val="23"/>
        <w:ind w:firstLine="210" w:firstLineChars="100"/>
        <w:rPr>
          <w:rFonts w:hAnsi="宋体"/>
          <w:color w:val="auto"/>
          <w:szCs w:val="21"/>
          <w:highlight w:val="none"/>
        </w:rPr>
      </w:pPr>
    </w:p>
    <w:p w14:paraId="2FA58886">
      <w:pPr>
        <w:pStyle w:val="23"/>
        <w:ind w:firstLine="3990" w:firstLineChars="1900"/>
        <w:rPr>
          <w:rFonts w:hAnsi="宋体"/>
          <w:color w:val="auto"/>
          <w:szCs w:val="21"/>
          <w:highlight w:val="none"/>
          <w:u w:val="single"/>
        </w:rPr>
      </w:pPr>
      <w:r>
        <w:rPr>
          <w:rFonts w:hint="eastAsia" w:hAnsi="宋体"/>
          <w:color w:val="auto"/>
          <w:szCs w:val="21"/>
          <w:highlight w:val="none"/>
        </w:rPr>
        <w:t>供应商（公章)：</w:t>
      </w:r>
      <w:r>
        <w:rPr>
          <w:rFonts w:hint="eastAsia" w:hAnsi="宋体"/>
          <w:color w:val="auto"/>
          <w:szCs w:val="21"/>
          <w:highlight w:val="none"/>
          <w:u w:val="single"/>
        </w:rPr>
        <w:t xml:space="preserve">　　　　　　　　　　             </w:t>
      </w:r>
    </w:p>
    <w:p w14:paraId="05A6CF0D">
      <w:pPr>
        <w:pStyle w:val="23"/>
        <w:ind w:firstLine="210" w:firstLineChars="100"/>
        <w:rPr>
          <w:rFonts w:hAnsi="宋体"/>
          <w:color w:val="auto"/>
          <w:szCs w:val="21"/>
          <w:highlight w:val="none"/>
        </w:rPr>
      </w:pPr>
    </w:p>
    <w:p w14:paraId="2D948DA7">
      <w:pPr>
        <w:pStyle w:val="23"/>
        <w:ind w:firstLine="4095" w:firstLineChars="1950"/>
        <w:rPr>
          <w:rFonts w:hAnsi="宋体"/>
          <w:color w:val="auto"/>
          <w:szCs w:val="21"/>
          <w:highlight w:val="none"/>
        </w:rPr>
      </w:pPr>
      <w:r>
        <w:rPr>
          <w:rFonts w:hint="eastAsia" w:hAnsi="宋体"/>
          <w:color w:val="auto"/>
          <w:szCs w:val="21"/>
          <w:highlight w:val="none"/>
        </w:rPr>
        <w:t>日　期：</w:t>
      </w:r>
      <w:r>
        <w:rPr>
          <w:rFonts w:hint="eastAsia" w:hAnsi="宋体"/>
          <w:color w:val="auto"/>
          <w:szCs w:val="21"/>
          <w:highlight w:val="none"/>
          <w:u w:val="single"/>
        </w:rPr>
        <w:t xml:space="preserve">　　　　　　　　　　　　　　            </w:t>
      </w:r>
    </w:p>
    <w:p w14:paraId="054A22CF">
      <w:pPr>
        <w:spacing w:line="360" w:lineRule="auto"/>
        <w:rPr>
          <w:rFonts w:ascii="宋体" w:hAnsi="宋体" w:cs="宋体"/>
          <w:color w:val="auto"/>
          <w:szCs w:val="21"/>
          <w:highlight w:val="none"/>
        </w:rPr>
      </w:pPr>
    </w:p>
    <w:p w14:paraId="6DCAAE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本表应附拟投入人员的身份证、岗位证（如有）、职称证（如有）、资格证书（如有）等证明材料，及供应商单位为拟投入人员所缴纳社保费的缴费证明复印件（要求缴费时间为磋商截止时间前半年内连续三个月）。</w:t>
      </w:r>
    </w:p>
    <w:p w14:paraId="7848E684">
      <w:pPr>
        <w:pStyle w:val="23"/>
        <w:rPr>
          <w:rFonts w:hAnsi="宋体"/>
          <w:b/>
          <w:color w:val="auto"/>
          <w:sz w:val="24"/>
          <w:szCs w:val="24"/>
          <w:highlight w:val="none"/>
        </w:rPr>
      </w:pPr>
    </w:p>
    <w:p w14:paraId="45B933D9">
      <w:pPr>
        <w:pStyle w:val="23"/>
        <w:rPr>
          <w:rFonts w:hAnsi="宋体"/>
          <w:b/>
          <w:color w:val="auto"/>
          <w:sz w:val="24"/>
          <w:szCs w:val="24"/>
          <w:highlight w:val="none"/>
        </w:rPr>
      </w:pPr>
    </w:p>
    <w:p w14:paraId="14F00C96">
      <w:pPr>
        <w:pStyle w:val="23"/>
        <w:rPr>
          <w:rFonts w:hAnsi="宋体" w:cs="宋体"/>
          <w:color w:val="auto"/>
          <w:highlight w:val="none"/>
        </w:rPr>
      </w:pPr>
      <w:r>
        <w:rPr>
          <w:rFonts w:hAnsi="宋体"/>
          <w:b/>
          <w:color w:val="auto"/>
          <w:sz w:val="24"/>
          <w:szCs w:val="24"/>
          <w:highlight w:val="none"/>
        </w:rPr>
        <w:br w:type="page"/>
      </w:r>
      <w:r>
        <w:rPr>
          <w:rFonts w:hint="eastAsia" w:hAnsi="宋体"/>
          <w:b/>
          <w:color w:val="auto"/>
          <w:sz w:val="24"/>
          <w:highlight w:val="none"/>
        </w:rPr>
        <w:t>格式九：</w:t>
      </w:r>
    </w:p>
    <w:p w14:paraId="2A9F737E">
      <w:pPr>
        <w:jc w:val="center"/>
        <w:rPr>
          <w:rFonts w:ascii="宋体" w:hAnsi="宋体" w:cs="宋体"/>
          <w:b/>
          <w:color w:val="auto"/>
          <w:sz w:val="24"/>
          <w:highlight w:val="none"/>
        </w:rPr>
      </w:pPr>
    </w:p>
    <w:p w14:paraId="5F0F9DD2">
      <w:pPr>
        <w:jc w:val="center"/>
        <w:rPr>
          <w:rFonts w:ascii="宋体" w:hAnsi="宋体" w:cs="宋体"/>
          <w:b/>
          <w:color w:val="auto"/>
          <w:sz w:val="24"/>
          <w:highlight w:val="none"/>
        </w:rPr>
      </w:pPr>
      <w:r>
        <w:rPr>
          <w:rFonts w:hint="eastAsia" w:ascii="宋体" w:hAnsi="宋体" w:cs="宋体"/>
          <w:b/>
          <w:color w:val="auto"/>
          <w:sz w:val="24"/>
          <w:highlight w:val="none"/>
        </w:rPr>
        <w:t xml:space="preserve">拟投入本工程项目经理的简历表  </w:t>
      </w:r>
    </w:p>
    <w:p w14:paraId="139BD9C1">
      <w:pPr>
        <w:jc w:val="center"/>
        <w:rPr>
          <w:rFonts w:ascii="宋体" w:hAnsi="宋体" w:cs="宋体"/>
          <w:b/>
          <w:color w:val="auto"/>
          <w:sz w:val="24"/>
          <w:highlight w:val="none"/>
        </w:rPr>
      </w:pPr>
    </w:p>
    <w:tbl>
      <w:tblPr>
        <w:tblStyle w:val="4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91"/>
        <w:gridCol w:w="1103"/>
        <w:gridCol w:w="885"/>
        <w:gridCol w:w="214"/>
        <w:gridCol w:w="736"/>
        <w:gridCol w:w="1222"/>
        <w:gridCol w:w="1942"/>
        <w:gridCol w:w="1223"/>
      </w:tblGrid>
      <w:tr w14:paraId="59A3B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2DB87D41">
            <w:pPr>
              <w:adjustRightInd w:val="0"/>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1103" w:type="dxa"/>
            <w:tcBorders>
              <w:top w:val="single" w:color="auto" w:sz="6" w:space="0"/>
              <w:left w:val="single" w:color="auto" w:sz="6" w:space="0"/>
              <w:bottom w:val="single" w:color="auto" w:sz="6" w:space="0"/>
              <w:right w:val="single" w:color="auto" w:sz="6" w:space="0"/>
            </w:tcBorders>
            <w:vAlign w:val="center"/>
          </w:tcPr>
          <w:p w14:paraId="7A855698">
            <w:pPr>
              <w:adjustRightInd w:val="0"/>
              <w:jc w:val="center"/>
              <w:rPr>
                <w:rFonts w:ascii="宋体" w:hAnsi="宋体" w:cs="宋体"/>
                <w:color w:val="auto"/>
                <w:szCs w:val="21"/>
                <w:highlight w:val="none"/>
              </w:rPr>
            </w:pPr>
          </w:p>
        </w:tc>
        <w:tc>
          <w:tcPr>
            <w:tcW w:w="885" w:type="dxa"/>
            <w:tcBorders>
              <w:top w:val="single" w:color="auto" w:sz="6" w:space="0"/>
              <w:left w:val="single" w:color="auto" w:sz="6" w:space="0"/>
              <w:bottom w:val="single" w:color="auto" w:sz="6" w:space="0"/>
              <w:right w:val="single" w:color="auto" w:sz="6" w:space="0"/>
            </w:tcBorders>
            <w:vAlign w:val="center"/>
          </w:tcPr>
          <w:p w14:paraId="404322B2">
            <w:pPr>
              <w:adjustRightInd w:val="0"/>
              <w:jc w:val="center"/>
              <w:rPr>
                <w:rFonts w:ascii="宋体" w:hAnsi="宋体" w:cs="宋体"/>
                <w:color w:val="auto"/>
                <w:szCs w:val="21"/>
                <w:highlight w:val="none"/>
              </w:rPr>
            </w:pPr>
            <w:r>
              <w:rPr>
                <w:rFonts w:hint="eastAsia" w:ascii="宋体" w:hAnsi="宋体" w:cs="宋体"/>
                <w:color w:val="auto"/>
                <w:szCs w:val="21"/>
                <w:highlight w:val="none"/>
              </w:rPr>
              <w:t>性  别</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50FDC2D6">
            <w:pPr>
              <w:adjustRightInd w:val="0"/>
              <w:jc w:val="center"/>
              <w:rPr>
                <w:rFonts w:ascii="宋体" w:hAnsi="宋体" w:cs="宋体"/>
                <w:color w:val="auto"/>
                <w:szCs w:val="21"/>
                <w:highlight w:val="none"/>
              </w:rPr>
            </w:pPr>
          </w:p>
        </w:tc>
        <w:tc>
          <w:tcPr>
            <w:tcW w:w="1222" w:type="dxa"/>
            <w:tcBorders>
              <w:top w:val="single" w:color="auto" w:sz="6" w:space="0"/>
              <w:left w:val="single" w:color="auto" w:sz="6" w:space="0"/>
              <w:bottom w:val="single" w:color="auto" w:sz="6" w:space="0"/>
              <w:right w:val="single" w:color="auto" w:sz="6" w:space="0"/>
            </w:tcBorders>
            <w:vAlign w:val="center"/>
          </w:tcPr>
          <w:p w14:paraId="66E0530D">
            <w:pPr>
              <w:adjustRightInd w:val="0"/>
              <w:jc w:val="center"/>
              <w:rPr>
                <w:rFonts w:ascii="宋体" w:hAnsi="宋体" w:cs="宋体"/>
                <w:color w:val="auto"/>
                <w:szCs w:val="21"/>
                <w:highlight w:val="none"/>
              </w:rPr>
            </w:pPr>
            <w:r>
              <w:rPr>
                <w:rFonts w:hint="eastAsia" w:ascii="宋体" w:hAnsi="宋体" w:cs="宋体"/>
                <w:color w:val="auto"/>
                <w:szCs w:val="21"/>
                <w:highlight w:val="none"/>
              </w:rPr>
              <w:t>年  龄</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2F97D84B">
            <w:pPr>
              <w:adjustRightInd w:val="0"/>
              <w:jc w:val="center"/>
              <w:rPr>
                <w:rFonts w:ascii="宋体" w:hAnsi="宋体" w:cs="宋体"/>
                <w:color w:val="auto"/>
                <w:szCs w:val="21"/>
                <w:highlight w:val="none"/>
              </w:rPr>
            </w:pPr>
          </w:p>
        </w:tc>
      </w:tr>
      <w:tr w14:paraId="02F90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8"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1DA62A82">
            <w:pPr>
              <w:adjustRightInd w:val="0"/>
              <w:jc w:val="center"/>
              <w:rPr>
                <w:rFonts w:ascii="宋体" w:hAnsi="宋体" w:cs="宋体"/>
                <w:color w:val="auto"/>
                <w:szCs w:val="21"/>
                <w:highlight w:val="none"/>
              </w:rPr>
            </w:pPr>
            <w:r>
              <w:rPr>
                <w:rFonts w:hint="eastAsia" w:ascii="宋体" w:hAnsi="宋体" w:cs="宋体"/>
                <w:color w:val="auto"/>
                <w:szCs w:val="21"/>
                <w:highlight w:val="none"/>
              </w:rPr>
              <w:t>职  务</w:t>
            </w:r>
          </w:p>
        </w:tc>
        <w:tc>
          <w:tcPr>
            <w:tcW w:w="1103" w:type="dxa"/>
            <w:tcBorders>
              <w:top w:val="single" w:color="auto" w:sz="6" w:space="0"/>
              <w:left w:val="single" w:color="auto" w:sz="6" w:space="0"/>
              <w:bottom w:val="single" w:color="auto" w:sz="6" w:space="0"/>
              <w:right w:val="single" w:color="auto" w:sz="6" w:space="0"/>
            </w:tcBorders>
            <w:vAlign w:val="center"/>
          </w:tcPr>
          <w:p w14:paraId="1BBEE209">
            <w:pPr>
              <w:adjustRightInd w:val="0"/>
              <w:jc w:val="center"/>
              <w:rPr>
                <w:rFonts w:ascii="宋体" w:hAnsi="宋体" w:cs="宋体"/>
                <w:color w:val="auto"/>
                <w:szCs w:val="21"/>
                <w:highlight w:val="none"/>
              </w:rPr>
            </w:pPr>
          </w:p>
        </w:tc>
        <w:tc>
          <w:tcPr>
            <w:tcW w:w="885" w:type="dxa"/>
            <w:tcBorders>
              <w:top w:val="single" w:color="auto" w:sz="6" w:space="0"/>
              <w:left w:val="single" w:color="auto" w:sz="6" w:space="0"/>
              <w:bottom w:val="single" w:color="auto" w:sz="6" w:space="0"/>
              <w:right w:val="single" w:color="auto" w:sz="6" w:space="0"/>
            </w:tcBorders>
            <w:vAlign w:val="center"/>
          </w:tcPr>
          <w:p w14:paraId="68FC4738">
            <w:pPr>
              <w:adjustRightInd w:val="0"/>
              <w:jc w:val="center"/>
              <w:rPr>
                <w:rFonts w:ascii="宋体" w:hAnsi="宋体" w:cs="宋体"/>
                <w:color w:val="auto"/>
                <w:szCs w:val="21"/>
                <w:highlight w:val="none"/>
              </w:rPr>
            </w:pPr>
            <w:r>
              <w:rPr>
                <w:rFonts w:hint="eastAsia" w:ascii="宋体" w:hAnsi="宋体" w:cs="宋体"/>
                <w:color w:val="auto"/>
                <w:szCs w:val="21"/>
                <w:highlight w:val="none"/>
              </w:rPr>
              <w:t>职  称</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29DC7DBD">
            <w:pPr>
              <w:adjustRightInd w:val="0"/>
              <w:jc w:val="center"/>
              <w:rPr>
                <w:rFonts w:ascii="宋体" w:hAnsi="宋体" w:cs="宋体"/>
                <w:color w:val="auto"/>
                <w:szCs w:val="21"/>
                <w:highlight w:val="none"/>
              </w:rPr>
            </w:pPr>
          </w:p>
        </w:tc>
        <w:tc>
          <w:tcPr>
            <w:tcW w:w="1222" w:type="dxa"/>
            <w:tcBorders>
              <w:top w:val="single" w:color="auto" w:sz="6" w:space="0"/>
              <w:left w:val="single" w:color="auto" w:sz="6" w:space="0"/>
              <w:bottom w:val="single" w:color="auto" w:sz="6" w:space="0"/>
              <w:right w:val="single" w:color="auto" w:sz="6" w:space="0"/>
            </w:tcBorders>
            <w:vAlign w:val="center"/>
          </w:tcPr>
          <w:p w14:paraId="5D1F2792">
            <w:pPr>
              <w:adjustRightInd w:val="0"/>
              <w:jc w:val="center"/>
              <w:rPr>
                <w:rFonts w:ascii="宋体" w:hAnsi="宋体" w:cs="宋体"/>
                <w:color w:val="auto"/>
                <w:szCs w:val="21"/>
                <w:highlight w:val="none"/>
              </w:rPr>
            </w:pPr>
            <w:r>
              <w:rPr>
                <w:rFonts w:hint="eastAsia" w:ascii="宋体" w:hAnsi="宋体" w:cs="宋体"/>
                <w:color w:val="auto"/>
                <w:szCs w:val="21"/>
                <w:highlight w:val="none"/>
              </w:rPr>
              <w:t>学  历</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671BA59B">
            <w:pPr>
              <w:adjustRightInd w:val="0"/>
              <w:jc w:val="center"/>
              <w:rPr>
                <w:rFonts w:ascii="宋体" w:hAnsi="宋体" w:cs="宋体"/>
                <w:color w:val="auto"/>
                <w:szCs w:val="21"/>
                <w:highlight w:val="none"/>
              </w:rPr>
            </w:pPr>
          </w:p>
        </w:tc>
      </w:tr>
      <w:tr w14:paraId="66901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6" w:space="0"/>
            </w:tcBorders>
            <w:vAlign w:val="center"/>
          </w:tcPr>
          <w:p w14:paraId="3975F8DA">
            <w:pPr>
              <w:adjustRightInd w:val="0"/>
              <w:jc w:val="center"/>
              <w:rPr>
                <w:rFonts w:ascii="宋体" w:hAnsi="宋体" w:cs="宋体"/>
                <w:color w:val="auto"/>
                <w:szCs w:val="21"/>
                <w:highlight w:val="none"/>
              </w:rPr>
            </w:pPr>
            <w:r>
              <w:rPr>
                <w:rFonts w:hint="eastAsia" w:ascii="宋体" w:hAnsi="宋体" w:cs="宋体"/>
                <w:color w:val="auto"/>
                <w:szCs w:val="21"/>
                <w:highlight w:val="none"/>
              </w:rPr>
              <w:t>执业或职业资格证书名称及编号</w:t>
            </w:r>
          </w:p>
        </w:tc>
        <w:tc>
          <w:tcPr>
            <w:tcW w:w="1835" w:type="dxa"/>
            <w:gridSpan w:val="3"/>
            <w:tcBorders>
              <w:top w:val="single" w:color="auto" w:sz="6" w:space="0"/>
              <w:left w:val="single" w:color="auto" w:sz="6" w:space="0"/>
              <w:bottom w:val="single" w:color="auto" w:sz="6" w:space="0"/>
              <w:right w:val="single" w:color="auto" w:sz="4" w:space="0"/>
            </w:tcBorders>
            <w:vAlign w:val="center"/>
          </w:tcPr>
          <w:p w14:paraId="32D1F378">
            <w:pPr>
              <w:adjustRightInd w:val="0"/>
              <w:jc w:val="center"/>
              <w:rPr>
                <w:rFonts w:ascii="宋体" w:hAnsi="宋体" w:cs="宋体"/>
                <w:color w:val="auto"/>
                <w:szCs w:val="21"/>
                <w:highlight w:val="none"/>
              </w:rPr>
            </w:pPr>
          </w:p>
        </w:tc>
        <w:tc>
          <w:tcPr>
            <w:tcW w:w="1222" w:type="dxa"/>
            <w:tcBorders>
              <w:top w:val="single" w:color="auto" w:sz="6" w:space="0"/>
              <w:left w:val="single" w:color="auto" w:sz="4" w:space="0"/>
              <w:bottom w:val="single" w:color="auto" w:sz="6" w:space="0"/>
              <w:right w:val="single" w:color="auto" w:sz="6" w:space="0"/>
            </w:tcBorders>
            <w:vAlign w:val="center"/>
          </w:tcPr>
          <w:p w14:paraId="3E16B11C">
            <w:pPr>
              <w:adjustRightInd w:val="0"/>
              <w:jc w:val="center"/>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2549F120">
            <w:pPr>
              <w:adjustRightInd w:val="0"/>
              <w:jc w:val="center"/>
              <w:rPr>
                <w:rFonts w:ascii="宋体" w:hAnsi="宋体" w:cs="宋体"/>
                <w:color w:val="auto"/>
                <w:szCs w:val="21"/>
                <w:highlight w:val="none"/>
              </w:rPr>
            </w:pPr>
          </w:p>
        </w:tc>
      </w:tr>
      <w:tr w14:paraId="74200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5618EEFC">
            <w:pPr>
              <w:adjustRightInd w:val="0"/>
              <w:jc w:val="center"/>
              <w:rPr>
                <w:rFonts w:ascii="宋体" w:hAnsi="宋体" w:cs="宋体"/>
                <w:color w:val="auto"/>
                <w:szCs w:val="21"/>
                <w:highlight w:val="none"/>
              </w:rPr>
            </w:pPr>
            <w:r>
              <w:rPr>
                <w:rFonts w:hint="eastAsia" w:ascii="宋体" w:hAnsi="宋体" w:cs="宋体"/>
                <w:color w:val="auto"/>
                <w:szCs w:val="21"/>
                <w:highlight w:val="none"/>
              </w:rPr>
              <w:t>安全生产考核合格证书</w:t>
            </w:r>
          </w:p>
        </w:tc>
        <w:tc>
          <w:tcPr>
            <w:tcW w:w="1835" w:type="dxa"/>
            <w:gridSpan w:val="3"/>
            <w:tcBorders>
              <w:top w:val="single" w:color="auto" w:sz="6" w:space="0"/>
              <w:left w:val="single" w:color="auto" w:sz="4" w:space="0"/>
              <w:bottom w:val="single" w:color="auto" w:sz="6" w:space="0"/>
              <w:right w:val="single" w:color="auto" w:sz="4" w:space="0"/>
            </w:tcBorders>
            <w:vAlign w:val="center"/>
          </w:tcPr>
          <w:p w14:paraId="0214E727">
            <w:pPr>
              <w:adjustRightInd w:val="0"/>
              <w:jc w:val="center"/>
              <w:rPr>
                <w:rFonts w:ascii="宋体" w:hAnsi="宋体" w:cs="宋体"/>
                <w:color w:val="auto"/>
                <w:szCs w:val="21"/>
                <w:highlight w:val="none"/>
              </w:rPr>
            </w:pPr>
          </w:p>
        </w:tc>
        <w:tc>
          <w:tcPr>
            <w:tcW w:w="1222" w:type="dxa"/>
            <w:tcBorders>
              <w:top w:val="single" w:color="auto" w:sz="6" w:space="0"/>
              <w:left w:val="single" w:color="auto" w:sz="4" w:space="0"/>
              <w:bottom w:val="single" w:color="auto" w:sz="6" w:space="0"/>
              <w:right w:val="single" w:color="auto" w:sz="6" w:space="0"/>
            </w:tcBorders>
            <w:vAlign w:val="center"/>
          </w:tcPr>
          <w:p w14:paraId="770E5645">
            <w:pPr>
              <w:adjustRightInd w:val="0"/>
              <w:jc w:val="center"/>
              <w:rPr>
                <w:rFonts w:ascii="宋体" w:hAnsi="宋体" w:cs="宋体"/>
                <w:color w:val="auto"/>
                <w:szCs w:val="21"/>
                <w:highlight w:val="none"/>
              </w:rPr>
            </w:pPr>
            <w:r>
              <w:rPr>
                <w:rFonts w:hint="eastAsia" w:ascii="宋体" w:hAnsi="宋体" w:cs="宋体"/>
                <w:color w:val="auto"/>
                <w:szCs w:val="21"/>
                <w:highlight w:val="none"/>
              </w:rPr>
              <w:t>担任本职工作年限</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5300C1FD">
            <w:pPr>
              <w:adjustRightInd w:val="0"/>
              <w:jc w:val="center"/>
              <w:rPr>
                <w:rFonts w:ascii="宋体" w:hAnsi="宋体" w:cs="宋体"/>
                <w:color w:val="auto"/>
                <w:szCs w:val="21"/>
                <w:highlight w:val="none"/>
              </w:rPr>
            </w:pPr>
          </w:p>
        </w:tc>
      </w:tr>
      <w:tr w14:paraId="29637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0ABFB4FB">
            <w:pPr>
              <w:adjustRightInd w:val="0"/>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6222" w:type="dxa"/>
            <w:gridSpan w:val="6"/>
            <w:tcBorders>
              <w:top w:val="single" w:color="auto" w:sz="6" w:space="0"/>
              <w:left w:val="single" w:color="auto" w:sz="4" w:space="0"/>
              <w:bottom w:val="single" w:color="auto" w:sz="6" w:space="0"/>
              <w:right w:val="single" w:color="auto" w:sz="6" w:space="0"/>
            </w:tcBorders>
            <w:vAlign w:val="center"/>
          </w:tcPr>
          <w:p w14:paraId="649FC404">
            <w:pPr>
              <w:adjustRightInd w:val="0"/>
              <w:rPr>
                <w:rFonts w:ascii="宋体" w:hAnsi="宋体" w:cs="宋体"/>
                <w:color w:val="auto"/>
                <w:szCs w:val="21"/>
                <w:highlight w:val="none"/>
              </w:rPr>
            </w:pPr>
            <w:r>
              <w:rPr>
                <w:rFonts w:hint="eastAsia" w:ascii="宋体" w:hAnsi="宋体" w:cs="宋体"/>
                <w:color w:val="auto"/>
                <w:szCs w:val="21"/>
                <w:highlight w:val="none"/>
              </w:rPr>
              <w:t xml:space="preserve">        年毕业于          学校        专业</w:t>
            </w:r>
          </w:p>
        </w:tc>
      </w:tr>
      <w:tr w14:paraId="6EF62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8616" w:type="dxa"/>
            <w:gridSpan w:val="8"/>
            <w:tcBorders>
              <w:top w:val="single" w:color="auto" w:sz="6" w:space="0"/>
              <w:left w:val="single" w:color="auto" w:sz="6" w:space="0"/>
              <w:bottom w:val="single" w:color="auto" w:sz="6" w:space="0"/>
              <w:right w:val="single" w:color="auto" w:sz="6" w:space="0"/>
            </w:tcBorders>
            <w:vAlign w:val="center"/>
          </w:tcPr>
          <w:p w14:paraId="3DB31DE4">
            <w:pPr>
              <w:adjustRightInd w:val="0"/>
              <w:jc w:val="center"/>
              <w:rPr>
                <w:rFonts w:ascii="宋体" w:hAnsi="宋体" w:cs="宋体"/>
                <w:color w:val="auto"/>
                <w:szCs w:val="21"/>
                <w:highlight w:val="none"/>
              </w:rPr>
            </w:pPr>
            <w:r>
              <w:rPr>
                <w:rFonts w:hint="eastAsia" w:ascii="宋体" w:hAnsi="宋体" w:cs="宋体"/>
                <w:color w:val="auto"/>
                <w:szCs w:val="21"/>
                <w:highlight w:val="none"/>
              </w:rPr>
              <w:t>已完工程项目情况表</w:t>
            </w:r>
          </w:p>
        </w:tc>
      </w:tr>
      <w:tr w14:paraId="22AF0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11776E7E">
            <w:pPr>
              <w:adjustRightInd w:val="0"/>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1103" w:type="dxa"/>
            <w:tcBorders>
              <w:top w:val="single" w:color="auto" w:sz="6" w:space="0"/>
              <w:left w:val="single" w:color="auto" w:sz="6" w:space="0"/>
              <w:bottom w:val="single" w:color="auto" w:sz="6" w:space="0"/>
              <w:right w:val="single" w:color="auto" w:sz="6" w:space="0"/>
            </w:tcBorders>
            <w:vAlign w:val="center"/>
          </w:tcPr>
          <w:p w14:paraId="29346959">
            <w:pPr>
              <w:adjustRightInd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099" w:type="dxa"/>
            <w:gridSpan w:val="2"/>
            <w:tcBorders>
              <w:top w:val="single" w:color="auto" w:sz="6" w:space="0"/>
              <w:left w:val="single" w:color="auto" w:sz="6" w:space="0"/>
              <w:bottom w:val="single" w:color="auto" w:sz="6" w:space="0"/>
              <w:right w:val="single" w:color="auto" w:sz="6" w:space="0"/>
            </w:tcBorders>
            <w:vAlign w:val="center"/>
          </w:tcPr>
          <w:p w14:paraId="25C9AE9E">
            <w:pPr>
              <w:adjustRightInd w:val="0"/>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1958" w:type="dxa"/>
            <w:gridSpan w:val="2"/>
            <w:tcBorders>
              <w:top w:val="single" w:color="auto" w:sz="6" w:space="0"/>
              <w:left w:val="single" w:color="auto" w:sz="6" w:space="0"/>
              <w:bottom w:val="single" w:color="auto" w:sz="6" w:space="0"/>
              <w:right w:val="single" w:color="auto" w:sz="6" w:space="0"/>
            </w:tcBorders>
            <w:vAlign w:val="center"/>
          </w:tcPr>
          <w:p w14:paraId="152B6B26">
            <w:pPr>
              <w:adjustRightInd w:val="0"/>
              <w:jc w:val="center"/>
              <w:rPr>
                <w:rFonts w:ascii="宋体" w:hAnsi="宋体" w:cs="宋体"/>
                <w:color w:val="auto"/>
                <w:szCs w:val="21"/>
                <w:highlight w:val="none"/>
              </w:rPr>
            </w:pPr>
            <w:r>
              <w:rPr>
                <w:rFonts w:hint="eastAsia" w:ascii="宋体" w:hAnsi="宋体" w:cs="宋体"/>
                <w:color w:val="auto"/>
                <w:szCs w:val="21"/>
                <w:highlight w:val="none"/>
              </w:rPr>
              <w:t>开、竣工日期</w:t>
            </w:r>
          </w:p>
        </w:tc>
        <w:tc>
          <w:tcPr>
            <w:tcW w:w="1942" w:type="dxa"/>
            <w:tcBorders>
              <w:top w:val="single" w:color="auto" w:sz="6" w:space="0"/>
              <w:left w:val="single" w:color="auto" w:sz="6" w:space="0"/>
              <w:bottom w:val="single" w:color="auto" w:sz="6" w:space="0"/>
              <w:right w:val="single" w:color="auto" w:sz="6" w:space="0"/>
            </w:tcBorders>
            <w:vAlign w:val="center"/>
          </w:tcPr>
          <w:p w14:paraId="5E4EA74F">
            <w:pPr>
              <w:adjustRightInd w:val="0"/>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1223" w:type="dxa"/>
            <w:tcBorders>
              <w:top w:val="single" w:color="auto" w:sz="6" w:space="0"/>
              <w:left w:val="single" w:color="auto" w:sz="6" w:space="0"/>
              <w:bottom w:val="single" w:color="auto" w:sz="6" w:space="0"/>
              <w:right w:val="single" w:color="auto" w:sz="6" w:space="0"/>
            </w:tcBorders>
            <w:vAlign w:val="center"/>
          </w:tcPr>
          <w:p w14:paraId="4759208C">
            <w:pPr>
              <w:adjustRightInd w:val="0"/>
              <w:jc w:val="center"/>
              <w:rPr>
                <w:rFonts w:ascii="宋体" w:hAnsi="宋体" w:cs="宋体"/>
                <w:color w:val="auto"/>
                <w:szCs w:val="21"/>
                <w:highlight w:val="none"/>
              </w:rPr>
            </w:pPr>
            <w:r>
              <w:rPr>
                <w:rFonts w:hint="eastAsia" w:ascii="宋体" w:hAnsi="宋体" w:cs="宋体"/>
                <w:color w:val="auto"/>
                <w:szCs w:val="21"/>
                <w:highlight w:val="none"/>
              </w:rPr>
              <w:t>受奖情况</w:t>
            </w:r>
          </w:p>
        </w:tc>
      </w:tr>
      <w:tr w14:paraId="14A44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74B0DAA4">
            <w:pPr>
              <w:adjustRightInd w:val="0"/>
              <w:rPr>
                <w:rFonts w:ascii="宋体" w:hAnsi="宋体" w:cs="宋体"/>
                <w:color w:val="auto"/>
                <w:szCs w:val="21"/>
                <w:highlight w:val="none"/>
              </w:rPr>
            </w:pPr>
          </w:p>
        </w:tc>
        <w:tc>
          <w:tcPr>
            <w:tcW w:w="1103" w:type="dxa"/>
            <w:tcBorders>
              <w:top w:val="single" w:color="auto" w:sz="6" w:space="0"/>
              <w:left w:val="single" w:color="auto" w:sz="6" w:space="0"/>
              <w:bottom w:val="single" w:color="auto" w:sz="6" w:space="0"/>
              <w:right w:val="single" w:color="auto" w:sz="6" w:space="0"/>
            </w:tcBorders>
          </w:tcPr>
          <w:p w14:paraId="167E3B06">
            <w:pPr>
              <w:adjustRightInd w:val="0"/>
              <w:rPr>
                <w:rFonts w:ascii="宋体" w:hAnsi="宋体" w:cs="宋体"/>
                <w:color w:val="auto"/>
                <w:szCs w:val="21"/>
                <w:highlight w:val="none"/>
              </w:rPr>
            </w:pPr>
          </w:p>
        </w:tc>
        <w:tc>
          <w:tcPr>
            <w:tcW w:w="1099" w:type="dxa"/>
            <w:gridSpan w:val="2"/>
            <w:tcBorders>
              <w:top w:val="single" w:color="auto" w:sz="6" w:space="0"/>
              <w:left w:val="single" w:color="auto" w:sz="6" w:space="0"/>
              <w:bottom w:val="single" w:color="auto" w:sz="6" w:space="0"/>
              <w:right w:val="single" w:color="auto" w:sz="6" w:space="0"/>
            </w:tcBorders>
          </w:tcPr>
          <w:p w14:paraId="58681DB6">
            <w:pPr>
              <w:adjustRightInd w:val="0"/>
              <w:rPr>
                <w:rFonts w:ascii="宋体" w:hAnsi="宋体" w:cs="宋体"/>
                <w:color w:val="auto"/>
                <w:szCs w:val="21"/>
                <w:highlight w:val="none"/>
              </w:rPr>
            </w:pPr>
          </w:p>
        </w:tc>
        <w:tc>
          <w:tcPr>
            <w:tcW w:w="1958" w:type="dxa"/>
            <w:gridSpan w:val="2"/>
            <w:tcBorders>
              <w:top w:val="single" w:color="auto" w:sz="6" w:space="0"/>
              <w:left w:val="single" w:color="auto" w:sz="6" w:space="0"/>
              <w:bottom w:val="single" w:color="auto" w:sz="6" w:space="0"/>
              <w:right w:val="single" w:color="auto" w:sz="6" w:space="0"/>
            </w:tcBorders>
          </w:tcPr>
          <w:p w14:paraId="078A8938">
            <w:pPr>
              <w:adjustRightInd w:val="0"/>
              <w:rPr>
                <w:rFonts w:ascii="宋体" w:hAnsi="宋体" w:cs="宋体"/>
                <w:color w:val="auto"/>
                <w:szCs w:val="21"/>
                <w:highlight w:val="none"/>
              </w:rPr>
            </w:pPr>
          </w:p>
        </w:tc>
        <w:tc>
          <w:tcPr>
            <w:tcW w:w="1942" w:type="dxa"/>
            <w:tcBorders>
              <w:top w:val="single" w:color="auto" w:sz="6" w:space="0"/>
              <w:left w:val="single" w:color="auto" w:sz="6" w:space="0"/>
              <w:bottom w:val="single" w:color="auto" w:sz="6" w:space="0"/>
              <w:right w:val="single" w:color="auto" w:sz="6" w:space="0"/>
            </w:tcBorders>
          </w:tcPr>
          <w:p w14:paraId="20869312">
            <w:pPr>
              <w:adjustRightInd w:val="0"/>
              <w:rPr>
                <w:rFonts w:ascii="宋体" w:hAnsi="宋体" w:cs="宋体"/>
                <w:color w:val="auto"/>
                <w:szCs w:val="21"/>
                <w:highlight w:val="none"/>
              </w:rPr>
            </w:pPr>
          </w:p>
        </w:tc>
        <w:tc>
          <w:tcPr>
            <w:tcW w:w="1223" w:type="dxa"/>
            <w:tcBorders>
              <w:top w:val="single" w:color="auto" w:sz="6" w:space="0"/>
              <w:left w:val="single" w:color="auto" w:sz="6" w:space="0"/>
              <w:bottom w:val="single" w:color="auto" w:sz="6" w:space="0"/>
              <w:right w:val="single" w:color="auto" w:sz="6" w:space="0"/>
            </w:tcBorders>
          </w:tcPr>
          <w:p w14:paraId="469E2C99">
            <w:pPr>
              <w:adjustRightInd w:val="0"/>
              <w:rPr>
                <w:rFonts w:ascii="宋体" w:hAnsi="宋体" w:cs="宋体"/>
                <w:color w:val="auto"/>
                <w:szCs w:val="21"/>
                <w:highlight w:val="none"/>
              </w:rPr>
            </w:pPr>
          </w:p>
        </w:tc>
      </w:tr>
      <w:tr w14:paraId="4D5D7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588A030D">
            <w:pPr>
              <w:adjustRightInd w:val="0"/>
              <w:rPr>
                <w:rFonts w:ascii="宋体" w:hAnsi="宋体" w:cs="宋体"/>
                <w:color w:val="auto"/>
                <w:szCs w:val="21"/>
                <w:highlight w:val="none"/>
              </w:rPr>
            </w:pPr>
          </w:p>
        </w:tc>
        <w:tc>
          <w:tcPr>
            <w:tcW w:w="1103" w:type="dxa"/>
            <w:tcBorders>
              <w:top w:val="single" w:color="auto" w:sz="6" w:space="0"/>
              <w:left w:val="single" w:color="auto" w:sz="6" w:space="0"/>
              <w:bottom w:val="single" w:color="auto" w:sz="6" w:space="0"/>
              <w:right w:val="single" w:color="auto" w:sz="6" w:space="0"/>
            </w:tcBorders>
          </w:tcPr>
          <w:p w14:paraId="6AE69A4B">
            <w:pPr>
              <w:adjustRightInd w:val="0"/>
              <w:rPr>
                <w:rFonts w:ascii="宋体" w:hAnsi="宋体" w:cs="宋体"/>
                <w:color w:val="auto"/>
                <w:szCs w:val="21"/>
                <w:highlight w:val="none"/>
              </w:rPr>
            </w:pPr>
          </w:p>
        </w:tc>
        <w:tc>
          <w:tcPr>
            <w:tcW w:w="1099" w:type="dxa"/>
            <w:gridSpan w:val="2"/>
            <w:tcBorders>
              <w:top w:val="single" w:color="auto" w:sz="6" w:space="0"/>
              <w:left w:val="single" w:color="auto" w:sz="6" w:space="0"/>
              <w:bottom w:val="single" w:color="auto" w:sz="6" w:space="0"/>
              <w:right w:val="single" w:color="auto" w:sz="6" w:space="0"/>
            </w:tcBorders>
          </w:tcPr>
          <w:p w14:paraId="17C8BE4F">
            <w:pPr>
              <w:adjustRightInd w:val="0"/>
              <w:rPr>
                <w:rFonts w:ascii="宋体" w:hAnsi="宋体" w:cs="宋体"/>
                <w:color w:val="auto"/>
                <w:szCs w:val="21"/>
                <w:highlight w:val="none"/>
              </w:rPr>
            </w:pPr>
          </w:p>
        </w:tc>
        <w:tc>
          <w:tcPr>
            <w:tcW w:w="1958" w:type="dxa"/>
            <w:gridSpan w:val="2"/>
            <w:tcBorders>
              <w:top w:val="single" w:color="auto" w:sz="6" w:space="0"/>
              <w:left w:val="single" w:color="auto" w:sz="6" w:space="0"/>
              <w:bottom w:val="single" w:color="auto" w:sz="6" w:space="0"/>
              <w:right w:val="single" w:color="auto" w:sz="6" w:space="0"/>
            </w:tcBorders>
          </w:tcPr>
          <w:p w14:paraId="170A986D">
            <w:pPr>
              <w:adjustRightInd w:val="0"/>
              <w:rPr>
                <w:rFonts w:ascii="宋体" w:hAnsi="宋体" w:cs="宋体"/>
                <w:color w:val="auto"/>
                <w:szCs w:val="21"/>
                <w:highlight w:val="none"/>
              </w:rPr>
            </w:pPr>
          </w:p>
        </w:tc>
        <w:tc>
          <w:tcPr>
            <w:tcW w:w="1942" w:type="dxa"/>
            <w:tcBorders>
              <w:top w:val="single" w:color="auto" w:sz="6" w:space="0"/>
              <w:left w:val="single" w:color="auto" w:sz="6" w:space="0"/>
              <w:bottom w:val="single" w:color="auto" w:sz="6" w:space="0"/>
              <w:right w:val="single" w:color="auto" w:sz="6" w:space="0"/>
            </w:tcBorders>
          </w:tcPr>
          <w:p w14:paraId="10F1A9F7">
            <w:pPr>
              <w:adjustRightInd w:val="0"/>
              <w:rPr>
                <w:rFonts w:ascii="宋体" w:hAnsi="宋体" w:cs="宋体"/>
                <w:color w:val="auto"/>
                <w:szCs w:val="21"/>
                <w:highlight w:val="none"/>
              </w:rPr>
            </w:pPr>
          </w:p>
        </w:tc>
        <w:tc>
          <w:tcPr>
            <w:tcW w:w="1223" w:type="dxa"/>
            <w:tcBorders>
              <w:top w:val="single" w:color="auto" w:sz="6" w:space="0"/>
              <w:left w:val="single" w:color="auto" w:sz="6" w:space="0"/>
              <w:bottom w:val="single" w:color="auto" w:sz="6" w:space="0"/>
              <w:right w:val="single" w:color="auto" w:sz="6" w:space="0"/>
            </w:tcBorders>
          </w:tcPr>
          <w:p w14:paraId="39A11417">
            <w:pPr>
              <w:adjustRightInd w:val="0"/>
              <w:rPr>
                <w:rFonts w:ascii="宋体" w:hAnsi="宋体" w:cs="宋体"/>
                <w:color w:val="auto"/>
                <w:szCs w:val="21"/>
                <w:highlight w:val="none"/>
              </w:rPr>
            </w:pPr>
          </w:p>
        </w:tc>
      </w:tr>
      <w:tr w14:paraId="3BE03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334C1A22">
            <w:pPr>
              <w:adjustRightInd w:val="0"/>
              <w:rPr>
                <w:rFonts w:ascii="宋体" w:hAnsi="宋体" w:cs="宋体"/>
                <w:color w:val="auto"/>
                <w:szCs w:val="21"/>
                <w:highlight w:val="none"/>
              </w:rPr>
            </w:pPr>
          </w:p>
        </w:tc>
        <w:tc>
          <w:tcPr>
            <w:tcW w:w="1103" w:type="dxa"/>
            <w:tcBorders>
              <w:top w:val="single" w:color="auto" w:sz="6" w:space="0"/>
              <w:left w:val="single" w:color="auto" w:sz="6" w:space="0"/>
              <w:bottom w:val="single" w:color="auto" w:sz="6" w:space="0"/>
              <w:right w:val="single" w:color="auto" w:sz="6" w:space="0"/>
            </w:tcBorders>
          </w:tcPr>
          <w:p w14:paraId="3E418202">
            <w:pPr>
              <w:adjustRightInd w:val="0"/>
              <w:rPr>
                <w:rFonts w:ascii="宋体" w:hAnsi="宋体" w:cs="宋体"/>
                <w:color w:val="auto"/>
                <w:szCs w:val="21"/>
                <w:highlight w:val="none"/>
              </w:rPr>
            </w:pPr>
          </w:p>
        </w:tc>
        <w:tc>
          <w:tcPr>
            <w:tcW w:w="1099" w:type="dxa"/>
            <w:gridSpan w:val="2"/>
            <w:tcBorders>
              <w:top w:val="single" w:color="auto" w:sz="6" w:space="0"/>
              <w:left w:val="single" w:color="auto" w:sz="6" w:space="0"/>
              <w:bottom w:val="single" w:color="auto" w:sz="6" w:space="0"/>
              <w:right w:val="single" w:color="auto" w:sz="6" w:space="0"/>
            </w:tcBorders>
          </w:tcPr>
          <w:p w14:paraId="305576ED">
            <w:pPr>
              <w:adjustRightInd w:val="0"/>
              <w:rPr>
                <w:rFonts w:ascii="宋体" w:hAnsi="宋体" w:cs="宋体"/>
                <w:color w:val="auto"/>
                <w:szCs w:val="21"/>
                <w:highlight w:val="none"/>
              </w:rPr>
            </w:pPr>
          </w:p>
        </w:tc>
        <w:tc>
          <w:tcPr>
            <w:tcW w:w="1958" w:type="dxa"/>
            <w:gridSpan w:val="2"/>
            <w:tcBorders>
              <w:top w:val="single" w:color="auto" w:sz="6" w:space="0"/>
              <w:left w:val="single" w:color="auto" w:sz="6" w:space="0"/>
              <w:bottom w:val="single" w:color="auto" w:sz="6" w:space="0"/>
              <w:right w:val="single" w:color="auto" w:sz="6" w:space="0"/>
            </w:tcBorders>
          </w:tcPr>
          <w:p w14:paraId="4C9C562D">
            <w:pPr>
              <w:adjustRightInd w:val="0"/>
              <w:rPr>
                <w:rFonts w:ascii="宋体" w:hAnsi="宋体" w:cs="宋体"/>
                <w:color w:val="auto"/>
                <w:szCs w:val="21"/>
                <w:highlight w:val="none"/>
              </w:rPr>
            </w:pPr>
          </w:p>
        </w:tc>
        <w:tc>
          <w:tcPr>
            <w:tcW w:w="1942" w:type="dxa"/>
            <w:tcBorders>
              <w:top w:val="single" w:color="auto" w:sz="6" w:space="0"/>
              <w:left w:val="single" w:color="auto" w:sz="6" w:space="0"/>
              <w:bottom w:val="single" w:color="auto" w:sz="6" w:space="0"/>
              <w:right w:val="single" w:color="auto" w:sz="6" w:space="0"/>
            </w:tcBorders>
          </w:tcPr>
          <w:p w14:paraId="1EEF55EC">
            <w:pPr>
              <w:adjustRightInd w:val="0"/>
              <w:rPr>
                <w:rFonts w:ascii="宋体" w:hAnsi="宋体" w:cs="宋体"/>
                <w:color w:val="auto"/>
                <w:szCs w:val="21"/>
                <w:highlight w:val="none"/>
              </w:rPr>
            </w:pPr>
          </w:p>
        </w:tc>
        <w:tc>
          <w:tcPr>
            <w:tcW w:w="1223" w:type="dxa"/>
            <w:tcBorders>
              <w:top w:val="single" w:color="auto" w:sz="6" w:space="0"/>
              <w:left w:val="single" w:color="auto" w:sz="6" w:space="0"/>
              <w:bottom w:val="single" w:color="auto" w:sz="6" w:space="0"/>
              <w:right w:val="single" w:color="auto" w:sz="6" w:space="0"/>
            </w:tcBorders>
          </w:tcPr>
          <w:p w14:paraId="6CC80D7E">
            <w:pPr>
              <w:adjustRightInd w:val="0"/>
              <w:rPr>
                <w:rFonts w:ascii="宋体" w:hAnsi="宋体" w:cs="宋体"/>
                <w:color w:val="auto"/>
                <w:szCs w:val="21"/>
                <w:highlight w:val="none"/>
              </w:rPr>
            </w:pPr>
          </w:p>
        </w:tc>
      </w:tr>
    </w:tbl>
    <w:p w14:paraId="7A34DA32">
      <w:pPr>
        <w:pStyle w:val="23"/>
        <w:ind w:firstLine="1050" w:firstLineChars="500"/>
        <w:rPr>
          <w:rFonts w:hAnsi="宋体"/>
          <w:color w:val="auto"/>
          <w:szCs w:val="21"/>
          <w:highlight w:val="none"/>
        </w:rPr>
      </w:pPr>
    </w:p>
    <w:p w14:paraId="4D2B656D">
      <w:pPr>
        <w:pStyle w:val="23"/>
        <w:ind w:firstLine="1050" w:firstLineChars="500"/>
        <w:rPr>
          <w:rFonts w:hAnsi="宋体"/>
          <w:color w:val="auto"/>
          <w:szCs w:val="21"/>
          <w:highlight w:val="none"/>
        </w:rPr>
      </w:pPr>
    </w:p>
    <w:p w14:paraId="1A767763">
      <w:pPr>
        <w:pStyle w:val="23"/>
        <w:ind w:firstLine="4620" w:firstLineChars="2200"/>
        <w:rPr>
          <w:rFonts w:hAnsi="宋体"/>
          <w:color w:val="auto"/>
          <w:szCs w:val="21"/>
          <w:highlight w:val="none"/>
        </w:rPr>
      </w:pPr>
      <w:r>
        <w:rPr>
          <w:rFonts w:hint="eastAsia" w:hAnsi="宋体"/>
          <w:color w:val="auto"/>
          <w:szCs w:val="21"/>
          <w:highlight w:val="none"/>
        </w:rPr>
        <w:t>法定代表人或委托代理人签字：</w:t>
      </w:r>
      <w:r>
        <w:rPr>
          <w:rFonts w:hint="eastAsia" w:hAnsi="宋体"/>
          <w:color w:val="auto"/>
          <w:szCs w:val="21"/>
          <w:highlight w:val="none"/>
          <w:u w:val="single"/>
        </w:rPr>
        <w:t>　　　　　</w:t>
      </w:r>
    </w:p>
    <w:p w14:paraId="416DA9BA">
      <w:pPr>
        <w:pStyle w:val="23"/>
        <w:ind w:firstLine="210" w:firstLineChars="100"/>
        <w:rPr>
          <w:rFonts w:hAnsi="宋体"/>
          <w:color w:val="auto"/>
          <w:szCs w:val="21"/>
          <w:highlight w:val="none"/>
        </w:rPr>
      </w:pPr>
    </w:p>
    <w:p w14:paraId="37F7FAC6">
      <w:pPr>
        <w:pStyle w:val="23"/>
        <w:ind w:firstLine="4620" w:firstLineChars="2200"/>
        <w:rPr>
          <w:rFonts w:hAnsi="宋体"/>
          <w:color w:val="auto"/>
          <w:szCs w:val="21"/>
          <w:highlight w:val="none"/>
          <w:u w:val="single"/>
        </w:rPr>
      </w:pPr>
      <w:r>
        <w:rPr>
          <w:rFonts w:hint="eastAsia" w:hAnsi="宋体"/>
          <w:color w:val="auto"/>
          <w:szCs w:val="21"/>
          <w:highlight w:val="none"/>
        </w:rPr>
        <w:t>供应商（公章)：</w:t>
      </w:r>
      <w:r>
        <w:rPr>
          <w:rFonts w:hint="eastAsia" w:hAnsi="宋体"/>
          <w:color w:val="auto"/>
          <w:szCs w:val="21"/>
          <w:highlight w:val="none"/>
          <w:u w:val="single"/>
        </w:rPr>
        <w:t>　　　　　　　　　　</w:t>
      </w:r>
    </w:p>
    <w:p w14:paraId="7B8E0A7C">
      <w:pPr>
        <w:pStyle w:val="23"/>
        <w:ind w:firstLine="210" w:firstLineChars="100"/>
        <w:rPr>
          <w:rFonts w:hAnsi="宋体"/>
          <w:color w:val="auto"/>
          <w:szCs w:val="21"/>
          <w:highlight w:val="none"/>
        </w:rPr>
      </w:pPr>
    </w:p>
    <w:p w14:paraId="314B7EA5">
      <w:pPr>
        <w:pStyle w:val="23"/>
        <w:ind w:firstLine="5040" w:firstLineChars="2400"/>
        <w:rPr>
          <w:rFonts w:hAnsi="宋体"/>
          <w:color w:val="auto"/>
          <w:szCs w:val="21"/>
          <w:highlight w:val="none"/>
        </w:rPr>
      </w:pPr>
      <w:r>
        <w:rPr>
          <w:rFonts w:hint="eastAsia" w:hAnsi="宋体"/>
          <w:color w:val="auto"/>
          <w:szCs w:val="21"/>
          <w:highlight w:val="none"/>
        </w:rPr>
        <w:t>日　期：</w:t>
      </w:r>
      <w:r>
        <w:rPr>
          <w:rFonts w:hint="eastAsia" w:hAnsi="宋体"/>
          <w:color w:val="auto"/>
          <w:szCs w:val="21"/>
          <w:highlight w:val="none"/>
          <w:u w:val="single"/>
        </w:rPr>
        <w:t>　　　　　　　　　　　　　　</w:t>
      </w:r>
    </w:p>
    <w:p w14:paraId="390D5000">
      <w:pPr>
        <w:adjustRightInd w:val="0"/>
        <w:spacing w:line="300" w:lineRule="auto"/>
        <w:ind w:firstLine="443" w:firstLineChars="210"/>
        <w:rPr>
          <w:rFonts w:ascii="宋体" w:hAnsi="宋体" w:cs="宋体"/>
          <w:b/>
          <w:color w:val="auto"/>
          <w:szCs w:val="21"/>
          <w:highlight w:val="none"/>
        </w:rPr>
      </w:pPr>
    </w:p>
    <w:p w14:paraId="50F46A78">
      <w:pPr>
        <w:pStyle w:val="23"/>
        <w:rPr>
          <w:rFonts w:hAnsi="宋体"/>
          <w:color w:val="auto"/>
          <w:szCs w:val="21"/>
          <w:highlight w:val="none"/>
        </w:rPr>
      </w:pPr>
    </w:p>
    <w:p w14:paraId="1419A8C4">
      <w:pPr>
        <w:pStyle w:val="23"/>
        <w:rPr>
          <w:rFonts w:hAnsi="宋体"/>
          <w:color w:val="auto"/>
          <w:szCs w:val="21"/>
          <w:highlight w:val="none"/>
        </w:rPr>
      </w:pPr>
    </w:p>
    <w:p w14:paraId="7BA7701E">
      <w:pPr>
        <w:pStyle w:val="23"/>
        <w:rPr>
          <w:rFonts w:hAnsi="宋体"/>
          <w:color w:val="auto"/>
          <w:szCs w:val="21"/>
          <w:highlight w:val="none"/>
        </w:rPr>
      </w:pPr>
    </w:p>
    <w:p w14:paraId="3F94B15C">
      <w:pPr>
        <w:snapToGrid w:val="0"/>
        <w:spacing w:line="400" w:lineRule="exact"/>
        <w:rPr>
          <w:rFonts w:ascii="宋体" w:hAnsi="宋体"/>
          <w:b/>
          <w:bCs/>
          <w:color w:val="auto"/>
          <w:sz w:val="32"/>
          <w:szCs w:val="32"/>
          <w:highlight w:val="none"/>
        </w:rPr>
      </w:pPr>
    </w:p>
    <w:p w14:paraId="03BD3CC7">
      <w:pPr>
        <w:snapToGrid w:val="0"/>
        <w:spacing w:line="400" w:lineRule="exact"/>
        <w:rPr>
          <w:rFonts w:ascii="宋体" w:hAnsi="宋体"/>
          <w:b/>
          <w:bCs/>
          <w:color w:val="auto"/>
          <w:sz w:val="32"/>
          <w:szCs w:val="32"/>
          <w:highlight w:val="none"/>
        </w:rPr>
      </w:pPr>
    </w:p>
    <w:p w14:paraId="19A6BDE6">
      <w:pPr>
        <w:snapToGrid w:val="0"/>
        <w:spacing w:line="400" w:lineRule="exact"/>
        <w:rPr>
          <w:rFonts w:ascii="宋体" w:hAnsi="宋体"/>
          <w:b/>
          <w:bCs/>
          <w:color w:val="auto"/>
          <w:sz w:val="32"/>
          <w:szCs w:val="32"/>
          <w:highlight w:val="none"/>
        </w:rPr>
      </w:pPr>
    </w:p>
    <w:p w14:paraId="37E27AE6">
      <w:pPr>
        <w:snapToGrid w:val="0"/>
        <w:spacing w:line="400" w:lineRule="exact"/>
        <w:rPr>
          <w:rFonts w:ascii="宋体" w:hAnsi="宋体"/>
          <w:b/>
          <w:bCs/>
          <w:color w:val="auto"/>
          <w:sz w:val="32"/>
          <w:szCs w:val="32"/>
          <w:highlight w:val="none"/>
        </w:rPr>
      </w:pPr>
    </w:p>
    <w:p w14:paraId="1301FE71">
      <w:pPr>
        <w:snapToGrid w:val="0"/>
        <w:spacing w:line="400" w:lineRule="exact"/>
        <w:rPr>
          <w:rFonts w:ascii="宋体" w:hAnsi="宋体"/>
          <w:b/>
          <w:bCs/>
          <w:color w:val="auto"/>
          <w:sz w:val="32"/>
          <w:szCs w:val="32"/>
          <w:highlight w:val="none"/>
        </w:rPr>
      </w:pPr>
    </w:p>
    <w:p w14:paraId="2EC340CE">
      <w:pPr>
        <w:snapToGrid w:val="0"/>
        <w:spacing w:line="400" w:lineRule="exact"/>
        <w:rPr>
          <w:rFonts w:ascii="宋体" w:hAnsi="宋体"/>
          <w:b/>
          <w:bCs/>
          <w:color w:val="auto"/>
          <w:sz w:val="32"/>
          <w:szCs w:val="32"/>
          <w:highlight w:val="none"/>
        </w:rPr>
      </w:pPr>
    </w:p>
    <w:p w14:paraId="1F2D505E">
      <w:pPr>
        <w:snapToGrid w:val="0"/>
        <w:spacing w:line="400" w:lineRule="exact"/>
        <w:rPr>
          <w:rFonts w:ascii="宋体" w:hAnsi="宋体"/>
          <w:b/>
          <w:bCs/>
          <w:color w:val="auto"/>
          <w:sz w:val="32"/>
          <w:szCs w:val="32"/>
          <w:highlight w:val="none"/>
        </w:rPr>
      </w:pPr>
    </w:p>
    <w:p w14:paraId="300DC195">
      <w:pPr>
        <w:snapToGrid w:val="0"/>
        <w:spacing w:line="400" w:lineRule="exact"/>
        <w:rPr>
          <w:rFonts w:ascii="宋体" w:hAnsi="宋体"/>
          <w:b/>
          <w:bCs/>
          <w:color w:val="auto"/>
          <w:sz w:val="32"/>
          <w:szCs w:val="32"/>
          <w:highlight w:val="none"/>
        </w:rPr>
      </w:pPr>
    </w:p>
    <w:p w14:paraId="52F19D8B">
      <w:pPr>
        <w:pStyle w:val="23"/>
        <w:spacing w:line="500" w:lineRule="exact"/>
        <w:rPr>
          <w:rFonts w:hAnsi="宋体"/>
          <w:b/>
          <w:color w:val="auto"/>
          <w:highlight w:val="none"/>
        </w:rPr>
      </w:pPr>
    </w:p>
    <w:p w14:paraId="4A8775D0">
      <w:pPr>
        <w:spacing w:line="520" w:lineRule="exact"/>
        <w:ind w:left="-10" w:firstLine="455" w:firstLineChars="217"/>
        <w:jc w:val="left"/>
        <w:rPr>
          <w:rFonts w:ascii="宋体" w:hAnsi="宋体"/>
          <w:color w:val="auto"/>
          <w:highlight w:val="none"/>
        </w:rPr>
      </w:pPr>
    </w:p>
    <w:p w14:paraId="348BC626">
      <w:pPr>
        <w:spacing w:line="520" w:lineRule="exact"/>
        <w:ind w:left="-10" w:firstLine="455" w:firstLineChars="217"/>
        <w:jc w:val="left"/>
        <w:rPr>
          <w:rFonts w:ascii="宋体" w:hAnsi="宋体"/>
          <w:color w:val="auto"/>
          <w:szCs w:val="21"/>
          <w:highlight w:val="none"/>
        </w:rPr>
      </w:pPr>
    </w:p>
    <w:p w14:paraId="627EECDB">
      <w:pPr>
        <w:spacing w:line="400" w:lineRule="exact"/>
        <w:rPr>
          <w:rFonts w:ascii="宋体" w:hAnsi="宋体"/>
          <w:color w:val="auto"/>
          <w:szCs w:val="21"/>
          <w:highlight w:val="none"/>
        </w:rPr>
      </w:pPr>
    </w:p>
    <w:p w14:paraId="0D470B81">
      <w:pPr>
        <w:jc w:val="left"/>
        <w:rPr>
          <w:rFonts w:ascii="宋体" w:hAnsi="宋体"/>
          <w:b/>
          <w:color w:val="auto"/>
          <w:sz w:val="28"/>
          <w:szCs w:val="28"/>
          <w:highlight w:val="none"/>
        </w:rPr>
      </w:pPr>
      <w:r>
        <w:rPr>
          <w:rFonts w:hint="eastAsia" w:ascii="宋体" w:hAnsi="宋体"/>
          <w:b/>
          <w:color w:val="auto"/>
          <w:sz w:val="24"/>
          <w:highlight w:val="none"/>
        </w:rPr>
        <w:t>格式十：</w:t>
      </w:r>
    </w:p>
    <w:p w14:paraId="5366D619">
      <w:pPr>
        <w:jc w:val="center"/>
        <w:rPr>
          <w:rFonts w:ascii="宋体" w:hAnsi="宋体"/>
          <w:b/>
          <w:color w:val="auto"/>
          <w:sz w:val="28"/>
          <w:szCs w:val="28"/>
          <w:highlight w:val="none"/>
        </w:rPr>
      </w:pPr>
      <w:r>
        <w:rPr>
          <w:rFonts w:hint="eastAsia" w:ascii="宋体" w:hAnsi="宋体"/>
          <w:b/>
          <w:color w:val="auto"/>
          <w:sz w:val="28"/>
          <w:szCs w:val="28"/>
          <w:highlight w:val="none"/>
        </w:rPr>
        <w:t>磋商函</w:t>
      </w:r>
    </w:p>
    <w:p w14:paraId="004A77FF">
      <w:pPr>
        <w:spacing w:line="440" w:lineRule="exact"/>
        <w:rPr>
          <w:rFonts w:ascii="宋体" w:hAnsi="宋体"/>
          <w:color w:val="auto"/>
          <w:highlight w:val="none"/>
          <w:u w:val="single"/>
        </w:rPr>
      </w:pPr>
      <w:r>
        <w:rPr>
          <w:rFonts w:ascii="宋体" w:hAnsi="宋体"/>
          <w:color w:val="auto"/>
          <w:highlight w:val="none"/>
        </w:rPr>
        <w:t>致：</w:t>
      </w:r>
      <w:r>
        <w:rPr>
          <w:rFonts w:hint="eastAsia" w:ascii="宋体" w:hAnsi="宋体"/>
          <w:color w:val="auto"/>
          <w:highlight w:val="none"/>
        </w:rPr>
        <w:t>（</w:t>
      </w:r>
      <w:r>
        <w:rPr>
          <w:rFonts w:hint="eastAsia" w:ascii="宋体" w:hAnsi="宋体"/>
          <w:color w:val="auto"/>
          <w:highlight w:val="none"/>
          <w:u w:val="single"/>
        </w:rPr>
        <w:t>采购人名称）</w:t>
      </w:r>
    </w:p>
    <w:p w14:paraId="28736BD2">
      <w:pPr>
        <w:spacing w:line="440" w:lineRule="exact"/>
        <w:ind w:firstLine="488"/>
        <w:rPr>
          <w:rFonts w:ascii="宋体" w:hAnsi="宋体"/>
          <w:b/>
          <w:color w:val="auto"/>
          <w:szCs w:val="21"/>
          <w:highlight w:val="none"/>
        </w:rPr>
      </w:pPr>
      <w:r>
        <w:rPr>
          <w:rFonts w:ascii="宋体" w:hAnsi="宋体"/>
          <w:color w:val="auto"/>
          <w:highlight w:val="none"/>
        </w:rPr>
        <w:t>1</w:t>
      </w:r>
      <w:r>
        <w:rPr>
          <w:rFonts w:hint="eastAsia" w:ascii="宋体" w:hAnsi="宋体"/>
          <w:color w:val="auto"/>
          <w:highlight w:val="none"/>
        </w:rPr>
        <w:t xml:space="preserve">. </w:t>
      </w:r>
      <w:r>
        <w:rPr>
          <w:rFonts w:ascii="宋体" w:hAnsi="宋体"/>
          <w:color w:val="auto"/>
          <w:highlight w:val="none"/>
        </w:rPr>
        <w:t>根据你方项目编号为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{项目编号}</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的</w:t>
      </w:r>
      <w:r>
        <w:rPr>
          <w:rFonts w:hint="eastAsia" w:ascii="宋体" w:hAnsi="宋体"/>
          <w:color w:val="auto"/>
          <w:highlight w:val="none"/>
          <w:u w:val="single"/>
        </w:rPr>
        <w:t>（项目名称）标</w:t>
      </w:r>
      <w:r>
        <w:rPr>
          <w:rFonts w:ascii="宋体" w:hAnsi="宋体"/>
          <w:color w:val="auto"/>
          <w:highlight w:val="none"/>
        </w:rPr>
        <w:t>磋商文件，遵照</w:t>
      </w:r>
      <w:r>
        <w:rPr>
          <w:rFonts w:hint="eastAsia" w:ascii="宋体" w:hAnsi="宋体" w:cs="宋体"/>
          <w:color w:val="auto"/>
          <w:szCs w:val="21"/>
          <w:highlight w:val="none"/>
        </w:rPr>
        <w:t>《中华人民共和国政府采购法》、</w:t>
      </w:r>
      <w:r>
        <w:rPr>
          <w:rFonts w:hint="eastAsia" w:ascii="宋体" w:hAnsi="宋体" w:cs="Arial"/>
          <w:color w:val="auto"/>
          <w:szCs w:val="21"/>
          <w:highlight w:val="none"/>
        </w:rPr>
        <w:t>《中华人民共和国政府采购法实施条例》、《政府采购竞争性磋商采购方式管理暂行办法》</w:t>
      </w:r>
      <w:r>
        <w:rPr>
          <w:rFonts w:ascii="宋体" w:hAnsi="宋体" w:cs="Arial"/>
          <w:color w:val="auto"/>
          <w:szCs w:val="21"/>
          <w:highlight w:val="none"/>
        </w:rPr>
        <w:t>等</w:t>
      </w:r>
      <w:r>
        <w:rPr>
          <w:rFonts w:ascii="宋体" w:hAnsi="宋体"/>
          <w:color w:val="auto"/>
          <w:highlight w:val="none"/>
        </w:rPr>
        <w:t>有关规定，经踏勘项目现场和研究上述磋商文件的磋商须知、合同条款、图纸、工程建设标准和工程量清单及其他有关文件后，</w:t>
      </w:r>
      <w:r>
        <w:rPr>
          <w:rFonts w:ascii="宋体" w:hAnsi="宋体"/>
          <w:b/>
          <w:color w:val="auto"/>
          <w:szCs w:val="21"/>
          <w:highlight w:val="none"/>
        </w:rPr>
        <w:t>我方</w:t>
      </w:r>
      <w:r>
        <w:rPr>
          <w:rFonts w:hint="eastAsia" w:ascii="宋体" w:hAnsi="宋体"/>
          <w:b/>
          <w:color w:val="auto"/>
          <w:szCs w:val="21"/>
          <w:highlight w:val="none"/>
        </w:rPr>
        <w:t>愿以</w:t>
      </w:r>
      <w:r>
        <w:rPr>
          <w:rFonts w:ascii="宋体" w:hAnsi="宋体"/>
          <w:b/>
          <w:color w:val="auto"/>
          <w:szCs w:val="21"/>
          <w:highlight w:val="none"/>
        </w:rPr>
        <w:t>人民币(大写)</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ascii="宋体" w:hAnsi="宋体"/>
          <w:b/>
          <w:color w:val="auto"/>
          <w:szCs w:val="21"/>
          <w:highlight w:val="none"/>
        </w:rPr>
        <w:t>元（RMB</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ascii="宋体" w:hAnsi="宋体"/>
          <w:b/>
          <w:color w:val="auto"/>
          <w:szCs w:val="21"/>
          <w:highlight w:val="none"/>
        </w:rPr>
        <w:t>）磋商</w:t>
      </w:r>
      <w:r>
        <w:rPr>
          <w:rFonts w:hint="eastAsia" w:ascii="宋体" w:hAnsi="宋体"/>
          <w:b/>
          <w:color w:val="auto"/>
          <w:szCs w:val="21"/>
          <w:highlight w:val="none"/>
        </w:rPr>
        <w:t>总</w:t>
      </w:r>
      <w:r>
        <w:rPr>
          <w:rFonts w:ascii="宋体" w:hAnsi="宋体"/>
          <w:b/>
          <w:color w:val="auto"/>
          <w:szCs w:val="21"/>
          <w:highlight w:val="none"/>
        </w:rPr>
        <w:t>报价</w:t>
      </w:r>
      <w:r>
        <w:rPr>
          <w:rFonts w:hint="eastAsia" w:ascii="宋体" w:hAnsi="宋体"/>
          <w:b/>
          <w:color w:val="auto"/>
          <w:szCs w:val="21"/>
          <w:highlight w:val="none"/>
        </w:rPr>
        <w:t>；</w:t>
      </w:r>
      <w:r>
        <w:rPr>
          <w:rFonts w:ascii="宋体" w:hAnsi="宋体"/>
          <w:b/>
          <w:color w:val="auto"/>
          <w:szCs w:val="21"/>
          <w:highlight w:val="none"/>
        </w:rPr>
        <w:t>并按上述图纸、合同条款、工程建设标准和工程量清单的条件要求承包上述工程的施工、竣工，并承担任何质量缺陷保修责任。</w:t>
      </w:r>
      <w:r>
        <w:rPr>
          <w:rFonts w:hint="eastAsia" w:ascii="宋体" w:hAnsi="宋体"/>
          <w:b/>
          <w:color w:val="auto"/>
          <w:szCs w:val="21"/>
          <w:highlight w:val="none"/>
        </w:rPr>
        <w:t>施工工期为</w:t>
      </w:r>
      <w:r>
        <w:rPr>
          <w:rFonts w:hint="eastAsia" w:ascii="宋体" w:hAnsi="宋体"/>
          <w:b/>
          <w:color w:val="auto"/>
          <w:szCs w:val="21"/>
          <w:highlight w:val="none"/>
          <w:u w:val="single"/>
        </w:rPr>
        <w:t xml:space="preserve">      天</w:t>
      </w:r>
      <w:r>
        <w:rPr>
          <w:rFonts w:hint="eastAsia" w:ascii="宋体" w:hAnsi="宋体"/>
          <w:b/>
          <w:color w:val="auto"/>
          <w:szCs w:val="21"/>
          <w:highlight w:val="none"/>
        </w:rPr>
        <w:t>（</w:t>
      </w:r>
      <w:r>
        <w:rPr>
          <w:rFonts w:hint="eastAsia" w:ascii="宋体" w:hAnsi="宋体"/>
          <w:b/>
          <w:color w:val="auto"/>
          <w:szCs w:val="21"/>
          <w:highlight w:val="none"/>
          <w:lang w:eastAsia="zh-CN"/>
        </w:rPr>
        <w:t>日历天</w:t>
      </w:r>
      <w:r>
        <w:rPr>
          <w:rFonts w:hint="eastAsia" w:ascii="宋体" w:hAnsi="宋体"/>
          <w:b/>
          <w:color w:val="auto"/>
          <w:szCs w:val="21"/>
          <w:highlight w:val="none"/>
        </w:rPr>
        <w:t>），工程质量标准</w:t>
      </w:r>
      <w:r>
        <w:rPr>
          <w:rFonts w:hint="eastAsia" w:ascii="宋体" w:hAnsi="宋体"/>
          <w:b/>
          <w:color w:val="auto"/>
          <w:szCs w:val="21"/>
          <w:highlight w:val="none"/>
          <w:u w:val="single"/>
        </w:rPr>
        <w:t xml:space="preserve">       </w:t>
      </w:r>
      <w:r>
        <w:rPr>
          <w:rFonts w:hint="eastAsia" w:ascii="宋体" w:hAnsi="宋体"/>
          <w:b/>
          <w:color w:val="auto"/>
          <w:szCs w:val="21"/>
          <w:highlight w:val="none"/>
        </w:rPr>
        <w:t>。</w:t>
      </w:r>
    </w:p>
    <w:p w14:paraId="72A86780">
      <w:pPr>
        <w:spacing w:line="440" w:lineRule="exact"/>
        <w:ind w:firstLine="442"/>
        <w:rPr>
          <w:rFonts w:ascii="宋体" w:hAnsi="宋体"/>
          <w:color w:val="auto"/>
          <w:highlight w:val="none"/>
        </w:rPr>
      </w:pPr>
      <w:r>
        <w:rPr>
          <w:rFonts w:ascii="宋体" w:hAnsi="宋体"/>
          <w:color w:val="auto"/>
          <w:highlight w:val="none"/>
        </w:rPr>
        <w:t>2</w:t>
      </w:r>
      <w:r>
        <w:rPr>
          <w:rFonts w:hint="eastAsia" w:ascii="宋体" w:hAnsi="宋体"/>
          <w:color w:val="auto"/>
          <w:highlight w:val="none"/>
        </w:rPr>
        <w:t xml:space="preserve">. </w:t>
      </w:r>
      <w:r>
        <w:rPr>
          <w:rFonts w:ascii="宋体" w:hAnsi="宋体"/>
          <w:color w:val="auto"/>
          <w:highlight w:val="none"/>
        </w:rPr>
        <w:t>我方已详细审核全部磋商文件，包括修改文件（如有时）及有关附件。</w:t>
      </w:r>
    </w:p>
    <w:p w14:paraId="61299FC2">
      <w:pPr>
        <w:spacing w:line="440" w:lineRule="exact"/>
        <w:ind w:firstLine="442"/>
        <w:rPr>
          <w:rFonts w:ascii="宋体" w:hAnsi="宋体"/>
          <w:color w:val="auto"/>
          <w:highlight w:val="none"/>
        </w:rPr>
      </w:pPr>
      <w:r>
        <w:rPr>
          <w:rFonts w:hint="eastAsia" w:ascii="宋体" w:hAnsi="宋体"/>
          <w:color w:val="auto"/>
          <w:highlight w:val="none"/>
        </w:rPr>
        <w:t xml:space="preserve">3. </w:t>
      </w:r>
      <w:r>
        <w:rPr>
          <w:rFonts w:ascii="宋体" w:hAnsi="宋体"/>
          <w:color w:val="auto"/>
          <w:highlight w:val="none"/>
        </w:rPr>
        <w:t>一旦我方成交，我方保证按合同书中规定的工期</w:t>
      </w:r>
      <w:r>
        <w:rPr>
          <w:rFonts w:ascii="宋体" w:hAnsi="宋体"/>
          <w:color w:val="auto"/>
          <w:highlight w:val="none"/>
          <w:u w:val="single"/>
        </w:rPr>
        <w:t xml:space="preserve"> {工期}  </w:t>
      </w:r>
      <w:r>
        <w:rPr>
          <w:rFonts w:hint="eastAsia" w:ascii="宋体" w:hAnsi="宋体"/>
          <w:color w:val="auto"/>
          <w:highlight w:val="none"/>
          <w:lang w:eastAsia="zh-CN"/>
        </w:rPr>
        <w:t>日历天</w:t>
      </w:r>
      <w:r>
        <w:rPr>
          <w:rFonts w:ascii="宋体" w:hAnsi="宋体"/>
          <w:color w:val="auto"/>
          <w:highlight w:val="none"/>
        </w:rPr>
        <w:t>内完成并移交全部工程。</w:t>
      </w:r>
    </w:p>
    <w:p w14:paraId="7CDF4EE4">
      <w:pPr>
        <w:spacing w:line="440" w:lineRule="exact"/>
        <w:ind w:firstLine="442"/>
        <w:rPr>
          <w:rFonts w:ascii="宋体" w:hAnsi="宋体"/>
          <w:color w:val="auto"/>
          <w:highlight w:val="none"/>
        </w:rPr>
      </w:pPr>
      <w:r>
        <w:rPr>
          <w:rFonts w:hint="eastAsia" w:ascii="宋体" w:hAnsi="宋体"/>
          <w:color w:val="auto"/>
          <w:highlight w:val="none"/>
        </w:rPr>
        <w:t xml:space="preserve">4. </w:t>
      </w:r>
      <w:r>
        <w:rPr>
          <w:rFonts w:ascii="宋体" w:hAnsi="宋体"/>
          <w:color w:val="auto"/>
          <w:highlight w:val="none"/>
        </w:rPr>
        <w:t>如果我方成交，我方将按照</w:t>
      </w:r>
      <w:r>
        <w:rPr>
          <w:rFonts w:hint="eastAsia" w:ascii="宋体" w:hAnsi="宋体"/>
          <w:color w:val="auto"/>
          <w:highlight w:val="none"/>
        </w:rPr>
        <w:t>磋商</w:t>
      </w:r>
      <w:r>
        <w:rPr>
          <w:rFonts w:ascii="宋体" w:hAnsi="宋体"/>
          <w:color w:val="auto"/>
          <w:highlight w:val="none"/>
        </w:rPr>
        <w:t>文件规定提交</w:t>
      </w:r>
      <w:r>
        <w:rPr>
          <w:rFonts w:hint="eastAsia" w:ascii="宋体" w:hAnsi="宋体"/>
          <w:color w:val="auto"/>
          <w:highlight w:val="none"/>
        </w:rPr>
        <w:t>履约保证金（如有）</w:t>
      </w:r>
      <w:r>
        <w:rPr>
          <w:rFonts w:ascii="宋体" w:hAnsi="宋体"/>
          <w:color w:val="auto"/>
          <w:highlight w:val="none"/>
        </w:rPr>
        <w:t>作为履约担保。</w:t>
      </w:r>
    </w:p>
    <w:p w14:paraId="37C9C18C">
      <w:pPr>
        <w:spacing w:line="440" w:lineRule="exact"/>
        <w:ind w:firstLine="442"/>
        <w:rPr>
          <w:rFonts w:ascii="宋体" w:hAnsi="宋体"/>
          <w:color w:val="auto"/>
          <w:highlight w:val="none"/>
        </w:rPr>
      </w:pPr>
      <w:r>
        <w:rPr>
          <w:rFonts w:hint="eastAsia" w:ascii="宋体" w:hAnsi="宋体"/>
          <w:color w:val="auto"/>
          <w:highlight w:val="none"/>
        </w:rPr>
        <w:t xml:space="preserve">5. </w:t>
      </w:r>
      <w:r>
        <w:rPr>
          <w:rFonts w:ascii="宋体" w:hAnsi="宋体"/>
          <w:color w:val="auto"/>
          <w:highlight w:val="none"/>
        </w:rPr>
        <w:t>我方同意所提交的</w:t>
      </w:r>
      <w:r>
        <w:rPr>
          <w:rFonts w:hint="eastAsia" w:ascii="宋体" w:hAnsi="宋体"/>
          <w:color w:val="auto"/>
          <w:highlight w:val="none"/>
        </w:rPr>
        <w:t>响应文件</w:t>
      </w:r>
      <w:r>
        <w:rPr>
          <w:rFonts w:ascii="宋体" w:hAnsi="宋体"/>
          <w:color w:val="auto"/>
          <w:highlight w:val="none"/>
        </w:rPr>
        <w:t>在磋商文件的磋商须知中第</w:t>
      </w:r>
      <w:r>
        <w:rPr>
          <w:rFonts w:hint="eastAsia" w:ascii="宋体" w:hAnsi="宋体"/>
          <w:color w:val="auto"/>
          <w:highlight w:val="none"/>
        </w:rPr>
        <w:t>10</w:t>
      </w:r>
      <w:r>
        <w:rPr>
          <w:rFonts w:ascii="宋体" w:hAnsi="宋体"/>
          <w:color w:val="auto"/>
          <w:highlight w:val="none"/>
        </w:rPr>
        <w:t>条规定的磋商有效期内有效，在此期间内如果成交，我方将受此约束。</w:t>
      </w:r>
    </w:p>
    <w:p w14:paraId="43DD2B40">
      <w:pPr>
        <w:spacing w:line="440" w:lineRule="exact"/>
        <w:ind w:firstLine="442"/>
        <w:rPr>
          <w:rFonts w:ascii="宋体" w:hAnsi="宋体"/>
          <w:color w:val="auto"/>
          <w:highlight w:val="none"/>
        </w:rPr>
      </w:pPr>
      <w:r>
        <w:rPr>
          <w:rFonts w:ascii="宋体" w:hAnsi="宋体"/>
          <w:color w:val="auto"/>
          <w:highlight w:val="none"/>
        </w:rPr>
        <w:t>7</w:t>
      </w:r>
      <w:r>
        <w:rPr>
          <w:rFonts w:hint="eastAsia" w:ascii="宋体" w:hAnsi="宋体"/>
          <w:color w:val="auto"/>
          <w:highlight w:val="none"/>
        </w:rPr>
        <w:t xml:space="preserve">. </w:t>
      </w:r>
      <w:r>
        <w:rPr>
          <w:rFonts w:ascii="宋体" w:hAnsi="宋体"/>
          <w:color w:val="auto"/>
          <w:highlight w:val="none"/>
        </w:rPr>
        <w:t>除非另外达成协议并生效，你方的成交通知书和本</w:t>
      </w:r>
      <w:r>
        <w:rPr>
          <w:rFonts w:hint="eastAsia" w:ascii="宋体" w:hAnsi="宋体"/>
          <w:color w:val="auto"/>
          <w:highlight w:val="none"/>
        </w:rPr>
        <w:t>响应文件</w:t>
      </w:r>
      <w:r>
        <w:rPr>
          <w:rFonts w:ascii="宋体" w:hAnsi="宋体"/>
          <w:color w:val="auto"/>
          <w:highlight w:val="none"/>
        </w:rPr>
        <w:t>将成为约束双方的合同文件的组成部分。</w:t>
      </w:r>
    </w:p>
    <w:p w14:paraId="05406A5D">
      <w:pPr>
        <w:spacing w:line="440" w:lineRule="exact"/>
        <w:ind w:firstLine="442"/>
        <w:rPr>
          <w:rFonts w:ascii="宋体" w:hAnsi="宋体"/>
          <w:color w:val="auto"/>
          <w:highlight w:val="none"/>
        </w:rPr>
      </w:pPr>
      <w:r>
        <w:rPr>
          <w:rFonts w:ascii="宋体" w:hAnsi="宋体"/>
          <w:color w:val="auto"/>
          <w:highlight w:val="none"/>
        </w:rPr>
        <w:t>8</w:t>
      </w:r>
      <w:r>
        <w:rPr>
          <w:rFonts w:hint="eastAsia" w:ascii="宋体" w:hAnsi="宋体"/>
          <w:color w:val="auto"/>
          <w:highlight w:val="none"/>
        </w:rPr>
        <w:t xml:space="preserve">. </w:t>
      </w:r>
      <w:r>
        <w:rPr>
          <w:rFonts w:ascii="宋体" w:hAnsi="宋体"/>
          <w:color w:val="auto"/>
          <w:highlight w:val="none"/>
        </w:rPr>
        <w:t>我方将与本磋商函一起，提交人民币</w:t>
      </w:r>
      <w:r>
        <w:rPr>
          <w:rFonts w:ascii="宋体" w:hAnsi="宋体"/>
          <w:color w:val="auto"/>
          <w:highlight w:val="none"/>
          <w:u w:val="single"/>
        </w:rPr>
        <w:t xml:space="preserve">  </w:t>
      </w:r>
      <w:r>
        <w:rPr>
          <w:rFonts w:hint="eastAsia" w:ascii="宋体" w:hAnsi="宋体"/>
          <w:color w:val="auto"/>
          <w:highlight w:val="none"/>
          <w:u w:val="single"/>
        </w:rPr>
        <w:t>/</w:t>
      </w:r>
      <w:r>
        <w:rPr>
          <w:rFonts w:ascii="宋体" w:hAnsi="宋体"/>
          <w:color w:val="auto"/>
          <w:highlight w:val="none"/>
          <w:u w:val="single"/>
        </w:rPr>
        <w:t xml:space="preserve">  </w:t>
      </w:r>
      <w:r>
        <w:rPr>
          <w:rFonts w:ascii="宋体" w:hAnsi="宋体"/>
          <w:color w:val="auto"/>
          <w:highlight w:val="none"/>
        </w:rPr>
        <w:t>元作为磋商担保。</w:t>
      </w:r>
    </w:p>
    <w:p w14:paraId="71F48F37">
      <w:pPr>
        <w:spacing w:line="440" w:lineRule="exact"/>
        <w:rPr>
          <w:rFonts w:ascii="宋体" w:hAnsi="宋体"/>
          <w:color w:val="auto"/>
          <w:highlight w:val="none"/>
        </w:rPr>
      </w:pPr>
    </w:p>
    <w:p w14:paraId="5E22E767">
      <w:pPr>
        <w:spacing w:line="440" w:lineRule="exact"/>
        <w:ind w:left="1000"/>
        <w:rPr>
          <w:rFonts w:ascii="宋体" w:hAnsi="宋体"/>
          <w:color w:val="auto"/>
          <w:highlight w:val="none"/>
          <w:u w:val="single"/>
        </w:rPr>
      </w:pPr>
      <w:r>
        <w:rPr>
          <w:rFonts w:ascii="宋体" w:hAnsi="宋体"/>
          <w:color w:val="auto"/>
          <w:highlight w:val="none"/>
        </w:rPr>
        <w:t xml:space="preserve">         </w:t>
      </w:r>
      <w:r>
        <w:rPr>
          <w:rFonts w:hint="eastAsia" w:ascii="宋体" w:hAnsi="宋体"/>
          <w:color w:val="auto"/>
          <w:highlight w:val="none"/>
        </w:rPr>
        <w:t>供应商</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（全称）</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（盖</w:t>
      </w:r>
      <w:r>
        <w:rPr>
          <w:rFonts w:hint="eastAsia" w:ascii="宋体" w:hAnsi="宋体"/>
          <w:color w:val="auto"/>
          <w:highlight w:val="none"/>
          <w:u w:val="single"/>
        </w:rPr>
        <w:t>单位</w:t>
      </w:r>
      <w:r>
        <w:rPr>
          <w:rFonts w:ascii="宋体" w:hAnsi="宋体"/>
          <w:color w:val="auto"/>
          <w:highlight w:val="none"/>
          <w:u w:val="single"/>
        </w:rPr>
        <w:t>章）</w:t>
      </w:r>
    </w:p>
    <w:p w14:paraId="75089B81">
      <w:pPr>
        <w:spacing w:line="440" w:lineRule="exact"/>
        <w:ind w:left="1000"/>
        <w:rPr>
          <w:rFonts w:ascii="宋体" w:hAnsi="宋体"/>
          <w:color w:val="auto"/>
          <w:highlight w:val="none"/>
          <w:u w:val="single"/>
        </w:rPr>
      </w:pPr>
      <w:r>
        <w:rPr>
          <w:rFonts w:ascii="宋体" w:hAnsi="宋体"/>
          <w:color w:val="auto"/>
          <w:highlight w:val="none"/>
        </w:rPr>
        <w:t xml:space="preserve">         单位地址：</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14:paraId="4C79EA6A">
      <w:pPr>
        <w:spacing w:line="440" w:lineRule="exact"/>
        <w:ind w:left="1000"/>
        <w:rPr>
          <w:rFonts w:ascii="宋体" w:hAnsi="宋体"/>
          <w:color w:val="auto"/>
          <w:highlight w:val="none"/>
          <w:u w:val="single"/>
        </w:rPr>
      </w:pPr>
      <w:r>
        <w:rPr>
          <w:rFonts w:ascii="宋体" w:hAnsi="宋体"/>
          <w:color w:val="auto"/>
          <w:highlight w:val="none"/>
        </w:rPr>
        <w:t xml:space="preserve">         法定代表人或</w:t>
      </w:r>
      <w:r>
        <w:rPr>
          <w:rFonts w:hint="eastAsia" w:ascii="宋体" w:hAnsi="宋体"/>
          <w:color w:val="auto"/>
          <w:highlight w:val="none"/>
        </w:rPr>
        <w:t>授权</w:t>
      </w:r>
      <w:r>
        <w:rPr>
          <w:rFonts w:ascii="宋体" w:hAnsi="宋体"/>
          <w:color w:val="auto"/>
          <w:highlight w:val="none"/>
        </w:rPr>
        <w:t>委托代理人：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（签字）</w:t>
      </w:r>
    </w:p>
    <w:p w14:paraId="3712BAF4">
      <w:pPr>
        <w:spacing w:line="440" w:lineRule="exact"/>
        <w:ind w:left="1000"/>
        <w:rPr>
          <w:rFonts w:ascii="宋体" w:hAnsi="宋体"/>
          <w:color w:val="auto"/>
          <w:highlight w:val="none"/>
        </w:rPr>
      </w:pPr>
      <w:r>
        <w:rPr>
          <w:rFonts w:ascii="宋体" w:hAnsi="宋体"/>
          <w:color w:val="auto"/>
          <w:highlight w:val="none"/>
        </w:rPr>
        <w:t xml:space="preserve">         邮政编码：</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rPr>
        <w:t>电话：</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rPr>
        <w:t xml:space="preserve"> 传真：</w:t>
      </w:r>
      <w:r>
        <w:rPr>
          <w:rFonts w:ascii="宋体" w:hAnsi="宋体"/>
          <w:color w:val="auto"/>
          <w:highlight w:val="none"/>
          <w:u w:val="single"/>
        </w:rPr>
        <w:tab/>
      </w:r>
      <w:r>
        <w:rPr>
          <w:rFonts w:ascii="宋体" w:hAnsi="宋体"/>
          <w:color w:val="auto"/>
          <w:highlight w:val="none"/>
          <w:u w:val="single"/>
        </w:rPr>
        <w:tab/>
      </w:r>
    </w:p>
    <w:p w14:paraId="08E71364">
      <w:pPr>
        <w:spacing w:line="440" w:lineRule="exact"/>
        <w:ind w:left="1000"/>
        <w:rPr>
          <w:rFonts w:ascii="宋体" w:hAnsi="宋体"/>
          <w:color w:val="auto"/>
          <w:highlight w:val="none"/>
        </w:rPr>
      </w:pPr>
      <w:r>
        <w:rPr>
          <w:rFonts w:ascii="宋体" w:hAnsi="宋体"/>
          <w:color w:val="auto"/>
          <w:highlight w:val="none"/>
        </w:rPr>
        <w:t xml:space="preserve">         开户银行名称：</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14:paraId="47329521">
      <w:pPr>
        <w:spacing w:line="440" w:lineRule="exact"/>
        <w:ind w:left="1000"/>
        <w:rPr>
          <w:rFonts w:ascii="宋体" w:hAnsi="宋体"/>
          <w:color w:val="auto"/>
          <w:highlight w:val="none"/>
        </w:rPr>
      </w:pPr>
      <w:r>
        <w:rPr>
          <w:rFonts w:ascii="宋体" w:hAnsi="宋体"/>
          <w:color w:val="auto"/>
          <w:highlight w:val="none"/>
        </w:rPr>
        <w:t xml:space="preserve">         开户银行账号：</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 xml:space="preserve">  </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14:paraId="7C3A0C1F">
      <w:pPr>
        <w:spacing w:line="440" w:lineRule="exact"/>
        <w:ind w:left="1000"/>
        <w:rPr>
          <w:rFonts w:ascii="宋体" w:hAnsi="宋体"/>
          <w:color w:val="auto"/>
          <w:highlight w:val="none"/>
        </w:rPr>
      </w:pPr>
      <w:r>
        <w:rPr>
          <w:rFonts w:ascii="宋体" w:hAnsi="宋体"/>
          <w:color w:val="auto"/>
          <w:highlight w:val="none"/>
        </w:rPr>
        <w:t xml:space="preserve">         开户银行地址：</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14:paraId="16CD54F4">
      <w:pPr>
        <w:spacing w:line="440" w:lineRule="exact"/>
        <w:ind w:left="1000"/>
        <w:rPr>
          <w:rFonts w:ascii="宋体" w:hAnsi="宋体"/>
          <w:color w:val="auto"/>
          <w:highlight w:val="none"/>
        </w:rPr>
      </w:pPr>
      <w:r>
        <w:rPr>
          <w:rFonts w:ascii="宋体" w:hAnsi="宋体"/>
          <w:color w:val="auto"/>
          <w:highlight w:val="none"/>
        </w:rPr>
        <w:t xml:space="preserve">         开户银行电话：</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14:paraId="3508E4F3">
      <w:pPr>
        <w:spacing w:line="440" w:lineRule="exact"/>
        <w:ind w:firstLine="1890" w:firstLineChars="900"/>
        <w:rPr>
          <w:rFonts w:ascii="宋体" w:hAnsi="宋体"/>
          <w:color w:val="auto"/>
          <w:szCs w:val="21"/>
          <w:highlight w:val="none"/>
        </w:rPr>
      </w:pPr>
      <w:r>
        <w:rPr>
          <w:rFonts w:hint="eastAsia" w:ascii="宋体" w:hAnsi="宋体"/>
          <w:color w:val="auto"/>
          <w:highlight w:val="none"/>
        </w:rPr>
        <w:t xml:space="preserve"> </w:t>
      </w:r>
      <w:r>
        <w:rPr>
          <w:rFonts w:ascii="宋体" w:hAnsi="宋体"/>
          <w:color w:val="auto"/>
          <w:highlight w:val="none"/>
        </w:rPr>
        <w:t>日</w:t>
      </w:r>
      <w:r>
        <w:rPr>
          <w:rFonts w:hint="eastAsia" w:ascii="宋体" w:hAnsi="宋体"/>
          <w:color w:val="auto"/>
          <w:highlight w:val="none"/>
        </w:rPr>
        <w:t xml:space="preserve">    </w:t>
      </w:r>
      <w:r>
        <w:rPr>
          <w:rFonts w:ascii="宋体" w:hAnsi="宋体"/>
          <w:color w:val="auto"/>
          <w:highlight w:val="none"/>
        </w:rPr>
        <w:t>期：_____年____月___日</w:t>
      </w:r>
    </w:p>
    <w:p w14:paraId="50AC0A4B">
      <w:pPr>
        <w:tabs>
          <w:tab w:val="left" w:pos="0"/>
        </w:tabs>
        <w:spacing w:after="50" w:line="400" w:lineRule="exact"/>
        <w:rPr>
          <w:rFonts w:ascii="宋体" w:hAnsi="宋体"/>
          <w:b/>
          <w:bCs/>
          <w:color w:val="auto"/>
          <w:sz w:val="24"/>
          <w:highlight w:val="none"/>
        </w:rPr>
      </w:pPr>
    </w:p>
    <w:p w14:paraId="4022F56C">
      <w:pPr>
        <w:tabs>
          <w:tab w:val="left" w:pos="0"/>
        </w:tabs>
        <w:spacing w:after="50" w:line="400" w:lineRule="exact"/>
        <w:rPr>
          <w:rFonts w:ascii="宋体" w:hAnsi="宋体"/>
          <w:b/>
          <w:bCs/>
          <w:color w:val="auto"/>
          <w:sz w:val="24"/>
          <w:highlight w:val="none"/>
        </w:rPr>
      </w:pPr>
    </w:p>
    <w:p w14:paraId="7EC82956">
      <w:pPr>
        <w:pStyle w:val="23"/>
        <w:jc w:val="center"/>
        <w:rPr>
          <w:rFonts w:hAnsi="宋体"/>
          <w:color w:val="auto"/>
          <w:szCs w:val="21"/>
          <w:highlight w:val="none"/>
        </w:rPr>
      </w:pPr>
      <w:r>
        <w:rPr>
          <w:rFonts w:hAnsi="宋体"/>
          <w:b/>
          <w:bCs/>
          <w:color w:val="auto"/>
          <w:sz w:val="24"/>
          <w:highlight w:val="none"/>
        </w:rPr>
        <w:br w:type="page"/>
      </w:r>
      <w:bookmarkStart w:id="1259" w:name="_Toc3628"/>
      <w:r>
        <w:rPr>
          <w:rFonts w:hint="eastAsia" w:hAnsi="宋体"/>
          <w:color w:val="auto"/>
          <w:sz w:val="36"/>
          <w:highlight w:val="none"/>
        </w:rPr>
        <w:t>第八章  评标办法</w:t>
      </w:r>
      <w:bookmarkEnd w:id="1259"/>
    </w:p>
    <w:p w14:paraId="1657E973">
      <w:pPr>
        <w:spacing w:line="360" w:lineRule="auto"/>
        <w:ind w:firstLine="435"/>
        <w:rPr>
          <w:rFonts w:ascii="宋体" w:hAnsi="宋体"/>
          <w:b/>
          <w:bCs/>
          <w:color w:val="auto"/>
          <w:szCs w:val="21"/>
          <w:highlight w:val="none"/>
        </w:rPr>
      </w:pPr>
      <w:r>
        <w:rPr>
          <w:rFonts w:hint="eastAsia" w:ascii="宋体" w:hAnsi="宋体"/>
          <w:b/>
          <w:bCs/>
          <w:color w:val="auto"/>
          <w:szCs w:val="21"/>
          <w:highlight w:val="none"/>
        </w:rPr>
        <w:t>一、评标原则</w:t>
      </w:r>
    </w:p>
    <w:p w14:paraId="72165046">
      <w:pPr>
        <w:spacing w:line="420" w:lineRule="exact"/>
        <w:ind w:firstLine="435"/>
        <w:rPr>
          <w:rFonts w:ascii="宋体" w:hAnsi="宋体"/>
          <w:color w:val="auto"/>
          <w:szCs w:val="21"/>
          <w:highlight w:val="none"/>
        </w:rPr>
      </w:pPr>
      <w:r>
        <w:rPr>
          <w:rFonts w:hint="eastAsia" w:ascii="宋体" w:hAnsi="宋体"/>
          <w:color w:val="auto"/>
          <w:szCs w:val="21"/>
          <w:highlight w:val="none"/>
        </w:rPr>
        <w:t>磋商小组构成：本采购项目的磋商小组由评审专家三人以上（含3人）的单数组成，其中专家人数不得少于成员总数的三分之二。</w:t>
      </w:r>
    </w:p>
    <w:p w14:paraId="7051A634">
      <w:pPr>
        <w:spacing w:line="420" w:lineRule="exact"/>
        <w:ind w:firstLine="435"/>
        <w:rPr>
          <w:rFonts w:ascii="宋体" w:hAnsi="宋体"/>
          <w:color w:val="auto"/>
          <w:szCs w:val="21"/>
          <w:highlight w:val="none"/>
        </w:rPr>
      </w:pPr>
      <w:r>
        <w:rPr>
          <w:rFonts w:hint="eastAsia" w:ascii="宋体" w:hAnsi="宋体"/>
          <w:color w:val="auto"/>
          <w:szCs w:val="21"/>
          <w:highlight w:val="none"/>
        </w:rPr>
        <w:t>评标依据：采购文件和磋商响应文件为评定依据。</w:t>
      </w:r>
    </w:p>
    <w:p w14:paraId="4A62C177">
      <w:pPr>
        <w:spacing w:line="420" w:lineRule="exact"/>
        <w:ind w:firstLine="435"/>
        <w:rPr>
          <w:rFonts w:ascii="宋体" w:hAnsi="宋体"/>
          <w:color w:val="auto"/>
          <w:szCs w:val="21"/>
          <w:highlight w:val="none"/>
        </w:rPr>
      </w:pPr>
      <w:r>
        <w:rPr>
          <w:rFonts w:hint="eastAsia" w:ascii="宋体" w:hAnsi="宋体"/>
          <w:color w:val="auto"/>
          <w:szCs w:val="21"/>
          <w:highlight w:val="none"/>
        </w:rPr>
        <w:t>评标办法：</w:t>
      </w:r>
      <w:r>
        <w:rPr>
          <w:rFonts w:hint="eastAsia" w:ascii="宋体" w:hAnsi="宋体" w:cs="Courier New"/>
          <w:color w:val="auto"/>
          <w:szCs w:val="21"/>
          <w:highlight w:val="none"/>
          <w:shd w:val="clear" w:color="auto" w:fill="FFFFFF"/>
        </w:rPr>
        <w:t xml:space="preserve">采用综合评分法 </w:t>
      </w:r>
      <w:r>
        <w:rPr>
          <w:rFonts w:hint="eastAsia" w:ascii="宋体" w:hAnsi="宋体"/>
          <w:color w:val="auto"/>
          <w:szCs w:val="21"/>
          <w:highlight w:val="none"/>
        </w:rPr>
        <w:t>。</w:t>
      </w:r>
    </w:p>
    <w:p w14:paraId="7CFDFEDF">
      <w:pPr>
        <w:numPr>
          <w:ilvl w:val="0"/>
          <w:numId w:val="5"/>
        </w:numPr>
        <w:spacing w:line="420" w:lineRule="exact"/>
        <w:ind w:firstLine="435"/>
        <w:rPr>
          <w:rFonts w:ascii="宋体" w:hAnsi="宋体"/>
          <w:color w:val="auto"/>
          <w:szCs w:val="21"/>
          <w:highlight w:val="none"/>
        </w:rPr>
      </w:pPr>
      <w:r>
        <w:rPr>
          <w:rFonts w:hint="eastAsia" w:ascii="宋体" w:hAnsi="宋体"/>
          <w:b/>
          <w:bCs/>
          <w:color w:val="auto"/>
          <w:szCs w:val="21"/>
          <w:highlight w:val="none"/>
        </w:rPr>
        <w:t>评定方法：</w:t>
      </w:r>
      <w:r>
        <w:rPr>
          <w:rFonts w:hint="eastAsia" w:ascii="宋体" w:hAnsi="宋体"/>
          <w:color w:val="auto"/>
          <w:szCs w:val="21"/>
          <w:highlight w:val="none"/>
        </w:rPr>
        <w:t>对资格性和符合性检查合格的磋商响应文件，采用</w:t>
      </w:r>
      <w:r>
        <w:rPr>
          <w:rFonts w:hint="eastAsia" w:ascii="宋体" w:hAnsi="宋体" w:cs="Courier New"/>
          <w:color w:val="auto"/>
          <w:szCs w:val="21"/>
          <w:highlight w:val="none"/>
          <w:shd w:val="clear" w:color="auto" w:fill="FFFFFF"/>
        </w:rPr>
        <w:t>综合评分法</w:t>
      </w:r>
      <w:r>
        <w:rPr>
          <w:rFonts w:hint="eastAsia" w:ascii="宋体" w:hAnsi="宋体"/>
          <w:color w:val="auto"/>
          <w:szCs w:val="21"/>
          <w:highlight w:val="none"/>
        </w:rPr>
        <w:t>进行评审。只有通过了资格审查和符合性评审的供应商，才能进入详细评审程序。</w:t>
      </w:r>
    </w:p>
    <w:tbl>
      <w:tblPr>
        <w:tblStyle w:val="4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276"/>
        <w:gridCol w:w="1559"/>
        <w:gridCol w:w="6078"/>
      </w:tblGrid>
      <w:tr w14:paraId="3372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3" w:type="dxa"/>
            <w:tcBorders>
              <w:right w:val="single" w:color="auto" w:sz="4" w:space="0"/>
            </w:tcBorders>
            <w:vAlign w:val="center"/>
          </w:tcPr>
          <w:p w14:paraId="166F571F">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40C36A45">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7637" w:type="dxa"/>
            <w:gridSpan w:val="2"/>
            <w:tcBorders>
              <w:left w:val="single" w:color="auto" w:sz="4" w:space="0"/>
            </w:tcBorders>
            <w:vAlign w:val="center"/>
          </w:tcPr>
          <w:p w14:paraId="37186DDE">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r>
      <w:tr w14:paraId="5027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93" w:type="dxa"/>
            <w:tcBorders>
              <w:right w:val="single" w:color="auto" w:sz="4" w:space="0"/>
            </w:tcBorders>
            <w:vAlign w:val="center"/>
          </w:tcPr>
          <w:p w14:paraId="092F836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276" w:type="dxa"/>
            <w:tcBorders>
              <w:top w:val="single" w:color="auto" w:sz="4" w:space="0"/>
              <w:left w:val="single" w:color="auto" w:sz="4" w:space="0"/>
              <w:bottom w:val="single" w:color="auto" w:sz="4" w:space="0"/>
              <w:right w:val="single" w:color="auto" w:sz="4" w:space="0"/>
            </w:tcBorders>
            <w:vAlign w:val="center"/>
          </w:tcPr>
          <w:p w14:paraId="1D30261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p w14:paraId="6D717A16">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（30分）</w:t>
            </w:r>
          </w:p>
        </w:tc>
        <w:tc>
          <w:tcPr>
            <w:tcW w:w="7637" w:type="dxa"/>
            <w:gridSpan w:val="2"/>
            <w:tcBorders>
              <w:left w:val="single" w:color="auto" w:sz="4" w:space="0"/>
            </w:tcBorders>
          </w:tcPr>
          <w:p w14:paraId="48FBC25C">
            <w:pPr>
              <w:snapToGrid w:val="0"/>
              <w:spacing w:line="400" w:lineRule="exact"/>
              <w:ind w:firstLine="441" w:firstLineChars="21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1</w:t>
            </w:r>
            <w:r>
              <w:rPr>
                <w:rFonts w:hint="eastAsia" w:ascii="宋体" w:hAnsi="宋体"/>
                <w:bCs/>
                <w:color w:val="auto"/>
                <w:szCs w:val="21"/>
                <w:highlight w:val="none"/>
              </w:rPr>
              <w:t>）满足</w:t>
            </w:r>
            <w:r>
              <w:rPr>
                <w:rFonts w:hint="eastAsia" w:ascii="宋体" w:hAnsi="宋体"/>
                <w:color w:val="auto"/>
                <w:szCs w:val="21"/>
                <w:highlight w:val="none"/>
              </w:rPr>
              <w:t>磋商</w:t>
            </w:r>
            <w:r>
              <w:rPr>
                <w:rFonts w:hint="eastAsia" w:ascii="宋体" w:hAnsi="宋体"/>
                <w:bCs/>
                <w:color w:val="auto"/>
                <w:szCs w:val="21"/>
                <w:highlight w:val="none"/>
              </w:rPr>
              <w:t>文件要求且评标报价最低的评标报价为评标基准价，基准价报价得分为</w:t>
            </w:r>
            <w:r>
              <w:rPr>
                <w:rFonts w:hint="eastAsia" w:ascii="宋体" w:hAnsi="宋体"/>
                <w:bCs/>
                <w:color w:val="auto"/>
                <w:szCs w:val="21"/>
                <w:highlight w:val="none"/>
                <w:u w:val="single"/>
              </w:rPr>
              <w:t>30</w:t>
            </w:r>
            <w:r>
              <w:rPr>
                <w:rFonts w:hint="eastAsia" w:ascii="宋体" w:hAnsi="宋体"/>
                <w:bCs/>
                <w:color w:val="auto"/>
                <w:szCs w:val="21"/>
                <w:highlight w:val="none"/>
              </w:rPr>
              <w:t>分。</w:t>
            </w:r>
          </w:p>
          <w:p w14:paraId="438169F1">
            <w:pPr>
              <w:spacing w:line="400" w:lineRule="exact"/>
              <w:ind w:firstLine="441" w:firstLineChars="21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2</w:t>
            </w:r>
            <w:r>
              <w:rPr>
                <w:rFonts w:hint="eastAsia" w:ascii="宋体" w:hAnsi="宋体"/>
                <w:bCs/>
                <w:color w:val="auto"/>
                <w:szCs w:val="21"/>
                <w:highlight w:val="none"/>
              </w:rPr>
              <w:t xml:space="preserve">）价格分计算公式：        </w:t>
            </w:r>
          </w:p>
          <w:p w14:paraId="3E6FDC07">
            <w:pPr>
              <w:spacing w:line="400" w:lineRule="exact"/>
              <w:ind w:firstLine="630" w:firstLineChars="300"/>
              <w:rPr>
                <w:rFonts w:ascii="宋体" w:hAnsi="宋体" w:cs="宋体"/>
                <w:bCs/>
                <w:color w:val="auto"/>
                <w:szCs w:val="21"/>
                <w:highlight w:val="none"/>
              </w:rPr>
            </w:pPr>
            <w:r>
              <w:rPr>
                <w:rFonts w:hint="eastAsia" w:ascii="宋体" w:hAnsi="宋体"/>
                <w:bCs/>
                <w:color w:val="auto"/>
                <w:szCs w:val="21"/>
                <w:highlight w:val="none"/>
              </w:rPr>
              <w:t>价格分</w:t>
            </w:r>
            <w:r>
              <w:rPr>
                <w:rFonts w:hint="eastAsia" w:ascii="宋体" w:hAnsi="宋体" w:cs="Courier New"/>
                <w:bCs/>
                <w:color w:val="auto"/>
                <w:szCs w:val="21"/>
                <w:highlight w:val="none"/>
              </w:rPr>
              <w:t>=(评标基准价／评标报价)×</w:t>
            </w:r>
            <w:r>
              <w:rPr>
                <w:rFonts w:hint="eastAsia" w:ascii="宋体" w:hAnsi="宋体"/>
                <w:bCs/>
                <w:color w:val="auto"/>
                <w:szCs w:val="21"/>
                <w:highlight w:val="none"/>
              </w:rPr>
              <w:t>30</w:t>
            </w:r>
            <w:r>
              <w:rPr>
                <w:rFonts w:hint="eastAsia" w:ascii="宋体" w:hAnsi="宋体" w:cs="Courier New"/>
                <w:bCs/>
                <w:color w:val="auto"/>
                <w:szCs w:val="21"/>
                <w:highlight w:val="none"/>
              </w:rPr>
              <w:t>分</w:t>
            </w:r>
          </w:p>
        </w:tc>
      </w:tr>
      <w:tr w14:paraId="38F3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693" w:type="dxa"/>
            <w:vMerge w:val="restart"/>
            <w:tcBorders>
              <w:right w:val="single" w:color="auto" w:sz="4" w:space="0"/>
            </w:tcBorders>
            <w:vAlign w:val="center"/>
          </w:tcPr>
          <w:p w14:paraId="128F32AB">
            <w:pPr>
              <w:autoSpaceDE w:val="0"/>
              <w:autoSpaceDN w:val="0"/>
              <w:spacing w:line="400" w:lineRule="exact"/>
              <w:jc w:val="left"/>
              <w:rPr>
                <w:rFonts w:ascii="宋体" w:hAnsi="宋体"/>
                <w:color w:val="auto"/>
                <w:kern w:val="0"/>
                <w:szCs w:val="21"/>
                <w:highlight w:val="none"/>
                <w:lang w:val="ru-RU"/>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ru-RU"/>
              </w:rPr>
              <w:t>技术部分（</w:t>
            </w:r>
            <w:r>
              <w:rPr>
                <w:rFonts w:hint="eastAsia" w:ascii="宋体" w:hAnsi="宋体" w:cs="宋体"/>
                <w:color w:val="auto"/>
                <w:spacing w:val="2"/>
                <w:kern w:val="0"/>
                <w:szCs w:val="21"/>
                <w:highlight w:val="none"/>
                <w:lang w:val="ru-RU"/>
              </w:rPr>
              <w:t>满分</w:t>
            </w:r>
            <w:r>
              <w:rPr>
                <w:rFonts w:hint="eastAsia" w:ascii="宋体" w:hAnsi="宋体"/>
                <w:color w:val="auto"/>
                <w:spacing w:val="1"/>
                <w:kern w:val="0"/>
                <w:szCs w:val="21"/>
                <w:highlight w:val="none"/>
              </w:rPr>
              <w:t>70</w:t>
            </w:r>
            <w:r>
              <w:rPr>
                <w:rFonts w:hint="eastAsia" w:ascii="宋体" w:hAnsi="宋体" w:cs="宋体"/>
                <w:color w:val="auto"/>
                <w:kern w:val="0"/>
                <w:szCs w:val="21"/>
                <w:highlight w:val="none"/>
                <w:lang w:val="ru-RU"/>
              </w:rPr>
              <w:t>分）</w:t>
            </w:r>
          </w:p>
        </w:tc>
        <w:tc>
          <w:tcPr>
            <w:tcW w:w="1276" w:type="dxa"/>
            <w:vMerge w:val="restart"/>
            <w:tcBorders>
              <w:top w:val="single" w:color="auto" w:sz="4" w:space="0"/>
              <w:left w:val="single" w:color="auto" w:sz="4" w:space="0"/>
              <w:right w:val="single" w:color="auto" w:sz="4" w:space="0"/>
            </w:tcBorders>
            <w:vAlign w:val="center"/>
          </w:tcPr>
          <w:p w14:paraId="321AC604">
            <w:pPr>
              <w:autoSpaceDE w:val="0"/>
              <w:autoSpaceDN w:val="0"/>
              <w:spacing w:line="400" w:lineRule="exact"/>
              <w:jc w:val="left"/>
              <w:rPr>
                <w:rFonts w:ascii="宋体" w:hAnsi="宋体"/>
                <w:color w:val="auto"/>
                <w:kern w:val="0"/>
                <w:szCs w:val="21"/>
                <w:highlight w:val="none"/>
                <w:lang w:val="ru-RU"/>
              </w:rPr>
            </w:pPr>
            <w:r>
              <w:rPr>
                <w:rFonts w:hint="eastAsia" w:ascii="宋体" w:hAnsi="宋体" w:cs="宋体"/>
                <w:color w:val="auto"/>
                <w:spacing w:val="1"/>
                <w:kern w:val="0"/>
                <w:szCs w:val="21"/>
                <w:highlight w:val="none"/>
                <w:lang w:val="ru-RU"/>
              </w:rPr>
              <w:t>项目管理机构</w:t>
            </w:r>
            <w:r>
              <w:rPr>
                <w:rFonts w:hint="eastAsia" w:ascii="宋体" w:hAnsi="宋体" w:cs="宋体"/>
                <w:color w:val="auto"/>
                <w:spacing w:val="2"/>
                <w:kern w:val="0"/>
                <w:szCs w:val="21"/>
                <w:highlight w:val="none"/>
                <w:lang w:val="ru-RU"/>
              </w:rPr>
              <w:t>（满分</w:t>
            </w:r>
            <w:r>
              <w:rPr>
                <w:rFonts w:hint="eastAsia" w:ascii="宋体" w:hAnsi="宋体"/>
                <w:color w:val="auto"/>
                <w:kern w:val="0"/>
                <w:szCs w:val="21"/>
                <w:highlight w:val="none"/>
              </w:rPr>
              <w:t>2</w:t>
            </w:r>
            <w:r>
              <w:rPr>
                <w:rFonts w:ascii="宋体" w:hAnsi="宋体"/>
                <w:color w:val="auto"/>
                <w:kern w:val="0"/>
                <w:szCs w:val="21"/>
                <w:highlight w:val="none"/>
                <w:lang w:val="ru-RU"/>
              </w:rPr>
              <w:t>0</w:t>
            </w:r>
            <w:r>
              <w:rPr>
                <w:rFonts w:hint="eastAsia" w:ascii="宋体" w:hAnsi="宋体" w:cs="宋体"/>
                <w:color w:val="auto"/>
                <w:kern w:val="0"/>
                <w:szCs w:val="21"/>
                <w:highlight w:val="none"/>
                <w:lang w:val="ru-RU"/>
              </w:rPr>
              <w:t>分）</w:t>
            </w:r>
          </w:p>
          <w:p w14:paraId="29E24F61">
            <w:pPr>
              <w:spacing w:line="400" w:lineRule="exact"/>
              <w:rPr>
                <w:rFonts w:ascii="宋体" w:hAnsi="宋体"/>
                <w:color w:val="auto"/>
                <w:szCs w:val="21"/>
                <w:highlight w:val="none"/>
                <w:lang w:val="ru-RU"/>
              </w:rPr>
            </w:pPr>
          </w:p>
        </w:tc>
        <w:tc>
          <w:tcPr>
            <w:tcW w:w="1559" w:type="dxa"/>
            <w:tcBorders>
              <w:left w:val="single" w:color="auto" w:sz="4" w:space="0"/>
            </w:tcBorders>
            <w:vAlign w:val="center"/>
          </w:tcPr>
          <w:p w14:paraId="6BD661A6">
            <w:pPr>
              <w:spacing w:line="400" w:lineRule="exact"/>
              <w:rPr>
                <w:rFonts w:ascii="宋体" w:hAnsi="宋体"/>
                <w:color w:val="auto"/>
                <w:szCs w:val="21"/>
                <w:highlight w:val="none"/>
              </w:rPr>
            </w:pPr>
            <w:r>
              <w:rPr>
                <w:rFonts w:hint="eastAsia" w:ascii="宋体" w:hAnsi="宋体"/>
                <w:color w:val="auto"/>
                <w:szCs w:val="21"/>
                <w:highlight w:val="none"/>
              </w:rPr>
              <w:t>项目经理任职资格与业绩、工作经历等（</w:t>
            </w:r>
            <w:r>
              <w:rPr>
                <w:rFonts w:hint="eastAsia" w:ascii="宋体" w:hAnsi="宋体" w:cs="宋体"/>
                <w:color w:val="auto"/>
                <w:spacing w:val="2"/>
                <w:szCs w:val="21"/>
                <w:highlight w:val="none"/>
              </w:rPr>
              <w:t>满分</w:t>
            </w:r>
            <w:r>
              <w:rPr>
                <w:rFonts w:hint="eastAsia" w:ascii="宋体" w:hAnsi="宋体"/>
                <w:color w:val="auto"/>
                <w:szCs w:val="21"/>
                <w:highlight w:val="none"/>
              </w:rPr>
              <w:t>10分）</w:t>
            </w:r>
          </w:p>
        </w:tc>
        <w:tc>
          <w:tcPr>
            <w:tcW w:w="6078" w:type="dxa"/>
            <w:vAlign w:val="center"/>
          </w:tcPr>
          <w:p w14:paraId="3D7188F6">
            <w:pPr>
              <w:numPr>
                <w:ilvl w:val="0"/>
                <w:numId w:val="6"/>
              </w:num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 xml:space="preserve">项目经理资质：项目经理满足采购文件资格要求的得 </w:t>
            </w:r>
            <w:r>
              <w:rPr>
                <w:rFonts w:ascii="宋体" w:hAnsi="宋体" w:cs="微软雅黑"/>
                <w:color w:val="auto"/>
                <w:kern w:val="0"/>
                <w:szCs w:val="21"/>
                <w:highlight w:val="none"/>
              </w:rPr>
              <w:t>4</w:t>
            </w:r>
            <w:r>
              <w:rPr>
                <w:rFonts w:hint="eastAsia" w:ascii="宋体" w:hAnsi="宋体" w:cs="微软雅黑"/>
                <w:color w:val="auto"/>
                <w:kern w:val="0"/>
                <w:szCs w:val="21"/>
                <w:highlight w:val="none"/>
              </w:rPr>
              <w:t>分。（2）项目经理职称：具备初级或以上工程师职称的、或者具有大学专科或以上学历得3分。</w:t>
            </w:r>
          </w:p>
          <w:p w14:paraId="238F80F3">
            <w:pPr>
              <w:spacing w:line="400" w:lineRule="exact"/>
              <w:rPr>
                <w:rFonts w:ascii="宋体" w:hAnsi="宋体"/>
                <w:color w:val="auto"/>
                <w:szCs w:val="21"/>
                <w:highlight w:val="none"/>
              </w:rPr>
            </w:pPr>
            <w:r>
              <w:rPr>
                <w:rFonts w:hint="eastAsia" w:ascii="宋体" w:hAnsi="宋体"/>
                <w:color w:val="auto"/>
                <w:szCs w:val="21"/>
                <w:highlight w:val="none"/>
              </w:rPr>
              <w:t>（3）拟派任技术负责人具备中级及以上职称的得3 分。</w:t>
            </w:r>
          </w:p>
        </w:tc>
      </w:tr>
      <w:tr w14:paraId="5EAD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3" w:type="dxa"/>
            <w:vMerge w:val="continue"/>
            <w:tcBorders>
              <w:right w:val="single" w:color="auto" w:sz="4" w:space="0"/>
            </w:tcBorders>
            <w:vAlign w:val="center"/>
          </w:tcPr>
          <w:p w14:paraId="1D16CF1D">
            <w:pPr>
              <w:autoSpaceDE w:val="0"/>
              <w:autoSpaceDN w:val="0"/>
              <w:spacing w:line="400" w:lineRule="exact"/>
              <w:jc w:val="left"/>
              <w:rPr>
                <w:rFonts w:ascii="宋体" w:hAnsi="宋体" w:cs="宋体"/>
                <w:color w:val="auto"/>
                <w:kern w:val="0"/>
                <w:szCs w:val="21"/>
                <w:highlight w:val="none"/>
                <w:lang w:val="ru-RU"/>
              </w:rPr>
            </w:pPr>
          </w:p>
        </w:tc>
        <w:tc>
          <w:tcPr>
            <w:tcW w:w="1276" w:type="dxa"/>
            <w:vMerge w:val="continue"/>
            <w:tcBorders>
              <w:left w:val="single" w:color="auto" w:sz="4" w:space="0"/>
              <w:right w:val="single" w:color="auto" w:sz="4" w:space="0"/>
            </w:tcBorders>
            <w:vAlign w:val="center"/>
          </w:tcPr>
          <w:p w14:paraId="4F62E253">
            <w:pPr>
              <w:spacing w:line="400" w:lineRule="exact"/>
              <w:rPr>
                <w:rFonts w:ascii="宋体" w:hAnsi="宋体"/>
                <w:color w:val="auto"/>
                <w:szCs w:val="21"/>
                <w:highlight w:val="none"/>
              </w:rPr>
            </w:pPr>
          </w:p>
        </w:tc>
        <w:tc>
          <w:tcPr>
            <w:tcW w:w="1559" w:type="dxa"/>
            <w:tcBorders>
              <w:left w:val="single" w:color="auto" w:sz="4" w:space="0"/>
            </w:tcBorders>
            <w:vAlign w:val="center"/>
          </w:tcPr>
          <w:p w14:paraId="28DC6820">
            <w:pPr>
              <w:autoSpaceDE w:val="0"/>
              <w:autoSpaceDN w:val="0"/>
              <w:spacing w:line="400" w:lineRule="exact"/>
              <w:jc w:val="left"/>
              <w:rPr>
                <w:rFonts w:ascii="宋体" w:hAnsi="宋体" w:cs="宋体"/>
                <w:color w:val="auto"/>
                <w:spacing w:val="-21"/>
                <w:kern w:val="0"/>
                <w:szCs w:val="21"/>
                <w:highlight w:val="none"/>
                <w:lang w:val="ru-RU"/>
              </w:rPr>
            </w:pPr>
            <w:r>
              <w:rPr>
                <w:rFonts w:hint="eastAsia" w:ascii="宋体" w:hAnsi="宋体" w:cs="宋体"/>
                <w:color w:val="auto"/>
                <w:kern w:val="0"/>
                <w:szCs w:val="21"/>
                <w:highlight w:val="none"/>
                <w:lang w:val="ru-RU"/>
              </w:rPr>
              <w:t>其他主要</w:t>
            </w:r>
            <w:r>
              <w:rPr>
                <w:rFonts w:hint="eastAsia" w:ascii="宋体" w:hAnsi="宋体" w:cs="宋体"/>
                <w:color w:val="auto"/>
                <w:spacing w:val="-21"/>
                <w:kern w:val="0"/>
                <w:szCs w:val="21"/>
                <w:highlight w:val="none"/>
                <w:lang w:val="ru-RU"/>
              </w:rPr>
              <w:t>人员</w:t>
            </w:r>
          </w:p>
          <w:p w14:paraId="6CA44308">
            <w:pPr>
              <w:autoSpaceDE w:val="0"/>
              <w:autoSpaceDN w:val="0"/>
              <w:spacing w:line="400" w:lineRule="exact"/>
              <w:jc w:val="left"/>
              <w:rPr>
                <w:rFonts w:ascii="宋体" w:hAnsi="宋体"/>
                <w:color w:val="auto"/>
                <w:kern w:val="0"/>
                <w:szCs w:val="21"/>
                <w:highlight w:val="none"/>
                <w:lang w:val="ru-RU"/>
              </w:rPr>
            </w:pPr>
            <w:r>
              <w:rPr>
                <w:rFonts w:hint="eastAsia" w:ascii="宋体" w:hAnsi="宋体" w:cs="宋体"/>
                <w:color w:val="auto"/>
                <w:spacing w:val="-21"/>
                <w:kern w:val="0"/>
                <w:szCs w:val="21"/>
                <w:highlight w:val="none"/>
                <w:lang w:val="ru-RU"/>
              </w:rPr>
              <w:t>（</w:t>
            </w:r>
            <w:r>
              <w:rPr>
                <w:rFonts w:hint="eastAsia" w:ascii="宋体" w:hAnsi="宋体" w:cs="宋体"/>
                <w:color w:val="auto"/>
                <w:spacing w:val="2"/>
                <w:kern w:val="0"/>
                <w:szCs w:val="21"/>
                <w:highlight w:val="none"/>
                <w:lang w:val="ru-RU"/>
              </w:rPr>
              <w:t>满分</w:t>
            </w:r>
            <w:r>
              <w:rPr>
                <w:rFonts w:hint="eastAsia" w:ascii="宋体" w:hAnsi="宋体"/>
                <w:color w:val="auto"/>
                <w:kern w:val="0"/>
                <w:szCs w:val="21"/>
                <w:highlight w:val="none"/>
              </w:rPr>
              <w:t>10</w:t>
            </w:r>
            <w:r>
              <w:rPr>
                <w:rFonts w:hint="eastAsia" w:ascii="宋体" w:hAnsi="宋体" w:cs="宋体"/>
                <w:color w:val="auto"/>
                <w:spacing w:val="1"/>
                <w:kern w:val="0"/>
                <w:szCs w:val="21"/>
                <w:highlight w:val="none"/>
                <w:lang w:val="ru-RU"/>
              </w:rPr>
              <w:t>分）</w:t>
            </w:r>
          </w:p>
        </w:tc>
        <w:tc>
          <w:tcPr>
            <w:tcW w:w="6078" w:type="dxa"/>
            <w:vAlign w:val="center"/>
          </w:tcPr>
          <w:p w14:paraId="786643FF">
            <w:pPr>
              <w:spacing w:line="360" w:lineRule="auto"/>
              <w:rPr>
                <w:rFonts w:ascii="宋体" w:hAnsi="宋体"/>
                <w:color w:val="auto"/>
                <w:szCs w:val="21"/>
                <w:highlight w:val="none"/>
              </w:rPr>
            </w:pPr>
            <w:r>
              <w:rPr>
                <w:rFonts w:hint="eastAsia" w:ascii="宋体" w:hAnsi="宋体"/>
                <w:color w:val="auto"/>
                <w:szCs w:val="21"/>
                <w:highlight w:val="none"/>
              </w:rPr>
              <w:t>基本要求：</w:t>
            </w:r>
            <w:r>
              <w:rPr>
                <w:rFonts w:ascii="宋体" w:hAnsi="宋体"/>
                <w:color w:val="auto"/>
                <w:szCs w:val="21"/>
                <w:highlight w:val="none"/>
              </w:rPr>
              <w:t>人员齐备、专业配套</w:t>
            </w:r>
            <w:r>
              <w:rPr>
                <w:rFonts w:hint="eastAsia" w:ascii="宋体" w:hAnsi="宋体"/>
                <w:color w:val="auto"/>
                <w:szCs w:val="21"/>
                <w:highlight w:val="none"/>
              </w:rPr>
              <w:t>应</w:t>
            </w:r>
            <w:r>
              <w:rPr>
                <w:rFonts w:hint="eastAsia" w:ascii="宋体" w:hAnsi="宋体" w:cs="宋体"/>
                <w:color w:val="auto"/>
                <w:szCs w:val="21"/>
                <w:highlight w:val="none"/>
              </w:rPr>
              <w:t>具备相关施工现场专业人员职业培训合格证书（拟派驻本项目的技术负责人应具有初级及以上职称证件，安全员、施工员、质量员、材料员应具有相应施工现场专业人员职业培训合格证书，且拟投入的项目管理人员符合国家及广西壮族自治区的规定）</w:t>
            </w:r>
          </w:p>
          <w:p w14:paraId="38D7A50D">
            <w:pPr>
              <w:spacing w:line="360" w:lineRule="auto"/>
              <w:rPr>
                <w:rFonts w:ascii="宋体" w:hAnsi="宋体"/>
                <w:color w:val="auto"/>
                <w:szCs w:val="21"/>
                <w:highlight w:val="none"/>
              </w:rPr>
            </w:pPr>
            <w:r>
              <w:rPr>
                <w:rFonts w:hint="eastAsia" w:ascii="宋体" w:hAnsi="宋体"/>
                <w:color w:val="auto"/>
                <w:szCs w:val="21"/>
                <w:highlight w:val="none"/>
              </w:rPr>
              <w:t>评分内容：</w:t>
            </w:r>
          </w:p>
          <w:p w14:paraId="49A75941">
            <w:pPr>
              <w:spacing w:line="360" w:lineRule="auto"/>
              <w:rPr>
                <w:rFonts w:ascii="宋体" w:hAnsi="宋体"/>
                <w:color w:val="auto"/>
                <w:highlight w:val="none"/>
              </w:rPr>
            </w:pPr>
            <w:r>
              <w:rPr>
                <w:rFonts w:hint="eastAsia" w:ascii="宋体" w:hAnsi="宋体"/>
                <w:color w:val="auto"/>
                <w:szCs w:val="21"/>
                <w:highlight w:val="none"/>
              </w:rPr>
              <w:t>优（10分）：完全满足施工需要，管理人员配备齐全且经验及综合素质优秀。</w:t>
            </w:r>
          </w:p>
          <w:p w14:paraId="6564B759">
            <w:pPr>
              <w:spacing w:line="360" w:lineRule="auto"/>
              <w:rPr>
                <w:rFonts w:ascii="宋体" w:hAnsi="宋体"/>
                <w:color w:val="auto"/>
                <w:szCs w:val="21"/>
                <w:highlight w:val="none"/>
              </w:rPr>
            </w:pPr>
            <w:r>
              <w:rPr>
                <w:rFonts w:hint="eastAsia" w:ascii="宋体" w:hAnsi="宋体"/>
                <w:color w:val="auto"/>
                <w:szCs w:val="21"/>
                <w:highlight w:val="none"/>
              </w:rPr>
              <w:t>良（</w:t>
            </w:r>
            <w:r>
              <w:rPr>
                <w:rFonts w:hint="eastAsia" w:ascii="宋体" w:hAnsi="宋体"/>
                <w:color w:val="auto"/>
                <w:szCs w:val="21"/>
                <w:highlight w:val="none"/>
                <w:lang w:val="en-US" w:eastAsia="zh-CN"/>
              </w:rPr>
              <w:t>7</w:t>
            </w:r>
            <w:r>
              <w:rPr>
                <w:rFonts w:hint="eastAsia" w:ascii="宋体" w:hAnsi="宋体"/>
                <w:color w:val="auto"/>
                <w:szCs w:val="21"/>
                <w:highlight w:val="none"/>
              </w:rPr>
              <w:t>分）：比较满足施工需要，管理人员配备齐全。</w:t>
            </w:r>
          </w:p>
          <w:p w14:paraId="43C5AA80">
            <w:pPr>
              <w:spacing w:line="360" w:lineRule="auto"/>
              <w:rPr>
                <w:rFonts w:ascii="宋体" w:hAnsi="宋体"/>
                <w:color w:val="auto"/>
                <w:highlight w:val="none"/>
              </w:rPr>
            </w:pPr>
            <w:r>
              <w:rPr>
                <w:rFonts w:hint="eastAsia" w:ascii="宋体" w:hAnsi="宋体"/>
                <w:color w:val="auto"/>
                <w:highlight w:val="none"/>
              </w:rPr>
              <w:t>中（</w:t>
            </w:r>
            <w:r>
              <w:rPr>
                <w:rFonts w:hint="eastAsia" w:ascii="宋体" w:hAnsi="宋体"/>
                <w:color w:val="auto"/>
                <w:highlight w:val="none"/>
                <w:lang w:val="en-US" w:eastAsia="zh-CN"/>
              </w:rPr>
              <w:t>5</w:t>
            </w:r>
            <w:r>
              <w:rPr>
                <w:rFonts w:hint="eastAsia" w:ascii="宋体" w:hAnsi="宋体"/>
                <w:color w:val="auto"/>
                <w:highlight w:val="none"/>
              </w:rPr>
              <w:t>分）：</w:t>
            </w:r>
            <w:r>
              <w:rPr>
                <w:rFonts w:hint="eastAsia" w:ascii="宋体" w:hAnsi="宋体"/>
                <w:color w:val="auto"/>
                <w:szCs w:val="21"/>
                <w:highlight w:val="none"/>
              </w:rPr>
              <w:t>基本满足施工需要，管理人员配备齐全</w:t>
            </w:r>
          </w:p>
          <w:p w14:paraId="6A5D3DEF">
            <w:pPr>
              <w:spacing w:line="360" w:lineRule="auto"/>
              <w:rPr>
                <w:rFonts w:ascii="宋体" w:hAnsi="宋体"/>
                <w:color w:val="auto"/>
                <w:szCs w:val="21"/>
                <w:highlight w:val="none"/>
              </w:rPr>
            </w:pPr>
            <w:r>
              <w:rPr>
                <w:rFonts w:hint="eastAsia" w:ascii="宋体" w:hAnsi="宋体"/>
                <w:color w:val="auto"/>
                <w:szCs w:val="21"/>
                <w:highlight w:val="none"/>
              </w:rPr>
              <w:t>差（</w:t>
            </w:r>
            <w:r>
              <w:rPr>
                <w:rFonts w:hint="eastAsia" w:ascii="宋体" w:hAnsi="宋体"/>
                <w:color w:val="auto"/>
                <w:szCs w:val="21"/>
                <w:highlight w:val="none"/>
                <w:lang w:val="en-US" w:eastAsia="zh-CN"/>
              </w:rPr>
              <w:t>2</w:t>
            </w:r>
            <w:r>
              <w:rPr>
                <w:rFonts w:hint="eastAsia" w:ascii="宋体" w:hAnsi="宋体"/>
                <w:color w:val="auto"/>
                <w:szCs w:val="21"/>
                <w:highlight w:val="none"/>
              </w:rPr>
              <w:t>分）：不满足施工需要，管理人员配备不齐全。</w:t>
            </w:r>
          </w:p>
        </w:tc>
      </w:tr>
      <w:tr w14:paraId="1DA9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693" w:type="dxa"/>
            <w:vMerge w:val="continue"/>
            <w:tcBorders>
              <w:right w:val="single" w:color="auto" w:sz="4" w:space="0"/>
            </w:tcBorders>
            <w:vAlign w:val="center"/>
          </w:tcPr>
          <w:p w14:paraId="3B1204AA">
            <w:pPr>
              <w:spacing w:line="400" w:lineRule="exact"/>
              <w:rPr>
                <w:rFonts w:ascii="宋体" w:hAnsi="宋体"/>
                <w:color w:val="auto"/>
                <w:szCs w:val="21"/>
                <w:highlight w:val="none"/>
              </w:rPr>
            </w:pPr>
          </w:p>
        </w:tc>
        <w:tc>
          <w:tcPr>
            <w:tcW w:w="1276" w:type="dxa"/>
            <w:vMerge w:val="restart"/>
            <w:tcBorders>
              <w:left w:val="single" w:color="auto" w:sz="4" w:space="0"/>
            </w:tcBorders>
            <w:vAlign w:val="center"/>
          </w:tcPr>
          <w:p w14:paraId="63BA85A4">
            <w:pPr>
              <w:autoSpaceDE w:val="0"/>
              <w:autoSpaceDN w:val="0"/>
              <w:spacing w:line="400" w:lineRule="exact"/>
              <w:jc w:val="left"/>
              <w:rPr>
                <w:rFonts w:ascii="宋体" w:hAnsi="宋体"/>
                <w:color w:val="auto"/>
                <w:kern w:val="0"/>
                <w:szCs w:val="21"/>
                <w:highlight w:val="none"/>
                <w:lang w:val="ru-RU"/>
              </w:rPr>
            </w:pPr>
            <w:r>
              <w:rPr>
                <w:rFonts w:hint="eastAsia" w:ascii="宋体" w:hAnsi="宋体" w:cs="宋体"/>
                <w:color w:val="auto"/>
                <w:spacing w:val="1"/>
                <w:kern w:val="0"/>
                <w:szCs w:val="21"/>
                <w:highlight w:val="none"/>
                <w:lang w:val="ru-RU"/>
              </w:rPr>
              <w:t>施工组织设计</w:t>
            </w:r>
            <w:r>
              <w:rPr>
                <w:rFonts w:hint="eastAsia" w:ascii="宋体" w:hAnsi="宋体" w:cs="宋体"/>
                <w:color w:val="auto"/>
                <w:kern w:val="0"/>
                <w:szCs w:val="21"/>
                <w:highlight w:val="none"/>
                <w:lang w:val="ru-RU"/>
              </w:rPr>
              <w:t>（</w:t>
            </w:r>
            <w:r>
              <w:rPr>
                <w:rFonts w:hint="eastAsia" w:ascii="宋体" w:hAnsi="宋体" w:cs="宋体"/>
                <w:color w:val="auto"/>
                <w:spacing w:val="2"/>
                <w:kern w:val="0"/>
                <w:szCs w:val="21"/>
                <w:highlight w:val="none"/>
                <w:lang w:val="ru-RU"/>
              </w:rPr>
              <w:t>满分</w:t>
            </w:r>
            <w:r>
              <w:rPr>
                <w:rFonts w:ascii="宋体" w:hAnsi="宋体"/>
                <w:color w:val="auto"/>
                <w:spacing w:val="-1"/>
                <w:kern w:val="0"/>
                <w:szCs w:val="21"/>
                <w:highlight w:val="none"/>
                <w:lang w:val="ru-RU"/>
              </w:rPr>
              <w:t>50</w:t>
            </w:r>
            <w:r>
              <w:rPr>
                <w:rFonts w:hint="eastAsia" w:ascii="宋体" w:hAnsi="宋体"/>
                <w:color w:val="auto"/>
                <w:spacing w:val="-1"/>
                <w:kern w:val="0"/>
                <w:szCs w:val="21"/>
                <w:highlight w:val="none"/>
                <w:lang w:val="ru-RU"/>
              </w:rPr>
              <w:t>分</w:t>
            </w:r>
            <w:r>
              <w:rPr>
                <w:rFonts w:ascii="宋体" w:hAnsi="宋体"/>
                <w:color w:val="auto"/>
                <w:kern w:val="0"/>
                <w:szCs w:val="21"/>
                <w:highlight w:val="none"/>
                <w:lang w:val="ru-RU"/>
              </w:rPr>
              <w:t xml:space="preserve"> </w:t>
            </w:r>
            <w:r>
              <w:rPr>
                <w:rFonts w:hint="eastAsia" w:ascii="宋体" w:hAnsi="宋体" w:cs="宋体"/>
                <w:color w:val="auto"/>
                <w:kern w:val="0"/>
                <w:szCs w:val="21"/>
                <w:highlight w:val="none"/>
                <w:lang w:val="ru-RU"/>
              </w:rPr>
              <w:t>）</w:t>
            </w:r>
          </w:p>
          <w:p w14:paraId="55ED193E">
            <w:pPr>
              <w:spacing w:line="400" w:lineRule="exact"/>
              <w:rPr>
                <w:rFonts w:ascii="宋体" w:hAnsi="宋体"/>
                <w:color w:val="auto"/>
                <w:szCs w:val="21"/>
                <w:highlight w:val="none"/>
              </w:rPr>
            </w:pPr>
          </w:p>
        </w:tc>
        <w:tc>
          <w:tcPr>
            <w:tcW w:w="1559" w:type="dxa"/>
            <w:vAlign w:val="center"/>
          </w:tcPr>
          <w:p w14:paraId="13CCF0CF">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主要施工方法</w:t>
            </w:r>
          </w:p>
          <w:p w14:paraId="29C5AD8D">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（满分8分）</w:t>
            </w:r>
          </w:p>
          <w:p w14:paraId="479DC15D">
            <w:pPr>
              <w:spacing w:line="400" w:lineRule="exact"/>
              <w:rPr>
                <w:rFonts w:ascii="宋体" w:hAnsi="宋体" w:cs="微软雅黑"/>
                <w:color w:val="auto"/>
                <w:kern w:val="0"/>
                <w:szCs w:val="21"/>
                <w:highlight w:val="none"/>
              </w:rPr>
            </w:pPr>
          </w:p>
        </w:tc>
        <w:tc>
          <w:tcPr>
            <w:tcW w:w="6078" w:type="dxa"/>
            <w:vAlign w:val="center"/>
          </w:tcPr>
          <w:p w14:paraId="317F6E76">
            <w:pPr>
              <w:spacing w:line="400" w:lineRule="exact"/>
              <w:rPr>
                <w:rFonts w:ascii="宋体" w:hAnsi="宋体"/>
                <w:color w:val="auto"/>
                <w:szCs w:val="21"/>
                <w:highlight w:val="none"/>
              </w:rPr>
            </w:pPr>
            <w:r>
              <w:rPr>
                <w:rFonts w:hint="eastAsia" w:ascii="宋体" w:hAnsi="宋体" w:cs="微软雅黑"/>
                <w:color w:val="auto"/>
                <w:kern w:val="0"/>
                <w:szCs w:val="21"/>
                <w:highlight w:val="none"/>
              </w:rPr>
              <w:t>优（8 分）：</w:t>
            </w:r>
            <w:r>
              <w:rPr>
                <w:rFonts w:ascii="宋体" w:hAnsi="宋体"/>
                <w:color w:val="auto"/>
                <w:szCs w:val="21"/>
                <w:highlight w:val="none"/>
              </w:rPr>
              <w:t>各主要分部施工方法针对性强，施工技术方案详尽周密，工艺先进、方法科学、可行，能很好的指导具体施工并确保安全。</w:t>
            </w:r>
          </w:p>
          <w:p w14:paraId="040E435F">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良（6分）：</w:t>
            </w:r>
            <w:r>
              <w:rPr>
                <w:rFonts w:ascii="宋体" w:hAnsi="宋体"/>
                <w:color w:val="auto"/>
                <w:szCs w:val="21"/>
                <w:highlight w:val="none"/>
              </w:rPr>
              <w:t>各主要分部施工方法符合项目实际，施工技术方案齐全，工艺成熟、方法合理、可行，能指导具体施工并确保安全。</w:t>
            </w:r>
            <w:r>
              <w:rPr>
                <w:rFonts w:hint="eastAsia" w:ascii="宋体" w:hAnsi="宋体" w:cs="微软雅黑"/>
                <w:color w:val="auto"/>
                <w:kern w:val="0"/>
                <w:szCs w:val="21"/>
                <w:highlight w:val="none"/>
              </w:rPr>
              <w:t>。</w:t>
            </w:r>
          </w:p>
          <w:p w14:paraId="59784AEE">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中（3 分）：</w:t>
            </w:r>
            <w:r>
              <w:rPr>
                <w:rFonts w:ascii="宋体" w:hAnsi="宋体"/>
                <w:color w:val="auto"/>
                <w:szCs w:val="21"/>
                <w:highlight w:val="none"/>
              </w:rPr>
              <w:t>各主要分部施工方法基本符合项目实际，施工技术方案基本齐全，方法基本合理、基本可行，基本能指导具体施工并确保安全</w:t>
            </w:r>
            <w:r>
              <w:rPr>
                <w:rFonts w:hint="eastAsia" w:ascii="宋体" w:hAnsi="宋体" w:cs="微软雅黑"/>
                <w:color w:val="auto"/>
                <w:kern w:val="0"/>
                <w:szCs w:val="21"/>
                <w:highlight w:val="none"/>
              </w:rPr>
              <w:t>。</w:t>
            </w:r>
          </w:p>
          <w:p w14:paraId="358EFCEE">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差（1 分）：各主要分部施工方法不符合项目实际，有施工技术方案，工艺一般，不能指导具体施工并确保安全。</w:t>
            </w:r>
          </w:p>
        </w:tc>
      </w:tr>
      <w:tr w14:paraId="3B27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93" w:type="dxa"/>
            <w:vMerge w:val="continue"/>
            <w:tcBorders>
              <w:right w:val="single" w:color="auto" w:sz="4" w:space="0"/>
            </w:tcBorders>
            <w:vAlign w:val="center"/>
          </w:tcPr>
          <w:p w14:paraId="36589AB7">
            <w:pPr>
              <w:spacing w:line="400" w:lineRule="exact"/>
              <w:rPr>
                <w:rFonts w:ascii="宋体" w:hAnsi="宋体"/>
                <w:color w:val="auto"/>
                <w:szCs w:val="21"/>
                <w:highlight w:val="none"/>
              </w:rPr>
            </w:pPr>
          </w:p>
        </w:tc>
        <w:tc>
          <w:tcPr>
            <w:tcW w:w="1276" w:type="dxa"/>
            <w:vMerge w:val="continue"/>
            <w:tcBorders>
              <w:left w:val="single" w:color="auto" w:sz="4" w:space="0"/>
            </w:tcBorders>
            <w:vAlign w:val="center"/>
          </w:tcPr>
          <w:p w14:paraId="7D89710B">
            <w:pPr>
              <w:spacing w:line="400" w:lineRule="exact"/>
              <w:rPr>
                <w:rFonts w:ascii="宋体" w:hAnsi="宋体"/>
                <w:color w:val="auto"/>
                <w:szCs w:val="21"/>
                <w:highlight w:val="none"/>
              </w:rPr>
            </w:pPr>
          </w:p>
        </w:tc>
        <w:tc>
          <w:tcPr>
            <w:tcW w:w="1559" w:type="dxa"/>
            <w:vAlign w:val="center"/>
          </w:tcPr>
          <w:p w14:paraId="75A9ACF6">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拟投入的主要物资计划</w:t>
            </w:r>
          </w:p>
          <w:p w14:paraId="2AEE4DA7">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（满分6分）</w:t>
            </w:r>
          </w:p>
        </w:tc>
        <w:tc>
          <w:tcPr>
            <w:tcW w:w="6078" w:type="dxa"/>
            <w:vAlign w:val="center"/>
          </w:tcPr>
          <w:p w14:paraId="284D8337">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优（6分）：投入的施工材料有详细的组织计划且计划周密，数量、选型配置、进场时间安排合理，满足施工需要。</w:t>
            </w:r>
          </w:p>
          <w:p w14:paraId="02C7A300">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良（4分）：投入的施工材料有详细的组织计划但计划一般，数量、选型配置、进场时间安排合理，满足施工需要。</w:t>
            </w:r>
          </w:p>
          <w:p w14:paraId="406D855B">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中（2 分）：投入的施工材料有组织计划但计划一般，数量、选型配置、进场时间安排合理，基本满足施工需要。</w:t>
            </w:r>
          </w:p>
          <w:p w14:paraId="041BB597">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差（1 分）：投入的施工材料无组织计划，数量、选型配置、进场时间安排不合理，不满足施工需要。</w:t>
            </w:r>
          </w:p>
        </w:tc>
      </w:tr>
      <w:tr w14:paraId="53B6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3" w:type="dxa"/>
            <w:vMerge w:val="continue"/>
            <w:tcBorders>
              <w:right w:val="single" w:color="auto" w:sz="4" w:space="0"/>
            </w:tcBorders>
            <w:vAlign w:val="center"/>
          </w:tcPr>
          <w:p w14:paraId="0AEA1F22">
            <w:pPr>
              <w:spacing w:line="400" w:lineRule="exact"/>
              <w:rPr>
                <w:rFonts w:ascii="宋体" w:hAnsi="宋体"/>
                <w:color w:val="auto"/>
                <w:szCs w:val="21"/>
                <w:highlight w:val="none"/>
              </w:rPr>
            </w:pPr>
          </w:p>
        </w:tc>
        <w:tc>
          <w:tcPr>
            <w:tcW w:w="1276" w:type="dxa"/>
            <w:vMerge w:val="continue"/>
            <w:tcBorders>
              <w:left w:val="single" w:color="auto" w:sz="4" w:space="0"/>
            </w:tcBorders>
            <w:vAlign w:val="center"/>
          </w:tcPr>
          <w:p w14:paraId="2B657576">
            <w:pPr>
              <w:spacing w:line="400" w:lineRule="exact"/>
              <w:rPr>
                <w:rFonts w:ascii="宋体" w:hAnsi="宋体"/>
                <w:color w:val="auto"/>
                <w:szCs w:val="21"/>
                <w:highlight w:val="none"/>
              </w:rPr>
            </w:pPr>
          </w:p>
        </w:tc>
        <w:tc>
          <w:tcPr>
            <w:tcW w:w="1559" w:type="dxa"/>
            <w:vAlign w:val="center"/>
          </w:tcPr>
          <w:p w14:paraId="7A05B0BC">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拟投入的主要施工机械、设备计划</w:t>
            </w:r>
          </w:p>
          <w:p w14:paraId="72CE2E13">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（满分</w:t>
            </w:r>
            <w:r>
              <w:rPr>
                <w:rFonts w:ascii="宋体" w:hAnsi="宋体" w:cs="微软雅黑"/>
                <w:color w:val="auto"/>
                <w:kern w:val="0"/>
                <w:szCs w:val="21"/>
                <w:highlight w:val="none"/>
              </w:rPr>
              <w:t>6</w:t>
            </w:r>
            <w:r>
              <w:rPr>
                <w:rFonts w:hint="eastAsia" w:ascii="宋体" w:hAnsi="宋体" w:cs="微软雅黑"/>
                <w:color w:val="auto"/>
                <w:kern w:val="0"/>
                <w:szCs w:val="21"/>
                <w:highlight w:val="none"/>
              </w:rPr>
              <w:t>分）</w:t>
            </w:r>
          </w:p>
          <w:p w14:paraId="242890A9">
            <w:pPr>
              <w:spacing w:line="400" w:lineRule="exact"/>
              <w:rPr>
                <w:rFonts w:ascii="宋体" w:hAnsi="宋体" w:cs="微软雅黑"/>
                <w:color w:val="auto"/>
                <w:kern w:val="0"/>
                <w:szCs w:val="21"/>
                <w:highlight w:val="none"/>
              </w:rPr>
            </w:pPr>
          </w:p>
        </w:tc>
        <w:tc>
          <w:tcPr>
            <w:tcW w:w="6078" w:type="dxa"/>
            <w:vAlign w:val="center"/>
          </w:tcPr>
          <w:p w14:paraId="0DBB3697">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优（</w:t>
            </w:r>
            <w:r>
              <w:rPr>
                <w:rFonts w:ascii="宋体" w:hAnsi="宋体" w:cs="微软雅黑"/>
                <w:color w:val="auto"/>
                <w:kern w:val="0"/>
                <w:szCs w:val="21"/>
                <w:highlight w:val="none"/>
              </w:rPr>
              <w:t>6</w:t>
            </w:r>
            <w:r>
              <w:rPr>
                <w:rFonts w:hint="eastAsia" w:ascii="宋体" w:hAnsi="宋体" w:cs="微软雅黑"/>
                <w:color w:val="auto"/>
                <w:kern w:val="0"/>
                <w:szCs w:val="21"/>
                <w:highlight w:val="none"/>
              </w:rPr>
              <w:t>分）：投入的施工机械、设备、机具有详细的组织计划且计划周密，设备数量、选型配置、进场时间安排合理，满足施工需要。</w:t>
            </w:r>
          </w:p>
          <w:p w14:paraId="3D98454F">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良（4 分）：投入的施工机械、设备、机具有详细的组织计划但计划一般，设备数量、选型配置、进场时间安排合理，满足施工需要。</w:t>
            </w:r>
          </w:p>
          <w:p w14:paraId="0A21F31E">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中（2 分）：投入的施工机械、设备、机具有组织计划但计划一般，设备数量、选型配置、进场时间安排合理，基本满足施工需要。</w:t>
            </w:r>
          </w:p>
          <w:p w14:paraId="21E425AC">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差（1 分）：投入的施工机械、设备、机具无组织计划，设备数量、选型配置、进场时间安排不合理，不满足施工需要。</w:t>
            </w:r>
          </w:p>
        </w:tc>
      </w:tr>
      <w:tr w14:paraId="06CF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693" w:type="dxa"/>
            <w:vMerge w:val="continue"/>
            <w:tcBorders>
              <w:right w:val="single" w:color="auto" w:sz="4" w:space="0"/>
            </w:tcBorders>
            <w:vAlign w:val="center"/>
          </w:tcPr>
          <w:p w14:paraId="1B4D1AF4">
            <w:pPr>
              <w:spacing w:line="400" w:lineRule="exact"/>
              <w:rPr>
                <w:rFonts w:ascii="宋体" w:hAnsi="宋体"/>
                <w:color w:val="auto"/>
                <w:szCs w:val="21"/>
                <w:highlight w:val="none"/>
              </w:rPr>
            </w:pPr>
          </w:p>
        </w:tc>
        <w:tc>
          <w:tcPr>
            <w:tcW w:w="1276" w:type="dxa"/>
            <w:vMerge w:val="continue"/>
            <w:tcBorders>
              <w:left w:val="single" w:color="auto" w:sz="4" w:space="0"/>
            </w:tcBorders>
            <w:vAlign w:val="center"/>
          </w:tcPr>
          <w:p w14:paraId="618E2274">
            <w:pPr>
              <w:spacing w:line="400" w:lineRule="exact"/>
              <w:rPr>
                <w:rFonts w:ascii="宋体" w:hAnsi="宋体"/>
                <w:color w:val="auto"/>
                <w:szCs w:val="21"/>
                <w:highlight w:val="none"/>
              </w:rPr>
            </w:pPr>
          </w:p>
        </w:tc>
        <w:tc>
          <w:tcPr>
            <w:tcW w:w="1559" w:type="dxa"/>
            <w:vAlign w:val="center"/>
          </w:tcPr>
          <w:p w14:paraId="24662A91">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劳动力安排计划（满分6分）</w:t>
            </w:r>
          </w:p>
        </w:tc>
        <w:tc>
          <w:tcPr>
            <w:tcW w:w="6078" w:type="dxa"/>
            <w:vAlign w:val="center"/>
          </w:tcPr>
          <w:p w14:paraId="2375240A">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优（6分）：各主要施工工序有详细周密的劳动力安排计划，有各工种劳动力安排计划，劳动力投入合理，满足施工需要。</w:t>
            </w:r>
          </w:p>
          <w:p w14:paraId="46678D77">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良（4分）：各主要施工工序有劳动力安排计划，有各工种劳动力安排计划，劳动力投入合理，满足施工需要。</w:t>
            </w:r>
          </w:p>
          <w:p w14:paraId="572D78B0">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中（</w:t>
            </w:r>
            <w:r>
              <w:rPr>
                <w:rFonts w:ascii="宋体" w:hAnsi="宋体" w:cs="微软雅黑"/>
                <w:color w:val="auto"/>
                <w:kern w:val="0"/>
                <w:szCs w:val="21"/>
                <w:highlight w:val="none"/>
              </w:rPr>
              <w:t>2</w:t>
            </w:r>
            <w:r>
              <w:rPr>
                <w:rFonts w:hint="eastAsia" w:ascii="宋体" w:hAnsi="宋体" w:cs="微软雅黑"/>
                <w:color w:val="auto"/>
                <w:kern w:val="0"/>
                <w:szCs w:val="21"/>
                <w:highlight w:val="none"/>
              </w:rPr>
              <w:t>分）：各主要施工工序只有劳动力安排计划，无各工种劳动力安排计划，劳动力投入合理，基本满足施工需要。</w:t>
            </w:r>
          </w:p>
          <w:p w14:paraId="73937788">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差（</w:t>
            </w:r>
            <w:r>
              <w:rPr>
                <w:rFonts w:ascii="宋体" w:hAnsi="宋体" w:cs="微软雅黑"/>
                <w:color w:val="auto"/>
                <w:kern w:val="0"/>
                <w:szCs w:val="21"/>
                <w:highlight w:val="none"/>
              </w:rPr>
              <w:t>1</w:t>
            </w:r>
            <w:r>
              <w:rPr>
                <w:rFonts w:hint="eastAsia" w:ascii="宋体" w:hAnsi="宋体" w:cs="微软雅黑"/>
                <w:color w:val="auto"/>
                <w:kern w:val="0"/>
                <w:szCs w:val="21"/>
                <w:highlight w:val="none"/>
              </w:rPr>
              <w:t>分）：各主要施工工序无劳动力安排计划，劳动力投入不合理，不满足施工需要。</w:t>
            </w:r>
          </w:p>
        </w:tc>
      </w:tr>
      <w:tr w14:paraId="11CB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93" w:type="dxa"/>
            <w:vMerge w:val="continue"/>
            <w:tcBorders>
              <w:right w:val="single" w:color="auto" w:sz="4" w:space="0"/>
            </w:tcBorders>
            <w:vAlign w:val="center"/>
          </w:tcPr>
          <w:p w14:paraId="6E7C4B2C">
            <w:pPr>
              <w:spacing w:line="400" w:lineRule="exact"/>
              <w:rPr>
                <w:rFonts w:ascii="宋体" w:hAnsi="宋体"/>
                <w:color w:val="auto"/>
                <w:szCs w:val="21"/>
                <w:highlight w:val="none"/>
              </w:rPr>
            </w:pPr>
          </w:p>
        </w:tc>
        <w:tc>
          <w:tcPr>
            <w:tcW w:w="1276" w:type="dxa"/>
            <w:vMerge w:val="continue"/>
            <w:tcBorders>
              <w:left w:val="single" w:color="auto" w:sz="4" w:space="0"/>
            </w:tcBorders>
            <w:vAlign w:val="center"/>
          </w:tcPr>
          <w:p w14:paraId="7B30596F">
            <w:pPr>
              <w:spacing w:line="400" w:lineRule="exact"/>
              <w:rPr>
                <w:rFonts w:ascii="宋体" w:hAnsi="宋体"/>
                <w:color w:val="auto"/>
                <w:szCs w:val="21"/>
                <w:highlight w:val="none"/>
              </w:rPr>
            </w:pPr>
          </w:p>
        </w:tc>
        <w:tc>
          <w:tcPr>
            <w:tcW w:w="1559" w:type="dxa"/>
            <w:vAlign w:val="center"/>
          </w:tcPr>
          <w:p w14:paraId="1DBD870E">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确保工程质量的技术组织措施（满分7分）</w:t>
            </w:r>
          </w:p>
          <w:p w14:paraId="653E8812">
            <w:pPr>
              <w:spacing w:line="400" w:lineRule="exact"/>
              <w:rPr>
                <w:rFonts w:ascii="宋体" w:hAnsi="宋体" w:cs="微软雅黑"/>
                <w:color w:val="auto"/>
                <w:kern w:val="0"/>
                <w:szCs w:val="21"/>
                <w:highlight w:val="none"/>
              </w:rPr>
            </w:pPr>
          </w:p>
        </w:tc>
        <w:tc>
          <w:tcPr>
            <w:tcW w:w="6078" w:type="dxa"/>
            <w:vAlign w:val="center"/>
          </w:tcPr>
          <w:p w14:paraId="69F09111">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优（7分）：有专门的质量技术管理班子和制度，且人员配备合理，制度健全。主要工序有质量技术保证措施和手段，自控体系完整，能有效保证技术质量，达到承诺的质量标准。</w:t>
            </w:r>
          </w:p>
          <w:p w14:paraId="611BB4D6">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良（5</w:t>
            </w:r>
            <w:r>
              <w:rPr>
                <w:rFonts w:ascii="宋体" w:hAnsi="宋体" w:cs="微软雅黑"/>
                <w:color w:val="auto"/>
                <w:kern w:val="0"/>
                <w:szCs w:val="21"/>
                <w:highlight w:val="none"/>
              </w:rPr>
              <w:t xml:space="preserve"> </w:t>
            </w:r>
            <w:r>
              <w:rPr>
                <w:rFonts w:hint="eastAsia" w:ascii="宋体" w:hAnsi="宋体" w:cs="微软雅黑"/>
                <w:color w:val="auto"/>
                <w:kern w:val="0"/>
                <w:szCs w:val="21"/>
                <w:highlight w:val="none"/>
              </w:rPr>
              <w:t>分）：有质量技术管理班子和制度，且人员配备合理，制度健全。主要工序有质量技术保证措施和手段，自控体系完整，能有效保证技术质量，达到承诺的质量标准。</w:t>
            </w:r>
          </w:p>
          <w:p w14:paraId="12CDE55F">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中（3 分）：有质量技术管理班子和制度。主要工序有质量技术保证措施和手段，自控体系一般，基本能保证技术质量，达到承诺的质量标准。</w:t>
            </w:r>
          </w:p>
          <w:p w14:paraId="12E48183">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差（</w:t>
            </w:r>
            <w:r>
              <w:rPr>
                <w:rFonts w:ascii="宋体" w:hAnsi="宋体" w:cs="微软雅黑"/>
                <w:color w:val="auto"/>
                <w:kern w:val="0"/>
                <w:szCs w:val="21"/>
                <w:highlight w:val="none"/>
              </w:rPr>
              <w:t xml:space="preserve">1 </w:t>
            </w:r>
            <w:r>
              <w:rPr>
                <w:rFonts w:hint="eastAsia" w:ascii="宋体" w:hAnsi="宋体" w:cs="微软雅黑"/>
                <w:color w:val="auto"/>
                <w:kern w:val="0"/>
                <w:szCs w:val="21"/>
                <w:highlight w:val="none"/>
              </w:rPr>
              <w:t>分）：有质量技术管理班子和制度。主要工序无质量技术保证措施和手段，自控体系一般，不能有效保证技术质量。</w:t>
            </w:r>
          </w:p>
        </w:tc>
      </w:tr>
      <w:tr w14:paraId="16F0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93" w:type="dxa"/>
            <w:vMerge w:val="continue"/>
            <w:tcBorders>
              <w:right w:val="single" w:color="auto" w:sz="4" w:space="0"/>
            </w:tcBorders>
            <w:vAlign w:val="center"/>
          </w:tcPr>
          <w:p w14:paraId="12F5F797">
            <w:pPr>
              <w:spacing w:line="400" w:lineRule="exact"/>
              <w:rPr>
                <w:rFonts w:ascii="宋体" w:hAnsi="宋体"/>
                <w:color w:val="auto"/>
                <w:szCs w:val="21"/>
                <w:highlight w:val="none"/>
              </w:rPr>
            </w:pPr>
          </w:p>
        </w:tc>
        <w:tc>
          <w:tcPr>
            <w:tcW w:w="1276" w:type="dxa"/>
            <w:vMerge w:val="continue"/>
            <w:tcBorders>
              <w:left w:val="single" w:color="auto" w:sz="4" w:space="0"/>
            </w:tcBorders>
            <w:vAlign w:val="center"/>
          </w:tcPr>
          <w:p w14:paraId="57619E93">
            <w:pPr>
              <w:spacing w:line="400" w:lineRule="exact"/>
              <w:rPr>
                <w:rFonts w:ascii="宋体" w:hAnsi="宋体"/>
                <w:color w:val="auto"/>
                <w:szCs w:val="21"/>
                <w:highlight w:val="none"/>
              </w:rPr>
            </w:pPr>
          </w:p>
        </w:tc>
        <w:tc>
          <w:tcPr>
            <w:tcW w:w="1559" w:type="dxa"/>
            <w:vAlign w:val="center"/>
          </w:tcPr>
          <w:p w14:paraId="6B0FC94C">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确保安全生产的技术组织措施（满分</w:t>
            </w:r>
            <w:r>
              <w:rPr>
                <w:rFonts w:ascii="宋体" w:hAnsi="宋体" w:cs="微软雅黑"/>
                <w:color w:val="auto"/>
                <w:kern w:val="0"/>
                <w:szCs w:val="21"/>
                <w:highlight w:val="none"/>
              </w:rPr>
              <w:t>6</w:t>
            </w:r>
            <w:r>
              <w:rPr>
                <w:rFonts w:hint="eastAsia" w:ascii="宋体" w:hAnsi="宋体" w:cs="微软雅黑"/>
                <w:color w:val="auto"/>
                <w:kern w:val="0"/>
                <w:szCs w:val="21"/>
                <w:highlight w:val="none"/>
              </w:rPr>
              <w:t>分）</w:t>
            </w:r>
          </w:p>
          <w:p w14:paraId="6D4B44C1">
            <w:pPr>
              <w:spacing w:line="400" w:lineRule="exact"/>
              <w:rPr>
                <w:rFonts w:ascii="宋体" w:hAnsi="宋体" w:cs="微软雅黑"/>
                <w:color w:val="auto"/>
                <w:kern w:val="0"/>
                <w:szCs w:val="21"/>
                <w:highlight w:val="none"/>
              </w:rPr>
            </w:pPr>
          </w:p>
        </w:tc>
        <w:tc>
          <w:tcPr>
            <w:tcW w:w="6078" w:type="dxa"/>
            <w:vAlign w:val="center"/>
          </w:tcPr>
          <w:p w14:paraId="73978932">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优（</w:t>
            </w:r>
            <w:r>
              <w:rPr>
                <w:rFonts w:ascii="宋体" w:hAnsi="宋体" w:cs="微软雅黑"/>
                <w:color w:val="auto"/>
                <w:kern w:val="0"/>
                <w:szCs w:val="21"/>
                <w:highlight w:val="none"/>
              </w:rPr>
              <w:t xml:space="preserve">6 </w:t>
            </w:r>
            <w:r>
              <w:rPr>
                <w:rFonts w:hint="eastAsia" w:ascii="宋体" w:hAnsi="宋体" w:cs="微软雅黑"/>
                <w:color w:val="auto"/>
                <w:kern w:val="0"/>
                <w:szCs w:val="21"/>
                <w:highlight w:val="none"/>
              </w:rPr>
              <w:t>分）：有专门的安全管理人员和制度，且人员配备合理，制度健全，各道工序安全技术措施针对性强，符合实际且满足有关安全技术标准要求。现场防火、应急救援、社会治安安全措施得力。</w:t>
            </w:r>
          </w:p>
          <w:p w14:paraId="379250F7">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良（</w:t>
            </w:r>
            <w:r>
              <w:rPr>
                <w:rFonts w:ascii="宋体" w:hAnsi="宋体" w:cs="微软雅黑"/>
                <w:color w:val="auto"/>
                <w:kern w:val="0"/>
                <w:szCs w:val="21"/>
                <w:highlight w:val="none"/>
              </w:rPr>
              <w:t xml:space="preserve">4 </w:t>
            </w:r>
            <w:r>
              <w:rPr>
                <w:rFonts w:hint="eastAsia" w:ascii="宋体" w:hAnsi="宋体" w:cs="微软雅黑"/>
                <w:color w:val="auto"/>
                <w:kern w:val="0"/>
                <w:szCs w:val="21"/>
                <w:highlight w:val="none"/>
              </w:rPr>
              <w:t>分）：有安全管理人员和制度，且人员配备合理，制度健全，各道工序安全技术措施有针对性，符合实际且满足有关安全技术标准要求。现场防火、应急救援、社会治安安全措施满足施工需求。</w:t>
            </w:r>
          </w:p>
          <w:p w14:paraId="3FF1B6B6">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中（2</w:t>
            </w:r>
            <w:r>
              <w:rPr>
                <w:rFonts w:ascii="宋体" w:hAnsi="宋体" w:cs="微软雅黑"/>
                <w:color w:val="auto"/>
                <w:kern w:val="0"/>
                <w:szCs w:val="21"/>
                <w:highlight w:val="none"/>
              </w:rPr>
              <w:t xml:space="preserve"> </w:t>
            </w:r>
            <w:r>
              <w:rPr>
                <w:rFonts w:hint="eastAsia" w:ascii="宋体" w:hAnsi="宋体" w:cs="微软雅黑"/>
                <w:color w:val="auto"/>
                <w:kern w:val="0"/>
                <w:szCs w:val="21"/>
                <w:highlight w:val="none"/>
              </w:rPr>
              <w:t>分）：有安全管理人员和制度，人员配备一般，制度健全一般，各道工序安全技术措施针对性一般，基本满足有关安全技术标准要求。现场防火、应急救援、社会治安安全措施基本满足施工需求。</w:t>
            </w:r>
          </w:p>
          <w:p w14:paraId="61DFE6BB">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差（</w:t>
            </w:r>
            <w:r>
              <w:rPr>
                <w:rFonts w:ascii="宋体" w:hAnsi="宋体" w:cs="微软雅黑"/>
                <w:color w:val="auto"/>
                <w:kern w:val="0"/>
                <w:szCs w:val="21"/>
                <w:highlight w:val="none"/>
              </w:rPr>
              <w:t xml:space="preserve">1 </w:t>
            </w:r>
            <w:r>
              <w:rPr>
                <w:rFonts w:hint="eastAsia" w:ascii="宋体" w:hAnsi="宋体" w:cs="微软雅黑"/>
                <w:color w:val="auto"/>
                <w:kern w:val="0"/>
                <w:szCs w:val="21"/>
                <w:highlight w:val="none"/>
              </w:rPr>
              <w:t>分）：有安全管理人员和制度，各道工序安全技术措施无针对性，满足有关安全技术标准要求。现场防火、应急救援、社会治安安全措施差。</w:t>
            </w:r>
          </w:p>
        </w:tc>
      </w:tr>
      <w:tr w14:paraId="1530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93" w:type="dxa"/>
            <w:vMerge w:val="continue"/>
            <w:tcBorders>
              <w:right w:val="single" w:color="auto" w:sz="4" w:space="0"/>
            </w:tcBorders>
            <w:vAlign w:val="center"/>
          </w:tcPr>
          <w:p w14:paraId="5317717E">
            <w:pPr>
              <w:spacing w:line="400" w:lineRule="exact"/>
              <w:rPr>
                <w:rFonts w:ascii="宋体" w:hAnsi="宋体"/>
                <w:color w:val="auto"/>
                <w:szCs w:val="21"/>
                <w:highlight w:val="none"/>
              </w:rPr>
            </w:pPr>
          </w:p>
        </w:tc>
        <w:tc>
          <w:tcPr>
            <w:tcW w:w="1276" w:type="dxa"/>
            <w:vMerge w:val="continue"/>
            <w:tcBorders>
              <w:left w:val="single" w:color="auto" w:sz="4" w:space="0"/>
            </w:tcBorders>
            <w:vAlign w:val="center"/>
          </w:tcPr>
          <w:p w14:paraId="42C7AA99">
            <w:pPr>
              <w:spacing w:line="400" w:lineRule="exact"/>
              <w:rPr>
                <w:rFonts w:ascii="宋体" w:hAnsi="宋体"/>
                <w:color w:val="auto"/>
                <w:szCs w:val="21"/>
                <w:highlight w:val="none"/>
              </w:rPr>
            </w:pPr>
          </w:p>
        </w:tc>
        <w:tc>
          <w:tcPr>
            <w:tcW w:w="1559" w:type="dxa"/>
            <w:vAlign w:val="center"/>
          </w:tcPr>
          <w:p w14:paraId="1F49B368">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工程施工的重点和难点（满分6分）</w:t>
            </w:r>
          </w:p>
        </w:tc>
        <w:tc>
          <w:tcPr>
            <w:tcW w:w="6078" w:type="dxa"/>
            <w:vAlign w:val="center"/>
          </w:tcPr>
          <w:p w14:paraId="5EC70F70">
            <w:pPr>
              <w:spacing w:line="400" w:lineRule="exact"/>
              <w:ind w:left="315" w:hanging="315" w:hangingChars="150"/>
              <w:rPr>
                <w:rFonts w:ascii="宋体" w:hAnsi="宋体" w:cs="微软雅黑"/>
                <w:color w:val="auto"/>
                <w:kern w:val="0"/>
                <w:szCs w:val="21"/>
                <w:highlight w:val="none"/>
              </w:rPr>
            </w:pPr>
            <w:r>
              <w:rPr>
                <w:rFonts w:hint="eastAsia" w:ascii="宋体" w:hAnsi="宋体" w:cs="微软雅黑"/>
                <w:color w:val="auto"/>
                <w:kern w:val="0"/>
                <w:szCs w:val="21"/>
                <w:highlight w:val="none"/>
              </w:rPr>
              <w:t>优（6</w:t>
            </w:r>
            <w:r>
              <w:rPr>
                <w:rFonts w:ascii="宋体" w:hAnsi="宋体" w:cs="微软雅黑"/>
                <w:color w:val="auto"/>
                <w:kern w:val="0"/>
                <w:szCs w:val="21"/>
                <w:highlight w:val="none"/>
              </w:rPr>
              <w:t xml:space="preserve"> </w:t>
            </w:r>
            <w:r>
              <w:rPr>
                <w:rFonts w:hint="eastAsia" w:ascii="宋体" w:hAnsi="宋体" w:cs="微软雅黑"/>
                <w:color w:val="auto"/>
                <w:kern w:val="0"/>
                <w:szCs w:val="21"/>
                <w:highlight w:val="none"/>
              </w:rPr>
              <w:t>分）：针对本工程的特点，详细阐述了本工程的重点和难点，解决重点和难点问题的方法合理、可行。</w:t>
            </w:r>
          </w:p>
          <w:p w14:paraId="536B5C34">
            <w:pPr>
              <w:spacing w:line="400" w:lineRule="exact"/>
              <w:ind w:left="315" w:hanging="315" w:hangingChars="150"/>
              <w:rPr>
                <w:rFonts w:ascii="宋体" w:hAnsi="宋体" w:cs="微软雅黑"/>
                <w:color w:val="auto"/>
                <w:kern w:val="0"/>
                <w:szCs w:val="21"/>
                <w:highlight w:val="none"/>
              </w:rPr>
            </w:pPr>
            <w:r>
              <w:rPr>
                <w:rFonts w:hint="eastAsia" w:ascii="宋体" w:hAnsi="宋体" w:cs="微软雅黑"/>
                <w:color w:val="auto"/>
                <w:kern w:val="0"/>
                <w:szCs w:val="21"/>
                <w:highlight w:val="none"/>
              </w:rPr>
              <w:t>中（4</w:t>
            </w:r>
            <w:r>
              <w:rPr>
                <w:rFonts w:ascii="宋体" w:hAnsi="宋体" w:cs="微软雅黑"/>
                <w:color w:val="auto"/>
                <w:kern w:val="0"/>
                <w:szCs w:val="21"/>
                <w:highlight w:val="none"/>
              </w:rPr>
              <w:t xml:space="preserve"> </w:t>
            </w:r>
            <w:r>
              <w:rPr>
                <w:rFonts w:hint="eastAsia" w:ascii="宋体" w:hAnsi="宋体" w:cs="微软雅黑"/>
                <w:color w:val="auto"/>
                <w:kern w:val="0"/>
                <w:szCs w:val="21"/>
                <w:highlight w:val="none"/>
              </w:rPr>
              <w:t>分）：针对本工程的特点，阐述了本工程的重点和难点，解决重点和难点问题的方法合理。</w:t>
            </w:r>
          </w:p>
          <w:p w14:paraId="4E4BD340">
            <w:pPr>
              <w:spacing w:line="400" w:lineRule="exact"/>
              <w:ind w:left="315" w:hanging="315" w:hangingChars="150"/>
              <w:rPr>
                <w:rFonts w:ascii="宋体" w:hAnsi="宋体" w:cs="微软雅黑"/>
                <w:color w:val="auto"/>
                <w:kern w:val="0"/>
                <w:szCs w:val="21"/>
                <w:highlight w:val="none"/>
              </w:rPr>
            </w:pPr>
            <w:r>
              <w:rPr>
                <w:rFonts w:hint="eastAsia" w:ascii="宋体" w:hAnsi="宋体" w:cs="微软雅黑"/>
                <w:color w:val="auto"/>
                <w:kern w:val="0"/>
                <w:szCs w:val="21"/>
                <w:highlight w:val="none"/>
              </w:rPr>
              <w:t>良（</w:t>
            </w:r>
            <w:r>
              <w:rPr>
                <w:rFonts w:ascii="宋体" w:hAnsi="宋体" w:cs="微软雅黑"/>
                <w:color w:val="auto"/>
                <w:kern w:val="0"/>
                <w:szCs w:val="21"/>
                <w:highlight w:val="none"/>
              </w:rPr>
              <w:t xml:space="preserve">2 </w:t>
            </w:r>
            <w:r>
              <w:rPr>
                <w:rFonts w:hint="eastAsia" w:ascii="宋体" w:hAnsi="宋体" w:cs="微软雅黑"/>
                <w:color w:val="auto"/>
                <w:kern w:val="0"/>
                <w:szCs w:val="21"/>
                <w:highlight w:val="none"/>
              </w:rPr>
              <w:t>分）：简单阐述了本工程的重点和难点，解决重点和难点问题的方法一般。</w:t>
            </w:r>
          </w:p>
          <w:p w14:paraId="38175CFD">
            <w:pPr>
              <w:spacing w:line="400" w:lineRule="exact"/>
              <w:ind w:left="210" w:hanging="210" w:hangingChars="100"/>
              <w:rPr>
                <w:rFonts w:ascii="宋体" w:hAnsi="宋体" w:cs="微软雅黑"/>
                <w:color w:val="auto"/>
                <w:kern w:val="0"/>
                <w:szCs w:val="21"/>
                <w:highlight w:val="none"/>
              </w:rPr>
            </w:pPr>
            <w:r>
              <w:rPr>
                <w:rFonts w:hint="eastAsia" w:ascii="宋体" w:hAnsi="宋体" w:cs="微软雅黑"/>
                <w:color w:val="auto"/>
                <w:kern w:val="0"/>
                <w:szCs w:val="21"/>
                <w:highlight w:val="none"/>
              </w:rPr>
              <w:t>差（</w:t>
            </w:r>
            <w:r>
              <w:rPr>
                <w:rFonts w:ascii="宋体" w:hAnsi="宋体" w:cs="微软雅黑"/>
                <w:color w:val="auto"/>
                <w:kern w:val="0"/>
                <w:szCs w:val="21"/>
                <w:highlight w:val="none"/>
              </w:rPr>
              <w:t xml:space="preserve">1 </w:t>
            </w:r>
            <w:r>
              <w:rPr>
                <w:rFonts w:hint="eastAsia" w:ascii="宋体" w:hAnsi="宋体" w:cs="微软雅黑"/>
                <w:color w:val="auto"/>
                <w:kern w:val="0"/>
                <w:szCs w:val="21"/>
                <w:highlight w:val="none"/>
              </w:rPr>
              <w:t>分）：未阐述本工程的重点和难点，无解决及保证措施重点和难点问题的方法。</w:t>
            </w:r>
          </w:p>
        </w:tc>
      </w:tr>
      <w:tr w14:paraId="1335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693" w:type="dxa"/>
            <w:vMerge w:val="continue"/>
            <w:tcBorders>
              <w:right w:val="single" w:color="auto" w:sz="4" w:space="0"/>
            </w:tcBorders>
            <w:vAlign w:val="center"/>
          </w:tcPr>
          <w:p w14:paraId="05CCAE90">
            <w:pPr>
              <w:spacing w:line="400" w:lineRule="exact"/>
              <w:rPr>
                <w:rFonts w:ascii="宋体" w:hAnsi="宋体"/>
                <w:color w:val="auto"/>
                <w:szCs w:val="21"/>
                <w:highlight w:val="none"/>
              </w:rPr>
            </w:pPr>
          </w:p>
        </w:tc>
        <w:tc>
          <w:tcPr>
            <w:tcW w:w="1276" w:type="dxa"/>
            <w:vMerge w:val="continue"/>
            <w:tcBorders>
              <w:left w:val="single" w:color="auto" w:sz="4" w:space="0"/>
            </w:tcBorders>
            <w:vAlign w:val="center"/>
          </w:tcPr>
          <w:p w14:paraId="1F52F7D5">
            <w:pPr>
              <w:spacing w:line="400" w:lineRule="exact"/>
              <w:rPr>
                <w:rFonts w:ascii="宋体" w:hAnsi="宋体"/>
                <w:color w:val="auto"/>
                <w:szCs w:val="21"/>
                <w:highlight w:val="none"/>
              </w:rPr>
            </w:pPr>
          </w:p>
        </w:tc>
        <w:tc>
          <w:tcPr>
            <w:tcW w:w="1559" w:type="dxa"/>
            <w:vAlign w:val="center"/>
          </w:tcPr>
          <w:p w14:paraId="1D3A0533">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施工总平面布置图（满分5分）</w:t>
            </w:r>
          </w:p>
        </w:tc>
        <w:tc>
          <w:tcPr>
            <w:tcW w:w="6078" w:type="dxa"/>
            <w:vAlign w:val="center"/>
          </w:tcPr>
          <w:p w14:paraId="0B9F0C86">
            <w:pPr>
              <w:spacing w:line="400" w:lineRule="exact"/>
              <w:ind w:left="315" w:hanging="315" w:hangingChars="150"/>
              <w:rPr>
                <w:rFonts w:ascii="宋体" w:hAnsi="宋体" w:cs="微软雅黑"/>
                <w:color w:val="auto"/>
                <w:kern w:val="0"/>
                <w:szCs w:val="21"/>
                <w:highlight w:val="none"/>
              </w:rPr>
            </w:pPr>
            <w:r>
              <w:rPr>
                <w:rFonts w:hint="eastAsia" w:ascii="宋体" w:hAnsi="宋体" w:cs="微软雅黑"/>
                <w:color w:val="auto"/>
                <w:kern w:val="0"/>
                <w:szCs w:val="21"/>
                <w:highlight w:val="none"/>
              </w:rPr>
              <w:t>优（5</w:t>
            </w:r>
            <w:r>
              <w:rPr>
                <w:rFonts w:ascii="宋体" w:hAnsi="宋体" w:cs="微软雅黑"/>
                <w:color w:val="auto"/>
                <w:kern w:val="0"/>
                <w:szCs w:val="21"/>
                <w:highlight w:val="none"/>
              </w:rPr>
              <w:t xml:space="preserve"> </w:t>
            </w:r>
            <w:r>
              <w:rPr>
                <w:rFonts w:hint="eastAsia" w:ascii="宋体" w:hAnsi="宋体" w:cs="微软雅黑"/>
                <w:color w:val="auto"/>
                <w:kern w:val="0"/>
                <w:szCs w:val="21"/>
                <w:highlight w:val="none"/>
              </w:rPr>
              <w:t>分）：</w:t>
            </w:r>
            <w:r>
              <w:rPr>
                <w:rFonts w:ascii="宋体" w:hAnsi="宋体"/>
                <w:color w:val="auto"/>
                <w:szCs w:val="21"/>
                <w:highlight w:val="none"/>
              </w:rPr>
              <w:t>总体布置有针对性、合理，较好满足施工需要，符合安全、文明生产要求</w:t>
            </w:r>
            <w:r>
              <w:rPr>
                <w:rFonts w:hint="eastAsia" w:ascii="宋体" w:hAnsi="宋体" w:cs="微软雅黑"/>
                <w:color w:val="auto"/>
                <w:kern w:val="0"/>
                <w:szCs w:val="21"/>
                <w:highlight w:val="none"/>
              </w:rPr>
              <w:t>。</w:t>
            </w:r>
          </w:p>
          <w:p w14:paraId="1D114460">
            <w:pPr>
              <w:spacing w:line="400" w:lineRule="exact"/>
              <w:ind w:left="315" w:hanging="315" w:hangingChars="150"/>
              <w:rPr>
                <w:rFonts w:ascii="宋体" w:hAnsi="宋体" w:cs="微软雅黑"/>
                <w:color w:val="auto"/>
                <w:kern w:val="0"/>
                <w:szCs w:val="21"/>
                <w:highlight w:val="none"/>
              </w:rPr>
            </w:pPr>
            <w:r>
              <w:rPr>
                <w:rFonts w:hint="eastAsia" w:ascii="宋体" w:hAnsi="宋体" w:cs="微软雅黑"/>
                <w:color w:val="auto"/>
                <w:kern w:val="0"/>
                <w:szCs w:val="21"/>
                <w:highlight w:val="none"/>
              </w:rPr>
              <w:t>中（</w:t>
            </w:r>
            <w:r>
              <w:rPr>
                <w:rFonts w:ascii="宋体" w:hAnsi="宋体" w:cs="微软雅黑"/>
                <w:color w:val="auto"/>
                <w:kern w:val="0"/>
                <w:szCs w:val="21"/>
                <w:highlight w:val="none"/>
              </w:rPr>
              <w:t xml:space="preserve">3 </w:t>
            </w:r>
            <w:r>
              <w:rPr>
                <w:rFonts w:hint="eastAsia" w:ascii="宋体" w:hAnsi="宋体" w:cs="微软雅黑"/>
                <w:color w:val="auto"/>
                <w:kern w:val="0"/>
                <w:szCs w:val="21"/>
                <w:highlight w:val="none"/>
              </w:rPr>
              <w:t>分）：有施工总平面布置图，安排一般，符合本项目施工实际要求。</w:t>
            </w:r>
          </w:p>
          <w:p w14:paraId="32D24335">
            <w:pPr>
              <w:spacing w:line="400" w:lineRule="exact"/>
              <w:ind w:left="315" w:hanging="315" w:hangingChars="150"/>
              <w:rPr>
                <w:rFonts w:ascii="宋体" w:hAnsi="宋体" w:cs="微软雅黑"/>
                <w:color w:val="auto"/>
                <w:kern w:val="0"/>
                <w:szCs w:val="21"/>
                <w:highlight w:val="none"/>
              </w:rPr>
            </w:pPr>
            <w:r>
              <w:rPr>
                <w:rFonts w:hint="eastAsia" w:ascii="宋体" w:hAnsi="宋体" w:cs="微软雅黑"/>
                <w:color w:val="auto"/>
                <w:kern w:val="0"/>
                <w:szCs w:val="21"/>
                <w:highlight w:val="none"/>
              </w:rPr>
              <w:t>良（</w:t>
            </w:r>
            <w:r>
              <w:rPr>
                <w:rFonts w:ascii="宋体" w:hAnsi="宋体" w:cs="微软雅黑"/>
                <w:color w:val="auto"/>
                <w:kern w:val="0"/>
                <w:szCs w:val="21"/>
                <w:highlight w:val="none"/>
              </w:rPr>
              <w:t xml:space="preserve">2 </w:t>
            </w:r>
            <w:r>
              <w:rPr>
                <w:rFonts w:hint="eastAsia" w:ascii="宋体" w:hAnsi="宋体" w:cs="微软雅黑"/>
                <w:color w:val="auto"/>
                <w:kern w:val="0"/>
                <w:szCs w:val="21"/>
                <w:highlight w:val="none"/>
              </w:rPr>
              <w:t>分）：有施工总平面布置图，基本符合本项目施工实际要求。</w:t>
            </w:r>
          </w:p>
          <w:p w14:paraId="550F03F1">
            <w:pPr>
              <w:spacing w:line="400" w:lineRule="exact"/>
              <w:ind w:left="315" w:hanging="315" w:hangingChars="150"/>
              <w:rPr>
                <w:rFonts w:ascii="宋体" w:hAnsi="宋体" w:cs="微软雅黑"/>
                <w:color w:val="auto"/>
                <w:kern w:val="0"/>
                <w:szCs w:val="21"/>
                <w:highlight w:val="none"/>
              </w:rPr>
            </w:pPr>
            <w:r>
              <w:rPr>
                <w:rFonts w:hint="eastAsia" w:ascii="宋体" w:hAnsi="宋体" w:cs="微软雅黑"/>
                <w:color w:val="auto"/>
                <w:kern w:val="0"/>
                <w:szCs w:val="21"/>
                <w:highlight w:val="none"/>
              </w:rPr>
              <w:t>差（</w:t>
            </w:r>
            <w:r>
              <w:rPr>
                <w:rFonts w:ascii="宋体" w:hAnsi="宋体" w:cs="微软雅黑"/>
                <w:color w:val="auto"/>
                <w:kern w:val="0"/>
                <w:szCs w:val="21"/>
                <w:highlight w:val="none"/>
              </w:rPr>
              <w:t xml:space="preserve">1 </w:t>
            </w:r>
            <w:r>
              <w:rPr>
                <w:rFonts w:hint="eastAsia" w:ascii="宋体" w:hAnsi="宋体" w:cs="微软雅黑"/>
                <w:color w:val="auto"/>
                <w:kern w:val="0"/>
                <w:szCs w:val="21"/>
                <w:highlight w:val="none"/>
              </w:rPr>
              <w:t>分）：有施工总平面布置图，但不符合本项目施工实际要求。</w:t>
            </w:r>
          </w:p>
        </w:tc>
      </w:tr>
      <w:tr w14:paraId="3754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06" w:type="dxa"/>
            <w:gridSpan w:val="4"/>
          </w:tcPr>
          <w:p w14:paraId="48466F28">
            <w:pPr>
              <w:widowControl/>
              <w:spacing w:line="400" w:lineRule="exact"/>
              <w:jc w:val="left"/>
              <w:rPr>
                <w:rFonts w:ascii="宋体" w:hAnsi="宋体" w:cs="宋体"/>
                <w:color w:val="auto"/>
                <w:kern w:val="0"/>
                <w:szCs w:val="21"/>
                <w:highlight w:val="none"/>
              </w:rPr>
            </w:pPr>
            <w:r>
              <w:rPr>
                <w:rFonts w:hint="eastAsia" w:ascii="宋体" w:hAnsi="宋体" w:cs="宋体"/>
                <w:bCs/>
                <w:color w:val="auto"/>
                <w:szCs w:val="21"/>
                <w:highlight w:val="none"/>
              </w:rPr>
              <w:t>总得分＝</w:t>
            </w:r>
            <w:r>
              <w:rPr>
                <w:rFonts w:hint="eastAsia" w:ascii="宋体" w:hAnsi="宋体"/>
                <w:color w:val="auto"/>
                <w:szCs w:val="21"/>
                <w:highlight w:val="none"/>
              </w:rPr>
              <w:t>价格</w:t>
            </w:r>
            <w:r>
              <w:rPr>
                <w:rFonts w:ascii="宋体" w:hAnsi="宋体"/>
                <w:color w:val="auto"/>
                <w:szCs w:val="21"/>
                <w:highlight w:val="none"/>
              </w:rPr>
              <w:t>分+</w:t>
            </w:r>
            <w:r>
              <w:rPr>
                <w:rFonts w:hint="eastAsia" w:ascii="宋体" w:hAnsi="宋体"/>
                <w:color w:val="auto"/>
                <w:szCs w:val="21"/>
                <w:highlight w:val="none"/>
              </w:rPr>
              <w:t>技术</w:t>
            </w:r>
            <w:r>
              <w:rPr>
                <w:rFonts w:ascii="宋体" w:hAnsi="宋体"/>
                <w:color w:val="auto"/>
                <w:szCs w:val="21"/>
                <w:highlight w:val="none"/>
              </w:rPr>
              <w:t>分</w:t>
            </w:r>
          </w:p>
        </w:tc>
      </w:tr>
    </w:tbl>
    <w:p w14:paraId="38C833E7">
      <w:pPr>
        <w:spacing w:line="420" w:lineRule="exact"/>
        <w:ind w:firstLine="413" w:firstLineChars="196"/>
        <w:rPr>
          <w:rFonts w:ascii="宋体" w:hAnsi="宋体"/>
          <w:b/>
          <w:bCs/>
          <w:color w:val="auto"/>
          <w:szCs w:val="21"/>
          <w:highlight w:val="none"/>
        </w:rPr>
      </w:pPr>
      <w:r>
        <w:rPr>
          <w:rFonts w:hint="eastAsia" w:ascii="宋体" w:hAnsi="宋体"/>
          <w:b/>
          <w:bCs/>
          <w:color w:val="auto"/>
          <w:szCs w:val="21"/>
          <w:highlight w:val="none"/>
        </w:rPr>
        <w:t>三、总分（100分）</w:t>
      </w:r>
    </w:p>
    <w:p w14:paraId="485A0AF4">
      <w:pPr>
        <w:spacing w:line="42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计算公式：总分＝价格分+技术分</w:t>
      </w:r>
    </w:p>
    <w:p w14:paraId="59A793F9">
      <w:pPr>
        <w:spacing w:line="42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备注：各项指标的分数计算四舍五入，取小数点后两位。</w:t>
      </w:r>
    </w:p>
    <w:p w14:paraId="7F64C173">
      <w:pPr>
        <w:spacing w:line="420" w:lineRule="exact"/>
        <w:ind w:firstLine="413" w:firstLineChars="196"/>
        <w:rPr>
          <w:rFonts w:ascii="宋体" w:hAnsi="宋体"/>
          <w:b/>
          <w:bCs/>
          <w:color w:val="auto"/>
          <w:szCs w:val="21"/>
          <w:highlight w:val="none"/>
        </w:rPr>
      </w:pPr>
      <w:r>
        <w:rPr>
          <w:rFonts w:hint="eastAsia" w:ascii="宋体" w:hAnsi="宋体"/>
          <w:b/>
          <w:bCs/>
          <w:color w:val="auto"/>
          <w:szCs w:val="21"/>
          <w:highlight w:val="none"/>
        </w:rPr>
        <w:t>四、</w:t>
      </w:r>
      <w:r>
        <w:rPr>
          <w:rFonts w:hint="eastAsia" w:ascii="宋体" w:hAnsi="宋体" w:cs="宋体"/>
          <w:b/>
          <w:color w:val="auto"/>
          <w:szCs w:val="21"/>
          <w:highlight w:val="none"/>
        </w:rPr>
        <w:t>成交候选供应商推荐原则</w:t>
      </w:r>
    </w:p>
    <w:p w14:paraId="5AA54970">
      <w:pPr>
        <w:spacing w:line="420" w:lineRule="exact"/>
        <w:ind w:firstLine="435"/>
        <w:rPr>
          <w:rFonts w:ascii="宋体" w:hAnsi="宋体" w:cs="宋体"/>
          <w:color w:val="auto"/>
          <w:szCs w:val="21"/>
          <w:highlight w:val="none"/>
        </w:rPr>
      </w:pPr>
      <w:r>
        <w:rPr>
          <w:rFonts w:ascii="宋体" w:hAnsi="宋体" w:cs="宋体"/>
          <w:color w:val="auto"/>
          <w:szCs w:val="21"/>
          <w:highlight w:val="none"/>
        </w:rPr>
        <w:t>磋商小组应当根据综合评分情况，按照评审得分由高到低顺序推荐3名以上成交候选供应商，并编写评审报告。评审得分相同的，按照最后报价由低到高的顺序推荐。评审得分且最后报价相同的，按照</w:t>
      </w:r>
      <w:r>
        <w:rPr>
          <w:rFonts w:hint="eastAsia" w:ascii="宋体" w:hAnsi="宋体" w:cs="宋体"/>
          <w:color w:val="auto"/>
          <w:szCs w:val="21"/>
          <w:highlight w:val="none"/>
        </w:rPr>
        <w:t>技术部分得分从高到低</w:t>
      </w:r>
      <w:r>
        <w:rPr>
          <w:rFonts w:ascii="宋体" w:hAnsi="宋体" w:cs="宋体"/>
          <w:color w:val="auto"/>
          <w:szCs w:val="21"/>
          <w:highlight w:val="none"/>
        </w:rPr>
        <w:t>顺序推荐。</w:t>
      </w:r>
    </w:p>
    <w:p w14:paraId="12688583">
      <w:pPr>
        <w:spacing w:line="420" w:lineRule="exact"/>
        <w:ind w:firstLine="435"/>
        <w:rPr>
          <w:rFonts w:ascii="宋体" w:hAnsi="宋体" w:cs="宋体"/>
          <w:color w:val="auto"/>
          <w:szCs w:val="21"/>
          <w:highlight w:val="none"/>
        </w:rPr>
      </w:pPr>
      <w:r>
        <w:rPr>
          <w:rFonts w:ascii="宋体" w:hAnsi="宋体" w:cs="宋体"/>
          <w:color w:val="auto"/>
          <w:szCs w:val="21"/>
          <w:highlight w:val="none"/>
        </w:rPr>
        <w:t>采购人应当在收到评审报告后</w:t>
      </w:r>
      <w:r>
        <w:rPr>
          <w:rFonts w:hint="eastAsia" w:ascii="宋体" w:hAnsi="宋体" w:cs="宋体"/>
          <w:color w:val="auto"/>
          <w:szCs w:val="21"/>
          <w:highlight w:val="none"/>
        </w:rPr>
        <w:t>2</w:t>
      </w:r>
      <w:r>
        <w:rPr>
          <w:rFonts w:ascii="宋体" w:hAnsi="宋体" w:cs="宋体"/>
          <w:color w:val="auto"/>
          <w:szCs w:val="21"/>
          <w:highlight w:val="none"/>
        </w:rPr>
        <w:t>个工作日内，</w:t>
      </w:r>
      <w:r>
        <w:rPr>
          <w:rFonts w:hint="eastAsia" w:ascii="宋体" w:hAnsi="宋体" w:cs="宋体"/>
          <w:color w:val="auto"/>
          <w:szCs w:val="21"/>
          <w:highlight w:val="none"/>
        </w:rPr>
        <w:t>根据</w:t>
      </w:r>
      <w:r>
        <w:rPr>
          <w:rFonts w:ascii="宋体" w:hAnsi="宋体" w:cs="宋体"/>
          <w:color w:val="auto"/>
          <w:szCs w:val="21"/>
          <w:highlight w:val="none"/>
        </w:rPr>
        <w:t>评审报告按照</w:t>
      </w:r>
      <w:r>
        <w:rPr>
          <w:rFonts w:hint="eastAsia" w:ascii="宋体" w:hAnsi="宋体" w:cs="宋体"/>
          <w:color w:val="auto"/>
          <w:szCs w:val="21"/>
          <w:highlight w:val="none"/>
        </w:rPr>
        <w:t>评审总得分</w:t>
      </w:r>
      <w:r>
        <w:rPr>
          <w:rFonts w:ascii="宋体" w:hAnsi="宋体" w:cs="宋体"/>
          <w:color w:val="auto"/>
          <w:szCs w:val="21"/>
          <w:highlight w:val="none"/>
        </w:rPr>
        <w:t>排序由高到低的原则确定成交供应商。</w:t>
      </w:r>
      <w:r>
        <w:rPr>
          <w:rFonts w:hint="eastAsia" w:ascii="宋体" w:hAnsi="宋体" w:cs="宋体"/>
          <w:color w:val="auto"/>
          <w:szCs w:val="21"/>
          <w:highlight w:val="none"/>
        </w:rPr>
        <w:t>采购人逾期未确定成交供应商且不提出异议的，视为确定评审报告提出的排序第一的供应商为成交供应商。</w:t>
      </w:r>
    </w:p>
    <w:p w14:paraId="23C4EEB3">
      <w:pPr>
        <w:spacing w:line="480" w:lineRule="exact"/>
        <w:jc w:val="left"/>
        <w:rPr>
          <w:rFonts w:ascii="宋体" w:hAnsi="宋体" w:cs="Courier New"/>
          <w:color w:val="auto"/>
          <w:sz w:val="24"/>
          <w:highlight w:val="none"/>
        </w:rPr>
      </w:pPr>
    </w:p>
    <w:sectPr>
      <w:footerReference r:id="rId7" w:type="default"/>
      <w:footerReference r:id="rId8" w:type="even"/>
      <w:pgSz w:w="11906" w:h="16838"/>
      <w:pgMar w:top="1304" w:right="1134" w:bottom="113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DB05B">
    <w:pPr>
      <w:pStyle w:val="28"/>
      <w:jc w:val="center"/>
    </w:pPr>
    <w:r>
      <w:fldChar w:fldCharType="begin"/>
    </w:r>
    <w:r>
      <w:instrText xml:space="preserve">PAGE   \* MERGEFORMAT</w:instrText>
    </w:r>
    <w:r>
      <w:fldChar w:fldCharType="separate"/>
    </w:r>
    <w:r>
      <w:rPr>
        <w:lang w:val="zh-CN"/>
      </w:rPr>
      <w:t>3</w:t>
    </w:r>
    <w:r>
      <w:rPr>
        <w:lang w:val="zh-CN"/>
      </w:rPr>
      <w:fldChar w:fldCharType="end"/>
    </w:r>
  </w:p>
  <w:p w14:paraId="4C50C283">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BC1CC">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49760E5">
                          <w:pPr>
                            <w:pStyle w:val="28"/>
                            <w:rPr>
                              <w:rStyle w:val="48"/>
                            </w:rPr>
                          </w:pPr>
                          <w:r>
                            <w:fldChar w:fldCharType="begin"/>
                          </w:r>
                          <w:r>
                            <w:rPr>
                              <w:rStyle w:val="48"/>
                            </w:rPr>
                            <w:instrText xml:space="preserve">PAGE  </w:instrText>
                          </w:r>
                          <w:r>
                            <w:fldChar w:fldCharType="separate"/>
                          </w:r>
                          <w:r>
                            <w:rPr>
                              <w:rStyle w:val="48"/>
                            </w:rPr>
                            <w:t>63</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A8edo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fyCMysMNfz4/dvxx6/j&#10;z69sFu3pnC8o685RXuhfQU9Dk6R6dwvys2cWbhpht+oaEbpGiYro5fFldu/pgOMjyKZ7CxXVEbsA&#10;Caiv0UTvyA1G6NSaw7k1qg9MxpL5/OXskjNJV/ksn88vUwVRjI8d+vBagWExKDlS5xO42N/6EMmI&#10;YkyJtSysddum7rf2rwNKjCeJfOQ7MA/9pj+ZsYHqQDIQhmGir0RBA/iFs44GqeSW/g1n7RtLRsSZ&#10;GwMcg80YCCvpYckDZ0N4E4bZ3DnU24ZwR6uvyay1TkKiqwOHE0sajaTvNMZx9u7vU9afr7v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APHnaCgIAAAIEAAAOAAAAAAAAAAEAIAAAAB8BAABk&#10;cnMvZTJvRG9jLnhtbFBLBQYAAAAABgAGAFkBAACbBQAAAAA=&#10;">
              <v:fill on="f" focussize="0,0"/>
              <v:stroke on="f"/>
              <v:imagedata o:title=""/>
              <o:lock v:ext="edit" aspectratio="f"/>
              <v:textbox inset="0mm,0mm,0mm,0mm" style="mso-fit-shape-to-text:t;">
                <w:txbxContent>
                  <w:p w14:paraId="749760E5">
                    <w:pPr>
                      <w:pStyle w:val="28"/>
                      <w:rPr>
                        <w:rStyle w:val="48"/>
                      </w:rPr>
                    </w:pPr>
                    <w:r>
                      <w:fldChar w:fldCharType="begin"/>
                    </w:r>
                    <w:r>
                      <w:rPr>
                        <w:rStyle w:val="48"/>
                      </w:rPr>
                      <w:instrText xml:space="preserve">PAGE  </w:instrText>
                    </w:r>
                    <w:r>
                      <w:fldChar w:fldCharType="separate"/>
                    </w:r>
                    <w:r>
                      <w:rPr>
                        <w:rStyle w:val="48"/>
                      </w:rP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ABDE1">
    <w:pPr>
      <w:pStyle w:val="28"/>
      <w:framePr w:wrap="around" w:vAnchor="text" w:hAnchor="margin" w:xAlign="center" w:y="1"/>
      <w:rPr>
        <w:rStyle w:val="48"/>
      </w:rPr>
    </w:pPr>
    <w:r>
      <w:fldChar w:fldCharType="begin"/>
    </w:r>
    <w:r>
      <w:rPr>
        <w:rStyle w:val="48"/>
      </w:rPr>
      <w:instrText xml:space="preserve">PAGE  </w:instrText>
    </w:r>
    <w:r>
      <w:fldChar w:fldCharType="end"/>
    </w:r>
  </w:p>
  <w:p w14:paraId="7A325B18">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8588C">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0D34B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PlfknQAAAAAwEAAA8AAAAAAAAAAQAgAAAAIgAAAGRy&#10;cy9kb3ducmV2LnhtbFBLAQIUABQAAAAIAIdO4kCW13ZODQIAAAUEAAAOAAAAAAAAAAEAIAAAAB8B&#10;AABkcnMvZTJvRG9jLnhtbFBLBQYAAAAABgAGAFkBAACeBQAAAAA=&#10;">
              <v:fill on="f" focussize="0,0"/>
              <v:stroke on="f"/>
              <v:imagedata o:title=""/>
              <o:lock v:ext="edit" aspectratio="f"/>
              <v:textbox inset="0mm,0mm,0mm,0mm" style="mso-fit-shape-to-text:t;">
                <w:txbxContent>
                  <w:p w14:paraId="00D34B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86</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52181">
    <w:pPr>
      <w:pStyle w:val="28"/>
      <w:framePr w:wrap="around" w:vAnchor="text" w:hAnchor="margin" w:xAlign="center" w:y="1"/>
      <w:rPr>
        <w:rStyle w:val="48"/>
      </w:rPr>
    </w:pPr>
    <w:r>
      <w:fldChar w:fldCharType="begin"/>
    </w:r>
    <w:r>
      <w:rPr>
        <w:rStyle w:val="48"/>
      </w:rPr>
      <w:instrText xml:space="preserve">PAGE  </w:instrText>
    </w:r>
    <w:r>
      <w:fldChar w:fldCharType="end"/>
    </w:r>
  </w:p>
  <w:p w14:paraId="286A804B">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2E102">
    <w:pPr>
      <w:pStyle w:val="29"/>
      <w:pBdr>
        <w:bottom w:val="none" w:color="auto" w:sz="0" w:space="0"/>
      </w:pBdr>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96B80"/>
    <w:multiLevelType w:val="singleLevel"/>
    <w:tmpl w:val="BD196B80"/>
    <w:lvl w:ilvl="0" w:tentative="0">
      <w:start w:val="1"/>
      <w:numFmt w:val="decimal"/>
      <w:suff w:val="space"/>
      <w:lvlText w:val="%1."/>
      <w:lvlJc w:val="left"/>
    </w:lvl>
  </w:abstractNum>
  <w:abstractNum w:abstractNumId="1">
    <w:nsid w:val="DA74C377"/>
    <w:multiLevelType w:val="singleLevel"/>
    <w:tmpl w:val="DA74C377"/>
    <w:lvl w:ilvl="0" w:tentative="0">
      <w:start w:val="1"/>
      <w:numFmt w:val="decimal"/>
      <w:suff w:val="nothing"/>
      <w:lvlText w:val="（%1）"/>
      <w:lvlJc w:val="left"/>
    </w:lvl>
  </w:abstractNum>
  <w:abstractNum w:abstractNumId="2">
    <w:nsid w:val="10D7C770"/>
    <w:multiLevelType w:val="singleLevel"/>
    <w:tmpl w:val="10D7C770"/>
    <w:lvl w:ilvl="0" w:tentative="0">
      <w:start w:val="5"/>
      <w:numFmt w:val="decimal"/>
      <w:suff w:val="nothing"/>
      <w:lvlText w:val="（%1）"/>
      <w:lvlJc w:val="left"/>
      <w:pPr>
        <w:ind w:left="-1"/>
      </w:pPr>
    </w:lvl>
  </w:abstractNum>
  <w:abstractNum w:abstractNumId="3">
    <w:nsid w:val="2659688A"/>
    <w:multiLevelType w:val="singleLevel"/>
    <w:tmpl w:val="2659688A"/>
    <w:lvl w:ilvl="0" w:tentative="0">
      <w:start w:val="7"/>
      <w:numFmt w:val="decimal"/>
      <w:pStyle w:val="245"/>
      <w:lvlText w:val="%1、"/>
      <w:lvlJc w:val="left"/>
      <w:pPr>
        <w:tabs>
          <w:tab w:val="left" w:pos="1260"/>
        </w:tabs>
        <w:ind w:left="1260" w:hanging="720"/>
      </w:pPr>
      <w:rPr>
        <w:rFonts w:hint="eastAsia"/>
      </w:rPr>
    </w:lvl>
  </w:abstractNum>
  <w:abstractNum w:abstractNumId="4">
    <w:nsid w:val="53578075"/>
    <w:multiLevelType w:val="singleLevel"/>
    <w:tmpl w:val="53578075"/>
    <w:lvl w:ilvl="0" w:tentative="0">
      <w:start w:val="2"/>
      <w:numFmt w:val="decimal"/>
      <w:suff w:val="nothing"/>
      <w:lvlText w:val="（%1）"/>
      <w:lvlJc w:val="left"/>
    </w:lvl>
  </w:abstractNum>
  <w:abstractNum w:abstractNumId="5">
    <w:nsid w:val="5A23BBC6"/>
    <w:multiLevelType w:val="singleLevel"/>
    <w:tmpl w:val="5A23BBC6"/>
    <w:lvl w:ilvl="0" w:tentative="0">
      <w:start w:val="2"/>
      <w:numFmt w:val="chineseCounting"/>
      <w:suff w:val="nothing"/>
      <w:lvlText w:val="%1、"/>
      <w:lvlJc w:val="left"/>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1" w:cryptProviderType="rsaFull" w:cryptAlgorithmClass="hash" w:cryptAlgorithmType="typeAny" w:cryptAlgorithmSid="4" w:cryptSpinCount="0" w:hash="1l0QO4s5zX8iLsPMoDZQdTmAjWg=" w:salt="K85vJxwiKX+JIX7NuBRNOQ=="/>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kMjNmNGM5NGU1MzU5MTJlZmU4YTA3NzFkNDA0OWIifQ=="/>
  </w:docVars>
  <w:rsids>
    <w:rsidRoot w:val="00172A27"/>
    <w:rsid w:val="00000953"/>
    <w:rsid w:val="00000F72"/>
    <w:rsid w:val="00002848"/>
    <w:rsid w:val="00002D06"/>
    <w:rsid w:val="0000367E"/>
    <w:rsid w:val="0000401E"/>
    <w:rsid w:val="000043FB"/>
    <w:rsid w:val="00004564"/>
    <w:rsid w:val="00004A40"/>
    <w:rsid w:val="00007FDD"/>
    <w:rsid w:val="00010215"/>
    <w:rsid w:val="00010A88"/>
    <w:rsid w:val="00011934"/>
    <w:rsid w:val="00011BC1"/>
    <w:rsid w:val="00014128"/>
    <w:rsid w:val="00014131"/>
    <w:rsid w:val="000142D8"/>
    <w:rsid w:val="0001443F"/>
    <w:rsid w:val="00014639"/>
    <w:rsid w:val="00015073"/>
    <w:rsid w:val="00015369"/>
    <w:rsid w:val="00015C4D"/>
    <w:rsid w:val="000162B6"/>
    <w:rsid w:val="00016791"/>
    <w:rsid w:val="00016E98"/>
    <w:rsid w:val="0001798A"/>
    <w:rsid w:val="00020532"/>
    <w:rsid w:val="000206AF"/>
    <w:rsid w:val="00021640"/>
    <w:rsid w:val="000229FD"/>
    <w:rsid w:val="00023164"/>
    <w:rsid w:val="0002331D"/>
    <w:rsid w:val="00023523"/>
    <w:rsid w:val="000237C4"/>
    <w:rsid w:val="00023F63"/>
    <w:rsid w:val="000244F8"/>
    <w:rsid w:val="0002455D"/>
    <w:rsid w:val="00024676"/>
    <w:rsid w:val="000270D7"/>
    <w:rsid w:val="000316C1"/>
    <w:rsid w:val="000336DA"/>
    <w:rsid w:val="000340C8"/>
    <w:rsid w:val="00034923"/>
    <w:rsid w:val="00034DE8"/>
    <w:rsid w:val="000367A3"/>
    <w:rsid w:val="0003756D"/>
    <w:rsid w:val="000378C5"/>
    <w:rsid w:val="000379AC"/>
    <w:rsid w:val="00037B19"/>
    <w:rsid w:val="00040D09"/>
    <w:rsid w:val="0004192E"/>
    <w:rsid w:val="00041D16"/>
    <w:rsid w:val="00042022"/>
    <w:rsid w:val="000422BF"/>
    <w:rsid w:val="0004281C"/>
    <w:rsid w:val="00042FD9"/>
    <w:rsid w:val="00043EF5"/>
    <w:rsid w:val="000446F7"/>
    <w:rsid w:val="000448CD"/>
    <w:rsid w:val="0004529D"/>
    <w:rsid w:val="000454C0"/>
    <w:rsid w:val="000455CF"/>
    <w:rsid w:val="00045EE1"/>
    <w:rsid w:val="0004685F"/>
    <w:rsid w:val="00046B1D"/>
    <w:rsid w:val="00050775"/>
    <w:rsid w:val="00051D9B"/>
    <w:rsid w:val="0005239B"/>
    <w:rsid w:val="000528F2"/>
    <w:rsid w:val="00052F1B"/>
    <w:rsid w:val="000535D7"/>
    <w:rsid w:val="0005378E"/>
    <w:rsid w:val="00054C3C"/>
    <w:rsid w:val="0005511B"/>
    <w:rsid w:val="0005575C"/>
    <w:rsid w:val="00057322"/>
    <w:rsid w:val="000575E8"/>
    <w:rsid w:val="00062E51"/>
    <w:rsid w:val="00063067"/>
    <w:rsid w:val="0006319A"/>
    <w:rsid w:val="00063B28"/>
    <w:rsid w:val="00063D49"/>
    <w:rsid w:val="00065165"/>
    <w:rsid w:val="000653A8"/>
    <w:rsid w:val="00065FD8"/>
    <w:rsid w:val="00066821"/>
    <w:rsid w:val="00066860"/>
    <w:rsid w:val="0006702E"/>
    <w:rsid w:val="0006714B"/>
    <w:rsid w:val="000672AC"/>
    <w:rsid w:val="00067E8C"/>
    <w:rsid w:val="00070982"/>
    <w:rsid w:val="00070B71"/>
    <w:rsid w:val="00071007"/>
    <w:rsid w:val="00071318"/>
    <w:rsid w:val="0007168E"/>
    <w:rsid w:val="000728A8"/>
    <w:rsid w:val="000730A4"/>
    <w:rsid w:val="00074C10"/>
    <w:rsid w:val="000751B2"/>
    <w:rsid w:val="00075B61"/>
    <w:rsid w:val="00076B10"/>
    <w:rsid w:val="00077175"/>
    <w:rsid w:val="00080A9D"/>
    <w:rsid w:val="00080ABC"/>
    <w:rsid w:val="000822BF"/>
    <w:rsid w:val="000826B8"/>
    <w:rsid w:val="000835D4"/>
    <w:rsid w:val="0008484F"/>
    <w:rsid w:val="0008558E"/>
    <w:rsid w:val="00085833"/>
    <w:rsid w:val="00086937"/>
    <w:rsid w:val="00086A3B"/>
    <w:rsid w:val="00086DFC"/>
    <w:rsid w:val="00087072"/>
    <w:rsid w:val="00087E1B"/>
    <w:rsid w:val="0009202F"/>
    <w:rsid w:val="0009288C"/>
    <w:rsid w:val="000928D1"/>
    <w:rsid w:val="00094397"/>
    <w:rsid w:val="00095646"/>
    <w:rsid w:val="00095E53"/>
    <w:rsid w:val="000968BC"/>
    <w:rsid w:val="000A06CE"/>
    <w:rsid w:val="000A0D50"/>
    <w:rsid w:val="000A0EAB"/>
    <w:rsid w:val="000A124D"/>
    <w:rsid w:val="000A12CE"/>
    <w:rsid w:val="000A1461"/>
    <w:rsid w:val="000A1E84"/>
    <w:rsid w:val="000A3DFE"/>
    <w:rsid w:val="000A563C"/>
    <w:rsid w:val="000A7629"/>
    <w:rsid w:val="000A76DE"/>
    <w:rsid w:val="000A78ED"/>
    <w:rsid w:val="000B18EF"/>
    <w:rsid w:val="000B26F6"/>
    <w:rsid w:val="000B2783"/>
    <w:rsid w:val="000B34AE"/>
    <w:rsid w:val="000B3A3A"/>
    <w:rsid w:val="000B446F"/>
    <w:rsid w:val="000B44B8"/>
    <w:rsid w:val="000B5472"/>
    <w:rsid w:val="000B65D4"/>
    <w:rsid w:val="000B72C1"/>
    <w:rsid w:val="000B7448"/>
    <w:rsid w:val="000B7BA8"/>
    <w:rsid w:val="000C0EDC"/>
    <w:rsid w:val="000C16EA"/>
    <w:rsid w:val="000C17B5"/>
    <w:rsid w:val="000C2D68"/>
    <w:rsid w:val="000C3805"/>
    <w:rsid w:val="000C3A17"/>
    <w:rsid w:val="000C4574"/>
    <w:rsid w:val="000C548A"/>
    <w:rsid w:val="000C54F8"/>
    <w:rsid w:val="000C5DB5"/>
    <w:rsid w:val="000C647E"/>
    <w:rsid w:val="000D0A7A"/>
    <w:rsid w:val="000D0DCF"/>
    <w:rsid w:val="000D13A4"/>
    <w:rsid w:val="000D1F08"/>
    <w:rsid w:val="000D1F23"/>
    <w:rsid w:val="000D26D4"/>
    <w:rsid w:val="000D2911"/>
    <w:rsid w:val="000D2C68"/>
    <w:rsid w:val="000D4016"/>
    <w:rsid w:val="000D40CA"/>
    <w:rsid w:val="000D4253"/>
    <w:rsid w:val="000D4C3A"/>
    <w:rsid w:val="000D5065"/>
    <w:rsid w:val="000D5F15"/>
    <w:rsid w:val="000D6A91"/>
    <w:rsid w:val="000D6B0C"/>
    <w:rsid w:val="000D6E2A"/>
    <w:rsid w:val="000D6F43"/>
    <w:rsid w:val="000E0B20"/>
    <w:rsid w:val="000E0C60"/>
    <w:rsid w:val="000E1319"/>
    <w:rsid w:val="000E1CC6"/>
    <w:rsid w:val="000E5545"/>
    <w:rsid w:val="000E6288"/>
    <w:rsid w:val="000E6483"/>
    <w:rsid w:val="000F021E"/>
    <w:rsid w:val="000F026D"/>
    <w:rsid w:val="000F123C"/>
    <w:rsid w:val="000F1CA2"/>
    <w:rsid w:val="000F2A44"/>
    <w:rsid w:val="000F4D6A"/>
    <w:rsid w:val="000F7712"/>
    <w:rsid w:val="000F7A47"/>
    <w:rsid w:val="001009E3"/>
    <w:rsid w:val="00102DBD"/>
    <w:rsid w:val="001044F3"/>
    <w:rsid w:val="0010503C"/>
    <w:rsid w:val="00105C2B"/>
    <w:rsid w:val="001063A6"/>
    <w:rsid w:val="00107281"/>
    <w:rsid w:val="00107CB4"/>
    <w:rsid w:val="00107DBE"/>
    <w:rsid w:val="00107DC8"/>
    <w:rsid w:val="00107E74"/>
    <w:rsid w:val="0011033F"/>
    <w:rsid w:val="00110965"/>
    <w:rsid w:val="00112F08"/>
    <w:rsid w:val="0011372F"/>
    <w:rsid w:val="00114E16"/>
    <w:rsid w:val="00115AFC"/>
    <w:rsid w:val="00115DA4"/>
    <w:rsid w:val="00116438"/>
    <w:rsid w:val="00116466"/>
    <w:rsid w:val="00117410"/>
    <w:rsid w:val="00117C93"/>
    <w:rsid w:val="00117FD1"/>
    <w:rsid w:val="00121E26"/>
    <w:rsid w:val="00122AF5"/>
    <w:rsid w:val="00123FAE"/>
    <w:rsid w:val="00127986"/>
    <w:rsid w:val="00127A4C"/>
    <w:rsid w:val="00127A81"/>
    <w:rsid w:val="00127AC3"/>
    <w:rsid w:val="00127BBE"/>
    <w:rsid w:val="00127D05"/>
    <w:rsid w:val="001305F4"/>
    <w:rsid w:val="00130640"/>
    <w:rsid w:val="0013259B"/>
    <w:rsid w:val="00132E42"/>
    <w:rsid w:val="00132E91"/>
    <w:rsid w:val="0013375D"/>
    <w:rsid w:val="001338A3"/>
    <w:rsid w:val="001404A1"/>
    <w:rsid w:val="001404A9"/>
    <w:rsid w:val="00140CE0"/>
    <w:rsid w:val="00140EE7"/>
    <w:rsid w:val="001417FC"/>
    <w:rsid w:val="00141A43"/>
    <w:rsid w:val="00141FF4"/>
    <w:rsid w:val="001420DC"/>
    <w:rsid w:val="00144107"/>
    <w:rsid w:val="00144308"/>
    <w:rsid w:val="001447E2"/>
    <w:rsid w:val="00144C52"/>
    <w:rsid w:val="001457FA"/>
    <w:rsid w:val="001479F5"/>
    <w:rsid w:val="00150819"/>
    <w:rsid w:val="00150D4B"/>
    <w:rsid w:val="00151917"/>
    <w:rsid w:val="001519F9"/>
    <w:rsid w:val="00152350"/>
    <w:rsid w:val="001553A0"/>
    <w:rsid w:val="0015555B"/>
    <w:rsid w:val="00155A82"/>
    <w:rsid w:val="00156DD2"/>
    <w:rsid w:val="001571F3"/>
    <w:rsid w:val="00157E3B"/>
    <w:rsid w:val="00162C9C"/>
    <w:rsid w:val="00163C04"/>
    <w:rsid w:val="001650A5"/>
    <w:rsid w:val="001655AB"/>
    <w:rsid w:val="00165769"/>
    <w:rsid w:val="001712AF"/>
    <w:rsid w:val="00172A27"/>
    <w:rsid w:val="00172A7A"/>
    <w:rsid w:val="001730C0"/>
    <w:rsid w:val="00175751"/>
    <w:rsid w:val="00175826"/>
    <w:rsid w:val="001762FF"/>
    <w:rsid w:val="00176FA3"/>
    <w:rsid w:val="0017778E"/>
    <w:rsid w:val="00180895"/>
    <w:rsid w:val="00182D48"/>
    <w:rsid w:val="0018344B"/>
    <w:rsid w:val="001835F6"/>
    <w:rsid w:val="001850C4"/>
    <w:rsid w:val="001858C2"/>
    <w:rsid w:val="00185A5D"/>
    <w:rsid w:val="001909B5"/>
    <w:rsid w:val="00191610"/>
    <w:rsid w:val="00196485"/>
    <w:rsid w:val="00196A28"/>
    <w:rsid w:val="00196C36"/>
    <w:rsid w:val="001A0630"/>
    <w:rsid w:val="001A1BC9"/>
    <w:rsid w:val="001A42E4"/>
    <w:rsid w:val="001A456E"/>
    <w:rsid w:val="001A461C"/>
    <w:rsid w:val="001A50ED"/>
    <w:rsid w:val="001A768C"/>
    <w:rsid w:val="001A7B91"/>
    <w:rsid w:val="001B14E9"/>
    <w:rsid w:val="001B15D7"/>
    <w:rsid w:val="001B2580"/>
    <w:rsid w:val="001B2A61"/>
    <w:rsid w:val="001B3D80"/>
    <w:rsid w:val="001B4CF4"/>
    <w:rsid w:val="001B4E50"/>
    <w:rsid w:val="001B55B3"/>
    <w:rsid w:val="001B77A9"/>
    <w:rsid w:val="001C293E"/>
    <w:rsid w:val="001C2E31"/>
    <w:rsid w:val="001C30BA"/>
    <w:rsid w:val="001C322A"/>
    <w:rsid w:val="001C3A5C"/>
    <w:rsid w:val="001C3BF9"/>
    <w:rsid w:val="001C51B4"/>
    <w:rsid w:val="001C5FF6"/>
    <w:rsid w:val="001C6356"/>
    <w:rsid w:val="001D0015"/>
    <w:rsid w:val="001D09C2"/>
    <w:rsid w:val="001D1F31"/>
    <w:rsid w:val="001D2C4B"/>
    <w:rsid w:val="001D2E43"/>
    <w:rsid w:val="001D3F52"/>
    <w:rsid w:val="001D45D9"/>
    <w:rsid w:val="001D5F6E"/>
    <w:rsid w:val="001D6318"/>
    <w:rsid w:val="001D724F"/>
    <w:rsid w:val="001D7393"/>
    <w:rsid w:val="001D7EDF"/>
    <w:rsid w:val="001E0118"/>
    <w:rsid w:val="001E0904"/>
    <w:rsid w:val="001E09EB"/>
    <w:rsid w:val="001E1B6D"/>
    <w:rsid w:val="001E2405"/>
    <w:rsid w:val="001E2C78"/>
    <w:rsid w:val="001E2F92"/>
    <w:rsid w:val="001E6FAB"/>
    <w:rsid w:val="001E7CC1"/>
    <w:rsid w:val="001F0DA4"/>
    <w:rsid w:val="001F2668"/>
    <w:rsid w:val="001F2832"/>
    <w:rsid w:val="001F4E11"/>
    <w:rsid w:val="001F4E5A"/>
    <w:rsid w:val="001F5C08"/>
    <w:rsid w:val="001F6003"/>
    <w:rsid w:val="001F6CDF"/>
    <w:rsid w:val="001F710A"/>
    <w:rsid w:val="001F7B9E"/>
    <w:rsid w:val="001F7D02"/>
    <w:rsid w:val="00200DA4"/>
    <w:rsid w:val="002019C7"/>
    <w:rsid w:val="00201ADA"/>
    <w:rsid w:val="002021EC"/>
    <w:rsid w:val="00203238"/>
    <w:rsid w:val="00204403"/>
    <w:rsid w:val="00205ACE"/>
    <w:rsid w:val="00206C99"/>
    <w:rsid w:val="0020745E"/>
    <w:rsid w:val="002077EC"/>
    <w:rsid w:val="00207DF6"/>
    <w:rsid w:val="002105CE"/>
    <w:rsid w:val="00210B15"/>
    <w:rsid w:val="00211FB8"/>
    <w:rsid w:val="002127CE"/>
    <w:rsid w:val="00212C85"/>
    <w:rsid w:val="002134EE"/>
    <w:rsid w:val="002141AB"/>
    <w:rsid w:val="002156BD"/>
    <w:rsid w:val="00215C33"/>
    <w:rsid w:val="0021636E"/>
    <w:rsid w:val="002167C1"/>
    <w:rsid w:val="00216CCF"/>
    <w:rsid w:val="00216D92"/>
    <w:rsid w:val="00217053"/>
    <w:rsid w:val="00217E54"/>
    <w:rsid w:val="002208ED"/>
    <w:rsid w:val="00220CE7"/>
    <w:rsid w:val="00220FEC"/>
    <w:rsid w:val="00222618"/>
    <w:rsid w:val="002241B4"/>
    <w:rsid w:val="002245D0"/>
    <w:rsid w:val="00224621"/>
    <w:rsid w:val="00224835"/>
    <w:rsid w:val="00224E89"/>
    <w:rsid w:val="0022513E"/>
    <w:rsid w:val="00225674"/>
    <w:rsid w:val="00226514"/>
    <w:rsid w:val="00226703"/>
    <w:rsid w:val="00226813"/>
    <w:rsid w:val="0022756D"/>
    <w:rsid w:val="00227ED3"/>
    <w:rsid w:val="0023217A"/>
    <w:rsid w:val="002326AC"/>
    <w:rsid w:val="002328BA"/>
    <w:rsid w:val="00232BB2"/>
    <w:rsid w:val="00232CC0"/>
    <w:rsid w:val="00233456"/>
    <w:rsid w:val="002337C3"/>
    <w:rsid w:val="00233E1D"/>
    <w:rsid w:val="002348AB"/>
    <w:rsid w:val="00234C74"/>
    <w:rsid w:val="002350DE"/>
    <w:rsid w:val="0023705B"/>
    <w:rsid w:val="00241839"/>
    <w:rsid w:val="00241B23"/>
    <w:rsid w:val="0024214A"/>
    <w:rsid w:val="00243FB0"/>
    <w:rsid w:val="002448BA"/>
    <w:rsid w:val="00244A0F"/>
    <w:rsid w:val="00246392"/>
    <w:rsid w:val="002475F2"/>
    <w:rsid w:val="00250468"/>
    <w:rsid w:val="0025078A"/>
    <w:rsid w:val="00250A4B"/>
    <w:rsid w:val="00250AC0"/>
    <w:rsid w:val="002519E2"/>
    <w:rsid w:val="002529D3"/>
    <w:rsid w:val="002533C0"/>
    <w:rsid w:val="0025384F"/>
    <w:rsid w:val="002540FB"/>
    <w:rsid w:val="0025496A"/>
    <w:rsid w:val="00256C8C"/>
    <w:rsid w:val="0026020C"/>
    <w:rsid w:val="002621C8"/>
    <w:rsid w:val="0026256E"/>
    <w:rsid w:val="00262641"/>
    <w:rsid w:val="002632AD"/>
    <w:rsid w:val="0026330B"/>
    <w:rsid w:val="00263CE2"/>
    <w:rsid w:val="002645D9"/>
    <w:rsid w:val="00265F51"/>
    <w:rsid w:val="00267BB9"/>
    <w:rsid w:val="00270C1D"/>
    <w:rsid w:val="00273354"/>
    <w:rsid w:val="00274C65"/>
    <w:rsid w:val="00274D41"/>
    <w:rsid w:val="00276626"/>
    <w:rsid w:val="002771B6"/>
    <w:rsid w:val="0027724E"/>
    <w:rsid w:val="00280B23"/>
    <w:rsid w:val="00280CAD"/>
    <w:rsid w:val="002812C3"/>
    <w:rsid w:val="002814C0"/>
    <w:rsid w:val="0028156F"/>
    <w:rsid w:val="00281C5E"/>
    <w:rsid w:val="00282850"/>
    <w:rsid w:val="00282F80"/>
    <w:rsid w:val="002854D2"/>
    <w:rsid w:val="0028610B"/>
    <w:rsid w:val="00286146"/>
    <w:rsid w:val="002861A2"/>
    <w:rsid w:val="00286C08"/>
    <w:rsid w:val="0028709A"/>
    <w:rsid w:val="00290313"/>
    <w:rsid w:val="0029082A"/>
    <w:rsid w:val="00290999"/>
    <w:rsid w:val="00291BB8"/>
    <w:rsid w:val="00293093"/>
    <w:rsid w:val="00293322"/>
    <w:rsid w:val="00293704"/>
    <w:rsid w:val="00293B13"/>
    <w:rsid w:val="002941D5"/>
    <w:rsid w:val="00295AA8"/>
    <w:rsid w:val="00295C12"/>
    <w:rsid w:val="00295E45"/>
    <w:rsid w:val="00296FAA"/>
    <w:rsid w:val="0029736A"/>
    <w:rsid w:val="002976E2"/>
    <w:rsid w:val="00297F83"/>
    <w:rsid w:val="002A0175"/>
    <w:rsid w:val="002A223F"/>
    <w:rsid w:val="002A2B9E"/>
    <w:rsid w:val="002A2FF9"/>
    <w:rsid w:val="002A31A3"/>
    <w:rsid w:val="002A3A73"/>
    <w:rsid w:val="002A4DAB"/>
    <w:rsid w:val="002A5447"/>
    <w:rsid w:val="002A7933"/>
    <w:rsid w:val="002A7FA5"/>
    <w:rsid w:val="002B029F"/>
    <w:rsid w:val="002B02A0"/>
    <w:rsid w:val="002B1465"/>
    <w:rsid w:val="002B1787"/>
    <w:rsid w:val="002B1C25"/>
    <w:rsid w:val="002B2089"/>
    <w:rsid w:val="002B2689"/>
    <w:rsid w:val="002B2C27"/>
    <w:rsid w:val="002B3103"/>
    <w:rsid w:val="002B3352"/>
    <w:rsid w:val="002B458D"/>
    <w:rsid w:val="002B4783"/>
    <w:rsid w:val="002B4B47"/>
    <w:rsid w:val="002B570D"/>
    <w:rsid w:val="002B5713"/>
    <w:rsid w:val="002B5B83"/>
    <w:rsid w:val="002B6800"/>
    <w:rsid w:val="002B6EA3"/>
    <w:rsid w:val="002C07D4"/>
    <w:rsid w:val="002C0FEF"/>
    <w:rsid w:val="002C288F"/>
    <w:rsid w:val="002C375D"/>
    <w:rsid w:val="002C4800"/>
    <w:rsid w:val="002C4AA3"/>
    <w:rsid w:val="002C667A"/>
    <w:rsid w:val="002C7114"/>
    <w:rsid w:val="002D0139"/>
    <w:rsid w:val="002D075F"/>
    <w:rsid w:val="002D2BEC"/>
    <w:rsid w:val="002D2E68"/>
    <w:rsid w:val="002D3857"/>
    <w:rsid w:val="002D3DDE"/>
    <w:rsid w:val="002D4850"/>
    <w:rsid w:val="002D4B79"/>
    <w:rsid w:val="002D4C2E"/>
    <w:rsid w:val="002D4D19"/>
    <w:rsid w:val="002D5EE6"/>
    <w:rsid w:val="002D5F58"/>
    <w:rsid w:val="002D5FB6"/>
    <w:rsid w:val="002D7109"/>
    <w:rsid w:val="002D718E"/>
    <w:rsid w:val="002E0288"/>
    <w:rsid w:val="002E0587"/>
    <w:rsid w:val="002E0DDB"/>
    <w:rsid w:val="002E18B8"/>
    <w:rsid w:val="002E37EC"/>
    <w:rsid w:val="002E3A91"/>
    <w:rsid w:val="002E3BA2"/>
    <w:rsid w:val="002E6286"/>
    <w:rsid w:val="002E639B"/>
    <w:rsid w:val="002E67FF"/>
    <w:rsid w:val="002E6E90"/>
    <w:rsid w:val="002E74A0"/>
    <w:rsid w:val="002F1837"/>
    <w:rsid w:val="002F2ECE"/>
    <w:rsid w:val="002F2FB6"/>
    <w:rsid w:val="002F39E5"/>
    <w:rsid w:val="002F4459"/>
    <w:rsid w:val="002F4B93"/>
    <w:rsid w:val="002F5E70"/>
    <w:rsid w:val="002F6864"/>
    <w:rsid w:val="002F7841"/>
    <w:rsid w:val="00301944"/>
    <w:rsid w:val="00301C39"/>
    <w:rsid w:val="00301D8E"/>
    <w:rsid w:val="00303313"/>
    <w:rsid w:val="00303898"/>
    <w:rsid w:val="00305482"/>
    <w:rsid w:val="00306649"/>
    <w:rsid w:val="003078A6"/>
    <w:rsid w:val="00307AB2"/>
    <w:rsid w:val="003109D4"/>
    <w:rsid w:val="00311328"/>
    <w:rsid w:val="00311DB4"/>
    <w:rsid w:val="0031250A"/>
    <w:rsid w:val="003128F4"/>
    <w:rsid w:val="0031415A"/>
    <w:rsid w:val="003144BC"/>
    <w:rsid w:val="00314AC3"/>
    <w:rsid w:val="00314BC5"/>
    <w:rsid w:val="00315E45"/>
    <w:rsid w:val="00316886"/>
    <w:rsid w:val="00317172"/>
    <w:rsid w:val="0032337F"/>
    <w:rsid w:val="00323AEF"/>
    <w:rsid w:val="00324652"/>
    <w:rsid w:val="00324A8B"/>
    <w:rsid w:val="00324EEC"/>
    <w:rsid w:val="0032532C"/>
    <w:rsid w:val="00325C7B"/>
    <w:rsid w:val="003271CE"/>
    <w:rsid w:val="0033110E"/>
    <w:rsid w:val="003315DD"/>
    <w:rsid w:val="00331A68"/>
    <w:rsid w:val="00333401"/>
    <w:rsid w:val="00334410"/>
    <w:rsid w:val="003371E1"/>
    <w:rsid w:val="0034036C"/>
    <w:rsid w:val="00340EF8"/>
    <w:rsid w:val="00343873"/>
    <w:rsid w:val="00343A34"/>
    <w:rsid w:val="00343ED8"/>
    <w:rsid w:val="003444E1"/>
    <w:rsid w:val="00345229"/>
    <w:rsid w:val="00345585"/>
    <w:rsid w:val="0034673C"/>
    <w:rsid w:val="0034754D"/>
    <w:rsid w:val="00347AA3"/>
    <w:rsid w:val="003501D9"/>
    <w:rsid w:val="00350420"/>
    <w:rsid w:val="003513A6"/>
    <w:rsid w:val="0035200C"/>
    <w:rsid w:val="0035238A"/>
    <w:rsid w:val="003534A5"/>
    <w:rsid w:val="00353F0D"/>
    <w:rsid w:val="00355BE4"/>
    <w:rsid w:val="00356129"/>
    <w:rsid w:val="00356165"/>
    <w:rsid w:val="00356E19"/>
    <w:rsid w:val="00357410"/>
    <w:rsid w:val="003601C9"/>
    <w:rsid w:val="00361552"/>
    <w:rsid w:val="00361849"/>
    <w:rsid w:val="0036193F"/>
    <w:rsid w:val="00361DC5"/>
    <w:rsid w:val="003620A9"/>
    <w:rsid w:val="003629C5"/>
    <w:rsid w:val="00363190"/>
    <w:rsid w:val="003642A6"/>
    <w:rsid w:val="003643D2"/>
    <w:rsid w:val="00367CE2"/>
    <w:rsid w:val="0037009D"/>
    <w:rsid w:val="003705B5"/>
    <w:rsid w:val="00370BC4"/>
    <w:rsid w:val="00371612"/>
    <w:rsid w:val="00371790"/>
    <w:rsid w:val="003717B0"/>
    <w:rsid w:val="0037294C"/>
    <w:rsid w:val="003729B4"/>
    <w:rsid w:val="0037306D"/>
    <w:rsid w:val="00373AAD"/>
    <w:rsid w:val="00374AEC"/>
    <w:rsid w:val="00376B16"/>
    <w:rsid w:val="003770B9"/>
    <w:rsid w:val="003774B5"/>
    <w:rsid w:val="003774F1"/>
    <w:rsid w:val="003779AD"/>
    <w:rsid w:val="00377A14"/>
    <w:rsid w:val="003819D8"/>
    <w:rsid w:val="00382421"/>
    <w:rsid w:val="003830F3"/>
    <w:rsid w:val="003838A4"/>
    <w:rsid w:val="00384CF8"/>
    <w:rsid w:val="003874A1"/>
    <w:rsid w:val="00391659"/>
    <w:rsid w:val="0039178F"/>
    <w:rsid w:val="00391E97"/>
    <w:rsid w:val="003923F8"/>
    <w:rsid w:val="00392F1E"/>
    <w:rsid w:val="003938A8"/>
    <w:rsid w:val="00393C09"/>
    <w:rsid w:val="00393F7F"/>
    <w:rsid w:val="0039485D"/>
    <w:rsid w:val="00394F78"/>
    <w:rsid w:val="00396BC5"/>
    <w:rsid w:val="003974C4"/>
    <w:rsid w:val="00397505"/>
    <w:rsid w:val="0039769C"/>
    <w:rsid w:val="003A1D01"/>
    <w:rsid w:val="003A1D41"/>
    <w:rsid w:val="003A266E"/>
    <w:rsid w:val="003A3D05"/>
    <w:rsid w:val="003A642D"/>
    <w:rsid w:val="003A6FA6"/>
    <w:rsid w:val="003A79EC"/>
    <w:rsid w:val="003A7CBF"/>
    <w:rsid w:val="003B015C"/>
    <w:rsid w:val="003B09C2"/>
    <w:rsid w:val="003B1360"/>
    <w:rsid w:val="003B14BD"/>
    <w:rsid w:val="003B2EC3"/>
    <w:rsid w:val="003B48F3"/>
    <w:rsid w:val="003B613D"/>
    <w:rsid w:val="003B792E"/>
    <w:rsid w:val="003B7951"/>
    <w:rsid w:val="003B7EAA"/>
    <w:rsid w:val="003C1773"/>
    <w:rsid w:val="003C1E47"/>
    <w:rsid w:val="003C394C"/>
    <w:rsid w:val="003C3DF1"/>
    <w:rsid w:val="003C403E"/>
    <w:rsid w:val="003C512E"/>
    <w:rsid w:val="003C5896"/>
    <w:rsid w:val="003C63E6"/>
    <w:rsid w:val="003C7250"/>
    <w:rsid w:val="003C7C91"/>
    <w:rsid w:val="003D04D6"/>
    <w:rsid w:val="003D1CD9"/>
    <w:rsid w:val="003D47E5"/>
    <w:rsid w:val="003D56E0"/>
    <w:rsid w:val="003E0281"/>
    <w:rsid w:val="003E1A49"/>
    <w:rsid w:val="003E1FE8"/>
    <w:rsid w:val="003E2556"/>
    <w:rsid w:val="003E3718"/>
    <w:rsid w:val="003E3E75"/>
    <w:rsid w:val="003E4307"/>
    <w:rsid w:val="003E43B3"/>
    <w:rsid w:val="003E448A"/>
    <w:rsid w:val="003E4CD9"/>
    <w:rsid w:val="003E53EF"/>
    <w:rsid w:val="003E611B"/>
    <w:rsid w:val="003E61BD"/>
    <w:rsid w:val="003F081F"/>
    <w:rsid w:val="003F111A"/>
    <w:rsid w:val="003F13FF"/>
    <w:rsid w:val="003F27E8"/>
    <w:rsid w:val="003F2B22"/>
    <w:rsid w:val="003F3851"/>
    <w:rsid w:val="003F6AA4"/>
    <w:rsid w:val="003F6AC6"/>
    <w:rsid w:val="003F6C3C"/>
    <w:rsid w:val="003F7169"/>
    <w:rsid w:val="003F7284"/>
    <w:rsid w:val="00400679"/>
    <w:rsid w:val="004012DE"/>
    <w:rsid w:val="00401A53"/>
    <w:rsid w:val="00401D32"/>
    <w:rsid w:val="00402053"/>
    <w:rsid w:val="004027AE"/>
    <w:rsid w:val="00403E54"/>
    <w:rsid w:val="00403FDB"/>
    <w:rsid w:val="004044AE"/>
    <w:rsid w:val="00404750"/>
    <w:rsid w:val="00404F2A"/>
    <w:rsid w:val="00406015"/>
    <w:rsid w:val="00406795"/>
    <w:rsid w:val="00406B66"/>
    <w:rsid w:val="00406C81"/>
    <w:rsid w:val="004108A7"/>
    <w:rsid w:val="00410DB1"/>
    <w:rsid w:val="0041123B"/>
    <w:rsid w:val="004117C4"/>
    <w:rsid w:val="00412387"/>
    <w:rsid w:val="00412609"/>
    <w:rsid w:val="00412A2B"/>
    <w:rsid w:val="00412F92"/>
    <w:rsid w:val="00414A4B"/>
    <w:rsid w:val="00415470"/>
    <w:rsid w:val="00415E5C"/>
    <w:rsid w:val="004163FD"/>
    <w:rsid w:val="00420282"/>
    <w:rsid w:val="004202CF"/>
    <w:rsid w:val="0042095B"/>
    <w:rsid w:val="0042096B"/>
    <w:rsid w:val="0042125F"/>
    <w:rsid w:val="00421807"/>
    <w:rsid w:val="00421BE3"/>
    <w:rsid w:val="00422D62"/>
    <w:rsid w:val="0042375E"/>
    <w:rsid w:val="004240DD"/>
    <w:rsid w:val="00424831"/>
    <w:rsid w:val="00425BA4"/>
    <w:rsid w:val="00425F93"/>
    <w:rsid w:val="004268F1"/>
    <w:rsid w:val="0043056A"/>
    <w:rsid w:val="00430CC9"/>
    <w:rsid w:val="004346B4"/>
    <w:rsid w:val="00434D2F"/>
    <w:rsid w:val="004356C6"/>
    <w:rsid w:val="00435DB4"/>
    <w:rsid w:val="00436826"/>
    <w:rsid w:val="0044000F"/>
    <w:rsid w:val="00440887"/>
    <w:rsid w:val="00440B50"/>
    <w:rsid w:val="00441006"/>
    <w:rsid w:val="0044199C"/>
    <w:rsid w:val="0044268F"/>
    <w:rsid w:val="00442CC6"/>
    <w:rsid w:val="00442DC5"/>
    <w:rsid w:val="00442E3C"/>
    <w:rsid w:val="00443C0F"/>
    <w:rsid w:val="00444074"/>
    <w:rsid w:val="00450CDC"/>
    <w:rsid w:val="0045246E"/>
    <w:rsid w:val="00452783"/>
    <w:rsid w:val="00453221"/>
    <w:rsid w:val="004532CB"/>
    <w:rsid w:val="0045372C"/>
    <w:rsid w:val="00453C76"/>
    <w:rsid w:val="00453D3C"/>
    <w:rsid w:val="004543F1"/>
    <w:rsid w:val="00456660"/>
    <w:rsid w:val="00456B56"/>
    <w:rsid w:val="004602CD"/>
    <w:rsid w:val="00461088"/>
    <w:rsid w:val="004615C2"/>
    <w:rsid w:val="0046184D"/>
    <w:rsid w:val="00461DD7"/>
    <w:rsid w:val="004623EA"/>
    <w:rsid w:val="00462446"/>
    <w:rsid w:val="004636E5"/>
    <w:rsid w:val="00463850"/>
    <w:rsid w:val="00463FC7"/>
    <w:rsid w:val="004652F4"/>
    <w:rsid w:val="00465A6B"/>
    <w:rsid w:val="0046659A"/>
    <w:rsid w:val="00466C5F"/>
    <w:rsid w:val="00467148"/>
    <w:rsid w:val="00467533"/>
    <w:rsid w:val="0047118D"/>
    <w:rsid w:val="00471C80"/>
    <w:rsid w:val="00472001"/>
    <w:rsid w:val="0047277C"/>
    <w:rsid w:val="00473F56"/>
    <w:rsid w:val="00476586"/>
    <w:rsid w:val="00476A03"/>
    <w:rsid w:val="00476A36"/>
    <w:rsid w:val="00476F44"/>
    <w:rsid w:val="00477194"/>
    <w:rsid w:val="00480112"/>
    <w:rsid w:val="00480199"/>
    <w:rsid w:val="00480BDA"/>
    <w:rsid w:val="00481C67"/>
    <w:rsid w:val="004821F7"/>
    <w:rsid w:val="00483D88"/>
    <w:rsid w:val="00486418"/>
    <w:rsid w:val="004865EF"/>
    <w:rsid w:val="004878A7"/>
    <w:rsid w:val="00487B1C"/>
    <w:rsid w:val="004919C0"/>
    <w:rsid w:val="00491C3C"/>
    <w:rsid w:val="00493597"/>
    <w:rsid w:val="0049392A"/>
    <w:rsid w:val="004942BB"/>
    <w:rsid w:val="00494C55"/>
    <w:rsid w:val="0049526A"/>
    <w:rsid w:val="004974E9"/>
    <w:rsid w:val="004A0A92"/>
    <w:rsid w:val="004A19EC"/>
    <w:rsid w:val="004A3915"/>
    <w:rsid w:val="004A548E"/>
    <w:rsid w:val="004A5911"/>
    <w:rsid w:val="004B0930"/>
    <w:rsid w:val="004B0B3C"/>
    <w:rsid w:val="004B1B05"/>
    <w:rsid w:val="004B1EC0"/>
    <w:rsid w:val="004B25E5"/>
    <w:rsid w:val="004B2716"/>
    <w:rsid w:val="004B32B1"/>
    <w:rsid w:val="004B412F"/>
    <w:rsid w:val="004B6648"/>
    <w:rsid w:val="004B6BE6"/>
    <w:rsid w:val="004B6F03"/>
    <w:rsid w:val="004B713E"/>
    <w:rsid w:val="004B7FC4"/>
    <w:rsid w:val="004C0655"/>
    <w:rsid w:val="004C09D6"/>
    <w:rsid w:val="004C0F6F"/>
    <w:rsid w:val="004C1344"/>
    <w:rsid w:val="004C13BF"/>
    <w:rsid w:val="004C3807"/>
    <w:rsid w:val="004C43A0"/>
    <w:rsid w:val="004C54EF"/>
    <w:rsid w:val="004C618F"/>
    <w:rsid w:val="004C651D"/>
    <w:rsid w:val="004C73A1"/>
    <w:rsid w:val="004C7858"/>
    <w:rsid w:val="004D0550"/>
    <w:rsid w:val="004D138F"/>
    <w:rsid w:val="004D152C"/>
    <w:rsid w:val="004D25EB"/>
    <w:rsid w:val="004D31F5"/>
    <w:rsid w:val="004D336E"/>
    <w:rsid w:val="004D3CDD"/>
    <w:rsid w:val="004D3EF0"/>
    <w:rsid w:val="004D44C1"/>
    <w:rsid w:val="004D4B44"/>
    <w:rsid w:val="004D57E2"/>
    <w:rsid w:val="004D5DA5"/>
    <w:rsid w:val="004E0CF7"/>
    <w:rsid w:val="004E14EE"/>
    <w:rsid w:val="004E4123"/>
    <w:rsid w:val="004E442D"/>
    <w:rsid w:val="004E4616"/>
    <w:rsid w:val="004E588E"/>
    <w:rsid w:val="004F00A2"/>
    <w:rsid w:val="004F2817"/>
    <w:rsid w:val="004F31A2"/>
    <w:rsid w:val="004F4418"/>
    <w:rsid w:val="004F4922"/>
    <w:rsid w:val="004F5458"/>
    <w:rsid w:val="004F5723"/>
    <w:rsid w:val="004F58AE"/>
    <w:rsid w:val="004F625D"/>
    <w:rsid w:val="004F76F1"/>
    <w:rsid w:val="005005EB"/>
    <w:rsid w:val="005005F7"/>
    <w:rsid w:val="00500806"/>
    <w:rsid w:val="00501305"/>
    <w:rsid w:val="00504270"/>
    <w:rsid w:val="00505104"/>
    <w:rsid w:val="00506F17"/>
    <w:rsid w:val="00511212"/>
    <w:rsid w:val="0051199F"/>
    <w:rsid w:val="00511B46"/>
    <w:rsid w:val="00513452"/>
    <w:rsid w:val="00515759"/>
    <w:rsid w:val="00515C10"/>
    <w:rsid w:val="00515E88"/>
    <w:rsid w:val="0051612A"/>
    <w:rsid w:val="00516893"/>
    <w:rsid w:val="005170C7"/>
    <w:rsid w:val="0052147F"/>
    <w:rsid w:val="005215D6"/>
    <w:rsid w:val="00522063"/>
    <w:rsid w:val="005237BB"/>
    <w:rsid w:val="00524F29"/>
    <w:rsid w:val="00525221"/>
    <w:rsid w:val="00525760"/>
    <w:rsid w:val="00525A47"/>
    <w:rsid w:val="005261D7"/>
    <w:rsid w:val="00526DD1"/>
    <w:rsid w:val="005273AF"/>
    <w:rsid w:val="005279DC"/>
    <w:rsid w:val="005315A6"/>
    <w:rsid w:val="00531935"/>
    <w:rsid w:val="0053348A"/>
    <w:rsid w:val="0053375D"/>
    <w:rsid w:val="00533C39"/>
    <w:rsid w:val="00533DA1"/>
    <w:rsid w:val="0053404A"/>
    <w:rsid w:val="0053404F"/>
    <w:rsid w:val="00535430"/>
    <w:rsid w:val="005376BA"/>
    <w:rsid w:val="005377EB"/>
    <w:rsid w:val="00537A43"/>
    <w:rsid w:val="00540A85"/>
    <w:rsid w:val="00540B2A"/>
    <w:rsid w:val="005420D8"/>
    <w:rsid w:val="00542ADD"/>
    <w:rsid w:val="00542D40"/>
    <w:rsid w:val="0054343B"/>
    <w:rsid w:val="005443CF"/>
    <w:rsid w:val="00544B97"/>
    <w:rsid w:val="00544C87"/>
    <w:rsid w:val="00546555"/>
    <w:rsid w:val="00546F1B"/>
    <w:rsid w:val="00547FEC"/>
    <w:rsid w:val="005507F4"/>
    <w:rsid w:val="005518AC"/>
    <w:rsid w:val="00551CDA"/>
    <w:rsid w:val="00551ED4"/>
    <w:rsid w:val="005524D1"/>
    <w:rsid w:val="005527DE"/>
    <w:rsid w:val="0055322E"/>
    <w:rsid w:val="00560DCC"/>
    <w:rsid w:val="00560E2A"/>
    <w:rsid w:val="00561782"/>
    <w:rsid w:val="00562903"/>
    <w:rsid w:val="00562EE0"/>
    <w:rsid w:val="005634C6"/>
    <w:rsid w:val="00563D31"/>
    <w:rsid w:val="00564095"/>
    <w:rsid w:val="00564F5C"/>
    <w:rsid w:val="005653DE"/>
    <w:rsid w:val="00565496"/>
    <w:rsid w:val="00566BCB"/>
    <w:rsid w:val="00572272"/>
    <w:rsid w:val="00572D22"/>
    <w:rsid w:val="00573520"/>
    <w:rsid w:val="005740EC"/>
    <w:rsid w:val="00574DA7"/>
    <w:rsid w:val="005758BF"/>
    <w:rsid w:val="00577456"/>
    <w:rsid w:val="005779BC"/>
    <w:rsid w:val="00577A4A"/>
    <w:rsid w:val="00577D5E"/>
    <w:rsid w:val="00581259"/>
    <w:rsid w:val="005816AB"/>
    <w:rsid w:val="00583B94"/>
    <w:rsid w:val="00585402"/>
    <w:rsid w:val="00585A91"/>
    <w:rsid w:val="005862A9"/>
    <w:rsid w:val="00590066"/>
    <w:rsid w:val="00591765"/>
    <w:rsid w:val="00591E41"/>
    <w:rsid w:val="00591FF9"/>
    <w:rsid w:val="00592087"/>
    <w:rsid w:val="005920EB"/>
    <w:rsid w:val="00592556"/>
    <w:rsid w:val="00594804"/>
    <w:rsid w:val="005948AE"/>
    <w:rsid w:val="005955B4"/>
    <w:rsid w:val="005A0AEB"/>
    <w:rsid w:val="005A128B"/>
    <w:rsid w:val="005A2F4A"/>
    <w:rsid w:val="005A50E2"/>
    <w:rsid w:val="005B0485"/>
    <w:rsid w:val="005B09A6"/>
    <w:rsid w:val="005B0CD9"/>
    <w:rsid w:val="005B1256"/>
    <w:rsid w:val="005B13EE"/>
    <w:rsid w:val="005B159C"/>
    <w:rsid w:val="005B2595"/>
    <w:rsid w:val="005B2C31"/>
    <w:rsid w:val="005B2E4B"/>
    <w:rsid w:val="005B3581"/>
    <w:rsid w:val="005B35EB"/>
    <w:rsid w:val="005B614A"/>
    <w:rsid w:val="005B72FC"/>
    <w:rsid w:val="005B74C8"/>
    <w:rsid w:val="005C1D71"/>
    <w:rsid w:val="005C20C9"/>
    <w:rsid w:val="005C2A5E"/>
    <w:rsid w:val="005C2CEF"/>
    <w:rsid w:val="005C2D60"/>
    <w:rsid w:val="005C36C7"/>
    <w:rsid w:val="005C3EB7"/>
    <w:rsid w:val="005C5FF2"/>
    <w:rsid w:val="005C644A"/>
    <w:rsid w:val="005C652E"/>
    <w:rsid w:val="005C6B78"/>
    <w:rsid w:val="005C72CF"/>
    <w:rsid w:val="005C73FA"/>
    <w:rsid w:val="005C7635"/>
    <w:rsid w:val="005C7DBD"/>
    <w:rsid w:val="005D0195"/>
    <w:rsid w:val="005D2492"/>
    <w:rsid w:val="005D2907"/>
    <w:rsid w:val="005D3633"/>
    <w:rsid w:val="005D455F"/>
    <w:rsid w:val="005D47D7"/>
    <w:rsid w:val="005D5634"/>
    <w:rsid w:val="005D7D62"/>
    <w:rsid w:val="005E0C8F"/>
    <w:rsid w:val="005E0DD3"/>
    <w:rsid w:val="005E126E"/>
    <w:rsid w:val="005E2A13"/>
    <w:rsid w:val="005E305F"/>
    <w:rsid w:val="005E3700"/>
    <w:rsid w:val="005E3EEE"/>
    <w:rsid w:val="005E4F21"/>
    <w:rsid w:val="005E50FD"/>
    <w:rsid w:val="005E6007"/>
    <w:rsid w:val="005E6753"/>
    <w:rsid w:val="005E74BE"/>
    <w:rsid w:val="005E77C0"/>
    <w:rsid w:val="005F1CD7"/>
    <w:rsid w:val="005F2D4F"/>
    <w:rsid w:val="005F3976"/>
    <w:rsid w:val="005F409E"/>
    <w:rsid w:val="005F57D3"/>
    <w:rsid w:val="005F59A3"/>
    <w:rsid w:val="005F682E"/>
    <w:rsid w:val="00600A3C"/>
    <w:rsid w:val="00600CF3"/>
    <w:rsid w:val="006038F1"/>
    <w:rsid w:val="00604A8B"/>
    <w:rsid w:val="00604E70"/>
    <w:rsid w:val="006061FA"/>
    <w:rsid w:val="00610585"/>
    <w:rsid w:val="00611093"/>
    <w:rsid w:val="00612360"/>
    <w:rsid w:val="00612F79"/>
    <w:rsid w:val="00615453"/>
    <w:rsid w:val="00615965"/>
    <w:rsid w:val="00615BE0"/>
    <w:rsid w:val="00615D76"/>
    <w:rsid w:val="00616161"/>
    <w:rsid w:val="00617133"/>
    <w:rsid w:val="00617A55"/>
    <w:rsid w:val="00620433"/>
    <w:rsid w:val="006224C5"/>
    <w:rsid w:val="006230DB"/>
    <w:rsid w:val="00623394"/>
    <w:rsid w:val="006261F5"/>
    <w:rsid w:val="0062639D"/>
    <w:rsid w:val="00626EA4"/>
    <w:rsid w:val="00627187"/>
    <w:rsid w:val="00627279"/>
    <w:rsid w:val="00627C0B"/>
    <w:rsid w:val="00630314"/>
    <w:rsid w:val="006303A1"/>
    <w:rsid w:val="00630AFC"/>
    <w:rsid w:val="0063305E"/>
    <w:rsid w:val="00634938"/>
    <w:rsid w:val="00634B1E"/>
    <w:rsid w:val="00634F3E"/>
    <w:rsid w:val="0063552C"/>
    <w:rsid w:val="006355FE"/>
    <w:rsid w:val="00635967"/>
    <w:rsid w:val="00635E0C"/>
    <w:rsid w:val="0063745E"/>
    <w:rsid w:val="006400C8"/>
    <w:rsid w:val="006419F3"/>
    <w:rsid w:val="006428B4"/>
    <w:rsid w:val="00642FDD"/>
    <w:rsid w:val="00643134"/>
    <w:rsid w:val="00643831"/>
    <w:rsid w:val="00644051"/>
    <w:rsid w:val="00644497"/>
    <w:rsid w:val="00644B34"/>
    <w:rsid w:val="00645D1E"/>
    <w:rsid w:val="00645DB6"/>
    <w:rsid w:val="00647D21"/>
    <w:rsid w:val="00650718"/>
    <w:rsid w:val="00650B77"/>
    <w:rsid w:val="006512C0"/>
    <w:rsid w:val="006512CA"/>
    <w:rsid w:val="00651767"/>
    <w:rsid w:val="006519FA"/>
    <w:rsid w:val="00652ADD"/>
    <w:rsid w:val="00654997"/>
    <w:rsid w:val="00654B50"/>
    <w:rsid w:val="00654F18"/>
    <w:rsid w:val="00655D4D"/>
    <w:rsid w:val="006563F5"/>
    <w:rsid w:val="00656511"/>
    <w:rsid w:val="006578A4"/>
    <w:rsid w:val="00657912"/>
    <w:rsid w:val="006608E2"/>
    <w:rsid w:val="00661658"/>
    <w:rsid w:val="00661C26"/>
    <w:rsid w:val="006625A1"/>
    <w:rsid w:val="00663110"/>
    <w:rsid w:val="0066404E"/>
    <w:rsid w:val="00664C74"/>
    <w:rsid w:val="00665010"/>
    <w:rsid w:val="006653B6"/>
    <w:rsid w:val="00666352"/>
    <w:rsid w:val="0066654A"/>
    <w:rsid w:val="00670787"/>
    <w:rsid w:val="006714DE"/>
    <w:rsid w:val="006715E4"/>
    <w:rsid w:val="006716E2"/>
    <w:rsid w:val="00671B3C"/>
    <w:rsid w:val="006723BE"/>
    <w:rsid w:val="00672CEB"/>
    <w:rsid w:val="006730D5"/>
    <w:rsid w:val="006732A4"/>
    <w:rsid w:val="00673592"/>
    <w:rsid w:val="006739F8"/>
    <w:rsid w:val="00673ADC"/>
    <w:rsid w:val="00674B91"/>
    <w:rsid w:val="00675EF5"/>
    <w:rsid w:val="00681D24"/>
    <w:rsid w:val="006821EC"/>
    <w:rsid w:val="00682468"/>
    <w:rsid w:val="00682C01"/>
    <w:rsid w:val="00682DA1"/>
    <w:rsid w:val="00683898"/>
    <w:rsid w:val="006840C3"/>
    <w:rsid w:val="00684452"/>
    <w:rsid w:val="00684B29"/>
    <w:rsid w:val="00685514"/>
    <w:rsid w:val="00685757"/>
    <w:rsid w:val="006871DF"/>
    <w:rsid w:val="00694995"/>
    <w:rsid w:val="00694AE4"/>
    <w:rsid w:val="0069533C"/>
    <w:rsid w:val="00696415"/>
    <w:rsid w:val="0069679E"/>
    <w:rsid w:val="006967D3"/>
    <w:rsid w:val="006A07E7"/>
    <w:rsid w:val="006A3C71"/>
    <w:rsid w:val="006A455C"/>
    <w:rsid w:val="006A55FF"/>
    <w:rsid w:val="006A6442"/>
    <w:rsid w:val="006A64B1"/>
    <w:rsid w:val="006A7556"/>
    <w:rsid w:val="006A7B9A"/>
    <w:rsid w:val="006A7E25"/>
    <w:rsid w:val="006B0B89"/>
    <w:rsid w:val="006B22EC"/>
    <w:rsid w:val="006B2ED4"/>
    <w:rsid w:val="006B31FB"/>
    <w:rsid w:val="006B338D"/>
    <w:rsid w:val="006B50CF"/>
    <w:rsid w:val="006B526C"/>
    <w:rsid w:val="006B58F2"/>
    <w:rsid w:val="006B5F91"/>
    <w:rsid w:val="006B6C64"/>
    <w:rsid w:val="006B7020"/>
    <w:rsid w:val="006B761D"/>
    <w:rsid w:val="006B7BF9"/>
    <w:rsid w:val="006C017D"/>
    <w:rsid w:val="006C0DED"/>
    <w:rsid w:val="006C4F73"/>
    <w:rsid w:val="006C60FD"/>
    <w:rsid w:val="006C61D3"/>
    <w:rsid w:val="006C75D6"/>
    <w:rsid w:val="006D0530"/>
    <w:rsid w:val="006D1026"/>
    <w:rsid w:val="006D288C"/>
    <w:rsid w:val="006D390B"/>
    <w:rsid w:val="006D4FDF"/>
    <w:rsid w:val="006D5BA2"/>
    <w:rsid w:val="006D704C"/>
    <w:rsid w:val="006D7643"/>
    <w:rsid w:val="006E06B5"/>
    <w:rsid w:val="006E0E22"/>
    <w:rsid w:val="006E20E8"/>
    <w:rsid w:val="006E2685"/>
    <w:rsid w:val="006E277D"/>
    <w:rsid w:val="006E3385"/>
    <w:rsid w:val="006E5D43"/>
    <w:rsid w:val="006E679C"/>
    <w:rsid w:val="006E6A24"/>
    <w:rsid w:val="006F08F4"/>
    <w:rsid w:val="006F1433"/>
    <w:rsid w:val="006F14D0"/>
    <w:rsid w:val="006F1915"/>
    <w:rsid w:val="006F218D"/>
    <w:rsid w:val="006F2E4F"/>
    <w:rsid w:val="006F36BC"/>
    <w:rsid w:val="006F3B9D"/>
    <w:rsid w:val="006F41BA"/>
    <w:rsid w:val="006F44D3"/>
    <w:rsid w:val="006F5929"/>
    <w:rsid w:val="00700B04"/>
    <w:rsid w:val="007030BB"/>
    <w:rsid w:val="00703336"/>
    <w:rsid w:val="007037A3"/>
    <w:rsid w:val="00703DDB"/>
    <w:rsid w:val="00704AA9"/>
    <w:rsid w:val="00706E56"/>
    <w:rsid w:val="00707509"/>
    <w:rsid w:val="0070757E"/>
    <w:rsid w:val="0071064E"/>
    <w:rsid w:val="0071068A"/>
    <w:rsid w:val="00710978"/>
    <w:rsid w:val="007109F2"/>
    <w:rsid w:val="00711141"/>
    <w:rsid w:val="00711C85"/>
    <w:rsid w:val="00711E41"/>
    <w:rsid w:val="00712F42"/>
    <w:rsid w:val="00712F99"/>
    <w:rsid w:val="00713D5C"/>
    <w:rsid w:val="00716948"/>
    <w:rsid w:val="00717AC8"/>
    <w:rsid w:val="00717B16"/>
    <w:rsid w:val="00717F75"/>
    <w:rsid w:val="0072020A"/>
    <w:rsid w:val="00721667"/>
    <w:rsid w:val="007234FA"/>
    <w:rsid w:val="00723AB9"/>
    <w:rsid w:val="00724556"/>
    <w:rsid w:val="0072493A"/>
    <w:rsid w:val="00724D4D"/>
    <w:rsid w:val="00725309"/>
    <w:rsid w:val="00726B1C"/>
    <w:rsid w:val="00726FE2"/>
    <w:rsid w:val="00727521"/>
    <w:rsid w:val="00727AD2"/>
    <w:rsid w:val="00730518"/>
    <w:rsid w:val="00730524"/>
    <w:rsid w:val="00731D0F"/>
    <w:rsid w:val="00732416"/>
    <w:rsid w:val="00732511"/>
    <w:rsid w:val="00733308"/>
    <w:rsid w:val="00734C2F"/>
    <w:rsid w:val="00734CE5"/>
    <w:rsid w:val="00736688"/>
    <w:rsid w:val="00736A5C"/>
    <w:rsid w:val="00740443"/>
    <w:rsid w:val="00741DB6"/>
    <w:rsid w:val="007420AF"/>
    <w:rsid w:val="00742262"/>
    <w:rsid w:val="0074235B"/>
    <w:rsid w:val="00744235"/>
    <w:rsid w:val="00744472"/>
    <w:rsid w:val="007446C6"/>
    <w:rsid w:val="007446EA"/>
    <w:rsid w:val="00745021"/>
    <w:rsid w:val="00745203"/>
    <w:rsid w:val="007454A2"/>
    <w:rsid w:val="00745665"/>
    <w:rsid w:val="0074579E"/>
    <w:rsid w:val="00745F41"/>
    <w:rsid w:val="007472CC"/>
    <w:rsid w:val="00747707"/>
    <w:rsid w:val="00751F38"/>
    <w:rsid w:val="00752AB2"/>
    <w:rsid w:val="00753D2C"/>
    <w:rsid w:val="0075684D"/>
    <w:rsid w:val="00757696"/>
    <w:rsid w:val="00757916"/>
    <w:rsid w:val="007601BC"/>
    <w:rsid w:val="00761473"/>
    <w:rsid w:val="00762D86"/>
    <w:rsid w:val="0076360F"/>
    <w:rsid w:val="007639C5"/>
    <w:rsid w:val="00764209"/>
    <w:rsid w:val="00764D6B"/>
    <w:rsid w:val="00765948"/>
    <w:rsid w:val="00767CA0"/>
    <w:rsid w:val="00770693"/>
    <w:rsid w:val="00770B81"/>
    <w:rsid w:val="00771C4F"/>
    <w:rsid w:val="00771E95"/>
    <w:rsid w:val="00772256"/>
    <w:rsid w:val="00772EAB"/>
    <w:rsid w:val="0077445A"/>
    <w:rsid w:val="007744C4"/>
    <w:rsid w:val="00774949"/>
    <w:rsid w:val="00774C45"/>
    <w:rsid w:val="00775027"/>
    <w:rsid w:val="007751B7"/>
    <w:rsid w:val="007764E2"/>
    <w:rsid w:val="0078006C"/>
    <w:rsid w:val="0078039F"/>
    <w:rsid w:val="00782596"/>
    <w:rsid w:val="00782654"/>
    <w:rsid w:val="00783E7F"/>
    <w:rsid w:val="00786AC7"/>
    <w:rsid w:val="00792732"/>
    <w:rsid w:val="00793804"/>
    <w:rsid w:val="00793B7B"/>
    <w:rsid w:val="00793D5E"/>
    <w:rsid w:val="00793D81"/>
    <w:rsid w:val="007947CD"/>
    <w:rsid w:val="00794876"/>
    <w:rsid w:val="00794EA0"/>
    <w:rsid w:val="00794FBD"/>
    <w:rsid w:val="00796DAD"/>
    <w:rsid w:val="007A1001"/>
    <w:rsid w:val="007A58AD"/>
    <w:rsid w:val="007A6C23"/>
    <w:rsid w:val="007A71AA"/>
    <w:rsid w:val="007A722F"/>
    <w:rsid w:val="007A7BF9"/>
    <w:rsid w:val="007A7F52"/>
    <w:rsid w:val="007B07CC"/>
    <w:rsid w:val="007B0960"/>
    <w:rsid w:val="007B1BDC"/>
    <w:rsid w:val="007B3CCC"/>
    <w:rsid w:val="007B56AA"/>
    <w:rsid w:val="007B572E"/>
    <w:rsid w:val="007B6A4B"/>
    <w:rsid w:val="007B6B57"/>
    <w:rsid w:val="007C0CE2"/>
    <w:rsid w:val="007C144F"/>
    <w:rsid w:val="007C1E00"/>
    <w:rsid w:val="007C3D35"/>
    <w:rsid w:val="007C4D96"/>
    <w:rsid w:val="007C51F9"/>
    <w:rsid w:val="007C5BBA"/>
    <w:rsid w:val="007C71B1"/>
    <w:rsid w:val="007C7673"/>
    <w:rsid w:val="007C78F4"/>
    <w:rsid w:val="007D2D03"/>
    <w:rsid w:val="007D4367"/>
    <w:rsid w:val="007D62E5"/>
    <w:rsid w:val="007D6CC8"/>
    <w:rsid w:val="007D73FE"/>
    <w:rsid w:val="007D7ACE"/>
    <w:rsid w:val="007E05DF"/>
    <w:rsid w:val="007E0FFB"/>
    <w:rsid w:val="007E1AF9"/>
    <w:rsid w:val="007E271B"/>
    <w:rsid w:val="007E2B7F"/>
    <w:rsid w:val="007E301A"/>
    <w:rsid w:val="007E34FB"/>
    <w:rsid w:val="007E3779"/>
    <w:rsid w:val="007E3CCB"/>
    <w:rsid w:val="007E4ACF"/>
    <w:rsid w:val="007E4D9A"/>
    <w:rsid w:val="007E54C1"/>
    <w:rsid w:val="007E573C"/>
    <w:rsid w:val="007E6813"/>
    <w:rsid w:val="007E7E59"/>
    <w:rsid w:val="007F0627"/>
    <w:rsid w:val="007F1A55"/>
    <w:rsid w:val="007F3526"/>
    <w:rsid w:val="007F38F7"/>
    <w:rsid w:val="007F4BF2"/>
    <w:rsid w:val="007F6344"/>
    <w:rsid w:val="007F799F"/>
    <w:rsid w:val="00801478"/>
    <w:rsid w:val="00801649"/>
    <w:rsid w:val="00802338"/>
    <w:rsid w:val="008024EE"/>
    <w:rsid w:val="0080274E"/>
    <w:rsid w:val="00803769"/>
    <w:rsid w:val="008047F4"/>
    <w:rsid w:val="008055D6"/>
    <w:rsid w:val="00805640"/>
    <w:rsid w:val="008057D6"/>
    <w:rsid w:val="008065A9"/>
    <w:rsid w:val="008079E0"/>
    <w:rsid w:val="00811C26"/>
    <w:rsid w:val="00811EED"/>
    <w:rsid w:val="008126AD"/>
    <w:rsid w:val="00814469"/>
    <w:rsid w:val="0081572E"/>
    <w:rsid w:val="00816E86"/>
    <w:rsid w:val="008173B2"/>
    <w:rsid w:val="00817655"/>
    <w:rsid w:val="008176C8"/>
    <w:rsid w:val="00817D13"/>
    <w:rsid w:val="0082082B"/>
    <w:rsid w:val="00821821"/>
    <w:rsid w:val="00822DE2"/>
    <w:rsid w:val="0082314D"/>
    <w:rsid w:val="008232DE"/>
    <w:rsid w:val="00823DE2"/>
    <w:rsid w:val="008240BA"/>
    <w:rsid w:val="008244DC"/>
    <w:rsid w:val="00824AFE"/>
    <w:rsid w:val="008264DC"/>
    <w:rsid w:val="00827400"/>
    <w:rsid w:val="00830000"/>
    <w:rsid w:val="0083021D"/>
    <w:rsid w:val="00833651"/>
    <w:rsid w:val="00833929"/>
    <w:rsid w:val="00834247"/>
    <w:rsid w:val="0083427D"/>
    <w:rsid w:val="0083437B"/>
    <w:rsid w:val="00834B4C"/>
    <w:rsid w:val="00834DF1"/>
    <w:rsid w:val="00834FE3"/>
    <w:rsid w:val="00835D77"/>
    <w:rsid w:val="008364D4"/>
    <w:rsid w:val="00836B80"/>
    <w:rsid w:val="00840BA0"/>
    <w:rsid w:val="00842207"/>
    <w:rsid w:val="00842289"/>
    <w:rsid w:val="008426FB"/>
    <w:rsid w:val="00844250"/>
    <w:rsid w:val="00844E7B"/>
    <w:rsid w:val="00845C27"/>
    <w:rsid w:val="0084685D"/>
    <w:rsid w:val="00850918"/>
    <w:rsid w:val="00850FB0"/>
    <w:rsid w:val="00852A28"/>
    <w:rsid w:val="008533FB"/>
    <w:rsid w:val="00853E14"/>
    <w:rsid w:val="00854747"/>
    <w:rsid w:val="00856CA9"/>
    <w:rsid w:val="00856EF0"/>
    <w:rsid w:val="00857274"/>
    <w:rsid w:val="00857BC1"/>
    <w:rsid w:val="00857C32"/>
    <w:rsid w:val="00860975"/>
    <w:rsid w:val="008612F7"/>
    <w:rsid w:val="00861964"/>
    <w:rsid w:val="0086276F"/>
    <w:rsid w:val="00864285"/>
    <w:rsid w:val="00867A6F"/>
    <w:rsid w:val="00867E33"/>
    <w:rsid w:val="00867E5C"/>
    <w:rsid w:val="00867E91"/>
    <w:rsid w:val="00870317"/>
    <w:rsid w:val="008706BF"/>
    <w:rsid w:val="008721A5"/>
    <w:rsid w:val="00872873"/>
    <w:rsid w:val="00872A03"/>
    <w:rsid w:val="00875043"/>
    <w:rsid w:val="00875152"/>
    <w:rsid w:val="008757BB"/>
    <w:rsid w:val="00875AFC"/>
    <w:rsid w:val="00880474"/>
    <w:rsid w:val="0088136B"/>
    <w:rsid w:val="00881445"/>
    <w:rsid w:val="0088166E"/>
    <w:rsid w:val="0088195B"/>
    <w:rsid w:val="0088240E"/>
    <w:rsid w:val="00883012"/>
    <w:rsid w:val="00884104"/>
    <w:rsid w:val="00884194"/>
    <w:rsid w:val="008906E4"/>
    <w:rsid w:val="0089083B"/>
    <w:rsid w:val="00891205"/>
    <w:rsid w:val="00891D1E"/>
    <w:rsid w:val="00892EF0"/>
    <w:rsid w:val="00893270"/>
    <w:rsid w:val="00893B92"/>
    <w:rsid w:val="00894656"/>
    <w:rsid w:val="00894B76"/>
    <w:rsid w:val="008963A5"/>
    <w:rsid w:val="00896DFC"/>
    <w:rsid w:val="00897B59"/>
    <w:rsid w:val="00897DDE"/>
    <w:rsid w:val="00897E27"/>
    <w:rsid w:val="008A0884"/>
    <w:rsid w:val="008A0CFA"/>
    <w:rsid w:val="008A2B6E"/>
    <w:rsid w:val="008A3058"/>
    <w:rsid w:val="008A3E6A"/>
    <w:rsid w:val="008A3E72"/>
    <w:rsid w:val="008A40A8"/>
    <w:rsid w:val="008A43FE"/>
    <w:rsid w:val="008A4B0D"/>
    <w:rsid w:val="008A4F80"/>
    <w:rsid w:val="008A5325"/>
    <w:rsid w:val="008A5A5D"/>
    <w:rsid w:val="008B02FC"/>
    <w:rsid w:val="008B051E"/>
    <w:rsid w:val="008B0A38"/>
    <w:rsid w:val="008B2DB8"/>
    <w:rsid w:val="008B3140"/>
    <w:rsid w:val="008B4FA3"/>
    <w:rsid w:val="008B7E6C"/>
    <w:rsid w:val="008C2139"/>
    <w:rsid w:val="008C258A"/>
    <w:rsid w:val="008C2A63"/>
    <w:rsid w:val="008C30A3"/>
    <w:rsid w:val="008C30BC"/>
    <w:rsid w:val="008C4AD3"/>
    <w:rsid w:val="008C63D4"/>
    <w:rsid w:val="008C6AA1"/>
    <w:rsid w:val="008C6DA2"/>
    <w:rsid w:val="008C7ADF"/>
    <w:rsid w:val="008D04C8"/>
    <w:rsid w:val="008D09D6"/>
    <w:rsid w:val="008D0EA4"/>
    <w:rsid w:val="008D1ABF"/>
    <w:rsid w:val="008D23AE"/>
    <w:rsid w:val="008D253E"/>
    <w:rsid w:val="008D2619"/>
    <w:rsid w:val="008D3A97"/>
    <w:rsid w:val="008D57D1"/>
    <w:rsid w:val="008D5C2E"/>
    <w:rsid w:val="008D5C4B"/>
    <w:rsid w:val="008D66E6"/>
    <w:rsid w:val="008D6A49"/>
    <w:rsid w:val="008D6E0E"/>
    <w:rsid w:val="008D714B"/>
    <w:rsid w:val="008D7E5B"/>
    <w:rsid w:val="008E03E6"/>
    <w:rsid w:val="008E094A"/>
    <w:rsid w:val="008E0A3C"/>
    <w:rsid w:val="008E0D32"/>
    <w:rsid w:val="008E11CD"/>
    <w:rsid w:val="008E3F5B"/>
    <w:rsid w:val="008E5251"/>
    <w:rsid w:val="008E57BA"/>
    <w:rsid w:val="008E5AB1"/>
    <w:rsid w:val="008E5BD8"/>
    <w:rsid w:val="008E61E7"/>
    <w:rsid w:val="008E733A"/>
    <w:rsid w:val="008E7832"/>
    <w:rsid w:val="008F0F54"/>
    <w:rsid w:val="008F0F9F"/>
    <w:rsid w:val="008F151D"/>
    <w:rsid w:val="008F2C09"/>
    <w:rsid w:val="008F2D11"/>
    <w:rsid w:val="008F31DD"/>
    <w:rsid w:val="008F5273"/>
    <w:rsid w:val="008F55FA"/>
    <w:rsid w:val="008F6068"/>
    <w:rsid w:val="008F693A"/>
    <w:rsid w:val="008F7562"/>
    <w:rsid w:val="008F78F4"/>
    <w:rsid w:val="008F7E1D"/>
    <w:rsid w:val="00900ED8"/>
    <w:rsid w:val="00902006"/>
    <w:rsid w:val="009021AA"/>
    <w:rsid w:val="00902793"/>
    <w:rsid w:val="00902878"/>
    <w:rsid w:val="009031FF"/>
    <w:rsid w:val="009048B4"/>
    <w:rsid w:val="009053A8"/>
    <w:rsid w:val="009102C9"/>
    <w:rsid w:val="00911203"/>
    <w:rsid w:val="00911258"/>
    <w:rsid w:val="009119DF"/>
    <w:rsid w:val="00912ECE"/>
    <w:rsid w:val="0091305D"/>
    <w:rsid w:val="0091328B"/>
    <w:rsid w:val="0091360A"/>
    <w:rsid w:val="00915F41"/>
    <w:rsid w:val="00916985"/>
    <w:rsid w:val="00920017"/>
    <w:rsid w:val="009201E7"/>
    <w:rsid w:val="00921EFE"/>
    <w:rsid w:val="009220AE"/>
    <w:rsid w:val="00922FF6"/>
    <w:rsid w:val="00923954"/>
    <w:rsid w:val="00923CDA"/>
    <w:rsid w:val="00924DD4"/>
    <w:rsid w:val="00925B9F"/>
    <w:rsid w:val="0092609C"/>
    <w:rsid w:val="009262F7"/>
    <w:rsid w:val="009265D2"/>
    <w:rsid w:val="00926BF3"/>
    <w:rsid w:val="00927021"/>
    <w:rsid w:val="009274CA"/>
    <w:rsid w:val="00930676"/>
    <w:rsid w:val="009317C7"/>
    <w:rsid w:val="00931ADB"/>
    <w:rsid w:val="009322B1"/>
    <w:rsid w:val="00936C96"/>
    <w:rsid w:val="00936CC2"/>
    <w:rsid w:val="00936E92"/>
    <w:rsid w:val="00937407"/>
    <w:rsid w:val="0093766E"/>
    <w:rsid w:val="0093771D"/>
    <w:rsid w:val="00937743"/>
    <w:rsid w:val="00943202"/>
    <w:rsid w:val="00943205"/>
    <w:rsid w:val="00943283"/>
    <w:rsid w:val="009440B1"/>
    <w:rsid w:val="009448A9"/>
    <w:rsid w:val="00944A52"/>
    <w:rsid w:val="00944B46"/>
    <w:rsid w:val="0094682A"/>
    <w:rsid w:val="00950C92"/>
    <w:rsid w:val="00950EDD"/>
    <w:rsid w:val="009515E4"/>
    <w:rsid w:val="0095384B"/>
    <w:rsid w:val="00954DD4"/>
    <w:rsid w:val="00955218"/>
    <w:rsid w:val="00955371"/>
    <w:rsid w:val="009557A8"/>
    <w:rsid w:val="00956FB9"/>
    <w:rsid w:val="00957373"/>
    <w:rsid w:val="009575A1"/>
    <w:rsid w:val="00960454"/>
    <w:rsid w:val="00960479"/>
    <w:rsid w:val="009608BA"/>
    <w:rsid w:val="00961121"/>
    <w:rsid w:val="00961301"/>
    <w:rsid w:val="009618CB"/>
    <w:rsid w:val="00962217"/>
    <w:rsid w:val="00962EA8"/>
    <w:rsid w:val="00963E4D"/>
    <w:rsid w:val="009643D6"/>
    <w:rsid w:val="00964649"/>
    <w:rsid w:val="009652C1"/>
    <w:rsid w:val="0096530F"/>
    <w:rsid w:val="009657F4"/>
    <w:rsid w:val="00966BA4"/>
    <w:rsid w:val="00967370"/>
    <w:rsid w:val="0097172E"/>
    <w:rsid w:val="009726AD"/>
    <w:rsid w:val="00972CD5"/>
    <w:rsid w:val="009751A9"/>
    <w:rsid w:val="00975B46"/>
    <w:rsid w:val="0097621B"/>
    <w:rsid w:val="009777BB"/>
    <w:rsid w:val="009819D0"/>
    <w:rsid w:val="0098211A"/>
    <w:rsid w:val="0098227E"/>
    <w:rsid w:val="00983015"/>
    <w:rsid w:val="009830F1"/>
    <w:rsid w:val="00984D5B"/>
    <w:rsid w:val="00985C6C"/>
    <w:rsid w:val="00985D82"/>
    <w:rsid w:val="00991902"/>
    <w:rsid w:val="00992956"/>
    <w:rsid w:val="00993B71"/>
    <w:rsid w:val="00993CE1"/>
    <w:rsid w:val="00994698"/>
    <w:rsid w:val="009958A4"/>
    <w:rsid w:val="00997543"/>
    <w:rsid w:val="00997C62"/>
    <w:rsid w:val="009A0136"/>
    <w:rsid w:val="009A147C"/>
    <w:rsid w:val="009A161C"/>
    <w:rsid w:val="009A168B"/>
    <w:rsid w:val="009A195C"/>
    <w:rsid w:val="009A1F47"/>
    <w:rsid w:val="009A229C"/>
    <w:rsid w:val="009A3973"/>
    <w:rsid w:val="009A43CB"/>
    <w:rsid w:val="009A5855"/>
    <w:rsid w:val="009A60D0"/>
    <w:rsid w:val="009A6134"/>
    <w:rsid w:val="009A6C10"/>
    <w:rsid w:val="009A6EBC"/>
    <w:rsid w:val="009A6EEA"/>
    <w:rsid w:val="009A6F08"/>
    <w:rsid w:val="009A7B86"/>
    <w:rsid w:val="009B2AC0"/>
    <w:rsid w:val="009B2B3F"/>
    <w:rsid w:val="009B32D3"/>
    <w:rsid w:val="009B3579"/>
    <w:rsid w:val="009B43E1"/>
    <w:rsid w:val="009B4A29"/>
    <w:rsid w:val="009B564D"/>
    <w:rsid w:val="009B5CD3"/>
    <w:rsid w:val="009B6546"/>
    <w:rsid w:val="009C058C"/>
    <w:rsid w:val="009C0D33"/>
    <w:rsid w:val="009C1C6A"/>
    <w:rsid w:val="009C3417"/>
    <w:rsid w:val="009C5462"/>
    <w:rsid w:val="009C6D3D"/>
    <w:rsid w:val="009C7F8D"/>
    <w:rsid w:val="009D1206"/>
    <w:rsid w:val="009D223F"/>
    <w:rsid w:val="009D57B3"/>
    <w:rsid w:val="009D582F"/>
    <w:rsid w:val="009D6A22"/>
    <w:rsid w:val="009D6F7E"/>
    <w:rsid w:val="009E23C4"/>
    <w:rsid w:val="009E26E2"/>
    <w:rsid w:val="009E4CA8"/>
    <w:rsid w:val="009E5074"/>
    <w:rsid w:val="009E5DCD"/>
    <w:rsid w:val="009E652B"/>
    <w:rsid w:val="009E6901"/>
    <w:rsid w:val="009E7F43"/>
    <w:rsid w:val="009F215F"/>
    <w:rsid w:val="009F274E"/>
    <w:rsid w:val="009F2817"/>
    <w:rsid w:val="009F51F6"/>
    <w:rsid w:val="009F5DDA"/>
    <w:rsid w:val="009F5F36"/>
    <w:rsid w:val="009F615A"/>
    <w:rsid w:val="00A0055E"/>
    <w:rsid w:val="00A00620"/>
    <w:rsid w:val="00A00C13"/>
    <w:rsid w:val="00A00F16"/>
    <w:rsid w:val="00A01619"/>
    <w:rsid w:val="00A01FBA"/>
    <w:rsid w:val="00A0202F"/>
    <w:rsid w:val="00A02B0A"/>
    <w:rsid w:val="00A02DCF"/>
    <w:rsid w:val="00A047C6"/>
    <w:rsid w:val="00A04EE2"/>
    <w:rsid w:val="00A058BB"/>
    <w:rsid w:val="00A067EB"/>
    <w:rsid w:val="00A06924"/>
    <w:rsid w:val="00A07856"/>
    <w:rsid w:val="00A10269"/>
    <w:rsid w:val="00A102C2"/>
    <w:rsid w:val="00A103AB"/>
    <w:rsid w:val="00A10B87"/>
    <w:rsid w:val="00A120B4"/>
    <w:rsid w:val="00A12C6C"/>
    <w:rsid w:val="00A137CD"/>
    <w:rsid w:val="00A147FD"/>
    <w:rsid w:val="00A15B96"/>
    <w:rsid w:val="00A15CB1"/>
    <w:rsid w:val="00A178EC"/>
    <w:rsid w:val="00A17C08"/>
    <w:rsid w:val="00A20260"/>
    <w:rsid w:val="00A21E4D"/>
    <w:rsid w:val="00A21EF6"/>
    <w:rsid w:val="00A225AA"/>
    <w:rsid w:val="00A22BDB"/>
    <w:rsid w:val="00A249DC"/>
    <w:rsid w:val="00A24DC1"/>
    <w:rsid w:val="00A25124"/>
    <w:rsid w:val="00A26574"/>
    <w:rsid w:val="00A2664E"/>
    <w:rsid w:val="00A268EF"/>
    <w:rsid w:val="00A27DB3"/>
    <w:rsid w:val="00A309F3"/>
    <w:rsid w:val="00A31284"/>
    <w:rsid w:val="00A318BA"/>
    <w:rsid w:val="00A31C3C"/>
    <w:rsid w:val="00A320C5"/>
    <w:rsid w:val="00A32472"/>
    <w:rsid w:val="00A32720"/>
    <w:rsid w:val="00A32B52"/>
    <w:rsid w:val="00A32D2C"/>
    <w:rsid w:val="00A3344C"/>
    <w:rsid w:val="00A35140"/>
    <w:rsid w:val="00A3640F"/>
    <w:rsid w:val="00A36671"/>
    <w:rsid w:val="00A36798"/>
    <w:rsid w:val="00A3752B"/>
    <w:rsid w:val="00A37846"/>
    <w:rsid w:val="00A37A6B"/>
    <w:rsid w:val="00A37CB1"/>
    <w:rsid w:val="00A37E05"/>
    <w:rsid w:val="00A40F48"/>
    <w:rsid w:val="00A414F6"/>
    <w:rsid w:val="00A4222E"/>
    <w:rsid w:val="00A427AF"/>
    <w:rsid w:val="00A4307F"/>
    <w:rsid w:val="00A442DF"/>
    <w:rsid w:val="00A44E43"/>
    <w:rsid w:val="00A45A04"/>
    <w:rsid w:val="00A5035E"/>
    <w:rsid w:val="00A503C9"/>
    <w:rsid w:val="00A504DA"/>
    <w:rsid w:val="00A506A2"/>
    <w:rsid w:val="00A52139"/>
    <w:rsid w:val="00A53B5A"/>
    <w:rsid w:val="00A53E1A"/>
    <w:rsid w:val="00A548D7"/>
    <w:rsid w:val="00A55012"/>
    <w:rsid w:val="00A56DF8"/>
    <w:rsid w:val="00A573E8"/>
    <w:rsid w:val="00A57BE9"/>
    <w:rsid w:val="00A608A7"/>
    <w:rsid w:val="00A629C4"/>
    <w:rsid w:val="00A629D8"/>
    <w:rsid w:val="00A62F65"/>
    <w:rsid w:val="00A63AD8"/>
    <w:rsid w:val="00A63E3F"/>
    <w:rsid w:val="00A65755"/>
    <w:rsid w:val="00A65CB5"/>
    <w:rsid w:val="00A666B9"/>
    <w:rsid w:val="00A6712C"/>
    <w:rsid w:val="00A70CFE"/>
    <w:rsid w:val="00A71E73"/>
    <w:rsid w:val="00A734FD"/>
    <w:rsid w:val="00A7449F"/>
    <w:rsid w:val="00A747B1"/>
    <w:rsid w:val="00A74DBC"/>
    <w:rsid w:val="00A766A9"/>
    <w:rsid w:val="00A81201"/>
    <w:rsid w:val="00A82F97"/>
    <w:rsid w:val="00A8423D"/>
    <w:rsid w:val="00A84655"/>
    <w:rsid w:val="00A8542B"/>
    <w:rsid w:val="00A85516"/>
    <w:rsid w:val="00A86180"/>
    <w:rsid w:val="00A86682"/>
    <w:rsid w:val="00A870B1"/>
    <w:rsid w:val="00A87B68"/>
    <w:rsid w:val="00A9019C"/>
    <w:rsid w:val="00A907C4"/>
    <w:rsid w:val="00A90BEE"/>
    <w:rsid w:val="00A920B3"/>
    <w:rsid w:val="00A9239A"/>
    <w:rsid w:val="00A93B2C"/>
    <w:rsid w:val="00A94955"/>
    <w:rsid w:val="00A952FF"/>
    <w:rsid w:val="00A96234"/>
    <w:rsid w:val="00A96763"/>
    <w:rsid w:val="00A97B0C"/>
    <w:rsid w:val="00AA13AF"/>
    <w:rsid w:val="00AA237D"/>
    <w:rsid w:val="00AA43C1"/>
    <w:rsid w:val="00AA4545"/>
    <w:rsid w:val="00AA643B"/>
    <w:rsid w:val="00AA68D6"/>
    <w:rsid w:val="00AA7F66"/>
    <w:rsid w:val="00AB4829"/>
    <w:rsid w:val="00AB588E"/>
    <w:rsid w:val="00AB6A7C"/>
    <w:rsid w:val="00AB6C38"/>
    <w:rsid w:val="00AB79A7"/>
    <w:rsid w:val="00AC0058"/>
    <w:rsid w:val="00AC0113"/>
    <w:rsid w:val="00AC01D8"/>
    <w:rsid w:val="00AC0645"/>
    <w:rsid w:val="00AC133A"/>
    <w:rsid w:val="00AC1340"/>
    <w:rsid w:val="00AC1620"/>
    <w:rsid w:val="00AC2D81"/>
    <w:rsid w:val="00AC306C"/>
    <w:rsid w:val="00AC32DF"/>
    <w:rsid w:val="00AC353D"/>
    <w:rsid w:val="00AC37D8"/>
    <w:rsid w:val="00AC4053"/>
    <w:rsid w:val="00AC44C9"/>
    <w:rsid w:val="00AC4611"/>
    <w:rsid w:val="00AC7F1C"/>
    <w:rsid w:val="00AD20E2"/>
    <w:rsid w:val="00AD24BF"/>
    <w:rsid w:val="00AD287D"/>
    <w:rsid w:val="00AD2F5D"/>
    <w:rsid w:val="00AD5997"/>
    <w:rsid w:val="00AD5CD2"/>
    <w:rsid w:val="00AD6408"/>
    <w:rsid w:val="00AD7528"/>
    <w:rsid w:val="00AE04AF"/>
    <w:rsid w:val="00AE2157"/>
    <w:rsid w:val="00AE3102"/>
    <w:rsid w:val="00AE3609"/>
    <w:rsid w:val="00AE3969"/>
    <w:rsid w:val="00AE4762"/>
    <w:rsid w:val="00AE4EC7"/>
    <w:rsid w:val="00AE524A"/>
    <w:rsid w:val="00AE6576"/>
    <w:rsid w:val="00AE7041"/>
    <w:rsid w:val="00AE7719"/>
    <w:rsid w:val="00AF0347"/>
    <w:rsid w:val="00AF0391"/>
    <w:rsid w:val="00AF28C7"/>
    <w:rsid w:val="00AF32E6"/>
    <w:rsid w:val="00AF4051"/>
    <w:rsid w:val="00AF45A7"/>
    <w:rsid w:val="00AF57FA"/>
    <w:rsid w:val="00AF6489"/>
    <w:rsid w:val="00AF7B59"/>
    <w:rsid w:val="00B003DA"/>
    <w:rsid w:val="00B016D4"/>
    <w:rsid w:val="00B01AE8"/>
    <w:rsid w:val="00B020EB"/>
    <w:rsid w:val="00B02D33"/>
    <w:rsid w:val="00B0366D"/>
    <w:rsid w:val="00B03F16"/>
    <w:rsid w:val="00B04777"/>
    <w:rsid w:val="00B04E87"/>
    <w:rsid w:val="00B05510"/>
    <w:rsid w:val="00B05A95"/>
    <w:rsid w:val="00B05AC3"/>
    <w:rsid w:val="00B068BD"/>
    <w:rsid w:val="00B06FE2"/>
    <w:rsid w:val="00B0752F"/>
    <w:rsid w:val="00B1017E"/>
    <w:rsid w:val="00B11A8B"/>
    <w:rsid w:val="00B1252E"/>
    <w:rsid w:val="00B12DEB"/>
    <w:rsid w:val="00B13F9B"/>
    <w:rsid w:val="00B141AE"/>
    <w:rsid w:val="00B158A7"/>
    <w:rsid w:val="00B204EA"/>
    <w:rsid w:val="00B21D90"/>
    <w:rsid w:val="00B23C1A"/>
    <w:rsid w:val="00B252FB"/>
    <w:rsid w:val="00B263C9"/>
    <w:rsid w:val="00B26C01"/>
    <w:rsid w:val="00B27086"/>
    <w:rsid w:val="00B27667"/>
    <w:rsid w:val="00B3158E"/>
    <w:rsid w:val="00B32361"/>
    <w:rsid w:val="00B339DF"/>
    <w:rsid w:val="00B35C79"/>
    <w:rsid w:val="00B35C83"/>
    <w:rsid w:val="00B3614E"/>
    <w:rsid w:val="00B376F6"/>
    <w:rsid w:val="00B37D00"/>
    <w:rsid w:val="00B4047D"/>
    <w:rsid w:val="00B41579"/>
    <w:rsid w:val="00B420A3"/>
    <w:rsid w:val="00B43B64"/>
    <w:rsid w:val="00B441EE"/>
    <w:rsid w:val="00B44272"/>
    <w:rsid w:val="00B4454D"/>
    <w:rsid w:val="00B45970"/>
    <w:rsid w:val="00B50CF1"/>
    <w:rsid w:val="00B50E64"/>
    <w:rsid w:val="00B52724"/>
    <w:rsid w:val="00B52731"/>
    <w:rsid w:val="00B52C02"/>
    <w:rsid w:val="00B52C0E"/>
    <w:rsid w:val="00B52F85"/>
    <w:rsid w:val="00B52FE4"/>
    <w:rsid w:val="00B5308B"/>
    <w:rsid w:val="00B53E28"/>
    <w:rsid w:val="00B55986"/>
    <w:rsid w:val="00B60C6F"/>
    <w:rsid w:val="00B61071"/>
    <w:rsid w:val="00B62292"/>
    <w:rsid w:val="00B62A8D"/>
    <w:rsid w:val="00B62FE6"/>
    <w:rsid w:val="00B63CDF"/>
    <w:rsid w:val="00B65206"/>
    <w:rsid w:val="00B65395"/>
    <w:rsid w:val="00B6551D"/>
    <w:rsid w:val="00B666CC"/>
    <w:rsid w:val="00B66E6F"/>
    <w:rsid w:val="00B67993"/>
    <w:rsid w:val="00B71C0C"/>
    <w:rsid w:val="00B7226F"/>
    <w:rsid w:val="00B72444"/>
    <w:rsid w:val="00B74B3A"/>
    <w:rsid w:val="00B76E46"/>
    <w:rsid w:val="00B7739B"/>
    <w:rsid w:val="00B80CE1"/>
    <w:rsid w:val="00B8108E"/>
    <w:rsid w:val="00B8279A"/>
    <w:rsid w:val="00B82B23"/>
    <w:rsid w:val="00B82F1A"/>
    <w:rsid w:val="00B830A3"/>
    <w:rsid w:val="00B835E3"/>
    <w:rsid w:val="00B85EDB"/>
    <w:rsid w:val="00B85FFE"/>
    <w:rsid w:val="00B864DD"/>
    <w:rsid w:val="00B86D0D"/>
    <w:rsid w:val="00B86D3B"/>
    <w:rsid w:val="00B86FC4"/>
    <w:rsid w:val="00B87866"/>
    <w:rsid w:val="00B900C1"/>
    <w:rsid w:val="00B903F8"/>
    <w:rsid w:val="00B91A8D"/>
    <w:rsid w:val="00B9261B"/>
    <w:rsid w:val="00B92647"/>
    <w:rsid w:val="00B932D3"/>
    <w:rsid w:val="00B93745"/>
    <w:rsid w:val="00B94A4D"/>
    <w:rsid w:val="00B94F92"/>
    <w:rsid w:val="00B9659C"/>
    <w:rsid w:val="00B9667C"/>
    <w:rsid w:val="00B970BA"/>
    <w:rsid w:val="00B974B9"/>
    <w:rsid w:val="00BA03FB"/>
    <w:rsid w:val="00BA0EB5"/>
    <w:rsid w:val="00BA10D5"/>
    <w:rsid w:val="00BA1E9D"/>
    <w:rsid w:val="00BA1F1E"/>
    <w:rsid w:val="00BA2600"/>
    <w:rsid w:val="00BA43D5"/>
    <w:rsid w:val="00BA5A30"/>
    <w:rsid w:val="00BA6560"/>
    <w:rsid w:val="00BA658D"/>
    <w:rsid w:val="00BA6B3A"/>
    <w:rsid w:val="00BA702A"/>
    <w:rsid w:val="00BA7158"/>
    <w:rsid w:val="00BB09D0"/>
    <w:rsid w:val="00BB0D8E"/>
    <w:rsid w:val="00BB0F22"/>
    <w:rsid w:val="00BB1200"/>
    <w:rsid w:val="00BB1E2B"/>
    <w:rsid w:val="00BB2738"/>
    <w:rsid w:val="00BB2B65"/>
    <w:rsid w:val="00BB3402"/>
    <w:rsid w:val="00BB5E9B"/>
    <w:rsid w:val="00BB77D4"/>
    <w:rsid w:val="00BB79BB"/>
    <w:rsid w:val="00BC0D5B"/>
    <w:rsid w:val="00BC0DD3"/>
    <w:rsid w:val="00BC2203"/>
    <w:rsid w:val="00BC2333"/>
    <w:rsid w:val="00BC2541"/>
    <w:rsid w:val="00BC2557"/>
    <w:rsid w:val="00BC339D"/>
    <w:rsid w:val="00BC3E2D"/>
    <w:rsid w:val="00BC58A1"/>
    <w:rsid w:val="00BC58C3"/>
    <w:rsid w:val="00BC5BC7"/>
    <w:rsid w:val="00BC5E59"/>
    <w:rsid w:val="00BC656D"/>
    <w:rsid w:val="00BD03FC"/>
    <w:rsid w:val="00BD124D"/>
    <w:rsid w:val="00BD1289"/>
    <w:rsid w:val="00BD1D6F"/>
    <w:rsid w:val="00BD258E"/>
    <w:rsid w:val="00BD2742"/>
    <w:rsid w:val="00BD2BCD"/>
    <w:rsid w:val="00BD2FEC"/>
    <w:rsid w:val="00BD3368"/>
    <w:rsid w:val="00BD3613"/>
    <w:rsid w:val="00BD4D06"/>
    <w:rsid w:val="00BD4DDC"/>
    <w:rsid w:val="00BD5206"/>
    <w:rsid w:val="00BD72E6"/>
    <w:rsid w:val="00BD74A7"/>
    <w:rsid w:val="00BD787F"/>
    <w:rsid w:val="00BE17FB"/>
    <w:rsid w:val="00BE1AD8"/>
    <w:rsid w:val="00BE1C56"/>
    <w:rsid w:val="00BE4139"/>
    <w:rsid w:val="00BE4C2B"/>
    <w:rsid w:val="00BE4EFE"/>
    <w:rsid w:val="00BE5341"/>
    <w:rsid w:val="00BE762A"/>
    <w:rsid w:val="00BE7C58"/>
    <w:rsid w:val="00BF2EF4"/>
    <w:rsid w:val="00BF3759"/>
    <w:rsid w:val="00BF3CD9"/>
    <w:rsid w:val="00BF4769"/>
    <w:rsid w:val="00BF4958"/>
    <w:rsid w:val="00BF4973"/>
    <w:rsid w:val="00BF55F4"/>
    <w:rsid w:val="00BF5B17"/>
    <w:rsid w:val="00BF601B"/>
    <w:rsid w:val="00BF639E"/>
    <w:rsid w:val="00BF696E"/>
    <w:rsid w:val="00BF7BD1"/>
    <w:rsid w:val="00BF7DD8"/>
    <w:rsid w:val="00C00877"/>
    <w:rsid w:val="00C008C2"/>
    <w:rsid w:val="00C00F48"/>
    <w:rsid w:val="00C027CC"/>
    <w:rsid w:val="00C028A6"/>
    <w:rsid w:val="00C045C9"/>
    <w:rsid w:val="00C04628"/>
    <w:rsid w:val="00C04EB1"/>
    <w:rsid w:val="00C0555B"/>
    <w:rsid w:val="00C05728"/>
    <w:rsid w:val="00C063AC"/>
    <w:rsid w:val="00C06674"/>
    <w:rsid w:val="00C073E0"/>
    <w:rsid w:val="00C07A1D"/>
    <w:rsid w:val="00C1146B"/>
    <w:rsid w:val="00C114CE"/>
    <w:rsid w:val="00C1174D"/>
    <w:rsid w:val="00C130A4"/>
    <w:rsid w:val="00C144ED"/>
    <w:rsid w:val="00C15643"/>
    <w:rsid w:val="00C16966"/>
    <w:rsid w:val="00C16A63"/>
    <w:rsid w:val="00C17443"/>
    <w:rsid w:val="00C17B8F"/>
    <w:rsid w:val="00C21EB0"/>
    <w:rsid w:val="00C259AC"/>
    <w:rsid w:val="00C268EC"/>
    <w:rsid w:val="00C26EBB"/>
    <w:rsid w:val="00C27541"/>
    <w:rsid w:val="00C27F29"/>
    <w:rsid w:val="00C304E7"/>
    <w:rsid w:val="00C31014"/>
    <w:rsid w:val="00C31E13"/>
    <w:rsid w:val="00C31EB3"/>
    <w:rsid w:val="00C31FA8"/>
    <w:rsid w:val="00C32924"/>
    <w:rsid w:val="00C32B95"/>
    <w:rsid w:val="00C334DC"/>
    <w:rsid w:val="00C3359B"/>
    <w:rsid w:val="00C33B6E"/>
    <w:rsid w:val="00C33FF7"/>
    <w:rsid w:val="00C34849"/>
    <w:rsid w:val="00C35086"/>
    <w:rsid w:val="00C3536A"/>
    <w:rsid w:val="00C36441"/>
    <w:rsid w:val="00C415AE"/>
    <w:rsid w:val="00C41B85"/>
    <w:rsid w:val="00C41DDF"/>
    <w:rsid w:val="00C42700"/>
    <w:rsid w:val="00C4463E"/>
    <w:rsid w:val="00C460FC"/>
    <w:rsid w:val="00C46ED9"/>
    <w:rsid w:val="00C47F6C"/>
    <w:rsid w:val="00C50248"/>
    <w:rsid w:val="00C52117"/>
    <w:rsid w:val="00C528E6"/>
    <w:rsid w:val="00C5318F"/>
    <w:rsid w:val="00C541B5"/>
    <w:rsid w:val="00C55C33"/>
    <w:rsid w:val="00C5630D"/>
    <w:rsid w:val="00C60F63"/>
    <w:rsid w:val="00C6110D"/>
    <w:rsid w:val="00C61646"/>
    <w:rsid w:val="00C619D3"/>
    <w:rsid w:val="00C61BED"/>
    <w:rsid w:val="00C6450E"/>
    <w:rsid w:val="00C660E6"/>
    <w:rsid w:val="00C66C7E"/>
    <w:rsid w:val="00C67B08"/>
    <w:rsid w:val="00C716EF"/>
    <w:rsid w:val="00C72044"/>
    <w:rsid w:val="00C72814"/>
    <w:rsid w:val="00C72871"/>
    <w:rsid w:val="00C72D46"/>
    <w:rsid w:val="00C73448"/>
    <w:rsid w:val="00C74E82"/>
    <w:rsid w:val="00C760AF"/>
    <w:rsid w:val="00C7629C"/>
    <w:rsid w:val="00C7632D"/>
    <w:rsid w:val="00C77214"/>
    <w:rsid w:val="00C77624"/>
    <w:rsid w:val="00C81D17"/>
    <w:rsid w:val="00C823FA"/>
    <w:rsid w:val="00C83A2A"/>
    <w:rsid w:val="00C83E2D"/>
    <w:rsid w:val="00C84137"/>
    <w:rsid w:val="00C84C76"/>
    <w:rsid w:val="00C85821"/>
    <w:rsid w:val="00C86713"/>
    <w:rsid w:val="00C87042"/>
    <w:rsid w:val="00C87D8C"/>
    <w:rsid w:val="00C905A2"/>
    <w:rsid w:val="00C910FC"/>
    <w:rsid w:val="00C9213B"/>
    <w:rsid w:val="00C92314"/>
    <w:rsid w:val="00C92F9D"/>
    <w:rsid w:val="00C93E3F"/>
    <w:rsid w:val="00C93E90"/>
    <w:rsid w:val="00C940E8"/>
    <w:rsid w:val="00C940EC"/>
    <w:rsid w:val="00C95CB9"/>
    <w:rsid w:val="00C97413"/>
    <w:rsid w:val="00C97588"/>
    <w:rsid w:val="00CA05B5"/>
    <w:rsid w:val="00CA0CC1"/>
    <w:rsid w:val="00CA36EA"/>
    <w:rsid w:val="00CA3D6B"/>
    <w:rsid w:val="00CA406F"/>
    <w:rsid w:val="00CA5985"/>
    <w:rsid w:val="00CA5F19"/>
    <w:rsid w:val="00CA5F95"/>
    <w:rsid w:val="00CB026D"/>
    <w:rsid w:val="00CB075D"/>
    <w:rsid w:val="00CB243C"/>
    <w:rsid w:val="00CB4469"/>
    <w:rsid w:val="00CB4863"/>
    <w:rsid w:val="00CB6A9D"/>
    <w:rsid w:val="00CB741D"/>
    <w:rsid w:val="00CC2747"/>
    <w:rsid w:val="00CC28D3"/>
    <w:rsid w:val="00CC3300"/>
    <w:rsid w:val="00CC3D36"/>
    <w:rsid w:val="00CC4045"/>
    <w:rsid w:val="00CC4800"/>
    <w:rsid w:val="00CC4FF7"/>
    <w:rsid w:val="00CC5CB7"/>
    <w:rsid w:val="00CC5DDF"/>
    <w:rsid w:val="00CC5F00"/>
    <w:rsid w:val="00CC6F65"/>
    <w:rsid w:val="00CC74DA"/>
    <w:rsid w:val="00CD0375"/>
    <w:rsid w:val="00CD051F"/>
    <w:rsid w:val="00CD140B"/>
    <w:rsid w:val="00CD21A7"/>
    <w:rsid w:val="00CD21D2"/>
    <w:rsid w:val="00CD2675"/>
    <w:rsid w:val="00CD2AE5"/>
    <w:rsid w:val="00CD3EEA"/>
    <w:rsid w:val="00CD3F29"/>
    <w:rsid w:val="00CD620F"/>
    <w:rsid w:val="00CD6553"/>
    <w:rsid w:val="00CD6E46"/>
    <w:rsid w:val="00CD7E81"/>
    <w:rsid w:val="00CE0933"/>
    <w:rsid w:val="00CE0C18"/>
    <w:rsid w:val="00CE1926"/>
    <w:rsid w:val="00CE1B14"/>
    <w:rsid w:val="00CE2299"/>
    <w:rsid w:val="00CE2EE1"/>
    <w:rsid w:val="00CE3AF9"/>
    <w:rsid w:val="00CE4341"/>
    <w:rsid w:val="00CE43DF"/>
    <w:rsid w:val="00CE48BD"/>
    <w:rsid w:val="00CE4D18"/>
    <w:rsid w:val="00CE66BA"/>
    <w:rsid w:val="00CE791E"/>
    <w:rsid w:val="00CE7E37"/>
    <w:rsid w:val="00CF0C4E"/>
    <w:rsid w:val="00CF0ED5"/>
    <w:rsid w:val="00CF1E9C"/>
    <w:rsid w:val="00CF2CA2"/>
    <w:rsid w:val="00CF3A5D"/>
    <w:rsid w:val="00CF4614"/>
    <w:rsid w:val="00CF5219"/>
    <w:rsid w:val="00CF6084"/>
    <w:rsid w:val="00CF6709"/>
    <w:rsid w:val="00CF6CCF"/>
    <w:rsid w:val="00D010CE"/>
    <w:rsid w:val="00D012AB"/>
    <w:rsid w:val="00D03CF6"/>
    <w:rsid w:val="00D043FC"/>
    <w:rsid w:val="00D059CE"/>
    <w:rsid w:val="00D065D7"/>
    <w:rsid w:val="00D06B10"/>
    <w:rsid w:val="00D06E3D"/>
    <w:rsid w:val="00D109D4"/>
    <w:rsid w:val="00D10DB2"/>
    <w:rsid w:val="00D11B0D"/>
    <w:rsid w:val="00D12138"/>
    <w:rsid w:val="00D1290B"/>
    <w:rsid w:val="00D12D2C"/>
    <w:rsid w:val="00D131D0"/>
    <w:rsid w:val="00D134DC"/>
    <w:rsid w:val="00D13922"/>
    <w:rsid w:val="00D1453F"/>
    <w:rsid w:val="00D15009"/>
    <w:rsid w:val="00D16149"/>
    <w:rsid w:val="00D16946"/>
    <w:rsid w:val="00D169F0"/>
    <w:rsid w:val="00D17C22"/>
    <w:rsid w:val="00D20941"/>
    <w:rsid w:val="00D209F8"/>
    <w:rsid w:val="00D210F4"/>
    <w:rsid w:val="00D21225"/>
    <w:rsid w:val="00D218E2"/>
    <w:rsid w:val="00D21C2A"/>
    <w:rsid w:val="00D22A9B"/>
    <w:rsid w:val="00D22B8E"/>
    <w:rsid w:val="00D22DD9"/>
    <w:rsid w:val="00D23BFA"/>
    <w:rsid w:val="00D23DFB"/>
    <w:rsid w:val="00D26796"/>
    <w:rsid w:val="00D26D74"/>
    <w:rsid w:val="00D27639"/>
    <w:rsid w:val="00D30FDA"/>
    <w:rsid w:val="00D312B7"/>
    <w:rsid w:val="00D3161E"/>
    <w:rsid w:val="00D319B8"/>
    <w:rsid w:val="00D35299"/>
    <w:rsid w:val="00D3571B"/>
    <w:rsid w:val="00D36B42"/>
    <w:rsid w:val="00D3704A"/>
    <w:rsid w:val="00D37099"/>
    <w:rsid w:val="00D37FCD"/>
    <w:rsid w:val="00D40542"/>
    <w:rsid w:val="00D43E0C"/>
    <w:rsid w:val="00D4425C"/>
    <w:rsid w:val="00D4496A"/>
    <w:rsid w:val="00D45382"/>
    <w:rsid w:val="00D46675"/>
    <w:rsid w:val="00D47BC6"/>
    <w:rsid w:val="00D47DAA"/>
    <w:rsid w:val="00D506BC"/>
    <w:rsid w:val="00D51E56"/>
    <w:rsid w:val="00D52064"/>
    <w:rsid w:val="00D52F6C"/>
    <w:rsid w:val="00D53164"/>
    <w:rsid w:val="00D5377E"/>
    <w:rsid w:val="00D5380D"/>
    <w:rsid w:val="00D538AF"/>
    <w:rsid w:val="00D53B09"/>
    <w:rsid w:val="00D53CCD"/>
    <w:rsid w:val="00D53E0A"/>
    <w:rsid w:val="00D54846"/>
    <w:rsid w:val="00D54BE3"/>
    <w:rsid w:val="00D551C7"/>
    <w:rsid w:val="00D55A03"/>
    <w:rsid w:val="00D55A46"/>
    <w:rsid w:val="00D56A4B"/>
    <w:rsid w:val="00D5707A"/>
    <w:rsid w:val="00D5785C"/>
    <w:rsid w:val="00D60BAD"/>
    <w:rsid w:val="00D61988"/>
    <w:rsid w:val="00D62022"/>
    <w:rsid w:val="00D62080"/>
    <w:rsid w:val="00D62D48"/>
    <w:rsid w:val="00D64209"/>
    <w:rsid w:val="00D64966"/>
    <w:rsid w:val="00D65607"/>
    <w:rsid w:val="00D65E8F"/>
    <w:rsid w:val="00D66AD5"/>
    <w:rsid w:val="00D66DD5"/>
    <w:rsid w:val="00D67CB9"/>
    <w:rsid w:val="00D703E9"/>
    <w:rsid w:val="00D70FFE"/>
    <w:rsid w:val="00D71F0A"/>
    <w:rsid w:val="00D721B7"/>
    <w:rsid w:val="00D74024"/>
    <w:rsid w:val="00D745F2"/>
    <w:rsid w:val="00D759A3"/>
    <w:rsid w:val="00D767D0"/>
    <w:rsid w:val="00D77C23"/>
    <w:rsid w:val="00D823C9"/>
    <w:rsid w:val="00D84AD7"/>
    <w:rsid w:val="00D85C34"/>
    <w:rsid w:val="00D863AF"/>
    <w:rsid w:val="00D8704B"/>
    <w:rsid w:val="00D8776F"/>
    <w:rsid w:val="00D90328"/>
    <w:rsid w:val="00D90AAE"/>
    <w:rsid w:val="00D90C94"/>
    <w:rsid w:val="00D9182E"/>
    <w:rsid w:val="00D93EF2"/>
    <w:rsid w:val="00D93F96"/>
    <w:rsid w:val="00D9567A"/>
    <w:rsid w:val="00D97C1B"/>
    <w:rsid w:val="00D97CAE"/>
    <w:rsid w:val="00D97FE0"/>
    <w:rsid w:val="00DA2F4B"/>
    <w:rsid w:val="00DA3145"/>
    <w:rsid w:val="00DA392A"/>
    <w:rsid w:val="00DA3B58"/>
    <w:rsid w:val="00DA3D88"/>
    <w:rsid w:val="00DA55A6"/>
    <w:rsid w:val="00DA597C"/>
    <w:rsid w:val="00DA6536"/>
    <w:rsid w:val="00DA6F8B"/>
    <w:rsid w:val="00DA7EFA"/>
    <w:rsid w:val="00DB13C0"/>
    <w:rsid w:val="00DB29AC"/>
    <w:rsid w:val="00DB2EC5"/>
    <w:rsid w:val="00DB2F86"/>
    <w:rsid w:val="00DB335C"/>
    <w:rsid w:val="00DB36CD"/>
    <w:rsid w:val="00DB3A6B"/>
    <w:rsid w:val="00DB3CB7"/>
    <w:rsid w:val="00DB451D"/>
    <w:rsid w:val="00DB571D"/>
    <w:rsid w:val="00DB6804"/>
    <w:rsid w:val="00DB74B9"/>
    <w:rsid w:val="00DC00D3"/>
    <w:rsid w:val="00DC0940"/>
    <w:rsid w:val="00DC2809"/>
    <w:rsid w:val="00DC3C89"/>
    <w:rsid w:val="00DC4184"/>
    <w:rsid w:val="00DC4337"/>
    <w:rsid w:val="00DC47D8"/>
    <w:rsid w:val="00DC4938"/>
    <w:rsid w:val="00DC5DE1"/>
    <w:rsid w:val="00DC68F1"/>
    <w:rsid w:val="00DC6A1C"/>
    <w:rsid w:val="00DD0CF2"/>
    <w:rsid w:val="00DD0E61"/>
    <w:rsid w:val="00DD1999"/>
    <w:rsid w:val="00DD1C5E"/>
    <w:rsid w:val="00DD2B20"/>
    <w:rsid w:val="00DD5A99"/>
    <w:rsid w:val="00DD6665"/>
    <w:rsid w:val="00DD682A"/>
    <w:rsid w:val="00DD77B1"/>
    <w:rsid w:val="00DE11C8"/>
    <w:rsid w:val="00DE22D2"/>
    <w:rsid w:val="00DE2B0A"/>
    <w:rsid w:val="00DE3DD6"/>
    <w:rsid w:val="00DE4453"/>
    <w:rsid w:val="00DE4604"/>
    <w:rsid w:val="00DE4DF9"/>
    <w:rsid w:val="00DE4DFB"/>
    <w:rsid w:val="00DE5FE7"/>
    <w:rsid w:val="00DE61EA"/>
    <w:rsid w:val="00DE6391"/>
    <w:rsid w:val="00DE64C6"/>
    <w:rsid w:val="00DE6973"/>
    <w:rsid w:val="00DE6BB9"/>
    <w:rsid w:val="00DE6E8D"/>
    <w:rsid w:val="00DE7F62"/>
    <w:rsid w:val="00DF1FC7"/>
    <w:rsid w:val="00DF229B"/>
    <w:rsid w:val="00DF2896"/>
    <w:rsid w:val="00DF2A1C"/>
    <w:rsid w:val="00DF4696"/>
    <w:rsid w:val="00DF5169"/>
    <w:rsid w:val="00DF55F7"/>
    <w:rsid w:val="00DF791F"/>
    <w:rsid w:val="00DF7D35"/>
    <w:rsid w:val="00E005E4"/>
    <w:rsid w:val="00E005F8"/>
    <w:rsid w:val="00E01756"/>
    <w:rsid w:val="00E02410"/>
    <w:rsid w:val="00E02F43"/>
    <w:rsid w:val="00E055FB"/>
    <w:rsid w:val="00E056F5"/>
    <w:rsid w:val="00E05F46"/>
    <w:rsid w:val="00E0698F"/>
    <w:rsid w:val="00E069DC"/>
    <w:rsid w:val="00E07038"/>
    <w:rsid w:val="00E11BBB"/>
    <w:rsid w:val="00E127D0"/>
    <w:rsid w:val="00E128EB"/>
    <w:rsid w:val="00E12A56"/>
    <w:rsid w:val="00E131EC"/>
    <w:rsid w:val="00E1329A"/>
    <w:rsid w:val="00E13A77"/>
    <w:rsid w:val="00E1414F"/>
    <w:rsid w:val="00E160B9"/>
    <w:rsid w:val="00E16B95"/>
    <w:rsid w:val="00E17F1E"/>
    <w:rsid w:val="00E20349"/>
    <w:rsid w:val="00E2166A"/>
    <w:rsid w:val="00E21F3D"/>
    <w:rsid w:val="00E2301A"/>
    <w:rsid w:val="00E25DB4"/>
    <w:rsid w:val="00E2656B"/>
    <w:rsid w:val="00E27A02"/>
    <w:rsid w:val="00E30594"/>
    <w:rsid w:val="00E3093A"/>
    <w:rsid w:val="00E315AB"/>
    <w:rsid w:val="00E337FA"/>
    <w:rsid w:val="00E33C7A"/>
    <w:rsid w:val="00E34CE9"/>
    <w:rsid w:val="00E358F4"/>
    <w:rsid w:val="00E35F84"/>
    <w:rsid w:val="00E36D6D"/>
    <w:rsid w:val="00E36E40"/>
    <w:rsid w:val="00E37747"/>
    <w:rsid w:val="00E37FA0"/>
    <w:rsid w:val="00E37FF2"/>
    <w:rsid w:val="00E40283"/>
    <w:rsid w:val="00E402DC"/>
    <w:rsid w:val="00E41644"/>
    <w:rsid w:val="00E41B51"/>
    <w:rsid w:val="00E420F8"/>
    <w:rsid w:val="00E421B9"/>
    <w:rsid w:val="00E42FCB"/>
    <w:rsid w:val="00E45274"/>
    <w:rsid w:val="00E45D74"/>
    <w:rsid w:val="00E45F6A"/>
    <w:rsid w:val="00E463B3"/>
    <w:rsid w:val="00E46AF6"/>
    <w:rsid w:val="00E4735C"/>
    <w:rsid w:val="00E47DBC"/>
    <w:rsid w:val="00E502FD"/>
    <w:rsid w:val="00E50481"/>
    <w:rsid w:val="00E506D1"/>
    <w:rsid w:val="00E51955"/>
    <w:rsid w:val="00E519D3"/>
    <w:rsid w:val="00E51B9B"/>
    <w:rsid w:val="00E531B2"/>
    <w:rsid w:val="00E5376A"/>
    <w:rsid w:val="00E53D1A"/>
    <w:rsid w:val="00E56748"/>
    <w:rsid w:val="00E56992"/>
    <w:rsid w:val="00E60338"/>
    <w:rsid w:val="00E60501"/>
    <w:rsid w:val="00E60F25"/>
    <w:rsid w:val="00E6156D"/>
    <w:rsid w:val="00E620F2"/>
    <w:rsid w:val="00E630FB"/>
    <w:rsid w:val="00E6332E"/>
    <w:rsid w:val="00E64FFE"/>
    <w:rsid w:val="00E655A3"/>
    <w:rsid w:val="00E65C89"/>
    <w:rsid w:val="00E65D24"/>
    <w:rsid w:val="00E67194"/>
    <w:rsid w:val="00E671D3"/>
    <w:rsid w:val="00E673B7"/>
    <w:rsid w:val="00E70061"/>
    <w:rsid w:val="00E70CB3"/>
    <w:rsid w:val="00E717AE"/>
    <w:rsid w:val="00E72080"/>
    <w:rsid w:val="00E72179"/>
    <w:rsid w:val="00E7217D"/>
    <w:rsid w:val="00E7274F"/>
    <w:rsid w:val="00E7479F"/>
    <w:rsid w:val="00E74BBD"/>
    <w:rsid w:val="00E75A52"/>
    <w:rsid w:val="00E77102"/>
    <w:rsid w:val="00E7732A"/>
    <w:rsid w:val="00E77679"/>
    <w:rsid w:val="00E8012C"/>
    <w:rsid w:val="00E80308"/>
    <w:rsid w:val="00E8157B"/>
    <w:rsid w:val="00E81DA3"/>
    <w:rsid w:val="00E821D0"/>
    <w:rsid w:val="00E828CA"/>
    <w:rsid w:val="00E8341F"/>
    <w:rsid w:val="00E843B3"/>
    <w:rsid w:val="00E87884"/>
    <w:rsid w:val="00E87C4A"/>
    <w:rsid w:val="00E900C5"/>
    <w:rsid w:val="00E90170"/>
    <w:rsid w:val="00E9145B"/>
    <w:rsid w:val="00E92237"/>
    <w:rsid w:val="00E922D3"/>
    <w:rsid w:val="00E92E39"/>
    <w:rsid w:val="00E942A8"/>
    <w:rsid w:val="00E94916"/>
    <w:rsid w:val="00E96349"/>
    <w:rsid w:val="00E973DC"/>
    <w:rsid w:val="00EA015D"/>
    <w:rsid w:val="00EA01C4"/>
    <w:rsid w:val="00EA04CE"/>
    <w:rsid w:val="00EA0D9C"/>
    <w:rsid w:val="00EA16B2"/>
    <w:rsid w:val="00EA3359"/>
    <w:rsid w:val="00EA46E5"/>
    <w:rsid w:val="00EA51F4"/>
    <w:rsid w:val="00EA5438"/>
    <w:rsid w:val="00EA56B4"/>
    <w:rsid w:val="00EA6AFC"/>
    <w:rsid w:val="00EA7B14"/>
    <w:rsid w:val="00EB0B5D"/>
    <w:rsid w:val="00EB1DE1"/>
    <w:rsid w:val="00EB23BB"/>
    <w:rsid w:val="00EB2BF3"/>
    <w:rsid w:val="00EB30C9"/>
    <w:rsid w:val="00EB5063"/>
    <w:rsid w:val="00EB5283"/>
    <w:rsid w:val="00EB6215"/>
    <w:rsid w:val="00EB7125"/>
    <w:rsid w:val="00EB7975"/>
    <w:rsid w:val="00EB7985"/>
    <w:rsid w:val="00EC030A"/>
    <w:rsid w:val="00EC18A3"/>
    <w:rsid w:val="00EC292A"/>
    <w:rsid w:val="00EC3304"/>
    <w:rsid w:val="00EC4261"/>
    <w:rsid w:val="00EC50DB"/>
    <w:rsid w:val="00EC545A"/>
    <w:rsid w:val="00EC566A"/>
    <w:rsid w:val="00EC5769"/>
    <w:rsid w:val="00EC587C"/>
    <w:rsid w:val="00EC6891"/>
    <w:rsid w:val="00EC69F3"/>
    <w:rsid w:val="00EC6AF3"/>
    <w:rsid w:val="00EC6AF7"/>
    <w:rsid w:val="00ED1346"/>
    <w:rsid w:val="00ED2AFF"/>
    <w:rsid w:val="00ED2D3A"/>
    <w:rsid w:val="00ED2EC0"/>
    <w:rsid w:val="00ED50E0"/>
    <w:rsid w:val="00ED5169"/>
    <w:rsid w:val="00ED5986"/>
    <w:rsid w:val="00ED5EC8"/>
    <w:rsid w:val="00ED70CE"/>
    <w:rsid w:val="00EE0744"/>
    <w:rsid w:val="00EE26D8"/>
    <w:rsid w:val="00EE32B4"/>
    <w:rsid w:val="00EE3A41"/>
    <w:rsid w:val="00EE3FC6"/>
    <w:rsid w:val="00EE623A"/>
    <w:rsid w:val="00EE65F0"/>
    <w:rsid w:val="00EE6B93"/>
    <w:rsid w:val="00EE781F"/>
    <w:rsid w:val="00EE7D6E"/>
    <w:rsid w:val="00EF05D4"/>
    <w:rsid w:val="00EF1298"/>
    <w:rsid w:val="00EF1920"/>
    <w:rsid w:val="00EF1F61"/>
    <w:rsid w:val="00EF3440"/>
    <w:rsid w:val="00EF3920"/>
    <w:rsid w:val="00EF4AC9"/>
    <w:rsid w:val="00EF54D6"/>
    <w:rsid w:val="00EF5908"/>
    <w:rsid w:val="00EF5EB5"/>
    <w:rsid w:val="00EF73D3"/>
    <w:rsid w:val="00F00CFB"/>
    <w:rsid w:val="00F00D6E"/>
    <w:rsid w:val="00F00F91"/>
    <w:rsid w:val="00F01085"/>
    <w:rsid w:val="00F02C31"/>
    <w:rsid w:val="00F03EC9"/>
    <w:rsid w:val="00F0433B"/>
    <w:rsid w:val="00F05371"/>
    <w:rsid w:val="00F05932"/>
    <w:rsid w:val="00F05BF8"/>
    <w:rsid w:val="00F06302"/>
    <w:rsid w:val="00F10E6D"/>
    <w:rsid w:val="00F10EC9"/>
    <w:rsid w:val="00F10F52"/>
    <w:rsid w:val="00F111E2"/>
    <w:rsid w:val="00F11272"/>
    <w:rsid w:val="00F11CB8"/>
    <w:rsid w:val="00F16D9B"/>
    <w:rsid w:val="00F17B49"/>
    <w:rsid w:val="00F2088C"/>
    <w:rsid w:val="00F20CB1"/>
    <w:rsid w:val="00F21437"/>
    <w:rsid w:val="00F228CC"/>
    <w:rsid w:val="00F23934"/>
    <w:rsid w:val="00F24155"/>
    <w:rsid w:val="00F242D6"/>
    <w:rsid w:val="00F24865"/>
    <w:rsid w:val="00F24B07"/>
    <w:rsid w:val="00F25535"/>
    <w:rsid w:val="00F25739"/>
    <w:rsid w:val="00F25E5B"/>
    <w:rsid w:val="00F2713B"/>
    <w:rsid w:val="00F304D3"/>
    <w:rsid w:val="00F30E04"/>
    <w:rsid w:val="00F3121E"/>
    <w:rsid w:val="00F319DD"/>
    <w:rsid w:val="00F31CC8"/>
    <w:rsid w:val="00F32A74"/>
    <w:rsid w:val="00F3518B"/>
    <w:rsid w:val="00F36BC1"/>
    <w:rsid w:val="00F40547"/>
    <w:rsid w:val="00F408BD"/>
    <w:rsid w:val="00F4189D"/>
    <w:rsid w:val="00F4216F"/>
    <w:rsid w:val="00F42314"/>
    <w:rsid w:val="00F42730"/>
    <w:rsid w:val="00F42C01"/>
    <w:rsid w:val="00F432AB"/>
    <w:rsid w:val="00F436D9"/>
    <w:rsid w:val="00F43704"/>
    <w:rsid w:val="00F43D55"/>
    <w:rsid w:val="00F44F3A"/>
    <w:rsid w:val="00F4536A"/>
    <w:rsid w:val="00F45FE8"/>
    <w:rsid w:val="00F46503"/>
    <w:rsid w:val="00F46DCE"/>
    <w:rsid w:val="00F473BA"/>
    <w:rsid w:val="00F478EC"/>
    <w:rsid w:val="00F47991"/>
    <w:rsid w:val="00F47E28"/>
    <w:rsid w:val="00F50061"/>
    <w:rsid w:val="00F50388"/>
    <w:rsid w:val="00F50F89"/>
    <w:rsid w:val="00F51339"/>
    <w:rsid w:val="00F52FD2"/>
    <w:rsid w:val="00F531DC"/>
    <w:rsid w:val="00F53748"/>
    <w:rsid w:val="00F538CF"/>
    <w:rsid w:val="00F53CE0"/>
    <w:rsid w:val="00F53F9F"/>
    <w:rsid w:val="00F541BD"/>
    <w:rsid w:val="00F547A3"/>
    <w:rsid w:val="00F56282"/>
    <w:rsid w:val="00F56C06"/>
    <w:rsid w:val="00F57096"/>
    <w:rsid w:val="00F57A3D"/>
    <w:rsid w:val="00F62698"/>
    <w:rsid w:val="00F635AD"/>
    <w:rsid w:val="00F63964"/>
    <w:rsid w:val="00F654E0"/>
    <w:rsid w:val="00F7014C"/>
    <w:rsid w:val="00F70B1F"/>
    <w:rsid w:val="00F70E1F"/>
    <w:rsid w:val="00F70F85"/>
    <w:rsid w:val="00F71B96"/>
    <w:rsid w:val="00F72435"/>
    <w:rsid w:val="00F72595"/>
    <w:rsid w:val="00F72AFF"/>
    <w:rsid w:val="00F74821"/>
    <w:rsid w:val="00F75C41"/>
    <w:rsid w:val="00F764FC"/>
    <w:rsid w:val="00F76862"/>
    <w:rsid w:val="00F7778B"/>
    <w:rsid w:val="00F77970"/>
    <w:rsid w:val="00F77B0D"/>
    <w:rsid w:val="00F8102D"/>
    <w:rsid w:val="00F81090"/>
    <w:rsid w:val="00F834F9"/>
    <w:rsid w:val="00F867BA"/>
    <w:rsid w:val="00F87897"/>
    <w:rsid w:val="00F87B63"/>
    <w:rsid w:val="00F90271"/>
    <w:rsid w:val="00F90340"/>
    <w:rsid w:val="00F9289A"/>
    <w:rsid w:val="00F92DF7"/>
    <w:rsid w:val="00F948FB"/>
    <w:rsid w:val="00F94E1A"/>
    <w:rsid w:val="00F9509D"/>
    <w:rsid w:val="00F96273"/>
    <w:rsid w:val="00F97D05"/>
    <w:rsid w:val="00FA09AF"/>
    <w:rsid w:val="00FA1124"/>
    <w:rsid w:val="00FA3E38"/>
    <w:rsid w:val="00FA5545"/>
    <w:rsid w:val="00FA55AA"/>
    <w:rsid w:val="00FA615E"/>
    <w:rsid w:val="00FA7101"/>
    <w:rsid w:val="00FA7739"/>
    <w:rsid w:val="00FB0547"/>
    <w:rsid w:val="00FB2FDD"/>
    <w:rsid w:val="00FB3BDC"/>
    <w:rsid w:val="00FB3FD7"/>
    <w:rsid w:val="00FB62BE"/>
    <w:rsid w:val="00FB6386"/>
    <w:rsid w:val="00FC2555"/>
    <w:rsid w:val="00FC45A8"/>
    <w:rsid w:val="00FC50D4"/>
    <w:rsid w:val="00FC58B7"/>
    <w:rsid w:val="00FC715B"/>
    <w:rsid w:val="00FC7E02"/>
    <w:rsid w:val="00FD16BD"/>
    <w:rsid w:val="00FD37B5"/>
    <w:rsid w:val="00FD3FDC"/>
    <w:rsid w:val="00FD4757"/>
    <w:rsid w:val="00FD4CB9"/>
    <w:rsid w:val="00FD4EE7"/>
    <w:rsid w:val="00FD5DF1"/>
    <w:rsid w:val="00FD7FE0"/>
    <w:rsid w:val="00FE0699"/>
    <w:rsid w:val="00FE15E9"/>
    <w:rsid w:val="00FE1F46"/>
    <w:rsid w:val="00FE2721"/>
    <w:rsid w:val="00FE2AE4"/>
    <w:rsid w:val="00FE369B"/>
    <w:rsid w:val="00FE3C4B"/>
    <w:rsid w:val="00FE42F8"/>
    <w:rsid w:val="00FE5262"/>
    <w:rsid w:val="00FE55CF"/>
    <w:rsid w:val="00FE6BCF"/>
    <w:rsid w:val="00FF0D3D"/>
    <w:rsid w:val="00FF1DA5"/>
    <w:rsid w:val="00FF1FE6"/>
    <w:rsid w:val="00FF6B63"/>
    <w:rsid w:val="00FF7081"/>
    <w:rsid w:val="00FF7D18"/>
    <w:rsid w:val="00FF7E08"/>
    <w:rsid w:val="01101FB2"/>
    <w:rsid w:val="0111585B"/>
    <w:rsid w:val="01415CD2"/>
    <w:rsid w:val="017634E4"/>
    <w:rsid w:val="01A912DA"/>
    <w:rsid w:val="01A95359"/>
    <w:rsid w:val="01B65D6B"/>
    <w:rsid w:val="01C42B8B"/>
    <w:rsid w:val="020F3E3B"/>
    <w:rsid w:val="020F585B"/>
    <w:rsid w:val="02624152"/>
    <w:rsid w:val="026B5620"/>
    <w:rsid w:val="02963DFC"/>
    <w:rsid w:val="02BD720C"/>
    <w:rsid w:val="034A7CBD"/>
    <w:rsid w:val="03595555"/>
    <w:rsid w:val="035E6E25"/>
    <w:rsid w:val="039D7B38"/>
    <w:rsid w:val="03C25991"/>
    <w:rsid w:val="03D87216"/>
    <w:rsid w:val="04150238"/>
    <w:rsid w:val="04706FFA"/>
    <w:rsid w:val="04F44D17"/>
    <w:rsid w:val="04FC49B8"/>
    <w:rsid w:val="053346E4"/>
    <w:rsid w:val="059C5A3C"/>
    <w:rsid w:val="05E6612A"/>
    <w:rsid w:val="06500E17"/>
    <w:rsid w:val="065169B7"/>
    <w:rsid w:val="0665030C"/>
    <w:rsid w:val="067C4C0F"/>
    <w:rsid w:val="06A5135D"/>
    <w:rsid w:val="06D27AF8"/>
    <w:rsid w:val="06E4782C"/>
    <w:rsid w:val="06EE2458"/>
    <w:rsid w:val="06EF6037"/>
    <w:rsid w:val="07535590"/>
    <w:rsid w:val="07A7461B"/>
    <w:rsid w:val="07C301EB"/>
    <w:rsid w:val="07C93273"/>
    <w:rsid w:val="07CD206E"/>
    <w:rsid w:val="07D465AB"/>
    <w:rsid w:val="08010BE6"/>
    <w:rsid w:val="080950AE"/>
    <w:rsid w:val="084E7652"/>
    <w:rsid w:val="08850B9A"/>
    <w:rsid w:val="08EF4AFC"/>
    <w:rsid w:val="08FA25D2"/>
    <w:rsid w:val="09120680"/>
    <w:rsid w:val="09146933"/>
    <w:rsid w:val="09BF422F"/>
    <w:rsid w:val="09F2640F"/>
    <w:rsid w:val="0A067C3B"/>
    <w:rsid w:val="0A461507"/>
    <w:rsid w:val="0A887B1D"/>
    <w:rsid w:val="0ADE38FD"/>
    <w:rsid w:val="0B217CEC"/>
    <w:rsid w:val="0B317F8F"/>
    <w:rsid w:val="0B3E7C46"/>
    <w:rsid w:val="0B5036E2"/>
    <w:rsid w:val="0B747064"/>
    <w:rsid w:val="0B8230A3"/>
    <w:rsid w:val="0BFB1AD5"/>
    <w:rsid w:val="0C7E427E"/>
    <w:rsid w:val="0CB07770"/>
    <w:rsid w:val="0CD45C4C"/>
    <w:rsid w:val="0CFA2AD0"/>
    <w:rsid w:val="0D037946"/>
    <w:rsid w:val="0D190730"/>
    <w:rsid w:val="0DA41AC3"/>
    <w:rsid w:val="0DC43F13"/>
    <w:rsid w:val="0DFA2BFE"/>
    <w:rsid w:val="0E3270CE"/>
    <w:rsid w:val="0E4D64C8"/>
    <w:rsid w:val="0E9B7F18"/>
    <w:rsid w:val="0EDC547B"/>
    <w:rsid w:val="0F443124"/>
    <w:rsid w:val="0F621C35"/>
    <w:rsid w:val="0F640E0F"/>
    <w:rsid w:val="0F734171"/>
    <w:rsid w:val="0F85657A"/>
    <w:rsid w:val="0FC14BAE"/>
    <w:rsid w:val="0FE95324"/>
    <w:rsid w:val="0FF37FCF"/>
    <w:rsid w:val="1028647B"/>
    <w:rsid w:val="10370A0C"/>
    <w:rsid w:val="10FB7B84"/>
    <w:rsid w:val="11203B56"/>
    <w:rsid w:val="1182211B"/>
    <w:rsid w:val="119838F5"/>
    <w:rsid w:val="11983F16"/>
    <w:rsid w:val="119E69F0"/>
    <w:rsid w:val="11A958FA"/>
    <w:rsid w:val="11C12C43"/>
    <w:rsid w:val="11E15093"/>
    <w:rsid w:val="11E569CB"/>
    <w:rsid w:val="11E93F48"/>
    <w:rsid w:val="12034DF2"/>
    <w:rsid w:val="12745F08"/>
    <w:rsid w:val="12D521DD"/>
    <w:rsid w:val="12D839D1"/>
    <w:rsid w:val="12E804D5"/>
    <w:rsid w:val="13215580"/>
    <w:rsid w:val="132650F8"/>
    <w:rsid w:val="133576D0"/>
    <w:rsid w:val="136452C0"/>
    <w:rsid w:val="13A10F7E"/>
    <w:rsid w:val="13B710B6"/>
    <w:rsid w:val="142A4914"/>
    <w:rsid w:val="14634486"/>
    <w:rsid w:val="14800779"/>
    <w:rsid w:val="14AB38D4"/>
    <w:rsid w:val="15504E1F"/>
    <w:rsid w:val="155F001F"/>
    <w:rsid w:val="157D7A67"/>
    <w:rsid w:val="15B8610B"/>
    <w:rsid w:val="168E69B2"/>
    <w:rsid w:val="16CE53F5"/>
    <w:rsid w:val="16F75359"/>
    <w:rsid w:val="17A471A8"/>
    <w:rsid w:val="17B374D2"/>
    <w:rsid w:val="181300B2"/>
    <w:rsid w:val="18296142"/>
    <w:rsid w:val="183C1F53"/>
    <w:rsid w:val="1881312C"/>
    <w:rsid w:val="188A5A9D"/>
    <w:rsid w:val="18C56D3B"/>
    <w:rsid w:val="18D771F0"/>
    <w:rsid w:val="18F17B7A"/>
    <w:rsid w:val="19045B0B"/>
    <w:rsid w:val="19571313"/>
    <w:rsid w:val="19D779EC"/>
    <w:rsid w:val="19E219ED"/>
    <w:rsid w:val="19F31E08"/>
    <w:rsid w:val="1A0C4C78"/>
    <w:rsid w:val="1A180016"/>
    <w:rsid w:val="1A3259AD"/>
    <w:rsid w:val="1A3B555D"/>
    <w:rsid w:val="1A8500A5"/>
    <w:rsid w:val="1AAE72A7"/>
    <w:rsid w:val="1B053056"/>
    <w:rsid w:val="1BD21D89"/>
    <w:rsid w:val="1C1451B2"/>
    <w:rsid w:val="1C2629F1"/>
    <w:rsid w:val="1C517F83"/>
    <w:rsid w:val="1D526E45"/>
    <w:rsid w:val="1DB7139E"/>
    <w:rsid w:val="1DD535C0"/>
    <w:rsid w:val="1DF1679E"/>
    <w:rsid w:val="1E3A477C"/>
    <w:rsid w:val="1EA336D1"/>
    <w:rsid w:val="1EEA0D43"/>
    <w:rsid w:val="1EF415B4"/>
    <w:rsid w:val="1F170BE0"/>
    <w:rsid w:val="1FFF6B11"/>
    <w:rsid w:val="20BC03EC"/>
    <w:rsid w:val="20E701EC"/>
    <w:rsid w:val="21014D2E"/>
    <w:rsid w:val="215658B1"/>
    <w:rsid w:val="219A4905"/>
    <w:rsid w:val="221548E5"/>
    <w:rsid w:val="22173671"/>
    <w:rsid w:val="22511181"/>
    <w:rsid w:val="22563043"/>
    <w:rsid w:val="229248DE"/>
    <w:rsid w:val="22AA7723"/>
    <w:rsid w:val="22BA1565"/>
    <w:rsid w:val="22E456B7"/>
    <w:rsid w:val="232C7111"/>
    <w:rsid w:val="232F19D7"/>
    <w:rsid w:val="233A4603"/>
    <w:rsid w:val="23403BE4"/>
    <w:rsid w:val="234467AB"/>
    <w:rsid w:val="237F4FDE"/>
    <w:rsid w:val="23BA3996"/>
    <w:rsid w:val="23FA0466"/>
    <w:rsid w:val="240A3215"/>
    <w:rsid w:val="24433734"/>
    <w:rsid w:val="24763AB7"/>
    <w:rsid w:val="248D2E59"/>
    <w:rsid w:val="25020536"/>
    <w:rsid w:val="25033A80"/>
    <w:rsid w:val="25461985"/>
    <w:rsid w:val="255B3E00"/>
    <w:rsid w:val="25732620"/>
    <w:rsid w:val="25A14BA2"/>
    <w:rsid w:val="25C61D14"/>
    <w:rsid w:val="260113C2"/>
    <w:rsid w:val="260449B7"/>
    <w:rsid w:val="26107771"/>
    <w:rsid w:val="261B0AA7"/>
    <w:rsid w:val="26487E79"/>
    <w:rsid w:val="26860885"/>
    <w:rsid w:val="26BF6828"/>
    <w:rsid w:val="270C6416"/>
    <w:rsid w:val="273F2A16"/>
    <w:rsid w:val="27441CC8"/>
    <w:rsid w:val="27481510"/>
    <w:rsid w:val="278B6C42"/>
    <w:rsid w:val="27A94840"/>
    <w:rsid w:val="27AC56E3"/>
    <w:rsid w:val="27E535C9"/>
    <w:rsid w:val="286979D7"/>
    <w:rsid w:val="2891709F"/>
    <w:rsid w:val="28E107A2"/>
    <w:rsid w:val="29020ABB"/>
    <w:rsid w:val="2944442E"/>
    <w:rsid w:val="294F2A84"/>
    <w:rsid w:val="296B4121"/>
    <w:rsid w:val="29960B9A"/>
    <w:rsid w:val="29A6176B"/>
    <w:rsid w:val="2A212706"/>
    <w:rsid w:val="2A334FBD"/>
    <w:rsid w:val="2A375458"/>
    <w:rsid w:val="2AB27EDE"/>
    <w:rsid w:val="2B1E2A5D"/>
    <w:rsid w:val="2B231E21"/>
    <w:rsid w:val="2B245020"/>
    <w:rsid w:val="2B5E72FD"/>
    <w:rsid w:val="2B5F363F"/>
    <w:rsid w:val="2B634FBD"/>
    <w:rsid w:val="2B7D3A54"/>
    <w:rsid w:val="2B830B12"/>
    <w:rsid w:val="2B920D55"/>
    <w:rsid w:val="2B936FA7"/>
    <w:rsid w:val="2C1B212E"/>
    <w:rsid w:val="2C362F15"/>
    <w:rsid w:val="2CFF241A"/>
    <w:rsid w:val="2D5221E7"/>
    <w:rsid w:val="2D60110A"/>
    <w:rsid w:val="2D6107C2"/>
    <w:rsid w:val="2DD12008"/>
    <w:rsid w:val="2E444588"/>
    <w:rsid w:val="2E4A66F8"/>
    <w:rsid w:val="2E8801EE"/>
    <w:rsid w:val="2EDF1E7E"/>
    <w:rsid w:val="2EF531C6"/>
    <w:rsid w:val="2F94153F"/>
    <w:rsid w:val="2FC242FE"/>
    <w:rsid w:val="2FD440C0"/>
    <w:rsid w:val="2FE87156"/>
    <w:rsid w:val="301B02BA"/>
    <w:rsid w:val="304F2588"/>
    <w:rsid w:val="3055592C"/>
    <w:rsid w:val="30656A38"/>
    <w:rsid w:val="30943D2F"/>
    <w:rsid w:val="30B654E5"/>
    <w:rsid w:val="30BA4FD6"/>
    <w:rsid w:val="30E14F91"/>
    <w:rsid w:val="30EF5831"/>
    <w:rsid w:val="312F519A"/>
    <w:rsid w:val="313E5C07"/>
    <w:rsid w:val="31740BD8"/>
    <w:rsid w:val="318E140C"/>
    <w:rsid w:val="31AD68E8"/>
    <w:rsid w:val="31C75889"/>
    <w:rsid w:val="3200110E"/>
    <w:rsid w:val="32716216"/>
    <w:rsid w:val="3287772F"/>
    <w:rsid w:val="32C61150"/>
    <w:rsid w:val="32D721E1"/>
    <w:rsid w:val="32EF5E01"/>
    <w:rsid w:val="330B38C7"/>
    <w:rsid w:val="33267180"/>
    <w:rsid w:val="3367054F"/>
    <w:rsid w:val="336D071C"/>
    <w:rsid w:val="33904F7E"/>
    <w:rsid w:val="33B201E6"/>
    <w:rsid w:val="34050C5E"/>
    <w:rsid w:val="342237CC"/>
    <w:rsid w:val="347A2453"/>
    <w:rsid w:val="348C4B17"/>
    <w:rsid w:val="34930D92"/>
    <w:rsid w:val="350D5DEE"/>
    <w:rsid w:val="35164262"/>
    <w:rsid w:val="351729F7"/>
    <w:rsid w:val="35266411"/>
    <w:rsid w:val="353D343A"/>
    <w:rsid w:val="35867B20"/>
    <w:rsid w:val="35A41005"/>
    <w:rsid w:val="35CF1523"/>
    <w:rsid w:val="369B7EDF"/>
    <w:rsid w:val="36C13010"/>
    <w:rsid w:val="371D006C"/>
    <w:rsid w:val="37AB4837"/>
    <w:rsid w:val="381B0A50"/>
    <w:rsid w:val="385F357C"/>
    <w:rsid w:val="38765C86"/>
    <w:rsid w:val="38887767"/>
    <w:rsid w:val="38AB0436"/>
    <w:rsid w:val="38B042EE"/>
    <w:rsid w:val="397523E2"/>
    <w:rsid w:val="397B107A"/>
    <w:rsid w:val="399A5379"/>
    <w:rsid w:val="39A24859"/>
    <w:rsid w:val="39CB2002"/>
    <w:rsid w:val="3A266863"/>
    <w:rsid w:val="3A653769"/>
    <w:rsid w:val="3B136517"/>
    <w:rsid w:val="3B7244EF"/>
    <w:rsid w:val="3BA94498"/>
    <w:rsid w:val="3C107B84"/>
    <w:rsid w:val="3C1622DD"/>
    <w:rsid w:val="3C1A012A"/>
    <w:rsid w:val="3C1E3BBE"/>
    <w:rsid w:val="3C29411D"/>
    <w:rsid w:val="3D277BF5"/>
    <w:rsid w:val="3D5A3DC8"/>
    <w:rsid w:val="3DA768E2"/>
    <w:rsid w:val="3DB30D52"/>
    <w:rsid w:val="3DC12254"/>
    <w:rsid w:val="3DD97C8D"/>
    <w:rsid w:val="3DEE79A0"/>
    <w:rsid w:val="3DFC6C2D"/>
    <w:rsid w:val="3E1201FF"/>
    <w:rsid w:val="3E366731"/>
    <w:rsid w:val="3E4D2C4B"/>
    <w:rsid w:val="3E4F22C8"/>
    <w:rsid w:val="3E7F135B"/>
    <w:rsid w:val="3E993FCC"/>
    <w:rsid w:val="3ECA0ADA"/>
    <w:rsid w:val="3F353B42"/>
    <w:rsid w:val="3F724796"/>
    <w:rsid w:val="3FE26263"/>
    <w:rsid w:val="3FE90322"/>
    <w:rsid w:val="3FF971C0"/>
    <w:rsid w:val="408420BB"/>
    <w:rsid w:val="40D33704"/>
    <w:rsid w:val="40FE73AD"/>
    <w:rsid w:val="41565937"/>
    <w:rsid w:val="41C06A10"/>
    <w:rsid w:val="41D00779"/>
    <w:rsid w:val="42310E70"/>
    <w:rsid w:val="42544D6B"/>
    <w:rsid w:val="42E9148A"/>
    <w:rsid w:val="43122A4F"/>
    <w:rsid w:val="43137B46"/>
    <w:rsid w:val="43831F55"/>
    <w:rsid w:val="438C104B"/>
    <w:rsid w:val="43EC7FC3"/>
    <w:rsid w:val="441B5AA4"/>
    <w:rsid w:val="44297E41"/>
    <w:rsid w:val="44374290"/>
    <w:rsid w:val="445D36B1"/>
    <w:rsid w:val="44B37668"/>
    <w:rsid w:val="44CC56D0"/>
    <w:rsid w:val="44D501D8"/>
    <w:rsid w:val="44DD33A0"/>
    <w:rsid w:val="44F94751"/>
    <w:rsid w:val="44FB4BBF"/>
    <w:rsid w:val="4541761C"/>
    <w:rsid w:val="45835E86"/>
    <w:rsid w:val="458F58BE"/>
    <w:rsid w:val="45EC031F"/>
    <w:rsid w:val="45F823D0"/>
    <w:rsid w:val="4614088C"/>
    <w:rsid w:val="46674C7C"/>
    <w:rsid w:val="46AB4E9E"/>
    <w:rsid w:val="46B71AE4"/>
    <w:rsid w:val="46FD57C4"/>
    <w:rsid w:val="471562DB"/>
    <w:rsid w:val="471A45C8"/>
    <w:rsid w:val="4740402F"/>
    <w:rsid w:val="47497350"/>
    <w:rsid w:val="474D4056"/>
    <w:rsid w:val="47603949"/>
    <w:rsid w:val="478A52AA"/>
    <w:rsid w:val="47A74B69"/>
    <w:rsid w:val="47C65C99"/>
    <w:rsid w:val="47F80EF3"/>
    <w:rsid w:val="480B4BFD"/>
    <w:rsid w:val="488E2B78"/>
    <w:rsid w:val="489832A1"/>
    <w:rsid w:val="48A73C3A"/>
    <w:rsid w:val="48F05286"/>
    <w:rsid w:val="490A030F"/>
    <w:rsid w:val="49A716A5"/>
    <w:rsid w:val="49A96BD9"/>
    <w:rsid w:val="49B57605"/>
    <w:rsid w:val="49BE599F"/>
    <w:rsid w:val="4A875F18"/>
    <w:rsid w:val="4AE20F59"/>
    <w:rsid w:val="4AF37504"/>
    <w:rsid w:val="4B0326F8"/>
    <w:rsid w:val="4B07535B"/>
    <w:rsid w:val="4B1F2BBB"/>
    <w:rsid w:val="4B1F5161"/>
    <w:rsid w:val="4B6B5764"/>
    <w:rsid w:val="4BAF34FA"/>
    <w:rsid w:val="4BEC0155"/>
    <w:rsid w:val="4C4902C6"/>
    <w:rsid w:val="4C603682"/>
    <w:rsid w:val="4C707265"/>
    <w:rsid w:val="4D9F4D2C"/>
    <w:rsid w:val="4DA04681"/>
    <w:rsid w:val="4EFA5CAC"/>
    <w:rsid w:val="4F0A0A7E"/>
    <w:rsid w:val="4F1B712F"/>
    <w:rsid w:val="4F4F5FCB"/>
    <w:rsid w:val="4F72505A"/>
    <w:rsid w:val="4F9F0519"/>
    <w:rsid w:val="50002380"/>
    <w:rsid w:val="500D0826"/>
    <w:rsid w:val="507210BD"/>
    <w:rsid w:val="5080101B"/>
    <w:rsid w:val="50811214"/>
    <w:rsid w:val="50C11611"/>
    <w:rsid w:val="50DC36EE"/>
    <w:rsid w:val="50DD75B9"/>
    <w:rsid w:val="513749B3"/>
    <w:rsid w:val="515672E9"/>
    <w:rsid w:val="51976B08"/>
    <w:rsid w:val="52151C14"/>
    <w:rsid w:val="523302EC"/>
    <w:rsid w:val="52493D5C"/>
    <w:rsid w:val="524A26A8"/>
    <w:rsid w:val="529945F3"/>
    <w:rsid w:val="530A729F"/>
    <w:rsid w:val="536310C8"/>
    <w:rsid w:val="537D2167"/>
    <w:rsid w:val="53AE2320"/>
    <w:rsid w:val="544F45AF"/>
    <w:rsid w:val="54E7744E"/>
    <w:rsid w:val="55277EAD"/>
    <w:rsid w:val="554276CD"/>
    <w:rsid w:val="554A7E27"/>
    <w:rsid w:val="55CA4039"/>
    <w:rsid w:val="55DD6F17"/>
    <w:rsid w:val="5637484F"/>
    <w:rsid w:val="56443294"/>
    <w:rsid w:val="567B0CBC"/>
    <w:rsid w:val="56960238"/>
    <w:rsid w:val="56AF5AF8"/>
    <w:rsid w:val="577E336E"/>
    <w:rsid w:val="580E5A83"/>
    <w:rsid w:val="58287414"/>
    <w:rsid w:val="589D5E08"/>
    <w:rsid w:val="593376EE"/>
    <w:rsid w:val="59582C6C"/>
    <w:rsid w:val="595C7E29"/>
    <w:rsid w:val="59A57D21"/>
    <w:rsid w:val="59B77A55"/>
    <w:rsid w:val="59CF33D3"/>
    <w:rsid w:val="5A81165A"/>
    <w:rsid w:val="5A8C2AB9"/>
    <w:rsid w:val="5AAB75B9"/>
    <w:rsid w:val="5B0867BA"/>
    <w:rsid w:val="5B0B12A0"/>
    <w:rsid w:val="5B0D5B7E"/>
    <w:rsid w:val="5B115639"/>
    <w:rsid w:val="5B3E21DC"/>
    <w:rsid w:val="5BA549E9"/>
    <w:rsid w:val="5BEF797A"/>
    <w:rsid w:val="5BF82712"/>
    <w:rsid w:val="5BFC15C5"/>
    <w:rsid w:val="5C5B6DBD"/>
    <w:rsid w:val="5C610E45"/>
    <w:rsid w:val="5CBC3D00"/>
    <w:rsid w:val="5CE2702C"/>
    <w:rsid w:val="5D1551BE"/>
    <w:rsid w:val="5D63417B"/>
    <w:rsid w:val="5D743B69"/>
    <w:rsid w:val="5D861C18"/>
    <w:rsid w:val="5DA86032"/>
    <w:rsid w:val="5DB04DB9"/>
    <w:rsid w:val="5DC56BE4"/>
    <w:rsid w:val="5DE30E18"/>
    <w:rsid w:val="5E0464D2"/>
    <w:rsid w:val="5E0B591A"/>
    <w:rsid w:val="5E1E00A2"/>
    <w:rsid w:val="5E3E0745"/>
    <w:rsid w:val="5E4C2E61"/>
    <w:rsid w:val="5E7238AF"/>
    <w:rsid w:val="5E78037A"/>
    <w:rsid w:val="5E817C29"/>
    <w:rsid w:val="5E842182"/>
    <w:rsid w:val="5E8B6BF7"/>
    <w:rsid w:val="5ECC0D90"/>
    <w:rsid w:val="5ECE050B"/>
    <w:rsid w:val="5EF06D5F"/>
    <w:rsid w:val="5F1E3693"/>
    <w:rsid w:val="5F1E7164"/>
    <w:rsid w:val="5F364B05"/>
    <w:rsid w:val="5F5F4E16"/>
    <w:rsid w:val="5FAA1D1A"/>
    <w:rsid w:val="5FC37153"/>
    <w:rsid w:val="5FFF2150"/>
    <w:rsid w:val="60023C8F"/>
    <w:rsid w:val="60172FFB"/>
    <w:rsid w:val="6025396A"/>
    <w:rsid w:val="606D70BF"/>
    <w:rsid w:val="60823F80"/>
    <w:rsid w:val="608A3F50"/>
    <w:rsid w:val="60931857"/>
    <w:rsid w:val="60A76942"/>
    <w:rsid w:val="60E761A9"/>
    <w:rsid w:val="61442516"/>
    <w:rsid w:val="6152018E"/>
    <w:rsid w:val="61CE6D35"/>
    <w:rsid w:val="61D45648"/>
    <w:rsid w:val="620263AB"/>
    <w:rsid w:val="623D36E3"/>
    <w:rsid w:val="62A74B0A"/>
    <w:rsid w:val="62BA482D"/>
    <w:rsid w:val="62BF7C51"/>
    <w:rsid w:val="631E5CAD"/>
    <w:rsid w:val="63317086"/>
    <w:rsid w:val="63725D0E"/>
    <w:rsid w:val="638A31EC"/>
    <w:rsid w:val="639018D1"/>
    <w:rsid w:val="63ED0C43"/>
    <w:rsid w:val="64177A6E"/>
    <w:rsid w:val="641A755E"/>
    <w:rsid w:val="641E0DFC"/>
    <w:rsid w:val="649D0C50"/>
    <w:rsid w:val="64C6241A"/>
    <w:rsid w:val="64C70422"/>
    <w:rsid w:val="64F16511"/>
    <w:rsid w:val="650E4DE5"/>
    <w:rsid w:val="6571230A"/>
    <w:rsid w:val="65884052"/>
    <w:rsid w:val="65A23E19"/>
    <w:rsid w:val="65C94D98"/>
    <w:rsid w:val="65D75707"/>
    <w:rsid w:val="660563ED"/>
    <w:rsid w:val="662A244F"/>
    <w:rsid w:val="66F27A6C"/>
    <w:rsid w:val="67851192"/>
    <w:rsid w:val="67E660D5"/>
    <w:rsid w:val="67E81911"/>
    <w:rsid w:val="68253615"/>
    <w:rsid w:val="686A1C23"/>
    <w:rsid w:val="6906312E"/>
    <w:rsid w:val="69551F42"/>
    <w:rsid w:val="6A085D71"/>
    <w:rsid w:val="6A5A6906"/>
    <w:rsid w:val="6A5F5CCB"/>
    <w:rsid w:val="6A8169BA"/>
    <w:rsid w:val="6A8D6CDC"/>
    <w:rsid w:val="6AF74D12"/>
    <w:rsid w:val="6B202806"/>
    <w:rsid w:val="6B2F7D93"/>
    <w:rsid w:val="6B560E7C"/>
    <w:rsid w:val="6B96571C"/>
    <w:rsid w:val="6C787517"/>
    <w:rsid w:val="6C9A4D76"/>
    <w:rsid w:val="6CBF13CB"/>
    <w:rsid w:val="6CE10C19"/>
    <w:rsid w:val="6D082649"/>
    <w:rsid w:val="6D6A50B2"/>
    <w:rsid w:val="6D8A650F"/>
    <w:rsid w:val="6DA3601F"/>
    <w:rsid w:val="6DD923E6"/>
    <w:rsid w:val="6E023C70"/>
    <w:rsid w:val="6E791EB6"/>
    <w:rsid w:val="6E995F15"/>
    <w:rsid w:val="6EB63FC7"/>
    <w:rsid w:val="6EBC6FBF"/>
    <w:rsid w:val="6EBE3907"/>
    <w:rsid w:val="6F3E05A4"/>
    <w:rsid w:val="6FA971F0"/>
    <w:rsid w:val="6FBF1C4F"/>
    <w:rsid w:val="6FF56708"/>
    <w:rsid w:val="703A3509"/>
    <w:rsid w:val="70BE1CC1"/>
    <w:rsid w:val="70DD5B9B"/>
    <w:rsid w:val="70F76C5D"/>
    <w:rsid w:val="71167885"/>
    <w:rsid w:val="713F5CFA"/>
    <w:rsid w:val="7141437C"/>
    <w:rsid w:val="71665975"/>
    <w:rsid w:val="71804EA4"/>
    <w:rsid w:val="718B6892"/>
    <w:rsid w:val="718D4B5B"/>
    <w:rsid w:val="71BA13EF"/>
    <w:rsid w:val="71E35433"/>
    <w:rsid w:val="71E52F59"/>
    <w:rsid w:val="72133F6A"/>
    <w:rsid w:val="724F3431"/>
    <w:rsid w:val="72F13B80"/>
    <w:rsid w:val="73041B05"/>
    <w:rsid w:val="737D698E"/>
    <w:rsid w:val="73DF324D"/>
    <w:rsid w:val="73E515B6"/>
    <w:rsid w:val="741A51E1"/>
    <w:rsid w:val="747C597A"/>
    <w:rsid w:val="74A40EAA"/>
    <w:rsid w:val="74D15B6D"/>
    <w:rsid w:val="74E4574A"/>
    <w:rsid w:val="75096549"/>
    <w:rsid w:val="751834B0"/>
    <w:rsid w:val="752F5FFD"/>
    <w:rsid w:val="754742BA"/>
    <w:rsid w:val="754A769E"/>
    <w:rsid w:val="75716319"/>
    <w:rsid w:val="75770645"/>
    <w:rsid w:val="75972BB4"/>
    <w:rsid w:val="76120095"/>
    <w:rsid w:val="767A6F44"/>
    <w:rsid w:val="76A81442"/>
    <w:rsid w:val="76B04A9A"/>
    <w:rsid w:val="770976EA"/>
    <w:rsid w:val="770B3462"/>
    <w:rsid w:val="771341BE"/>
    <w:rsid w:val="775743C4"/>
    <w:rsid w:val="776668EA"/>
    <w:rsid w:val="779C055E"/>
    <w:rsid w:val="782C7B34"/>
    <w:rsid w:val="7847671C"/>
    <w:rsid w:val="78B25EE0"/>
    <w:rsid w:val="78DA7590"/>
    <w:rsid w:val="78DD2BDC"/>
    <w:rsid w:val="7908577F"/>
    <w:rsid w:val="79800339"/>
    <w:rsid w:val="79C87163"/>
    <w:rsid w:val="79D33FDF"/>
    <w:rsid w:val="79E852B0"/>
    <w:rsid w:val="79E87A8A"/>
    <w:rsid w:val="7A066163"/>
    <w:rsid w:val="7A3443FD"/>
    <w:rsid w:val="7A5549F4"/>
    <w:rsid w:val="7A7257BF"/>
    <w:rsid w:val="7ADE49EA"/>
    <w:rsid w:val="7B476A33"/>
    <w:rsid w:val="7B476B4B"/>
    <w:rsid w:val="7BA95770"/>
    <w:rsid w:val="7BD06A28"/>
    <w:rsid w:val="7BF73FB5"/>
    <w:rsid w:val="7C042B76"/>
    <w:rsid w:val="7C201D9F"/>
    <w:rsid w:val="7C6049C4"/>
    <w:rsid w:val="7C75591A"/>
    <w:rsid w:val="7C8F68E3"/>
    <w:rsid w:val="7CA0464C"/>
    <w:rsid w:val="7CB55B91"/>
    <w:rsid w:val="7D0D3FA6"/>
    <w:rsid w:val="7D144A09"/>
    <w:rsid w:val="7D16383D"/>
    <w:rsid w:val="7D16490F"/>
    <w:rsid w:val="7D7B0C16"/>
    <w:rsid w:val="7D9B4E14"/>
    <w:rsid w:val="7DAA4571"/>
    <w:rsid w:val="7DBA4644"/>
    <w:rsid w:val="7DD27ABB"/>
    <w:rsid w:val="7E6F669E"/>
    <w:rsid w:val="7E717724"/>
    <w:rsid w:val="7E725B75"/>
    <w:rsid w:val="7F62644E"/>
    <w:rsid w:val="7F934E56"/>
    <w:rsid w:val="7FE94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60"/>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61"/>
    <w:autoRedefine/>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2"/>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63"/>
    <w:autoRedefine/>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4"/>
    <w:autoRedefine/>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5"/>
    <w:autoRedefine/>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6"/>
    <w:autoRedefine/>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18"/>
      <w:szCs w:val="18"/>
    </w:rPr>
  </w:style>
  <w:style w:type="paragraph" w:styleId="12">
    <w:name w:val="Normal Indent"/>
    <w:basedOn w:val="1"/>
    <w:autoRedefine/>
    <w:qFormat/>
    <w:uiPriority w:val="99"/>
    <w:pPr>
      <w:widowControl/>
      <w:ind w:firstLine="420"/>
      <w:jc w:val="left"/>
    </w:pPr>
    <w:rPr>
      <w:kern w:val="0"/>
      <w:sz w:val="20"/>
      <w:szCs w:val="20"/>
    </w:rPr>
  </w:style>
  <w:style w:type="paragraph" w:styleId="13">
    <w:name w:val="caption"/>
    <w:basedOn w:val="1"/>
    <w:next w:val="1"/>
    <w:autoRedefine/>
    <w:qFormat/>
    <w:uiPriority w:val="99"/>
    <w:rPr>
      <w:rFonts w:ascii="Cambria" w:hAnsi="Cambria" w:eastAsia="黑体" w:cs="Cambria"/>
      <w:sz w:val="20"/>
      <w:szCs w:val="20"/>
    </w:rPr>
  </w:style>
  <w:style w:type="paragraph" w:styleId="14">
    <w:name w:val="Document Map"/>
    <w:basedOn w:val="1"/>
    <w:link w:val="67"/>
    <w:autoRedefine/>
    <w:qFormat/>
    <w:uiPriority w:val="99"/>
    <w:pPr>
      <w:shd w:val="clear" w:color="auto" w:fill="000080"/>
    </w:pPr>
  </w:style>
  <w:style w:type="paragraph" w:styleId="15">
    <w:name w:val="annotation text"/>
    <w:basedOn w:val="1"/>
    <w:link w:val="68"/>
    <w:autoRedefine/>
    <w:qFormat/>
    <w:uiPriority w:val="0"/>
    <w:pPr>
      <w:jc w:val="left"/>
    </w:pPr>
  </w:style>
  <w:style w:type="paragraph" w:styleId="16">
    <w:name w:val="Body Text 3"/>
    <w:basedOn w:val="1"/>
    <w:link w:val="69"/>
    <w:autoRedefine/>
    <w:qFormat/>
    <w:uiPriority w:val="0"/>
    <w:rPr>
      <w:rFonts w:ascii="宋体"/>
      <w:sz w:val="24"/>
      <w:szCs w:val="20"/>
    </w:rPr>
  </w:style>
  <w:style w:type="paragraph" w:styleId="17">
    <w:name w:val="Body Text"/>
    <w:basedOn w:val="1"/>
    <w:autoRedefine/>
    <w:qFormat/>
    <w:uiPriority w:val="99"/>
    <w:pPr>
      <w:spacing w:after="120"/>
    </w:pPr>
  </w:style>
  <w:style w:type="paragraph" w:styleId="18">
    <w:name w:val="Body Text Indent"/>
    <w:basedOn w:val="1"/>
    <w:link w:val="70"/>
    <w:autoRedefine/>
    <w:qFormat/>
    <w:uiPriority w:val="0"/>
    <w:pPr>
      <w:spacing w:line="200" w:lineRule="exact"/>
      <w:ind w:firstLine="301"/>
    </w:pPr>
    <w:rPr>
      <w:rFonts w:ascii="宋体" w:hAnsi="Courier New"/>
      <w:spacing w:val="-4"/>
      <w:sz w:val="18"/>
      <w:szCs w:val="20"/>
    </w:rPr>
  </w:style>
  <w:style w:type="paragraph" w:styleId="19">
    <w:name w:val="Block Text"/>
    <w:basedOn w:val="1"/>
    <w:autoRedefine/>
    <w:qFormat/>
    <w:uiPriority w:val="0"/>
    <w:pPr>
      <w:widowControl/>
      <w:spacing w:after="120" w:line="357" w:lineRule="atLeast"/>
      <w:ind w:left="1440" w:right="1440"/>
      <w:textAlignment w:val="baseline"/>
    </w:pPr>
    <w:rPr>
      <w:color w:val="000000"/>
      <w:kern w:val="0"/>
      <w:szCs w:val="20"/>
      <w:u w:color="000000"/>
    </w:rPr>
  </w:style>
  <w:style w:type="paragraph" w:styleId="20">
    <w:name w:val="index 4"/>
    <w:basedOn w:val="1"/>
    <w:next w:val="1"/>
    <w:autoRedefine/>
    <w:qFormat/>
    <w:uiPriority w:val="99"/>
    <w:pPr>
      <w:ind w:left="600" w:leftChars="600"/>
    </w:pPr>
    <w:rPr>
      <w:szCs w:val="21"/>
    </w:rPr>
  </w:style>
  <w:style w:type="paragraph" w:styleId="21">
    <w:name w:val="toc 5"/>
    <w:basedOn w:val="1"/>
    <w:next w:val="1"/>
    <w:autoRedefine/>
    <w:qFormat/>
    <w:uiPriority w:val="39"/>
    <w:pPr>
      <w:ind w:left="840"/>
      <w:jc w:val="left"/>
    </w:pPr>
    <w:rPr>
      <w:sz w:val="18"/>
      <w:szCs w:val="18"/>
    </w:rPr>
  </w:style>
  <w:style w:type="paragraph" w:styleId="22">
    <w:name w:val="toc 3"/>
    <w:basedOn w:val="1"/>
    <w:next w:val="1"/>
    <w:autoRedefine/>
    <w:qFormat/>
    <w:uiPriority w:val="39"/>
    <w:pPr>
      <w:ind w:left="840" w:leftChars="400"/>
    </w:pPr>
  </w:style>
  <w:style w:type="paragraph" w:styleId="23">
    <w:name w:val="Plain Text"/>
    <w:basedOn w:val="1"/>
    <w:next w:val="5"/>
    <w:link w:val="71"/>
    <w:autoRedefine/>
    <w:qFormat/>
    <w:uiPriority w:val="0"/>
    <w:rPr>
      <w:rFonts w:ascii="宋体" w:hAnsi="Courier New"/>
      <w:szCs w:val="20"/>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72"/>
    <w:autoRedefine/>
    <w:qFormat/>
    <w:uiPriority w:val="99"/>
    <w:pPr>
      <w:ind w:left="100" w:leftChars="2500"/>
    </w:pPr>
  </w:style>
  <w:style w:type="paragraph" w:styleId="26">
    <w:name w:val="Body Text Indent 2"/>
    <w:basedOn w:val="1"/>
    <w:link w:val="73"/>
    <w:autoRedefine/>
    <w:qFormat/>
    <w:uiPriority w:val="99"/>
    <w:pPr>
      <w:spacing w:after="120" w:line="480" w:lineRule="auto"/>
      <w:ind w:left="420" w:leftChars="200"/>
    </w:pPr>
  </w:style>
  <w:style w:type="paragraph" w:styleId="27">
    <w:name w:val="Balloon Text"/>
    <w:basedOn w:val="1"/>
    <w:link w:val="74"/>
    <w:autoRedefine/>
    <w:semiHidden/>
    <w:qFormat/>
    <w:uiPriority w:val="99"/>
    <w:rPr>
      <w:sz w:val="18"/>
      <w:szCs w:val="18"/>
    </w:rPr>
  </w:style>
  <w:style w:type="paragraph" w:styleId="28">
    <w:name w:val="footer"/>
    <w:basedOn w:val="1"/>
    <w:next w:val="1"/>
    <w:link w:val="75"/>
    <w:autoRedefine/>
    <w:qFormat/>
    <w:uiPriority w:val="99"/>
    <w:pPr>
      <w:tabs>
        <w:tab w:val="center" w:pos="4153"/>
        <w:tab w:val="right" w:pos="8306"/>
      </w:tabs>
      <w:snapToGrid w:val="0"/>
      <w:jc w:val="left"/>
    </w:pPr>
    <w:rPr>
      <w:sz w:val="18"/>
      <w:szCs w:val="18"/>
    </w:rPr>
  </w:style>
  <w:style w:type="paragraph" w:styleId="29">
    <w:name w:val="header"/>
    <w:basedOn w:val="1"/>
    <w:link w:val="76"/>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left" w:pos="840"/>
        <w:tab w:val="right" w:leader="dot" w:pos="9628"/>
      </w:tabs>
    </w:pPr>
  </w:style>
  <w:style w:type="paragraph" w:styleId="31">
    <w:name w:val="toc 4"/>
    <w:basedOn w:val="1"/>
    <w:next w:val="1"/>
    <w:autoRedefine/>
    <w:qFormat/>
    <w:uiPriority w:val="39"/>
    <w:pPr>
      <w:ind w:left="630"/>
      <w:jc w:val="left"/>
    </w:pPr>
    <w:rPr>
      <w:sz w:val="18"/>
      <w:szCs w:val="18"/>
    </w:rPr>
  </w:style>
  <w:style w:type="paragraph" w:styleId="32">
    <w:name w:val="Subtitle"/>
    <w:basedOn w:val="1"/>
    <w:next w:val="1"/>
    <w:link w:val="77"/>
    <w:autoRedefine/>
    <w:qFormat/>
    <w:uiPriority w:val="11"/>
    <w:pPr>
      <w:spacing w:before="240" w:after="60" w:line="312" w:lineRule="auto"/>
      <w:jc w:val="center"/>
      <w:outlineLvl w:val="1"/>
    </w:pPr>
    <w:rPr>
      <w:rFonts w:ascii="Cambria" w:hAnsi="Cambria"/>
      <w:b/>
      <w:bCs/>
      <w:kern w:val="28"/>
      <w:sz w:val="32"/>
      <w:szCs w:val="32"/>
    </w:rPr>
  </w:style>
  <w:style w:type="paragraph" w:styleId="33">
    <w:name w:val="footnote text"/>
    <w:basedOn w:val="1"/>
    <w:link w:val="78"/>
    <w:autoRedefine/>
    <w:qFormat/>
    <w:uiPriority w:val="99"/>
    <w:pPr>
      <w:adjustRightInd w:val="0"/>
      <w:spacing w:line="312" w:lineRule="atLeast"/>
      <w:jc w:val="left"/>
      <w:textAlignment w:val="baseline"/>
    </w:pPr>
    <w:rPr>
      <w:kern w:val="0"/>
      <w:sz w:val="18"/>
      <w:szCs w:val="18"/>
    </w:rPr>
  </w:style>
  <w:style w:type="paragraph" w:styleId="34">
    <w:name w:val="toc 6"/>
    <w:basedOn w:val="1"/>
    <w:next w:val="1"/>
    <w:autoRedefine/>
    <w:qFormat/>
    <w:uiPriority w:val="39"/>
    <w:pPr>
      <w:ind w:left="1050"/>
      <w:jc w:val="left"/>
    </w:pPr>
    <w:rPr>
      <w:sz w:val="18"/>
      <w:szCs w:val="18"/>
    </w:rPr>
  </w:style>
  <w:style w:type="paragraph" w:styleId="35">
    <w:name w:val="Body Text Indent 3"/>
    <w:basedOn w:val="1"/>
    <w:link w:val="79"/>
    <w:autoRedefine/>
    <w:qFormat/>
    <w:uiPriority w:val="0"/>
    <w:pPr>
      <w:spacing w:after="120"/>
      <w:ind w:left="420" w:leftChars="200"/>
    </w:pPr>
    <w:rPr>
      <w:sz w:val="16"/>
      <w:szCs w:val="16"/>
    </w:rPr>
  </w:style>
  <w:style w:type="paragraph" w:styleId="36">
    <w:name w:val="toc 2"/>
    <w:basedOn w:val="1"/>
    <w:next w:val="1"/>
    <w:autoRedefine/>
    <w:qFormat/>
    <w:uiPriority w:val="39"/>
    <w:pPr>
      <w:ind w:left="420" w:leftChars="200"/>
    </w:pPr>
  </w:style>
  <w:style w:type="paragraph" w:styleId="37">
    <w:name w:val="toc 9"/>
    <w:basedOn w:val="1"/>
    <w:next w:val="1"/>
    <w:autoRedefine/>
    <w:qFormat/>
    <w:uiPriority w:val="39"/>
    <w:pPr>
      <w:ind w:left="1680"/>
      <w:jc w:val="left"/>
    </w:pPr>
    <w:rPr>
      <w:sz w:val="18"/>
      <w:szCs w:val="18"/>
    </w:rPr>
  </w:style>
  <w:style w:type="paragraph" w:styleId="38">
    <w:name w:val="Body Text 2"/>
    <w:basedOn w:val="1"/>
    <w:link w:val="80"/>
    <w:autoRedefine/>
    <w:qFormat/>
    <w:uiPriority w:val="0"/>
    <w:pPr>
      <w:spacing w:after="120" w:line="480" w:lineRule="auto"/>
    </w:pPr>
  </w:style>
  <w:style w:type="paragraph" w:styleId="39">
    <w:name w:val="HTML Preformatted"/>
    <w:basedOn w:val="1"/>
    <w:link w:val="8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autoRedefine/>
    <w:semiHidden/>
    <w:qFormat/>
    <w:uiPriority w:val="0"/>
    <w:pPr>
      <w:spacing w:line="300" w:lineRule="exact"/>
      <w:ind w:firstLine="430" w:firstLineChars="205"/>
    </w:pPr>
    <w:rPr>
      <w:rFonts w:ascii="宋体" w:hAnsi="Courier New"/>
      <w:bCs/>
      <w:szCs w:val="36"/>
    </w:rPr>
  </w:style>
  <w:style w:type="paragraph" w:styleId="42">
    <w:name w:val="Title"/>
    <w:basedOn w:val="1"/>
    <w:link w:val="82"/>
    <w:autoRedefine/>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15"/>
    <w:next w:val="15"/>
    <w:link w:val="83"/>
    <w:autoRedefine/>
    <w:semiHidden/>
    <w:qFormat/>
    <w:uiPriority w:val="99"/>
    <w:rPr>
      <w:b/>
      <w:bCs/>
    </w:r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22"/>
    <w:rPr>
      <w:b/>
      <w:bCs/>
    </w:rPr>
  </w:style>
  <w:style w:type="character" w:styleId="48">
    <w:name w:val="page number"/>
    <w:autoRedefine/>
    <w:qFormat/>
    <w:uiPriority w:val="0"/>
  </w:style>
  <w:style w:type="character" w:styleId="49">
    <w:name w:val="FollowedHyperlink"/>
    <w:autoRedefine/>
    <w:qFormat/>
    <w:uiPriority w:val="99"/>
    <w:rPr>
      <w:rFonts w:ascii="Arial" w:hAnsi="Arial" w:eastAsia="黑体"/>
      <w:color w:val="800080"/>
      <w:kern w:val="2"/>
      <w:sz w:val="21"/>
      <w:szCs w:val="21"/>
      <w:u w:val="single"/>
      <w:lang w:val="en-US" w:eastAsia="zh-CN" w:bidi="ar-SA"/>
    </w:rPr>
  </w:style>
  <w:style w:type="character" w:styleId="50">
    <w:name w:val="Emphasis"/>
    <w:autoRedefine/>
    <w:qFormat/>
    <w:uiPriority w:val="99"/>
    <w:rPr>
      <w:color w:val="CC0000"/>
      <w:sz w:val="24"/>
      <w:szCs w:val="24"/>
    </w:rPr>
  </w:style>
  <w:style w:type="character" w:styleId="51">
    <w:name w:val="HTML Definition"/>
    <w:basedOn w:val="46"/>
    <w:autoRedefine/>
    <w:qFormat/>
    <w:uiPriority w:val="0"/>
    <w:rPr>
      <w:i/>
      <w:iCs/>
    </w:rPr>
  </w:style>
  <w:style w:type="character" w:styleId="52">
    <w:name w:val="Hyperlink"/>
    <w:basedOn w:val="46"/>
    <w:autoRedefine/>
    <w:qFormat/>
    <w:uiPriority w:val="99"/>
    <w:rPr>
      <w:color w:val="3177FD"/>
      <w:u w:val="none"/>
    </w:rPr>
  </w:style>
  <w:style w:type="character" w:styleId="53">
    <w:name w:val="HTML Code"/>
    <w:basedOn w:val="46"/>
    <w:autoRedefine/>
    <w:qFormat/>
    <w:uiPriority w:val="0"/>
    <w:rPr>
      <w:rFonts w:hint="default" w:ascii="Consolas" w:hAnsi="Consolas" w:eastAsia="Consolas" w:cs="Consolas"/>
      <w:sz w:val="21"/>
      <w:szCs w:val="21"/>
    </w:rPr>
  </w:style>
  <w:style w:type="character" w:styleId="54">
    <w:name w:val="annotation reference"/>
    <w:autoRedefine/>
    <w:qFormat/>
    <w:uiPriority w:val="0"/>
    <w:rPr>
      <w:sz w:val="21"/>
      <w:szCs w:val="21"/>
    </w:rPr>
  </w:style>
  <w:style w:type="character" w:styleId="55">
    <w:name w:val="HTML Keyboard"/>
    <w:basedOn w:val="46"/>
    <w:autoRedefine/>
    <w:qFormat/>
    <w:uiPriority w:val="0"/>
    <w:rPr>
      <w:rFonts w:ascii="Consolas" w:hAnsi="Consolas" w:eastAsia="Consolas" w:cs="Consolas"/>
      <w:sz w:val="21"/>
      <w:szCs w:val="21"/>
    </w:rPr>
  </w:style>
  <w:style w:type="character" w:styleId="56">
    <w:name w:val="HTML Sample"/>
    <w:basedOn w:val="46"/>
    <w:autoRedefine/>
    <w:qFormat/>
    <w:uiPriority w:val="0"/>
    <w:rPr>
      <w:rFonts w:hint="default" w:ascii="Consolas" w:hAnsi="Consolas" w:eastAsia="Consolas" w:cs="Consolas"/>
      <w:sz w:val="21"/>
      <w:szCs w:val="21"/>
    </w:rPr>
  </w:style>
  <w:style w:type="paragraph" w:customStyle="1" w:styleId="57">
    <w:name w:val="Default"/>
    <w:autoRedefine/>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58">
    <w:name w:val="BodyText"/>
    <w:basedOn w:val="1"/>
    <w:next w:val="1"/>
    <w:autoRedefine/>
    <w:qFormat/>
    <w:uiPriority w:val="0"/>
    <w:pPr>
      <w:textAlignment w:val="baseline"/>
    </w:pPr>
    <w:rPr>
      <w:szCs w:val="21"/>
    </w:rPr>
  </w:style>
  <w:style w:type="paragraph" w:customStyle="1" w:styleId="59">
    <w:name w:val="表格文字"/>
    <w:basedOn w:val="1"/>
    <w:autoRedefine/>
    <w:qFormat/>
    <w:uiPriority w:val="0"/>
    <w:pPr>
      <w:adjustRightInd w:val="0"/>
      <w:spacing w:line="420" w:lineRule="atLeast"/>
      <w:jc w:val="left"/>
      <w:textAlignment w:val="baseline"/>
    </w:pPr>
    <w:rPr>
      <w:kern w:val="0"/>
      <w:szCs w:val="20"/>
    </w:rPr>
  </w:style>
  <w:style w:type="character" w:customStyle="1" w:styleId="60">
    <w:name w:val="标题 2 字符"/>
    <w:link w:val="4"/>
    <w:autoRedefine/>
    <w:qFormat/>
    <w:locked/>
    <w:uiPriority w:val="99"/>
    <w:rPr>
      <w:rFonts w:ascii="Arial" w:hAnsi="Arial" w:eastAsia="黑体"/>
      <w:b/>
      <w:bCs/>
      <w:kern w:val="2"/>
      <w:sz w:val="32"/>
      <w:szCs w:val="32"/>
    </w:rPr>
  </w:style>
  <w:style w:type="character" w:customStyle="1" w:styleId="61">
    <w:name w:val="标题 4 字符"/>
    <w:link w:val="5"/>
    <w:autoRedefine/>
    <w:qFormat/>
    <w:uiPriority w:val="99"/>
    <w:rPr>
      <w:rFonts w:ascii="Arial" w:hAnsi="Arial" w:eastAsia="黑体"/>
      <w:b/>
      <w:bCs/>
      <w:kern w:val="2"/>
      <w:sz w:val="28"/>
      <w:szCs w:val="28"/>
    </w:rPr>
  </w:style>
  <w:style w:type="character" w:customStyle="1" w:styleId="62">
    <w:name w:val="标题 5 字符"/>
    <w:link w:val="6"/>
    <w:autoRedefine/>
    <w:qFormat/>
    <w:uiPriority w:val="99"/>
    <w:rPr>
      <w:b/>
      <w:bCs/>
      <w:kern w:val="2"/>
      <w:sz w:val="28"/>
      <w:szCs w:val="28"/>
    </w:rPr>
  </w:style>
  <w:style w:type="character" w:customStyle="1" w:styleId="63">
    <w:name w:val="标题 6 字符"/>
    <w:link w:val="7"/>
    <w:autoRedefine/>
    <w:qFormat/>
    <w:uiPriority w:val="9"/>
    <w:rPr>
      <w:rFonts w:ascii="Arial" w:hAnsi="Arial" w:eastAsia="黑体"/>
      <w:b/>
      <w:bCs/>
      <w:sz w:val="24"/>
      <w:szCs w:val="24"/>
    </w:rPr>
  </w:style>
  <w:style w:type="character" w:customStyle="1" w:styleId="64">
    <w:name w:val="标题 7 字符"/>
    <w:link w:val="8"/>
    <w:autoRedefine/>
    <w:qFormat/>
    <w:uiPriority w:val="9"/>
    <w:rPr>
      <w:b/>
      <w:bCs/>
      <w:sz w:val="24"/>
      <w:szCs w:val="24"/>
    </w:rPr>
  </w:style>
  <w:style w:type="character" w:customStyle="1" w:styleId="65">
    <w:name w:val="标题 8 字符"/>
    <w:link w:val="9"/>
    <w:autoRedefine/>
    <w:qFormat/>
    <w:uiPriority w:val="9"/>
    <w:rPr>
      <w:rFonts w:ascii="Arial" w:hAnsi="Arial" w:eastAsia="黑体"/>
      <w:sz w:val="24"/>
      <w:szCs w:val="24"/>
    </w:rPr>
  </w:style>
  <w:style w:type="character" w:customStyle="1" w:styleId="66">
    <w:name w:val="标题 9 字符"/>
    <w:link w:val="10"/>
    <w:autoRedefine/>
    <w:qFormat/>
    <w:uiPriority w:val="9"/>
    <w:rPr>
      <w:rFonts w:ascii="Arial" w:hAnsi="Arial" w:eastAsia="黑体"/>
      <w:sz w:val="21"/>
      <w:szCs w:val="21"/>
    </w:rPr>
  </w:style>
  <w:style w:type="character" w:customStyle="1" w:styleId="67">
    <w:name w:val="文档结构图 字符"/>
    <w:link w:val="14"/>
    <w:autoRedefine/>
    <w:qFormat/>
    <w:uiPriority w:val="99"/>
    <w:rPr>
      <w:kern w:val="2"/>
      <w:sz w:val="21"/>
      <w:szCs w:val="24"/>
      <w:shd w:val="clear" w:color="auto" w:fill="000080"/>
    </w:rPr>
  </w:style>
  <w:style w:type="character" w:customStyle="1" w:styleId="68">
    <w:name w:val="批注文字 字符"/>
    <w:link w:val="15"/>
    <w:autoRedefine/>
    <w:qFormat/>
    <w:locked/>
    <w:uiPriority w:val="0"/>
    <w:rPr>
      <w:kern w:val="2"/>
      <w:sz w:val="21"/>
      <w:szCs w:val="24"/>
    </w:rPr>
  </w:style>
  <w:style w:type="character" w:customStyle="1" w:styleId="69">
    <w:name w:val="正文文本 3 字符"/>
    <w:link w:val="16"/>
    <w:autoRedefine/>
    <w:qFormat/>
    <w:uiPriority w:val="0"/>
    <w:rPr>
      <w:rFonts w:ascii="宋体"/>
      <w:kern w:val="2"/>
      <w:sz w:val="24"/>
    </w:rPr>
  </w:style>
  <w:style w:type="character" w:customStyle="1" w:styleId="70">
    <w:name w:val="正文文本缩进 字符"/>
    <w:link w:val="18"/>
    <w:autoRedefine/>
    <w:qFormat/>
    <w:locked/>
    <w:uiPriority w:val="0"/>
    <w:rPr>
      <w:rFonts w:ascii="宋体" w:hAnsi="Courier New"/>
      <w:spacing w:val="-4"/>
      <w:kern w:val="2"/>
      <w:sz w:val="18"/>
    </w:rPr>
  </w:style>
  <w:style w:type="character" w:customStyle="1" w:styleId="71">
    <w:name w:val="纯文本 字符"/>
    <w:link w:val="23"/>
    <w:autoRedefine/>
    <w:qFormat/>
    <w:uiPriority w:val="0"/>
    <w:rPr>
      <w:rFonts w:ascii="宋体" w:hAnsi="Courier New" w:eastAsia="宋体"/>
      <w:kern w:val="2"/>
      <w:sz w:val="21"/>
      <w:lang w:val="en-US" w:eastAsia="zh-CN" w:bidi="ar-SA"/>
    </w:rPr>
  </w:style>
  <w:style w:type="character" w:customStyle="1" w:styleId="72">
    <w:name w:val="日期 字符"/>
    <w:link w:val="25"/>
    <w:autoRedefine/>
    <w:qFormat/>
    <w:locked/>
    <w:uiPriority w:val="99"/>
    <w:rPr>
      <w:kern w:val="2"/>
      <w:sz w:val="21"/>
      <w:szCs w:val="24"/>
    </w:rPr>
  </w:style>
  <w:style w:type="character" w:customStyle="1" w:styleId="73">
    <w:name w:val="正文文本缩进 2 字符"/>
    <w:link w:val="26"/>
    <w:autoRedefine/>
    <w:qFormat/>
    <w:locked/>
    <w:uiPriority w:val="99"/>
    <w:rPr>
      <w:kern w:val="2"/>
      <w:sz w:val="21"/>
      <w:szCs w:val="24"/>
    </w:rPr>
  </w:style>
  <w:style w:type="character" w:customStyle="1" w:styleId="74">
    <w:name w:val="批注框文本 字符"/>
    <w:link w:val="27"/>
    <w:autoRedefine/>
    <w:semiHidden/>
    <w:qFormat/>
    <w:locked/>
    <w:uiPriority w:val="99"/>
    <w:rPr>
      <w:kern w:val="2"/>
      <w:sz w:val="18"/>
      <w:szCs w:val="18"/>
    </w:rPr>
  </w:style>
  <w:style w:type="character" w:customStyle="1" w:styleId="75">
    <w:name w:val="页脚 字符"/>
    <w:link w:val="28"/>
    <w:autoRedefine/>
    <w:qFormat/>
    <w:uiPriority w:val="99"/>
    <w:rPr>
      <w:kern w:val="2"/>
      <w:sz w:val="18"/>
      <w:szCs w:val="18"/>
    </w:rPr>
  </w:style>
  <w:style w:type="character" w:customStyle="1" w:styleId="76">
    <w:name w:val="页眉 字符"/>
    <w:link w:val="29"/>
    <w:autoRedefine/>
    <w:qFormat/>
    <w:uiPriority w:val="0"/>
    <w:rPr>
      <w:kern w:val="2"/>
      <w:sz w:val="18"/>
      <w:szCs w:val="18"/>
    </w:rPr>
  </w:style>
  <w:style w:type="character" w:customStyle="1" w:styleId="77">
    <w:name w:val="副标题 字符"/>
    <w:link w:val="32"/>
    <w:autoRedefine/>
    <w:qFormat/>
    <w:uiPriority w:val="11"/>
    <w:rPr>
      <w:rFonts w:ascii="Cambria" w:hAnsi="Cambria"/>
      <w:b/>
      <w:bCs/>
      <w:kern w:val="28"/>
      <w:sz w:val="32"/>
      <w:szCs w:val="32"/>
    </w:rPr>
  </w:style>
  <w:style w:type="character" w:customStyle="1" w:styleId="78">
    <w:name w:val="脚注文本 字符"/>
    <w:link w:val="33"/>
    <w:autoRedefine/>
    <w:qFormat/>
    <w:uiPriority w:val="99"/>
    <w:rPr>
      <w:sz w:val="18"/>
      <w:szCs w:val="18"/>
    </w:rPr>
  </w:style>
  <w:style w:type="character" w:customStyle="1" w:styleId="79">
    <w:name w:val="正文文本缩进 3 字符"/>
    <w:link w:val="35"/>
    <w:autoRedefine/>
    <w:qFormat/>
    <w:uiPriority w:val="0"/>
    <w:rPr>
      <w:kern w:val="2"/>
      <w:sz w:val="16"/>
      <w:szCs w:val="16"/>
    </w:rPr>
  </w:style>
  <w:style w:type="character" w:customStyle="1" w:styleId="80">
    <w:name w:val="正文文本 2 字符"/>
    <w:link w:val="38"/>
    <w:autoRedefine/>
    <w:qFormat/>
    <w:uiPriority w:val="0"/>
    <w:rPr>
      <w:kern w:val="2"/>
      <w:sz w:val="21"/>
      <w:szCs w:val="24"/>
    </w:rPr>
  </w:style>
  <w:style w:type="character" w:customStyle="1" w:styleId="81">
    <w:name w:val="HTML 预设格式 字符"/>
    <w:link w:val="39"/>
    <w:autoRedefine/>
    <w:qFormat/>
    <w:uiPriority w:val="0"/>
    <w:rPr>
      <w:rFonts w:ascii="Arial" w:hAnsi="Arial" w:cs="Arial"/>
      <w:sz w:val="24"/>
      <w:szCs w:val="24"/>
    </w:rPr>
  </w:style>
  <w:style w:type="character" w:customStyle="1" w:styleId="82">
    <w:name w:val="标题 字符"/>
    <w:link w:val="42"/>
    <w:autoRedefine/>
    <w:qFormat/>
    <w:uiPriority w:val="99"/>
    <w:rPr>
      <w:rFonts w:ascii="Arial" w:hAnsi="Arial"/>
      <w:b/>
      <w:sz w:val="32"/>
    </w:rPr>
  </w:style>
  <w:style w:type="character" w:customStyle="1" w:styleId="83">
    <w:name w:val="批注主题 字符"/>
    <w:link w:val="43"/>
    <w:autoRedefine/>
    <w:semiHidden/>
    <w:qFormat/>
    <w:locked/>
    <w:uiPriority w:val="99"/>
    <w:rPr>
      <w:b/>
      <w:bCs/>
      <w:kern w:val="2"/>
      <w:sz w:val="21"/>
      <w:szCs w:val="24"/>
    </w:rPr>
  </w:style>
  <w:style w:type="character" w:customStyle="1" w:styleId="84">
    <w:name w:val="Plain Text Char"/>
    <w:autoRedefine/>
    <w:qFormat/>
    <w:uiPriority w:val="99"/>
    <w:rPr>
      <w:rFonts w:ascii="宋体" w:hAnsi="Courier New" w:eastAsia="宋体" w:cs="宋体"/>
      <w:sz w:val="24"/>
      <w:szCs w:val="24"/>
    </w:rPr>
  </w:style>
  <w:style w:type="character" w:customStyle="1" w:styleId="85">
    <w:name w:val="引用 Char1"/>
    <w:autoRedefine/>
    <w:qFormat/>
    <w:uiPriority w:val="99"/>
    <w:rPr>
      <w:rFonts w:ascii="Times New Roman" w:hAnsi="Times New Roman" w:eastAsia="宋体" w:cs="Times New Roman"/>
      <w:i/>
      <w:iCs/>
      <w:color w:val="000000"/>
      <w:sz w:val="24"/>
      <w:szCs w:val="24"/>
    </w:rPr>
  </w:style>
  <w:style w:type="character" w:customStyle="1" w:styleId="86">
    <w:name w:val="Heading 5 Char"/>
    <w:autoRedefine/>
    <w:qFormat/>
    <w:uiPriority w:val="99"/>
    <w:rPr>
      <w:rFonts w:eastAsia="宋体"/>
      <w:b/>
      <w:bCs/>
      <w:kern w:val="2"/>
      <w:sz w:val="28"/>
      <w:szCs w:val="28"/>
      <w:lang w:val="en-US" w:eastAsia="zh-CN"/>
    </w:rPr>
  </w:style>
  <w:style w:type="character" w:customStyle="1" w:styleId="87">
    <w:name w:val="10"/>
    <w:autoRedefine/>
    <w:qFormat/>
    <w:uiPriority w:val="0"/>
  </w:style>
  <w:style w:type="character" w:customStyle="1" w:styleId="88">
    <w:name w:val="cjn1"/>
    <w:autoRedefine/>
    <w:qFormat/>
    <w:uiPriority w:val="0"/>
    <w:rPr>
      <w:rFonts w:ascii="宋体" w:hAnsi="宋体" w:eastAsia="宋体"/>
      <w:spacing w:val="500"/>
      <w:sz w:val="22"/>
      <w:szCs w:val="22"/>
      <w:u w:val="none"/>
    </w:rPr>
  </w:style>
  <w:style w:type="character" w:customStyle="1" w:styleId="89">
    <w:name w:val="NormalCharacter"/>
    <w:autoRedefine/>
    <w:semiHidden/>
    <w:qFormat/>
    <w:uiPriority w:val="0"/>
  </w:style>
  <w:style w:type="character" w:customStyle="1" w:styleId="90">
    <w:name w:val="Footer Char"/>
    <w:autoRedefine/>
    <w:qFormat/>
    <w:uiPriority w:val="99"/>
    <w:rPr>
      <w:rFonts w:eastAsia="宋体"/>
      <w:kern w:val="2"/>
      <w:sz w:val="18"/>
      <w:szCs w:val="18"/>
      <w:lang w:val="en-US" w:eastAsia="zh-CN"/>
    </w:rPr>
  </w:style>
  <w:style w:type="character" w:customStyle="1" w:styleId="91">
    <w:name w:val="Comment Text Char"/>
    <w:autoRedefine/>
    <w:qFormat/>
    <w:uiPriority w:val="99"/>
    <w:rPr>
      <w:sz w:val="24"/>
      <w:szCs w:val="24"/>
    </w:rPr>
  </w:style>
  <w:style w:type="character" w:customStyle="1" w:styleId="92">
    <w:name w:val="Char Char20"/>
    <w:autoRedefine/>
    <w:qFormat/>
    <w:uiPriority w:val="99"/>
    <w:rPr>
      <w:rFonts w:ascii="Times New Roman" w:hAnsi="Times New Roman" w:eastAsia="宋体" w:cs="Times New Roman"/>
      <w:b/>
      <w:bCs/>
      <w:sz w:val="32"/>
      <w:szCs w:val="32"/>
    </w:rPr>
  </w:style>
  <w:style w:type="character" w:customStyle="1" w:styleId="93">
    <w:name w:val="Char Char18"/>
    <w:autoRedefine/>
    <w:qFormat/>
    <w:uiPriority w:val="99"/>
    <w:rPr>
      <w:rFonts w:ascii="Times New Roman" w:hAnsi="Times New Roman" w:eastAsia="宋体" w:cs="Times New Roman"/>
      <w:b/>
      <w:bCs/>
      <w:sz w:val="28"/>
      <w:szCs w:val="28"/>
    </w:rPr>
  </w:style>
  <w:style w:type="character" w:customStyle="1" w:styleId="94">
    <w:name w:val="Comment Text Char1"/>
    <w:autoRedefine/>
    <w:qFormat/>
    <w:uiPriority w:val="99"/>
    <w:rPr>
      <w:sz w:val="24"/>
      <w:szCs w:val="24"/>
    </w:rPr>
  </w:style>
  <w:style w:type="character" w:customStyle="1" w:styleId="95">
    <w:name w:val="textcontents"/>
    <w:autoRedefine/>
    <w:qFormat/>
    <w:uiPriority w:val="99"/>
  </w:style>
  <w:style w:type="character" w:customStyle="1" w:styleId="96">
    <w:name w:val="Char Char22"/>
    <w:autoRedefine/>
    <w:qFormat/>
    <w:uiPriority w:val="99"/>
    <w:rPr>
      <w:rFonts w:ascii="Times New Roman" w:hAnsi="Times New Roman" w:eastAsia="宋体" w:cs="Times New Roman"/>
      <w:b/>
      <w:bCs/>
      <w:kern w:val="44"/>
      <w:sz w:val="44"/>
      <w:szCs w:val="44"/>
    </w:rPr>
  </w:style>
  <w:style w:type="character" w:customStyle="1" w:styleId="97">
    <w:name w:val="Char Char181"/>
    <w:autoRedefine/>
    <w:qFormat/>
    <w:uiPriority w:val="99"/>
    <w:rPr>
      <w:b/>
      <w:bCs/>
      <w:kern w:val="44"/>
      <w:sz w:val="44"/>
      <w:szCs w:val="44"/>
    </w:rPr>
  </w:style>
  <w:style w:type="character" w:customStyle="1" w:styleId="98">
    <w:name w:val="Footnote Text Char"/>
    <w:autoRedefine/>
    <w:qFormat/>
    <w:uiPriority w:val="99"/>
    <w:rPr>
      <w:rFonts w:eastAsia="宋体"/>
      <w:sz w:val="18"/>
      <w:szCs w:val="18"/>
      <w:lang w:val="en-US" w:eastAsia="zh-CN"/>
    </w:rPr>
  </w:style>
  <w:style w:type="character" w:customStyle="1" w:styleId="99">
    <w:name w:val="批注文字 Char"/>
    <w:autoRedefine/>
    <w:qFormat/>
    <w:uiPriority w:val="0"/>
    <w:rPr>
      <w:kern w:val="2"/>
      <w:sz w:val="24"/>
      <w:szCs w:val="24"/>
    </w:rPr>
  </w:style>
  <w:style w:type="character" w:customStyle="1" w:styleId="100">
    <w:name w:val="Heading 4 Char"/>
    <w:autoRedefine/>
    <w:qFormat/>
    <w:uiPriority w:val="99"/>
    <w:rPr>
      <w:rFonts w:ascii="Arial" w:hAnsi="Arial" w:eastAsia="宋体" w:cs="Arial"/>
      <w:b/>
      <w:bCs/>
      <w:kern w:val="2"/>
      <w:sz w:val="28"/>
      <w:szCs w:val="28"/>
      <w:lang w:val="en-US" w:eastAsia="zh-CN"/>
    </w:rPr>
  </w:style>
  <w:style w:type="character" w:customStyle="1" w:styleId="101">
    <w:name w:val="批注框文本 Char1"/>
    <w:autoRedefine/>
    <w:qFormat/>
    <w:uiPriority w:val="99"/>
    <w:rPr>
      <w:rFonts w:ascii="Times New Roman" w:hAnsi="Times New Roman" w:eastAsia="宋体" w:cs="Times New Roman"/>
      <w:sz w:val="18"/>
      <w:szCs w:val="18"/>
    </w:rPr>
  </w:style>
  <w:style w:type="character" w:customStyle="1" w:styleId="102">
    <w:name w:val="Title Char"/>
    <w:autoRedefine/>
    <w:qFormat/>
    <w:uiPriority w:val="99"/>
    <w:rPr>
      <w:rFonts w:ascii="Cambria" w:hAnsi="Cambria" w:cs="Cambria"/>
      <w:b/>
      <w:bCs/>
      <w:sz w:val="32"/>
      <w:szCs w:val="32"/>
    </w:rPr>
  </w:style>
  <w:style w:type="character" w:customStyle="1" w:styleId="103">
    <w:name w:val="font161"/>
    <w:autoRedefine/>
    <w:qFormat/>
    <w:uiPriority w:val="0"/>
    <w:rPr>
      <w:rFonts w:ascii="Arial" w:hAnsi="Arial" w:eastAsia="黑体"/>
      <w:b/>
      <w:bCs/>
      <w:kern w:val="2"/>
      <w:sz w:val="32"/>
      <w:szCs w:val="32"/>
      <w:lang w:val="en-US" w:eastAsia="zh-CN" w:bidi="ar-SA"/>
    </w:rPr>
  </w:style>
  <w:style w:type="character" w:customStyle="1" w:styleId="104">
    <w:name w:val="明显引用 Char"/>
    <w:link w:val="105"/>
    <w:autoRedefine/>
    <w:qFormat/>
    <w:locked/>
    <w:uiPriority w:val="99"/>
    <w:rPr>
      <w:b/>
      <w:bCs/>
      <w:i/>
      <w:iCs/>
      <w:color w:val="4F81BD"/>
    </w:rPr>
  </w:style>
  <w:style w:type="paragraph" w:customStyle="1" w:styleId="105">
    <w:name w:val="明显引用1"/>
    <w:basedOn w:val="1"/>
    <w:next w:val="1"/>
    <w:link w:val="104"/>
    <w:autoRedefine/>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06">
    <w:name w:val="Header Char"/>
    <w:autoRedefine/>
    <w:qFormat/>
    <w:uiPriority w:val="99"/>
    <w:rPr>
      <w:rFonts w:eastAsia="宋体"/>
      <w:kern w:val="2"/>
      <w:sz w:val="18"/>
      <w:szCs w:val="18"/>
      <w:lang w:val="en-US" w:eastAsia="zh-CN"/>
    </w:rPr>
  </w:style>
  <w:style w:type="character" w:customStyle="1" w:styleId="107">
    <w:name w:val="Heading 3 Char"/>
    <w:autoRedefine/>
    <w:qFormat/>
    <w:uiPriority w:val="99"/>
    <w:rPr>
      <w:b/>
      <w:bCs/>
      <w:kern w:val="2"/>
      <w:sz w:val="32"/>
      <w:szCs w:val="32"/>
    </w:rPr>
  </w:style>
  <w:style w:type="character" w:customStyle="1" w:styleId="108">
    <w:name w:val="Heading 1 Char"/>
    <w:autoRedefine/>
    <w:qFormat/>
    <w:uiPriority w:val="99"/>
    <w:rPr>
      <w:rFonts w:eastAsia="宋体"/>
      <w:b/>
      <w:bCs/>
      <w:kern w:val="44"/>
      <w:sz w:val="44"/>
      <w:szCs w:val="44"/>
      <w:lang w:val="en-US" w:eastAsia="zh-CN"/>
    </w:rPr>
  </w:style>
  <w:style w:type="character" w:customStyle="1" w:styleId="109">
    <w:name w:val="标题 Char2"/>
    <w:autoRedefine/>
    <w:qFormat/>
    <w:uiPriority w:val="99"/>
    <w:rPr>
      <w:rFonts w:ascii="Cambria" w:hAnsi="Cambria" w:eastAsia="宋体" w:cs="Cambria"/>
      <w:b/>
      <w:bCs/>
      <w:sz w:val="32"/>
      <w:szCs w:val="32"/>
    </w:rPr>
  </w:style>
  <w:style w:type="character" w:customStyle="1" w:styleId="110">
    <w:name w:val="标题4 Char Char"/>
    <w:link w:val="111"/>
    <w:autoRedefine/>
    <w:qFormat/>
    <w:locked/>
    <w:uiPriority w:val="99"/>
    <w:rPr>
      <w:rFonts w:ascii="Arial" w:hAnsi="Arial" w:cs="Arial"/>
      <w:b/>
      <w:bCs/>
      <w:sz w:val="32"/>
      <w:szCs w:val="32"/>
    </w:rPr>
  </w:style>
  <w:style w:type="paragraph" w:customStyle="1" w:styleId="111">
    <w:name w:val="标题4"/>
    <w:basedOn w:val="4"/>
    <w:next w:val="20"/>
    <w:link w:val="110"/>
    <w:autoRedefine/>
    <w:qFormat/>
    <w:uiPriority w:val="99"/>
    <w:pPr>
      <w:spacing w:before="60" w:after="60" w:line="413" w:lineRule="auto"/>
    </w:pPr>
    <w:rPr>
      <w:rFonts w:eastAsia="宋体"/>
      <w:kern w:val="0"/>
    </w:rPr>
  </w:style>
  <w:style w:type="character" w:customStyle="1" w:styleId="112">
    <w:name w:val="标题 3 Char"/>
    <w:autoRedefine/>
    <w:qFormat/>
    <w:uiPriority w:val="99"/>
    <w:rPr>
      <w:rFonts w:ascii="宋体" w:eastAsia="宋体"/>
      <w:b/>
      <w:bCs/>
      <w:kern w:val="2"/>
      <w:sz w:val="24"/>
      <w:szCs w:val="24"/>
      <w:lang w:val="en-US" w:eastAsia="zh-CN" w:bidi="ar-SA"/>
    </w:rPr>
  </w:style>
  <w:style w:type="character" w:customStyle="1" w:styleId="113">
    <w:name w:val="明显强调1"/>
    <w:autoRedefine/>
    <w:qFormat/>
    <w:uiPriority w:val="99"/>
    <w:rPr>
      <w:b/>
      <w:bCs/>
      <w:i/>
      <w:iCs/>
      <w:color w:val="4F81BD"/>
    </w:rPr>
  </w:style>
  <w:style w:type="character" w:customStyle="1" w:styleId="114">
    <w:name w:val="正文文本 Char1"/>
    <w:autoRedefine/>
    <w:qFormat/>
    <w:uiPriority w:val="99"/>
    <w:rPr>
      <w:kern w:val="2"/>
      <w:sz w:val="22"/>
      <w:szCs w:val="22"/>
    </w:rPr>
  </w:style>
  <w:style w:type="character" w:customStyle="1" w:styleId="115">
    <w:name w:val="日期 Char1"/>
    <w:autoRedefine/>
    <w:qFormat/>
    <w:uiPriority w:val="99"/>
    <w:rPr>
      <w:rFonts w:ascii="Times New Roman" w:hAnsi="Times New Roman" w:eastAsia="宋体" w:cs="Times New Roman"/>
      <w:sz w:val="24"/>
      <w:szCs w:val="24"/>
    </w:rPr>
  </w:style>
  <w:style w:type="character" w:customStyle="1" w:styleId="116">
    <w:name w:val="普通文字 Char Char1"/>
    <w:autoRedefine/>
    <w:semiHidden/>
    <w:qFormat/>
    <w:uiPriority w:val="0"/>
    <w:rPr>
      <w:rFonts w:ascii="宋体" w:hAnsi="Courier New" w:eastAsia="宋体"/>
      <w:kern w:val="2"/>
      <w:sz w:val="21"/>
      <w:lang w:val="en-US" w:eastAsia="zh-CN" w:bidi="ar-SA"/>
    </w:rPr>
  </w:style>
  <w:style w:type="character" w:customStyle="1" w:styleId="117">
    <w:name w:val="col-icon8"/>
    <w:autoRedefine/>
    <w:qFormat/>
    <w:uiPriority w:val="0"/>
    <w:rPr>
      <w:shd w:val="clear" w:color="auto" w:fill="FFFFFF"/>
    </w:rPr>
  </w:style>
  <w:style w:type="character" w:customStyle="1" w:styleId="118">
    <w:name w:val="不明显强调1"/>
    <w:autoRedefine/>
    <w:qFormat/>
    <w:uiPriority w:val="99"/>
    <w:rPr>
      <w:i/>
      <w:iCs/>
      <w:color w:val="808080"/>
    </w:rPr>
  </w:style>
  <w:style w:type="character" w:customStyle="1" w:styleId="119">
    <w:name w:val="Char Char21"/>
    <w:autoRedefine/>
    <w:qFormat/>
    <w:uiPriority w:val="99"/>
    <w:rPr>
      <w:rFonts w:ascii="Arial" w:hAnsi="Arial" w:eastAsia="黑体" w:cs="Arial"/>
      <w:b/>
      <w:bCs/>
      <w:sz w:val="32"/>
      <w:szCs w:val="32"/>
    </w:rPr>
  </w:style>
  <w:style w:type="character" w:customStyle="1" w:styleId="120">
    <w:name w:val="Comment Subject Char"/>
    <w:autoRedefine/>
    <w:qFormat/>
    <w:uiPriority w:val="99"/>
    <w:rPr>
      <w:b/>
      <w:bCs/>
      <w:sz w:val="24"/>
      <w:szCs w:val="24"/>
    </w:rPr>
  </w:style>
  <w:style w:type="character" w:customStyle="1" w:styleId="121">
    <w:name w:val="Char Char"/>
    <w:autoRedefine/>
    <w:qFormat/>
    <w:uiPriority w:val="0"/>
    <w:rPr>
      <w:rFonts w:ascii="Arial" w:hAnsi="Arial" w:eastAsia="黑体"/>
      <w:b/>
      <w:bCs/>
      <w:kern w:val="2"/>
      <w:sz w:val="32"/>
      <w:szCs w:val="32"/>
      <w:lang w:val="en-US" w:eastAsia="zh-CN" w:bidi="ar-SA"/>
    </w:rPr>
  </w:style>
  <w:style w:type="character" w:customStyle="1" w:styleId="122">
    <w:name w:val="批注主题 Char1"/>
    <w:autoRedefine/>
    <w:qFormat/>
    <w:uiPriority w:val="99"/>
    <w:rPr>
      <w:rFonts w:ascii="Times New Roman" w:hAnsi="Times New Roman" w:eastAsia="宋体" w:cs="Times New Roman"/>
      <w:b/>
      <w:bCs/>
      <w:sz w:val="24"/>
      <w:szCs w:val="24"/>
    </w:rPr>
  </w:style>
  <w:style w:type="character" w:customStyle="1" w:styleId="123">
    <w:name w:val="Char Char9"/>
    <w:autoRedefine/>
    <w:qFormat/>
    <w:uiPriority w:val="99"/>
    <w:rPr>
      <w:rFonts w:eastAsia="宋体"/>
      <w:b/>
      <w:bCs/>
      <w:kern w:val="44"/>
      <w:sz w:val="44"/>
      <w:szCs w:val="44"/>
      <w:lang w:val="en-US" w:eastAsia="zh-CN"/>
    </w:rPr>
  </w:style>
  <w:style w:type="character" w:customStyle="1" w:styleId="124">
    <w:name w:val="Char Char6"/>
    <w:autoRedefine/>
    <w:qFormat/>
    <w:uiPriority w:val="99"/>
    <w:rPr>
      <w:rFonts w:eastAsia="宋体"/>
      <w:b/>
      <w:bCs/>
      <w:kern w:val="44"/>
      <w:sz w:val="44"/>
      <w:szCs w:val="44"/>
      <w:lang w:val="en-US" w:eastAsia="zh-CN"/>
    </w:rPr>
  </w:style>
  <w:style w:type="character" w:customStyle="1" w:styleId="125">
    <w:name w:val="纯文本 Char2"/>
    <w:autoRedefine/>
    <w:qFormat/>
    <w:uiPriority w:val="0"/>
    <w:rPr>
      <w:rFonts w:ascii="宋体" w:hAnsi="Courier New" w:cs="Courier New"/>
      <w:kern w:val="2"/>
      <w:sz w:val="21"/>
      <w:szCs w:val="21"/>
    </w:rPr>
  </w:style>
  <w:style w:type="character" w:customStyle="1" w:styleId="126">
    <w:name w:val="正文文本 Char"/>
    <w:autoRedefine/>
    <w:qFormat/>
    <w:uiPriority w:val="99"/>
    <w:rPr>
      <w:rFonts w:eastAsia="宋体"/>
      <w:kern w:val="2"/>
      <w:sz w:val="28"/>
      <w:lang w:val="en-US" w:eastAsia="zh-CN" w:bidi="ar-SA"/>
    </w:rPr>
  </w:style>
  <w:style w:type="character" w:customStyle="1" w:styleId="127">
    <w:name w:val="不明显参考1"/>
    <w:autoRedefine/>
    <w:qFormat/>
    <w:uiPriority w:val="99"/>
    <w:rPr>
      <w:smallCaps/>
      <w:color w:val="auto"/>
      <w:u w:val="single"/>
    </w:rPr>
  </w:style>
  <w:style w:type="character" w:customStyle="1" w:styleId="128">
    <w:name w:val="书籍标题1"/>
    <w:autoRedefine/>
    <w:qFormat/>
    <w:uiPriority w:val="99"/>
    <w:rPr>
      <w:b/>
      <w:bCs/>
      <w:smallCaps/>
      <w:spacing w:val="5"/>
    </w:rPr>
  </w:style>
  <w:style w:type="character" w:customStyle="1" w:styleId="129">
    <w:name w:val="Document Map Char"/>
    <w:autoRedefine/>
    <w:qFormat/>
    <w:uiPriority w:val="99"/>
    <w:rPr>
      <w:rFonts w:eastAsia="宋体"/>
      <w:kern w:val="2"/>
      <w:sz w:val="24"/>
      <w:szCs w:val="24"/>
      <w:lang w:val="en-US" w:eastAsia="zh-CN"/>
    </w:rPr>
  </w:style>
  <w:style w:type="character" w:customStyle="1" w:styleId="130">
    <w:name w:val="Balloon Text Char"/>
    <w:autoRedefine/>
    <w:qFormat/>
    <w:uiPriority w:val="99"/>
    <w:rPr>
      <w:sz w:val="18"/>
      <w:szCs w:val="18"/>
    </w:rPr>
  </w:style>
  <w:style w:type="character" w:customStyle="1" w:styleId="131">
    <w:name w:val="明显参考1"/>
    <w:autoRedefine/>
    <w:qFormat/>
    <w:uiPriority w:val="99"/>
    <w:rPr>
      <w:b/>
      <w:bCs/>
      <w:smallCaps/>
      <w:color w:val="auto"/>
      <w:spacing w:val="5"/>
      <w:u w:val="single"/>
    </w:rPr>
  </w:style>
  <w:style w:type="character" w:customStyle="1" w:styleId="132">
    <w:name w:val="纯文本 Char1"/>
    <w:autoRedefine/>
    <w:qFormat/>
    <w:uiPriority w:val="0"/>
    <w:rPr>
      <w:rFonts w:ascii="宋体" w:hAnsi="Courier New" w:eastAsia="宋体"/>
      <w:b/>
      <w:bCs/>
      <w:kern w:val="2"/>
      <w:sz w:val="21"/>
      <w:szCs w:val="32"/>
      <w:lang w:val="en-US" w:eastAsia="zh-CN" w:bidi="ar-SA"/>
    </w:rPr>
  </w:style>
  <w:style w:type="character" w:customStyle="1" w:styleId="133">
    <w:name w:val="Body Text Indent Char"/>
    <w:autoRedefine/>
    <w:qFormat/>
    <w:uiPriority w:val="99"/>
    <w:rPr>
      <w:rFonts w:ascii="宋体" w:hAnsi="宋体" w:eastAsia="宋体" w:cs="宋体"/>
      <w:kern w:val="2"/>
      <w:sz w:val="21"/>
      <w:szCs w:val="21"/>
      <w:lang w:val="en-US" w:eastAsia="zh-CN"/>
    </w:rPr>
  </w:style>
  <w:style w:type="character" w:customStyle="1" w:styleId="134">
    <w:name w:val="标题 1 Char"/>
    <w:autoRedefine/>
    <w:qFormat/>
    <w:uiPriority w:val="99"/>
    <w:rPr>
      <w:rFonts w:eastAsia="宋体"/>
      <w:b/>
      <w:bCs/>
      <w:kern w:val="44"/>
      <w:sz w:val="44"/>
      <w:szCs w:val="44"/>
      <w:lang w:val="en-US" w:eastAsia="zh-CN" w:bidi="ar-SA"/>
    </w:rPr>
  </w:style>
  <w:style w:type="character" w:customStyle="1" w:styleId="135">
    <w:name w:val="列表段落 字符"/>
    <w:link w:val="136"/>
    <w:autoRedefine/>
    <w:qFormat/>
    <w:uiPriority w:val="0"/>
    <w:rPr>
      <w:rFonts w:ascii="Calibri" w:hAnsi="Calibri"/>
      <w:kern w:val="2"/>
      <w:sz w:val="21"/>
      <w:szCs w:val="22"/>
    </w:rPr>
  </w:style>
  <w:style w:type="paragraph" w:styleId="136">
    <w:name w:val="List Paragraph"/>
    <w:basedOn w:val="1"/>
    <w:link w:val="135"/>
    <w:autoRedefine/>
    <w:qFormat/>
    <w:uiPriority w:val="0"/>
    <w:pPr>
      <w:ind w:firstLine="420" w:firstLineChars="200"/>
    </w:pPr>
    <w:rPr>
      <w:rFonts w:ascii="Calibri" w:hAnsi="Calibri"/>
      <w:szCs w:val="22"/>
    </w:rPr>
  </w:style>
  <w:style w:type="character" w:customStyle="1" w:styleId="137">
    <w:name w:val="文档结构图 Char1"/>
    <w:autoRedefine/>
    <w:qFormat/>
    <w:uiPriority w:val="99"/>
    <w:rPr>
      <w:rFonts w:ascii="宋体" w:hAnsi="Times New Roman" w:eastAsia="宋体" w:cs="宋体"/>
      <w:sz w:val="18"/>
      <w:szCs w:val="18"/>
    </w:rPr>
  </w:style>
  <w:style w:type="character" w:customStyle="1" w:styleId="138">
    <w:name w:val="批注文字 Char Char"/>
    <w:autoRedefine/>
    <w:qFormat/>
    <w:uiPriority w:val="99"/>
    <w:rPr>
      <w:rFonts w:ascii="宋体" w:hAnsi="Times New Roman" w:eastAsia="宋体" w:cs="宋体"/>
      <w:sz w:val="20"/>
      <w:szCs w:val="20"/>
    </w:rPr>
  </w:style>
  <w:style w:type="character" w:customStyle="1" w:styleId="139">
    <w:name w:val="Body Text Indent 2 Char"/>
    <w:autoRedefine/>
    <w:qFormat/>
    <w:uiPriority w:val="99"/>
    <w:rPr>
      <w:rFonts w:eastAsia="宋体"/>
      <w:kern w:val="2"/>
      <w:sz w:val="24"/>
      <w:szCs w:val="24"/>
      <w:lang w:val="en-US" w:eastAsia="zh-CN"/>
    </w:rPr>
  </w:style>
  <w:style w:type="character" w:customStyle="1" w:styleId="140">
    <w:name w:val="Char Char23"/>
    <w:autoRedefine/>
    <w:qFormat/>
    <w:uiPriority w:val="99"/>
    <w:rPr>
      <w:rFonts w:eastAsia="宋体"/>
      <w:b/>
      <w:bCs/>
      <w:kern w:val="44"/>
      <w:sz w:val="44"/>
      <w:szCs w:val="44"/>
      <w:lang w:val="en-US" w:eastAsia="zh-CN"/>
    </w:rPr>
  </w:style>
  <w:style w:type="character" w:customStyle="1" w:styleId="141">
    <w:name w:val="批注文字 Char1"/>
    <w:autoRedefine/>
    <w:qFormat/>
    <w:uiPriority w:val="99"/>
    <w:rPr>
      <w:rFonts w:ascii="Times New Roman" w:hAnsi="Times New Roman" w:eastAsia="宋体" w:cs="Times New Roman"/>
      <w:sz w:val="24"/>
      <w:szCs w:val="24"/>
    </w:rPr>
  </w:style>
  <w:style w:type="character" w:customStyle="1" w:styleId="142">
    <w:name w:val="引用 Char"/>
    <w:link w:val="143"/>
    <w:autoRedefine/>
    <w:qFormat/>
    <w:locked/>
    <w:uiPriority w:val="99"/>
    <w:rPr>
      <w:i/>
      <w:iCs/>
      <w:color w:val="000000"/>
    </w:rPr>
  </w:style>
  <w:style w:type="paragraph" w:customStyle="1" w:styleId="143">
    <w:name w:val="引用1"/>
    <w:basedOn w:val="1"/>
    <w:next w:val="1"/>
    <w:link w:val="142"/>
    <w:autoRedefine/>
    <w:qFormat/>
    <w:uiPriority w:val="99"/>
    <w:rPr>
      <w:i/>
      <w:iCs/>
      <w:color w:val="000000"/>
      <w:kern w:val="0"/>
      <w:sz w:val="20"/>
      <w:szCs w:val="20"/>
    </w:rPr>
  </w:style>
  <w:style w:type="character" w:customStyle="1" w:styleId="144">
    <w:name w:val="Date Char"/>
    <w:autoRedefine/>
    <w:qFormat/>
    <w:uiPriority w:val="99"/>
    <w:rPr>
      <w:rFonts w:eastAsia="宋体"/>
      <w:kern w:val="2"/>
      <w:sz w:val="24"/>
      <w:szCs w:val="24"/>
      <w:lang w:val="en-US" w:eastAsia="zh-CN"/>
    </w:rPr>
  </w:style>
  <w:style w:type="character" w:customStyle="1" w:styleId="145">
    <w:name w:val="Heading 2 Char"/>
    <w:autoRedefine/>
    <w:qFormat/>
    <w:uiPriority w:val="99"/>
    <w:rPr>
      <w:rFonts w:ascii="Arial" w:hAnsi="Arial" w:eastAsia="黑体" w:cs="Arial"/>
      <w:b/>
      <w:bCs/>
      <w:kern w:val="2"/>
      <w:sz w:val="32"/>
      <w:szCs w:val="32"/>
      <w:lang w:val="en-US" w:eastAsia="zh-CN"/>
    </w:rPr>
  </w:style>
  <w:style w:type="character" w:customStyle="1" w:styleId="146">
    <w:name w:val="正文文本 3 Char1"/>
    <w:autoRedefine/>
    <w:qFormat/>
    <w:uiPriority w:val="0"/>
    <w:rPr>
      <w:kern w:val="2"/>
      <w:sz w:val="16"/>
      <w:szCs w:val="16"/>
    </w:rPr>
  </w:style>
  <w:style w:type="character" w:customStyle="1" w:styleId="147">
    <w:name w:val="Char Char19"/>
    <w:autoRedefine/>
    <w:qFormat/>
    <w:uiPriority w:val="99"/>
    <w:rPr>
      <w:rFonts w:ascii="Arial" w:hAnsi="Arial" w:eastAsia="宋体" w:cs="Arial"/>
      <w:b/>
      <w:bCs/>
      <w:sz w:val="28"/>
      <w:szCs w:val="28"/>
    </w:rPr>
  </w:style>
  <w:style w:type="character" w:customStyle="1" w:styleId="148">
    <w:name w:val="font5 Char"/>
    <w:autoRedefine/>
    <w:qFormat/>
    <w:uiPriority w:val="0"/>
    <w:rPr>
      <w:rFonts w:ascii="宋体" w:hAnsi="宋体" w:eastAsia="宋体"/>
      <w:sz w:val="24"/>
      <w:szCs w:val="24"/>
      <w:lang w:val="en-US" w:eastAsia="zh-CN" w:bidi="ar-SA"/>
    </w:rPr>
  </w:style>
  <w:style w:type="character" w:customStyle="1" w:styleId="149">
    <w:name w:val="标题5 Char Char"/>
    <w:link w:val="150"/>
    <w:autoRedefine/>
    <w:qFormat/>
    <w:locked/>
    <w:uiPriority w:val="99"/>
    <w:rPr>
      <w:rFonts w:ascii="Arial" w:hAnsi="Arial" w:cs="Arial"/>
      <w:b/>
      <w:bCs/>
      <w:sz w:val="32"/>
      <w:szCs w:val="32"/>
    </w:rPr>
  </w:style>
  <w:style w:type="paragraph" w:customStyle="1" w:styleId="150">
    <w:name w:val="标题5"/>
    <w:basedOn w:val="2"/>
    <w:link w:val="149"/>
    <w:autoRedefine/>
    <w:qFormat/>
    <w:uiPriority w:val="99"/>
    <w:pPr>
      <w:spacing w:line="413" w:lineRule="auto"/>
    </w:pPr>
    <w:rPr>
      <w:rFonts w:ascii="Arial" w:hAnsi="Arial"/>
      <w:kern w:val="0"/>
    </w:rPr>
  </w:style>
  <w:style w:type="character" w:customStyle="1" w:styleId="151">
    <w:name w:val="Char Char24"/>
    <w:autoRedefine/>
    <w:qFormat/>
    <w:uiPriority w:val="99"/>
    <w:rPr>
      <w:rFonts w:eastAsia="宋体"/>
      <w:b/>
      <w:bCs/>
      <w:kern w:val="44"/>
      <w:sz w:val="44"/>
      <w:szCs w:val="44"/>
      <w:lang w:val="en-US" w:eastAsia="zh-CN"/>
    </w:rPr>
  </w:style>
  <w:style w:type="character" w:customStyle="1" w:styleId="152">
    <w:name w:val="Heading 3 Char1"/>
    <w:autoRedefine/>
    <w:qFormat/>
    <w:uiPriority w:val="99"/>
    <w:rPr>
      <w:rFonts w:eastAsia="宋体"/>
      <w:b/>
      <w:bCs/>
      <w:kern w:val="2"/>
      <w:sz w:val="32"/>
      <w:szCs w:val="32"/>
      <w:lang w:val="en-US" w:eastAsia="zh-CN"/>
    </w:rPr>
  </w:style>
  <w:style w:type="character" w:customStyle="1" w:styleId="153">
    <w:name w:val="标题 Char1"/>
    <w:autoRedefine/>
    <w:qFormat/>
    <w:uiPriority w:val="99"/>
    <w:rPr>
      <w:rFonts w:ascii="Cambria" w:hAnsi="Cambria" w:eastAsia="宋体" w:cs="Cambria"/>
      <w:b/>
      <w:bCs/>
      <w:sz w:val="32"/>
      <w:szCs w:val="32"/>
    </w:rPr>
  </w:style>
  <w:style w:type="character" w:customStyle="1" w:styleId="154">
    <w:name w:val="明显引用 Char1"/>
    <w:autoRedefine/>
    <w:qFormat/>
    <w:uiPriority w:val="99"/>
    <w:rPr>
      <w:rFonts w:ascii="Times New Roman" w:hAnsi="Times New Roman" w:eastAsia="宋体" w:cs="Times New Roman"/>
      <w:b/>
      <w:bCs/>
      <w:i/>
      <w:iCs/>
      <w:color w:val="4F81BD"/>
      <w:sz w:val="24"/>
      <w:szCs w:val="24"/>
    </w:rPr>
  </w:style>
  <w:style w:type="character" w:customStyle="1" w:styleId="155">
    <w:name w:val="Char Char91"/>
    <w:autoRedefine/>
    <w:qFormat/>
    <w:uiPriority w:val="99"/>
    <w:rPr>
      <w:rFonts w:eastAsia="宋体"/>
      <w:b/>
      <w:bCs/>
      <w:kern w:val="44"/>
      <w:sz w:val="44"/>
      <w:szCs w:val="44"/>
      <w:lang w:val="en-US" w:eastAsia="zh-CN"/>
    </w:rPr>
  </w:style>
  <w:style w:type="paragraph" w:customStyle="1" w:styleId="156">
    <w:name w:val="表头"/>
    <w:basedOn w:val="1"/>
    <w:autoRedefine/>
    <w:qFormat/>
    <w:uiPriority w:val="0"/>
    <w:pPr>
      <w:spacing w:line="300" w:lineRule="auto"/>
      <w:jc w:val="center"/>
    </w:pPr>
    <w:rPr>
      <w:rFonts w:eastAsia="黑体" w:cs="华文细黑"/>
      <w:color w:val="000000"/>
    </w:rPr>
  </w:style>
  <w:style w:type="paragraph" w:customStyle="1" w:styleId="157">
    <w:name w:val="Char Char Char Char Char Char Char"/>
    <w:basedOn w:val="1"/>
    <w:autoRedefine/>
    <w:qFormat/>
    <w:uiPriority w:val="0"/>
  </w:style>
  <w:style w:type="paragraph" w:customStyle="1" w:styleId="158">
    <w:name w:val="Normal_0"/>
    <w:basedOn w:val="159"/>
    <w:autoRedefine/>
    <w:qFormat/>
    <w:uiPriority w:val="0"/>
    <w:pPr>
      <w:widowControl/>
      <w:spacing w:line="384" w:lineRule="auto"/>
      <w:jc w:val="left"/>
    </w:pPr>
    <w:rPr>
      <w:rFonts w:ascii="宋体" w:hAnsi="宋体" w:cs="宋体"/>
      <w:kern w:val="0"/>
      <w:sz w:val="24"/>
      <w:szCs w:val="24"/>
    </w:rPr>
  </w:style>
  <w:style w:type="paragraph" w:customStyle="1" w:styleId="15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xl34"/>
    <w:basedOn w:val="1"/>
    <w:autoRedefine/>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161">
    <w:name w:val="样式1"/>
    <w:basedOn w:val="1"/>
    <w:next w:val="5"/>
    <w:autoRedefine/>
    <w:qFormat/>
    <w:uiPriority w:val="99"/>
    <w:pPr>
      <w:spacing w:line="360" w:lineRule="auto"/>
      <w:ind w:firstLine="420" w:firstLineChars="200"/>
    </w:pPr>
    <w:rPr>
      <w:rFonts w:ascii="宋体" w:hAnsi="宋体" w:cs="宋体"/>
      <w:szCs w:val="21"/>
    </w:rPr>
  </w:style>
  <w:style w:type="paragraph" w:customStyle="1" w:styleId="16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63">
    <w:name w:val="z-窗体顶端1"/>
    <w:basedOn w:val="1"/>
    <w:next w:val="1"/>
    <w:autoRedefine/>
    <w:qFormat/>
    <w:uiPriority w:val="0"/>
    <w:pPr>
      <w:widowControl/>
      <w:pBdr>
        <w:bottom w:val="single" w:color="auto" w:sz="6" w:space="1"/>
      </w:pBdr>
      <w:jc w:val="center"/>
    </w:pPr>
    <w:rPr>
      <w:rFonts w:ascii="Arial" w:hAnsi="Arial" w:cs="Arial"/>
      <w:vanish/>
      <w:color w:val="000000"/>
      <w:kern w:val="0"/>
      <w:sz w:val="16"/>
      <w:szCs w:val="16"/>
    </w:rPr>
  </w:style>
  <w:style w:type="paragraph" w:customStyle="1" w:styleId="164">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customStyle="1" w:styleId="16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66">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2-2ji"/>
    <w:basedOn w:val="4"/>
    <w:autoRedefine/>
    <w:qFormat/>
    <w:uiPriority w:val="99"/>
    <w:pPr>
      <w:spacing w:before="0" w:after="0" w:line="360" w:lineRule="auto"/>
      <w:jc w:val="center"/>
    </w:pPr>
    <w:rPr>
      <w:rFonts w:ascii="宋体" w:hAnsi="宋体" w:eastAsia="宋体" w:cs="宋体"/>
      <w:sz w:val="36"/>
      <w:szCs w:val="36"/>
      <w:lang w:val="zh-CN"/>
    </w:rPr>
  </w:style>
  <w:style w:type="paragraph" w:customStyle="1" w:styleId="168">
    <w:name w:val="Char Char Char2 Char"/>
    <w:basedOn w:val="1"/>
    <w:autoRedefine/>
    <w:qFormat/>
    <w:uiPriority w:val="0"/>
    <w:pPr>
      <w:tabs>
        <w:tab w:val="left" w:pos="815"/>
      </w:tabs>
      <w:ind w:left="815" w:hanging="360"/>
    </w:pPr>
  </w:style>
  <w:style w:type="paragraph" w:customStyle="1" w:styleId="16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7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71">
    <w:name w:val="Char Char Char 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72">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73">
    <w:name w:val="简单回函地址"/>
    <w:basedOn w:val="1"/>
    <w:autoRedefine/>
    <w:qFormat/>
    <w:uiPriority w:val="0"/>
    <w:rPr>
      <w:rFonts w:ascii="仿宋_GB2312" w:hAnsi="宋体" w:eastAsia="仿宋_GB2312"/>
      <w:bCs/>
      <w:sz w:val="30"/>
      <w:szCs w:val="20"/>
    </w:rPr>
  </w:style>
  <w:style w:type="paragraph" w:customStyle="1" w:styleId="174">
    <w:name w:val="TOC 标题1"/>
    <w:basedOn w:val="3"/>
    <w:next w:val="1"/>
    <w:autoRedefine/>
    <w:qFormat/>
    <w:uiPriority w:val="99"/>
    <w:pPr>
      <w:spacing w:line="576" w:lineRule="auto"/>
      <w:outlineLvl w:val="9"/>
    </w:pPr>
    <w:rPr>
      <w:rFonts w:ascii="Calibri" w:hAnsi="Calibri" w:eastAsia="黑体" w:cs="Calibri"/>
      <w:lang w:val="zh-CN"/>
    </w:rPr>
  </w:style>
  <w:style w:type="paragraph" w:customStyle="1" w:styleId="175">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76">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177">
    <w:name w:val="font8"/>
    <w:basedOn w:val="1"/>
    <w:autoRedefine/>
    <w:qFormat/>
    <w:uiPriority w:val="0"/>
    <w:pPr>
      <w:widowControl/>
      <w:spacing w:before="100" w:beforeAutospacing="1" w:after="100" w:afterAutospacing="1"/>
      <w:jc w:val="left"/>
    </w:pPr>
    <w:rPr>
      <w:rFonts w:hint="eastAsia" w:ascii="宋体" w:hAnsi="宋体"/>
      <w:kern w:val="0"/>
      <w:sz w:val="40"/>
      <w:szCs w:val="40"/>
    </w:rPr>
  </w:style>
  <w:style w:type="paragraph" w:customStyle="1" w:styleId="178">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179">
    <w:name w:val="xl44"/>
    <w:basedOn w:val="1"/>
    <w:autoRedefine/>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180">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1">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2">
    <w:name w:val="font6"/>
    <w:basedOn w:val="1"/>
    <w:autoRedefine/>
    <w:qFormat/>
    <w:uiPriority w:val="0"/>
    <w:pPr>
      <w:widowControl/>
      <w:spacing w:before="100" w:beforeAutospacing="1" w:after="100" w:afterAutospacing="1"/>
      <w:jc w:val="left"/>
    </w:pPr>
    <w:rPr>
      <w:kern w:val="0"/>
      <w:sz w:val="24"/>
    </w:rPr>
  </w:style>
  <w:style w:type="paragraph" w:customStyle="1" w:styleId="183">
    <w:name w:val="表"/>
    <w:basedOn w:val="1"/>
    <w:autoRedefine/>
    <w:qFormat/>
    <w:uiPriority w:val="0"/>
    <w:pPr>
      <w:spacing w:line="300" w:lineRule="auto"/>
    </w:pPr>
    <w:rPr>
      <w:color w:val="000000"/>
      <w:szCs w:val="21"/>
    </w:rPr>
  </w:style>
  <w:style w:type="paragraph" w:customStyle="1" w:styleId="184">
    <w:name w:val="font9"/>
    <w:basedOn w:val="1"/>
    <w:autoRedefine/>
    <w:qFormat/>
    <w:uiPriority w:val="0"/>
    <w:pPr>
      <w:widowControl/>
      <w:spacing w:before="100" w:beforeAutospacing="1" w:after="100" w:afterAutospacing="1"/>
      <w:jc w:val="left"/>
    </w:pPr>
    <w:rPr>
      <w:kern w:val="0"/>
      <w:sz w:val="40"/>
      <w:szCs w:val="40"/>
    </w:rPr>
  </w:style>
  <w:style w:type="paragraph" w:customStyle="1" w:styleId="185">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8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8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8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89">
    <w:name w:val="样式 行距: 固定值 25 磅"/>
    <w:basedOn w:val="1"/>
    <w:autoRedefine/>
    <w:qFormat/>
    <w:uiPriority w:val="0"/>
    <w:pPr>
      <w:spacing w:line="500" w:lineRule="exact"/>
    </w:pPr>
    <w:rPr>
      <w:rFonts w:cs="宋体"/>
      <w:sz w:val="28"/>
      <w:szCs w:val="20"/>
    </w:rPr>
  </w:style>
  <w:style w:type="paragraph" w:customStyle="1" w:styleId="190">
    <w:name w:val="Char Char Char Char Char Char Char Char Char1 Char Char Char Char Char Char Char Char Char Char Char Char Char"/>
    <w:basedOn w:val="3"/>
    <w:autoRedefine/>
    <w:qFormat/>
    <w:uiPriority w:val="0"/>
    <w:pPr>
      <w:snapToGrid w:val="0"/>
      <w:spacing w:before="240" w:after="240" w:line="348" w:lineRule="auto"/>
    </w:pPr>
  </w:style>
  <w:style w:type="paragraph" w:customStyle="1" w:styleId="191">
    <w:name w:val="表格"/>
    <w:basedOn w:val="1"/>
    <w:autoRedefine/>
    <w:qFormat/>
    <w:uiPriority w:val="0"/>
    <w:pPr>
      <w:jc w:val="center"/>
      <w:textAlignment w:val="center"/>
    </w:pPr>
    <w:rPr>
      <w:rFonts w:ascii="华文细黑" w:hAnsi="华文细黑"/>
      <w:kern w:val="0"/>
      <w:szCs w:val="20"/>
    </w:rPr>
  </w:style>
  <w:style w:type="paragraph" w:customStyle="1" w:styleId="192">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3">
    <w:name w:val="标题2"/>
    <w:basedOn w:val="4"/>
    <w:next w:val="1"/>
    <w:autoRedefine/>
    <w:qFormat/>
    <w:uiPriority w:val="0"/>
    <w:pPr>
      <w:snapToGrid w:val="0"/>
      <w:spacing w:before="120" w:after="120" w:line="240" w:lineRule="auto"/>
      <w:jc w:val="left"/>
    </w:pPr>
    <w:rPr>
      <w:b w:val="0"/>
      <w:bCs w:val="0"/>
      <w:sz w:val="21"/>
      <w:szCs w:val="21"/>
    </w:rPr>
  </w:style>
  <w:style w:type="paragraph" w:customStyle="1" w:styleId="194">
    <w:name w:val="正文段"/>
    <w:basedOn w:val="1"/>
    <w:autoRedefine/>
    <w:qFormat/>
    <w:uiPriority w:val="0"/>
    <w:pPr>
      <w:widowControl/>
      <w:snapToGrid w:val="0"/>
      <w:spacing w:afterLines="50"/>
      <w:ind w:firstLine="200" w:firstLineChars="200"/>
    </w:pPr>
    <w:rPr>
      <w:kern w:val="0"/>
      <w:sz w:val="24"/>
      <w:szCs w:val="20"/>
    </w:rPr>
  </w:style>
  <w:style w:type="paragraph" w:customStyle="1" w:styleId="195">
    <w:name w:val="修订11"/>
    <w:autoRedefine/>
    <w:qFormat/>
    <w:uiPriority w:val="99"/>
    <w:rPr>
      <w:rFonts w:ascii="Times New Roman" w:hAnsi="Times New Roman" w:eastAsia="宋体" w:cs="Times New Roman"/>
      <w:kern w:val="2"/>
      <w:sz w:val="21"/>
      <w:szCs w:val="21"/>
      <w:lang w:val="en-US" w:eastAsia="zh-CN" w:bidi="ar-SA"/>
    </w:rPr>
  </w:style>
  <w:style w:type="paragraph" w:customStyle="1" w:styleId="196">
    <w:name w:val="p0"/>
    <w:basedOn w:val="1"/>
    <w:autoRedefine/>
    <w:qFormat/>
    <w:uiPriority w:val="99"/>
    <w:pPr>
      <w:widowControl/>
      <w:spacing w:before="100" w:beforeAutospacing="1" w:after="100" w:afterAutospacing="1" w:line="312" w:lineRule="auto"/>
      <w:jc w:val="left"/>
    </w:pPr>
    <w:rPr>
      <w:rFonts w:ascii="宋体" w:hAnsi="宋体" w:cs="宋体"/>
      <w:kern w:val="0"/>
      <w:sz w:val="24"/>
    </w:rPr>
  </w:style>
  <w:style w:type="paragraph" w:customStyle="1" w:styleId="19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98">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9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200">
    <w:name w:val="1"/>
    <w:basedOn w:val="1"/>
    <w:next w:val="23"/>
    <w:autoRedefine/>
    <w:qFormat/>
    <w:uiPriority w:val="99"/>
    <w:rPr>
      <w:rFonts w:ascii="宋体" w:hAnsi="Courier New"/>
      <w:szCs w:val="20"/>
    </w:rPr>
  </w:style>
  <w:style w:type="paragraph" w:customStyle="1" w:styleId="201">
    <w:name w:val="文件目录"/>
    <w:basedOn w:val="1"/>
    <w:autoRedefine/>
    <w:qFormat/>
    <w:uiPriority w:val="0"/>
    <w:pPr>
      <w:spacing w:line="600" w:lineRule="exact"/>
      <w:jc w:val="left"/>
    </w:pPr>
    <w:rPr>
      <w:b/>
      <w:sz w:val="30"/>
      <w:szCs w:val="20"/>
    </w:rPr>
  </w:style>
  <w:style w:type="paragraph" w:customStyle="1" w:styleId="202">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03">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204">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5">
    <w:name w:val="Char Char Char Char Char Char Char Char Char Char Char Char Char Char Char Char Char Char Char"/>
    <w:basedOn w:val="1"/>
    <w:autoRedefine/>
    <w:semiHidden/>
    <w:qFormat/>
    <w:uiPriority w:val="0"/>
  </w:style>
  <w:style w:type="paragraph" w:customStyle="1" w:styleId="206">
    <w:name w:val="_Style 37"/>
    <w:basedOn w:val="1"/>
    <w:next w:val="1"/>
    <w:autoRedefine/>
    <w:qFormat/>
    <w:uiPriority w:val="99"/>
    <w:rPr>
      <w:szCs w:val="21"/>
    </w:rPr>
  </w:style>
  <w:style w:type="paragraph" w:customStyle="1" w:styleId="207">
    <w:name w:val="正文文本 21"/>
    <w:basedOn w:val="1"/>
    <w:autoRedefine/>
    <w:qFormat/>
    <w:uiPriority w:val="0"/>
    <w:pPr>
      <w:adjustRightInd w:val="0"/>
      <w:spacing w:line="460" w:lineRule="exact"/>
      <w:ind w:firstLine="635"/>
      <w:jc w:val="left"/>
      <w:textAlignment w:val="baseline"/>
    </w:pPr>
    <w:rPr>
      <w:sz w:val="28"/>
      <w:szCs w:val="20"/>
    </w:rPr>
  </w:style>
  <w:style w:type="paragraph" w:customStyle="1" w:styleId="20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09">
    <w:name w:val="text"/>
    <w:basedOn w:val="1"/>
    <w:autoRedefine/>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210">
    <w:name w:val="Char1"/>
    <w:basedOn w:val="1"/>
    <w:autoRedefine/>
    <w:qFormat/>
    <w:uiPriority w:val="99"/>
    <w:pPr>
      <w:widowControl/>
      <w:spacing w:after="160" w:line="240" w:lineRule="exact"/>
      <w:jc w:val="left"/>
    </w:pPr>
    <w:rPr>
      <w:szCs w:val="21"/>
    </w:rPr>
  </w:style>
  <w:style w:type="paragraph" w:customStyle="1" w:styleId="211">
    <w:name w:val="p17"/>
    <w:basedOn w:val="1"/>
    <w:autoRedefine/>
    <w:qFormat/>
    <w:uiPriority w:val="0"/>
    <w:pPr>
      <w:widowControl/>
      <w:spacing w:before="100" w:beforeAutospacing="1" w:after="100" w:afterAutospacing="1" w:line="312" w:lineRule="auto"/>
      <w:jc w:val="left"/>
    </w:pPr>
    <w:rPr>
      <w:rFonts w:ascii="宋体" w:hAnsi="宋体" w:cs="宋体"/>
      <w:kern w:val="0"/>
      <w:sz w:val="24"/>
    </w:rPr>
  </w:style>
  <w:style w:type="paragraph" w:customStyle="1" w:styleId="212">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213">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214">
    <w:name w:val="flNote"/>
    <w:basedOn w:val="1"/>
    <w:autoRedefine/>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215">
    <w:name w:val="文件标题"/>
    <w:basedOn w:val="1"/>
    <w:autoRedefine/>
    <w:qFormat/>
    <w:uiPriority w:val="0"/>
    <w:pPr>
      <w:jc w:val="center"/>
    </w:pPr>
    <w:rPr>
      <w:b/>
      <w:sz w:val="36"/>
      <w:szCs w:val="20"/>
    </w:rPr>
  </w:style>
  <w:style w:type="paragraph" w:customStyle="1" w:styleId="216">
    <w:name w:val="head1"/>
    <w:basedOn w:val="1"/>
    <w:autoRedefine/>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217">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21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9">
    <w:name w:val="xl31"/>
    <w:basedOn w:val="1"/>
    <w:autoRedefine/>
    <w:qFormat/>
    <w:uiPriority w:val="0"/>
    <w:pPr>
      <w:widowControl/>
      <w:spacing w:before="100" w:beforeAutospacing="1" w:after="100" w:afterAutospacing="1"/>
      <w:jc w:val="center"/>
    </w:pPr>
    <w:rPr>
      <w:rFonts w:ascii="宋体" w:hAnsi="宋体"/>
      <w:kern w:val="0"/>
      <w:sz w:val="24"/>
    </w:rPr>
  </w:style>
  <w:style w:type="paragraph" w:customStyle="1" w:styleId="22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22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2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223">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224">
    <w:name w:val="5 Char Char Char Char Char Char Char Char Char Char"/>
    <w:basedOn w:val="1"/>
    <w:autoRedefine/>
    <w:qFormat/>
    <w:uiPriority w:val="0"/>
  </w:style>
  <w:style w:type="paragraph" w:customStyle="1" w:styleId="225">
    <w:name w:val="合同正文"/>
    <w:basedOn w:val="1"/>
    <w:autoRedefine/>
    <w:qFormat/>
    <w:uiPriority w:val="0"/>
    <w:pPr>
      <w:adjustRightInd w:val="0"/>
      <w:spacing w:line="580" w:lineRule="exact"/>
    </w:pPr>
    <w:rPr>
      <w:b/>
      <w:sz w:val="24"/>
      <w:szCs w:val="20"/>
    </w:rPr>
  </w:style>
  <w:style w:type="paragraph" w:customStyle="1" w:styleId="226">
    <w:name w:val="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2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22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29">
    <w:name w:val="纯文本1"/>
    <w:basedOn w:val="1"/>
    <w:autoRedefine/>
    <w:qFormat/>
    <w:uiPriority w:val="0"/>
    <w:pPr>
      <w:adjustRightInd w:val="0"/>
      <w:jc w:val="left"/>
      <w:textAlignment w:val="baseline"/>
    </w:pPr>
    <w:rPr>
      <w:rFonts w:ascii="宋体" w:hAnsi="Courier New"/>
      <w:szCs w:val="20"/>
    </w:rPr>
  </w:style>
  <w:style w:type="paragraph" w:customStyle="1" w:styleId="230">
    <w:name w:val="列出段落1"/>
    <w:basedOn w:val="1"/>
    <w:autoRedefine/>
    <w:qFormat/>
    <w:uiPriority w:val="99"/>
    <w:pPr>
      <w:ind w:firstLine="420" w:firstLineChars="200"/>
    </w:pPr>
    <w:rPr>
      <w:rFonts w:ascii="Calibri" w:hAnsi="Calibri" w:cs="Calibri"/>
      <w:szCs w:val="21"/>
    </w:rPr>
  </w:style>
  <w:style w:type="paragraph" w:customStyle="1" w:styleId="231">
    <w:name w:val="xl45"/>
    <w:basedOn w:val="1"/>
    <w:autoRedefine/>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232">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233">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34">
    <w:name w:val="默认段落字体 Para Char Char Char Char Char Char Char"/>
    <w:basedOn w:val="1"/>
    <w:autoRedefine/>
    <w:qFormat/>
    <w:uiPriority w:val="0"/>
    <w:pPr>
      <w:adjustRightInd w:val="0"/>
      <w:spacing w:line="360" w:lineRule="auto"/>
      <w:ind w:left="200" w:hanging="200" w:hangingChars="200"/>
    </w:pPr>
    <w:rPr>
      <w:kern w:val="0"/>
      <w:sz w:val="24"/>
      <w:szCs w:val="20"/>
    </w:rPr>
  </w:style>
  <w:style w:type="paragraph" w:customStyle="1" w:styleId="235">
    <w:name w:val="样式 标题 2 + Times New Roman 四号 非加粗 段前: 5 磅 段后: 0 磅 行距: 固定值 20..."/>
    <w:basedOn w:val="4"/>
    <w:autoRedefine/>
    <w:qFormat/>
    <w:uiPriority w:val="99"/>
    <w:pPr>
      <w:spacing w:before="100" w:after="0" w:line="400" w:lineRule="exact"/>
    </w:pPr>
    <w:rPr>
      <w:rFonts w:ascii="Times New Roman" w:hAnsi="Times New Roman" w:cs="宋体"/>
      <w:b w:val="0"/>
      <w:bCs w:val="0"/>
      <w:sz w:val="28"/>
      <w:szCs w:val="20"/>
    </w:rPr>
  </w:style>
  <w:style w:type="paragraph" w:customStyle="1" w:styleId="236">
    <w:name w:val="Char2"/>
    <w:basedOn w:val="1"/>
    <w:autoRedefine/>
    <w:qFormat/>
    <w:uiPriority w:val="0"/>
    <w:pPr>
      <w:snapToGrid w:val="0"/>
      <w:spacing w:line="360" w:lineRule="auto"/>
      <w:ind w:firstLine="200" w:firstLineChars="200"/>
    </w:pPr>
    <w:rPr>
      <w:rFonts w:ascii="Arial" w:hAnsi="Arial" w:eastAsia="黑体"/>
      <w:szCs w:val="21"/>
    </w:rPr>
  </w:style>
  <w:style w:type="paragraph" w:customStyle="1" w:styleId="237">
    <w:name w:val="Char Char Char Char Char Char Char1"/>
    <w:basedOn w:val="1"/>
    <w:autoRedefine/>
    <w:qFormat/>
    <w:uiPriority w:val="99"/>
    <w:pPr>
      <w:widowControl/>
      <w:spacing w:after="160" w:line="240" w:lineRule="exact"/>
      <w:jc w:val="left"/>
    </w:pPr>
    <w:rPr>
      <w:szCs w:val="21"/>
    </w:rPr>
  </w:style>
  <w:style w:type="paragraph" w:customStyle="1" w:styleId="23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239">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0">
    <w:name w:val="列出段落2"/>
    <w:basedOn w:val="1"/>
    <w:autoRedefine/>
    <w:qFormat/>
    <w:uiPriority w:val="99"/>
    <w:pPr>
      <w:ind w:firstLine="420" w:firstLineChars="200"/>
    </w:pPr>
    <w:rPr>
      <w:rFonts w:ascii="Calibri" w:hAnsi="Calibri" w:cs="Calibri"/>
      <w:szCs w:val="21"/>
    </w:rPr>
  </w:style>
  <w:style w:type="paragraph" w:customStyle="1" w:styleId="241">
    <w:name w:val="样式 标题 3 + (中文) 黑体 小四 非加粗 段前: 7.8 磅 段后: 0 磅 行距: 固定值 20 磅"/>
    <w:basedOn w:val="2"/>
    <w:autoRedefine/>
    <w:qFormat/>
    <w:uiPriority w:val="99"/>
    <w:pPr>
      <w:spacing w:before="0" w:after="0" w:line="400" w:lineRule="exact"/>
      <w:jc w:val="center"/>
    </w:pPr>
    <w:rPr>
      <w:rFonts w:ascii="宋体" w:hAnsi="宋体" w:eastAsia="黑体" w:cs="宋体"/>
      <w:b w:val="0"/>
      <w:bCs w:val="0"/>
      <w:kern w:val="0"/>
      <w:sz w:val="24"/>
      <w:szCs w:val="20"/>
    </w:rPr>
  </w:style>
  <w:style w:type="paragraph" w:customStyle="1" w:styleId="242">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3">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44">
    <w:name w:val="Char Char Char Char Char Char Char Char Char Char"/>
    <w:basedOn w:val="1"/>
    <w:autoRedefine/>
    <w:qFormat/>
    <w:uiPriority w:val="0"/>
  </w:style>
  <w:style w:type="paragraph" w:customStyle="1" w:styleId="245">
    <w:name w:val="."/>
    <w:basedOn w:val="1"/>
    <w:autoRedefine/>
    <w:qFormat/>
    <w:uiPriority w:val="0"/>
    <w:pPr>
      <w:widowControl/>
      <w:numPr>
        <w:ilvl w:val="0"/>
        <w:numId w:val="1"/>
      </w:numPr>
      <w:overflowPunct w:val="0"/>
      <w:autoSpaceDE w:val="0"/>
      <w:autoSpaceDN w:val="0"/>
      <w:adjustRightInd w:val="0"/>
      <w:spacing w:before="60" w:after="60" w:line="264" w:lineRule="auto"/>
      <w:ind w:left="1135" w:hanging="284"/>
      <w:textAlignment w:val="baseline"/>
    </w:pPr>
    <w:rPr>
      <w:rFonts w:ascii="宋体"/>
      <w:kern w:val="0"/>
      <w:sz w:val="24"/>
      <w:szCs w:val="20"/>
    </w:rPr>
  </w:style>
  <w:style w:type="character" w:customStyle="1" w:styleId="246">
    <w:name w:val="bookmark-item"/>
    <w:autoRedefine/>
    <w:qFormat/>
    <w:uiPriority w:val="0"/>
  </w:style>
  <w:style w:type="paragraph" w:customStyle="1" w:styleId="247">
    <w:name w:val="Normal_17"/>
    <w:autoRedefine/>
    <w:qFormat/>
    <w:uiPriority w:val="0"/>
    <w:pPr>
      <w:spacing w:before="120" w:after="240"/>
      <w:jc w:val="both"/>
    </w:pPr>
    <w:rPr>
      <w:rFonts w:ascii="Calibri" w:hAnsi="Calibri" w:eastAsia="Calibri" w:cs="Times New Roman"/>
      <w:sz w:val="22"/>
      <w:szCs w:val="22"/>
      <w:lang w:val="ru-RU" w:eastAsia="en-US" w:bidi="ar-SA"/>
    </w:rPr>
  </w:style>
  <w:style w:type="character" w:customStyle="1" w:styleId="248">
    <w:name w:val="纯文本 Char3"/>
    <w:autoRedefine/>
    <w:qFormat/>
    <w:uiPriority w:val="0"/>
    <w:rPr>
      <w:rFonts w:ascii="宋体" w:hAnsi="Courier New" w:eastAsia="宋体" w:cs="Courier New"/>
      <w:kern w:val="2"/>
      <w:sz w:val="21"/>
      <w:szCs w:val="21"/>
      <w:lang w:val="en-US" w:eastAsia="zh-CN" w:bidi="ar-SA"/>
    </w:rPr>
  </w:style>
  <w:style w:type="paragraph" w:styleId="249">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Blockquote"/>
    <w:basedOn w:val="1"/>
    <w:autoRedefine/>
    <w:qFormat/>
    <w:uiPriority w:val="0"/>
    <w:pPr>
      <w:adjustRightInd w:val="0"/>
      <w:spacing w:before="100" w:after="100"/>
      <w:ind w:left="360" w:right="360"/>
    </w:pPr>
    <w:rPr>
      <w:sz w:val="24"/>
    </w:rPr>
  </w:style>
  <w:style w:type="paragraph" w:customStyle="1" w:styleId="251">
    <w:name w:val="Table Paragraph"/>
    <w:basedOn w:val="1"/>
    <w:autoRedefine/>
    <w:qFormat/>
    <w:uiPriority w:val="1"/>
  </w:style>
  <w:style w:type="paragraph" w:customStyle="1" w:styleId="252">
    <w:name w:val="纯文本_0"/>
    <w:basedOn w:val="180"/>
    <w:autoRedefine/>
    <w:qFormat/>
    <w:uiPriority w:val="0"/>
    <w:rPr>
      <w:rFonts w:ascii="宋体" w:hAnsi="Courier New"/>
    </w:rPr>
  </w:style>
  <w:style w:type="paragraph" w:customStyle="1" w:styleId="253">
    <w:name w:val="PlainText"/>
    <w:basedOn w:val="1"/>
    <w:autoRedefine/>
    <w:qFormat/>
    <w:uiPriority w:val="0"/>
    <w:rPr>
      <w:rFonts w:ascii="宋体" w:hAnsi="Courier New"/>
      <w:szCs w:val="20"/>
    </w:rPr>
  </w:style>
  <w:style w:type="character" w:customStyle="1" w:styleId="254">
    <w:name w:val="ant-radio+*"/>
    <w:basedOn w:val="46"/>
    <w:autoRedefine/>
    <w:qFormat/>
    <w:uiPriority w:val="0"/>
  </w:style>
  <w:style w:type="character" w:customStyle="1" w:styleId="255">
    <w:name w:val="ant-radio+*1"/>
    <w:basedOn w:val="46"/>
    <w:autoRedefine/>
    <w:qFormat/>
    <w:uiPriority w:val="0"/>
  </w:style>
  <w:style w:type="character" w:customStyle="1" w:styleId="256">
    <w:name w:val="first-child1"/>
    <w:basedOn w:val="46"/>
    <w:autoRedefine/>
    <w:qFormat/>
    <w:uiPriority w:val="0"/>
  </w:style>
  <w:style w:type="character" w:customStyle="1" w:styleId="257">
    <w:name w:val="ant-input28"/>
    <w:basedOn w:val="46"/>
    <w:autoRedefine/>
    <w:qFormat/>
    <w:uiPriority w:val="0"/>
  </w:style>
  <w:style w:type="character" w:customStyle="1" w:styleId="258">
    <w:name w:val="last-child"/>
    <w:basedOn w:val="46"/>
    <w:autoRedefine/>
    <w:qFormat/>
    <w:uiPriority w:val="0"/>
  </w:style>
  <w:style w:type="character" w:customStyle="1" w:styleId="259">
    <w:name w:val="ant-select-tree-checkbox"/>
    <w:basedOn w:val="46"/>
    <w:autoRedefine/>
    <w:qFormat/>
    <w:uiPriority w:val="0"/>
  </w:style>
  <w:style w:type="character" w:customStyle="1" w:styleId="260">
    <w:name w:val="ant-select-tree-switcher"/>
    <w:basedOn w:val="46"/>
    <w:autoRedefine/>
    <w:qFormat/>
    <w:uiPriority w:val="0"/>
  </w:style>
  <w:style w:type="character" w:customStyle="1" w:styleId="261">
    <w:name w:val="nc-lang-cnt"/>
    <w:basedOn w:val="46"/>
    <w:autoRedefine/>
    <w:qFormat/>
    <w:uiPriority w:val="0"/>
    <w:rPr>
      <w:rFonts w:hint="cs"/>
      <w:rtl/>
      <w:cs/>
    </w:rPr>
  </w:style>
  <w:style w:type="character" w:customStyle="1" w:styleId="262">
    <w:name w:val="nc-lang-cnt1"/>
    <w:basedOn w:val="46"/>
    <w:autoRedefine/>
    <w:qFormat/>
    <w:uiPriority w:val="0"/>
    <w:rPr>
      <w:rFonts w:hint="cs"/>
      <w:rtl/>
      <w:cs/>
    </w:rPr>
  </w:style>
  <w:style w:type="character" w:customStyle="1" w:styleId="263">
    <w:name w:val="nc-lang-cnt2"/>
    <w:basedOn w:val="46"/>
    <w:autoRedefine/>
    <w:qFormat/>
    <w:uiPriority w:val="0"/>
  </w:style>
  <w:style w:type="character" w:customStyle="1" w:styleId="264">
    <w:name w:val="nc-lang-cnt3"/>
    <w:basedOn w:val="46"/>
    <w:autoRedefine/>
    <w:qFormat/>
    <w:uiPriority w:val="0"/>
  </w:style>
  <w:style w:type="character" w:customStyle="1" w:styleId="265">
    <w:name w:val="nc-lang-cnt4"/>
    <w:basedOn w:val="46"/>
    <w:autoRedefine/>
    <w:qFormat/>
    <w:uiPriority w:val="0"/>
    <w:rPr>
      <w:rFonts w:hint="cs"/>
      <w:rtl/>
      <w:cs/>
    </w:rPr>
  </w:style>
  <w:style w:type="character" w:customStyle="1" w:styleId="266">
    <w:name w:val="nc-lang-cnt5"/>
    <w:basedOn w:val="46"/>
    <w:autoRedefine/>
    <w:qFormat/>
    <w:uiPriority w:val="0"/>
    <w:rPr>
      <w:rFonts w:hint="cs"/>
      <w:rtl/>
      <w:cs/>
    </w:rPr>
  </w:style>
  <w:style w:type="character" w:customStyle="1" w:styleId="267">
    <w:name w:val="nc-lang-cnt6"/>
    <w:basedOn w:val="46"/>
    <w:autoRedefine/>
    <w:qFormat/>
    <w:uiPriority w:val="0"/>
  </w:style>
  <w:style w:type="character" w:customStyle="1" w:styleId="268">
    <w:name w:val="ant-select-tree-iconele"/>
    <w:basedOn w:val="46"/>
    <w:autoRedefine/>
    <w:qFormat/>
    <w:uiPriority w:val="0"/>
  </w:style>
  <w:style w:type="character" w:customStyle="1" w:styleId="269">
    <w:name w:val="ant-table-tbody1"/>
    <w:basedOn w:val="4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15778</Words>
  <Characters>16910</Characters>
  <Lines>391</Lines>
  <Paragraphs>110</Paragraphs>
  <TotalTime>3</TotalTime>
  <ScaleCrop>false</ScaleCrop>
  <LinksUpToDate>false</LinksUpToDate>
  <CharactersWithSpaces>17223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2022-03-23T01:58:00Z</dcterms:created>
  <dc:creator>USER</dc:creator>
  <cp:lastModifiedBy>蜗行马步</cp:lastModifiedBy>
  <cp:lastPrinted>2022-03-24T01:54:00Z</cp:lastPrinted>
  <dcterms:modified xsi:type="dcterms:W3CDTF">2025-04-14T02:24:39Z</dcterms:modified>
  <dc:title>第三章  项目需求</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EA1E2C47745F4BCA8DDD16FFAE4FAD05</vt:lpwstr>
  </property>
  <property fmtid="{D5CDD505-2E9C-101B-9397-08002B2CF9AE}" pid="4" name="KSOTemplateDocerSaveRecord">
    <vt:lpwstr>eyJoZGlkIjoiNDlkMjNmNGM5NGU1MzU5MTJlZmU4YTA3NzFkNDA0OWIiLCJ1c2VySWQiOiI5NDU1NTYzOTIifQ==</vt:lpwstr>
  </property>
</Properties>
</file>