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ind w:firstLine="0" w:firstLineChars="0"/>
        <w:jc w:val="center"/>
        <w:rPr>
          <w:rFonts w:hAnsi="宋体" w:cs="宋体"/>
          <w:bCs/>
          <w:color w:val="000000" w:themeColor="text1"/>
          <w:sz w:val="64"/>
          <w:szCs w:val="64"/>
          <w:highlight w:val="none"/>
          <w14:textFill>
            <w14:solidFill>
              <w14:schemeClr w14:val="tx1"/>
            </w14:solidFill>
          </w14:textFill>
        </w:rPr>
      </w:pPr>
      <w:r>
        <w:rPr>
          <w:rFonts w:hint="eastAsia" w:hAnsi="宋体" w:cs="宋体"/>
          <w:bCs/>
          <w:color w:val="000000" w:themeColor="text1"/>
          <w:sz w:val="64"/>
          <w:szCs w:val="64"/>
          <w:highlight w:val="none"/>
          <w14:textFill>
            <w14:solidFill>
              <w14:schemeClr w14:val="tx1"/>
            </w14:solidFill>
          </w14:textFill>
        </w:rPr>
        <w:t>广西正海招标有限公司</w:t>
      </w:r>
    </w:p>
    <w:p>
      <w:pPr>
        <w:bidi w:val="0"/>
        <w:rPr>
          <w:color w:val="000000" w:themeColor="text1"/>
          <w:highlight w:val="none"/>
          <w14:textFill>
            <w14:solidFill>
              <w14:schemeClr w14:val="tx1"/>
            </w14:solidFill>
          </w14:textFill>
        </w:rPr>
      </w:pPr>
    </w:p>
    <w:p>
      <w:pPr>
        <w:ind w:firstLine="420"/>
        <w:rPr>
          <w:rFonts w:ascii="宋体" w:hAnsi="宋体" w:eastAsia="宋体" w:cs="宋体"/>
          <w:color w:val="000000" w:themeColor="text1"/>
          <w:highlight w:val="none"/>
          <w14:textFill>
            <w14:solidFill>
              <w14:schemeClr w14:val="tx1"/>
            </w14:solidFill>
          </w14:textFill>
        </w:rPr>
      </w:pPr>
    </w:p>
    <w:p>
      <w:pPr>
        <w:pStyle w:val="14"/>
        <w:ind w:firstLine="0" w:firstLineChars="0"/>
        <w:jc w:val="center"/>
        <w:rPr>
          <w:rFonts w:hint="eastAsia" w:hAnsi="宋体" w:cs="宋体"/>
          <w:b/>
          <w:color w:val="000000" w:themeColor="text1"/>
          <w:sz w:val="72"/>
          <w:szCs w:val="72"/>
          <w:highlight w:val="none"/>
          <w14:textFill>
            <w14:solidFill>
              <w14:schemeClr w14:val="tx1"/>
            </w14:solidFill>
          </w14:textFill>
        </w:rPr>
      </w:pPr>
    </w:p>
    <w:p>
      <w:pPr>
        <w:pStyle w:val="14"/>
        <w:ind w:firstLine="0" w:firstLineChars="0"/>
        <w:jc w:val="center"/>
        <w:rPr>
          <w:rFonts w:hAnsi="宋体" w:cs="宋体"/>
          <w:b/>
          <w:color w:val="000000" w:themeColor="text1"/>
          <w:sz w:val="72"/>
          <w:szCs w:val="72"/>
          <w:highlight w:val="none"/>
          <w14:textFill>
            <w14:solidFill>
              <w14:schemeClr w14:val="tx1"/>
            </w14:solidFill>
          </w14:textFill>
        </w:rPr>
      </w:pPr>
      <w:r>
        <w:rPr>
          <w:rFonts w:hint="eastAsia" w:hAnsi="宋体" w:cs="宋体"/>
          <w:b/>
          <w:color w:val="000000" w:themeColor="text1"/>
          <w:sz w:val="72"/>
          <w:szCs w:val="72"/>
          <w:highlight w:val="none"/>
          <w14:textFill>
            <w14:solidFill>
              <w14:schemeClr w14:val="tx1"/>
            </w14:solidFill>
          </w14:textFill>
        </w:rPr>
        <w:t>竞争性</w:t>
      </w:r>
      <w:r>
        <w:rPr>
          <w:rFonts w:hint="eastAsia" w:hAnsi="宋体" w:cs="宋体"/>
          <w:b/>
          <w:color w:val="000000" w:themeColor="text1"/>
          <w:sz w:val="72"/>
          <w:szCs w:val="72"/>
          <w:highlight w:val="none"/>
          <w:lang w:eastAsia="zh-CN"/>
          <w14:textFill>
            <w14:solidFill>
              <w14:schemeClr w14:val="tx1"/>
            </w14:solidFill>
          </w14:textFill>
        </w:rPr>
        <w:t>谈判</w:t>
      </w:r>
      <w:r>
        <w:rPr>
          <w:rFonts w:hint="eastAsia" w:hAnsi="宋体" w:cs="宋体"/>
          <w:b/>
          <w:color w:val="000000" w:themeColor="text1"/>
          <w:sz w:val="72"/>
          <w:szCs w:val="72"/>
          <w:highlight w:val="none"/>
          <w14:textFill>
            <w14:solidFill>
              <w14:schemeClr w14:val="tx1"/>
            </w14:solidFill>
          </w14:textFill>
        </w:rPr>
        <w:t>文件</w:t>
      </w:r>
    </w:p>
    <w:p>
      <w:pPr>
        <w:pStyle w:val="14"/>
        <w:ind w:firstLine="402"/>
        <w:rPr>
          <w:rFonts w:hAnsi="宋体" w:cs="宋体"/>
          <w:b/>
          <w:color w:val="000000" w:themeColor="text1"/>
          <w:highlight w:val="none"/>
          <w14:textFill>
            <w14:solidFill>
              <w14:schemeClr w14:val="tx1"/>
            </w14:solidFill>
          </w14:textFill>
        </w:rPr>
      </w:pPr>
    </w:p>
    <w:p>
      <w:pPr>
        <w:pStyle w:val="14"/>
        <w:ind w:firstLine="402"/>
        <w:rPr>
          <w:rFonts w:hAnsi="宋体" w:cs="宋体"/>
          <w:b/>
          <w:color w:val="000000" w:themeColor="text1"/>
          <w:highlight w:val="none"/>
          <w14:textFill>
            <w14:solidFill>
              <w14:schemeClr w14:val="tx1"/>
            </w14:solidFill>
          </w14:textFill>
        </w:rPr>
      </w:pPr>
    </w:p>
    <w:p>
      <w:pPr>
        <w:snapToGrid w:val="0"/>
        <w:spacing w:beforeLines="50"/>
        <w:jc w:val="center"/>
        <w:rPr>
          <w:rFonts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（全流程电子化采购）</w:t>
      </w:r>
    </w:p>
    <w:p>
      <w:pPr>
        <w:pStyle w:val="14"/>
        <w:ind w:firstLine="402"/>
        <w:rPr>
          <w:rFonts w:hAnsi="宋体" w:cs="宋体"/>
          <w:b/>
          <w:color w:val="000000" w:themeColor="text1"/>
          <w:highlight w:val="none"/>
          <w14:textFill>
            <w14:solidFill>
              <w14:schemeClr w14:val="tx1"/>
            </w14:solidFill>
          </w14:textFill>
        </w:rPr>
      </w:pPr>
    </w:p>
    <w:p>
      <w:pPr>
        <w:pStyle w:val="17"/>
        <w:rPr>
          <w:rFonts w:ascii="宋体" w:hAnsi="宋体" w:eastAsia="宋体" w:cs="宋体"/>
          <w:b/>
          <w:color w:val="000000" w:themeColor="text1"/>
          <w:highlight w:val="none"/>
          <w14:textFill>
            <w14:solidFill>
              <w14:schemeClr w14:val="tx1"/>
            </w14:solidFill>
          </w14:textFill>
        </w:rPr>
      </w:pPr>
    </w:p>
    <w:p>
      <w:pPr>
        <w:pStyle w:val="17"/>
        <w:rPr>
          <w:rFonts w:ascii="宋体" w:hAnsi="宋体" w:eastAsia="宋体" w:cs="宋体"/>
          <w:b/>
          <w:color w:val="000000" w:themeColor="text1"/>
          <w:highlight w:val="none"/>
          <w14:textFill>
            <w14:solidFill>
              <w14:schemeClr w14:val="tx1"/>
            </w14:solidFill>
          </w14:textFill>
        </w:rPr>
      </w:pPr>
    </w:p>
    <w:p>
      <w:pPr>
        <w:pStyle w:val="14"/>
        <w:ind w:firstLine="402"/>
        <w:rPr>
          <w:rFonts w:hAnsi="宋体" w:cs="宋体"/>
          <w:b/>
          <w:color w:val="000000" w:themeColor="text1"/>
          <w:highlight w:val="none"/>
          <w14:textFill>
            <w14:solidFill>
              <w14:schemeClr w14:val="tx1"/>
            </w14:solidFill>
          </w14:textFill>
        </w:rPr>
      </w:pPr>
    </w:p>
    <w:p>
      <w:pPr>
        <w:pStyle w:val="14"/>
        <w:ind w:firstLine="402"/>
        <w:rPr>
          <w:rFonts w:hAnsi="宋体" w:cs="宋体"/>
          <w:b/>
          <w:color w:val="000000" w:themeColor="text1"/>
          <w:highlight w:val="none"/>
          <w14:textFill>
            <w14:solidFill>
              <w14:schemeClr w14:val="tx1"/>
            </w14:solidFill>
          </w14:textFill>
        </w:rPr>
      </w:pPr>
    </w:p>
    <w:p>
      <w:pPr>
        <w:pStyle w:val="14"/>
        <w:spacing w:line="360" w:lineRule="auto"/>
        <w:ind w:firstLine="1205" w:firstLineChars="400"/>
        <w:jc w:val="both"/>
        <w:rPr>
          <w:rFonts w:hint="eastAsia" w:hAnsi="宋体" w:eastAsia="宋体" w:cs="宋体"/>
          <w:b/>
          <w:bCs w:val="0"/>
          <w:color w:val="000000" w:themeColor="text1"/>
          <w:sz w:val="30"/>
          <w:szCs w:val="72"/>
          <w:highlight w:val="none"/>
          <w:lang w:val="en-US" w:eastAsia="zh-CN"/>
          <w14:textFill>
            <w14:solidFill>
              <w14:schemeClr w14:val="tx1"/>
            </w14:solidFill>
          </w14:textFill>
        </w:rPr>
      </w:pPr>
      <w:r>
        <w:rPr>
          <w:rFonts w:hint="eastAsia" w:hAnsi="宋体" w:cs="宋体"/>
          <w:b/>
          <w:bCs w:val="0"/>
          <w:color w:val="000000" w:themeColor="text1"/>
          <w:sz w:val="30"/>
          <w:szCs w:val="72"/>
          <w:highlight w:val="none"/>
          <w14:textFill>
            <w14:solidFill>
              <w14:schemeClr w14:val="tx1"/>
            </w14:solidFill>
          </w14:textFill>
        </w:rPr>
        <w:t>项目名称：</w:t>
      </w:r>
      <w:r>
        <w:rPr>
          <w:rFonts w:hint="eastAsia" w:hAnsi="宋体" w:cs="宋体"/>
          <w:b/>
          <w:bCs w:val="0"/>
          <w:color w:val="000000" w:themeColor="text1"/>
          <w:sz w:val="30"/>
          <w:szCs w:val="72"/>
          <w:highlight w:val="none"/>
          <w:lang w:eastAsia="zh-CN"/>
          <w14:textFill>
            <w14:solidFill>
              <w14:schemeClr w14:val="tx1"/>
            </w14:solidFill>
          </w14:textFill>
        </w:rPr>
        <w:t>2025年试剂耗材、标准物质批量采购项目</w:t>
      </w:r>
    </w:p>
    <w:p>
      <w:pPr>
        <w:pStyle w:val="14"/>
        <w:ind w:left="0" w:leftChars="0" w:firstLine="1205" w:firstLineChars="400"/>
        <w:rPr>
          <w:rFonts w:hint="eastAsia" w:hAnsi="宋体" w:cs="宋体"/>
          <w:b/>
          <w:bCs w:val="0"/>
          <w:color w:val="000000" w:themeColor="text1"/>
          <w:sz w:val="30"/>
          <w:szCs w:val="72"/>
          <w:highlight w:val="none"/>
          <w14:textFill>
            <w14:solidFill>
              <w14:schemeClr w14:val="tx1"/>
            </w14:solidFill>
          </w14:textFill>
        </w:rPr>
      </w:pPr>
    </w:p>
    <w:p>
      <w:pPr>
        <w:pStyle w:val="14"/>
        <w:ind w:left="0" w:leftChars="0" w:firstLine="1205" w:firstLineChars="400"/>
        <w:rPr>
          <w:rFonts w:hint="eastAsia" w:hAnsi="宋体" w:eastAsia="宋体" w:cs="宋体"/>
          <w:b/>
          <w:bCs w:val="0"/>
          <w:color w:val="000000" w:themeColor="text1"/>
          <w:sz w:val="30"/>
          <w:szCs w:val="72"/>
          <w:highlight w:val="none"/>
          <w:lang w:val="en-US" w:eastAsia="zh-CN"/>
          <w14:textFill>
            <w14:solidFill>
              <w14:schemeClr w14:val="tx1"/>
            </w14:solidFill>
          </w14:textFill>
        </w:rPr>
      </w:pPr>
      <w:r>
        <w:rPr>
          <w:rFonts w:hint="eastAsia" w:hAnsi="宋体" w:cs="宋体"/>
          <w:b/>
          <w:bCs w:val="0"/>
          <w:color w:val="000000" w:themeColor="text1"/>
          <w:sz w:val="30"/>
          <w:szCs w:val="72"/>
          <w:highlight w:val="none"/>
          <w14:textFill>
            <w14:solidFill>
              <w14:schemeClr w14:val="tx1"/>
            </w14:solidFill>
          </w14:textFill>
        </w:rPr>
        <w:t>项目编号：</w:t>
      </w:r>
      <w:r>
        <w:rPr>
          <w:rFonts w:hint="eastAsia" w:hAnsi="宋体" w:cs="宋体"/>
          <w:b/>
          <w:bCs w:val="0"/>
          <w:color w:val="000000" w:themeColor="text1"/>
          <w:sz w:val="30"/>
          <w:szCs w:val="72"/>
          <w:highlight w:val="none"/>
          <w:lang w:val="en-US" w:eastAsia="zh-CN"/>
          <w14:textFill>
            <w14:solidFill>
              <w14:schemeClr w14:val="tx1"/>
            </w14:solidFill>
          </w14:textFill>
        </w:rPr>
        <w:t>GXZC2025-J1-000697-ZHZB</w:t>
      </w:r>
    </w:p>
    <w:p>
      <w:pPr>
        <w:pStyle w:val="14"/>
        <w:ind w:firstLine="1958" w:firstLineChars="650"/>
        <w:rPr>
          <w:rFonts w:hAnsi="宋体" w:cs="宋体"/>
          <w:b/>
          <w:bCs w:val="0"/>
          <w:color w:val="000000" w:themeColor="text1"/>
          <w:sz w:val="30"/>
          <w:szCs w:val="72"/>
          <w:highlight w:val="none"/>
          <w14:textFill>
            <w14:solidFill>
              <w14:schemeClr w14:val="tx1"/>
            </w14:solidFill>
          </w14:textFill>
        </w:rPr>
      </w:pPr>
    </w:p>
    <w:p>
      <w:pPr>
        <w:bidi w:val="0"/>
        <w:rPr>
          <w:b/>
          <w:bCs w:val="0"/>
          <w:color w:val="000000" w:themeColor="text1"/>
          <w:highlight w:val="none"/>
          <w14:textFill>
            <w14:solidFill>
              <w14:schemeClr w14:val="tx1"/>
            </w14:solidFill>
          </w14:textFill>
        </w:rPr>
      </w:pPr>
    </w:p>
    <w:p>
      <w:pPr>
        <w:pStyle w:val="14"/>
        <w:ind w:firstLine="1205" w:firstLineChars="400"/>
        <w:jc w:val="both"/>
        <w:rPr>
          <w:rFonts w:hint="default" w:hAnsi="宋体" w:eastAsia="宋体" w:cs="宋体"/>
          <w:b/>
          <w:bCs w:val="0"/>
          <w:color w:val="000000" w:themeColor="text1"/>
          <w:sz w:val="30"/>
          <w:szCs w:val="72"/>
          <w:highlight w:val="none"/>
          <w:lang w:val="en-US" w:eastAsia="zh-CN"/>
          <w14:textFill>
            <w14:solidFill>
              <w14:schemeClr w14:val="tx1"/>
            </w14:solidFill>
          </w14:textFill>
        </w:rPr>
      </w:pPr>
      <w:r>
        <w:rPr>
          <w:rFonts w:hint="eastAsia" w:hAnsi="宋体" w:cs="宋体"/>
          <w:b/>
          <w:bCs w:val="0"/>
          <w:color w:val="000000" w:themeColor="text1"/>
          <w:sz w:val="30"/>
          <w:szCs w:val="72"/>
          <w:highlight w:val="none"/>
          <w14:textFill>
            <w14:solidFill>
              <w14:schemeClr w14:val="tx1"/>
            </w14:solidFill>
          </w14:textFill>
        </w:rPr>
        <w:t>采购人：</w:t>
      </w:r>
      <w:r>
        <w:rPr>
          <w:rFonts w:hint="eastAsia" w:hAnsi="宋体" w:cs="宋体"/>
          <w:b/>
          <w:bCs w:val="0"/>
          <w:color w:val="000000" w:themeColor="text1"/>
          <w:spacing w:val="-6"/>
          <w:sz w:val="30"/>
          <w:szCs w:val="72"/>
          <w:highlight w:val="none"/>
          <w:lang w:val="en-US" w:eastAsia="zh-CN"/>
          <w14:textFill>
            <w14:solidFill>
              <w14:schemeClr w14:val="tx1"/>
            </w14:solidFill>
          </w14:textFill>
        </w:rPr>
        <w:t>广西壮族自治区南宁生态环境监测中心</w:t>
      </w:r>
    </w:p>
    <w:p>
      <w:pPr>
        <w:pStyle w:val="14"/>
        <w:ind w:firstLine="1205" w:firstLineChars="400"/>
        <w:jc w:val="both"/>
        <w:rPr>
          <w:rFonts w:hint="eastAsia" w:hAnsi="宋体" w:cs="宋体"/>
          <w:b/>
          <w:bCs w:val="0"/>
          <w:color w:val="000000" w:themeColor="text1"/>
          <w:sz w:val="30"/>
          <w:szCs w:val="72"/>
          <w:highlight w:val="none"/>
          <w14:textFill>
            <w14:solidFill>
              <w14:schemeClr w14:val="tx1"/>
            </w14:solidFill>
          </w14:textFill>
        </w:rPr>
      </w:pPr>
    </w:p>
    <w:p>
      <w:pPr>
        <w:pStyle w:val="14"/>
        <w:ind w:firstLine="1205" w:firstLineChars="400"/>
        <w:jc w:val="both"/>
        <w:rPr>
          <w:rFonts w:hAnsi="宋体" w:cs="宋体"/>
          <w:b/>
          <w:bCs w:val="0"/>
          <w:color w:val="000000" w:themeColor="text1"/>
          <w:sz w:val="30"/>
          <w:szCs w:val="72"/>
          <w:highlight w:val="none"/>
          <w14:textFill>
            <w14:solidFill>
              <w14:schemeClr w14:val="tx1"/>
            </w14:solidFill>
          </w14:textFill>
        </w:rPr>
      </w:pPr>
      <w:r>
        <w:rPr>
          <w:rFonts w:hint="eastAsia" w:hAnsi="宋体" w:cs="宋体"/>
          <w:b/>
          <w:bCs w:val="0"/>
          <w:color w:val="000000" w:themeColor="text1"/>
          <w:sz w:val="30"/>
          <w:szCs w:val="72"/>
          <w:highlight w:val="none"/>
          <w14:textFill>
            <w14:solidFill>
              <w14:schemeClr w14:val="tx1"/>
            </w14:solidFill>
          </w14:textFill>
        </w:rPr>
        <w:t>采购代理机构：广西正海招标有限公司</w:t>
      </w:r>
    </w:p>
    <w:p>
      <w:pPr>
        <w:pStyle w:val="14"/>
        <w:ind w:firstLine="3300" w:firstLineChars="1100"/>
        <w:rPr>
          <w:rFonts w:hint="eastAsia" w:hAnsi="宋体" w:cs="宋体"/>
          <w:bCs/>
          <w:color w:val="000000" w:themeColor="text1"/>
          <w:sz w:val="30"/>
          <w:szCs w:val="72"/>
          <w:highlight w:val="none"/>
          <w:lang w:eastAsia="zh-CN"/>
          <w14:textFill>
            <w14:solidFill>
              <w14:schemeClr w14:val="tx1"/>
            </w14:solidFill>
          </w14:textFill>
        </w:rPr>
      </w:pPr>
    </w:p>
    <w:p>
      <w:pPr>
        <w:pStyle w:val="14"/>
        <w:ind w:firstLine="3313" w:firstLineChars="1100"/>
        <w:rPr>
          <w:rFonts w:hAnsi="宋体" w:cs="宋体"/>
          <w:b/>
          <w:bCs w:val="0"/>
          <w:color w:val="000000" w:themeColor="text1"/>
          <w:sz w:val="30"/>
          <w:szCs w:val="72"/>
          <w:highlight w:val="none"/>
          <w14:textFill>
            <w14:solidFill>
              <w14:schemeClr w14:val="tx1"/>
            </w14:solidFill>
          </w14:textFill>
        </w:rPr>
      </w:pPr>
      <w:r>
        <w:rPr>
          <w:rFonts w:hint="eastAsia" w:hAnsi="宋体" w:cs="宋体"/>
          <w:b/>
          <w:bCs w:val="0"/>
          <w:color w:val="000000" w:themeColor="text1"/>
          <w:sz w:val="30"/>
          <w:szCs w:val="72"/>
          <w:highlight w:val="none"/>
          <w:lang w:eastAsia="zh-CN"/>
          <w14:textFill>
            <w14:solidFill>
              <w14:schemeClr w14:val="tx1"/>
            </w14:solidFill>
          </w14:textFill>
        </w:rPr>
        <w:t>20</w:t>
      </w:r>
      <w:r>
        <w:rPr>
          <w:rFonts w:hint="eastAsia" w:hAnsi="宋体" w:cs="宋体"/>
          <w:b/>
          <w:bCs w:val="0"/>
          <w:color w:val="000000" w:themeColor="text1"/>
          <w:sz w:val="30"/>
          <w:szCs w:val="72"/>
          <w:highlight w:val="none"/>
          <w:lang w:val="en-US" w:eastAsia="zh-CN"/>
          <w14:textFill>
            <w14:solidFill>
              <w14:schemeClr w14:val="tx1"/>
            </w14:solidFill>
          </w14:textFill>
        </w:rPr>
        <w:t>25</w:t>
      </w:r>
      <w:r>
        <w:rPr>
          <w:rFonts w:hint="eastAsia" w:hAnsi="宋体" w:cs="宋体"/>
          <w:b/>
          <w:bCs w:val="0"/>
          <w:color w:val="000000" w:themeColor="text1"/>
          <w:sz w:val="30"/>
          <w:szCs w:val="72"/>
          <w:highlight w:val="none"/>
          <w:lang w:eastAsia="zh-CN"/>
          <w14:textFill>
            <w14:solidFill>
              <w14:schemeClr w14:val="tx1"/>
            </w14:solidFill>
          </w14:textFill>
        </w:rPr>
        <w:t>年</w:t>
      </w:r>
      <w:r>
        <w:rPr>
          <w:rFonts w:hint="eastAsia" w:hAnsi="宋体" w:cs="宋体"/>
          <w:b/>
          <w:bCs w:val="0"/>
          <w:color w:val="000000" w:themeColor="text1"/>
          <w:sz w:val="30"/>
          <w:szCs w:val="72"/>
          <w:highlight w:val="none"/>
          <w:lang w:val="en-US" w:eastAsia="zh-CN"/>
          <w14:textFill>
            <w14:solidFill>
              <w14:schemeClr w14:val="tx1"/>
            </w14:solidFill>
          </w14:textFill>
        </w:rPr>
        <w:t>4</w:t>
      </w:r>
      <w:r>
        <w:rPr>
          <w:rFonts w:hint="eastAsia" w:hAnsi="宋体" w:cs="宋体"/>
          <w:b/>
          <w:bCs w:val="0"/>
          <w:color w:val="000000" w:themeColor="text1"/>
          <w:sz w:val="30"/>
          <w:szCs w:val="72"/>
          <w:highlight w:val="none"/>
          <w14:textFill>
            <w14:solidFill>
              <w14:schemeClr w14:val="tx1"/>
            </w14:solidFill>
          </w14:textFill>
        </w:rPr>
        <w:t>月</w:t>
      </w:r>
    </w:p>
    <w:p>
      <w:pPr>
        <w:ind w:firstLine="574"/>
        <w:rPr>
          <w:rFonts w:ascii="宋体" w:hAnsi="宋体" w:eastAsia="宋体" w:cs="宋体"/>
          <w:b/>
          <w:bCs/>
          <w:color w:val="000000" w:themeColor="text1"/>
          <w:w w:val="95"/>
          <w:kern w:val="0"/>
          <w:sz w:val="30"/>
          <w:szCs w:val="30"/>
          <w:highlight w:val="none"/>
          <w:lang w:val="zh-CN"/>
          <w14:textFill>
            <w14:solidFill>
              <w14:schemeClr w14:val="tx1"/>
            </w14:solidFill>
          </w14:textFill>
        </w:rPr>
        <w:sectPr>
          <w:headerReference r:id="rId4" w:type="first"/>
          <w:footerReference r:id="rId7" w:type="first"/>
          <w:footerReference r:id="rId5" w:type="default"/>
          <w:headerReference r:id="rId3" w:type="even"/>
          <w:footerReference r:id="rId6" w:type="even"/>
          <w:pgSz w:w="11906" w:h="16838"/>
          <w:pgMar w:top="1701" w:right="1701" w:bottom="1701" w:left="1701" w:header="851" w:footer="992" w:gutter="0"/>
          <w:cols w:space="720" w:num="1"/>
          <w:docGrid w:type="lines" w:linePitch="312" w:charSpace="0"/>
        </w:sectPr>
      </w:pPr>
    </w:p>
    <w:p>
      <w:pPr>
        <w:spacing w:line="360" w:lineRule="auto"/>
        <w:jc w:val="center"/>
        <w:rPr>
          <w:rFonts w:ascii="宋体" w:hAnsi="宋体"/>
          <w:b/>
          <w:color w:val="000000" w:themeColor="text1"/>
          <w:sz w:val="44"/>
          <w:szCs w:val="44"/>
          <w:highlight w:val="none"/>
          <w14:textFill>
            <w14:solidFill>
              <w14:schemeClr w14:val="tx1"/>
            </w14:solidFill>
          </w14:textFill>
        </w:rPr>
      </w:pPr>
      <w:r>
        <w:rPr>
          <w:rFonts w:hint="eastAsia" w:ascii="宋体" w:hAnsi="宋体"/>
          <w:b/>
          <w:color w:val="000000" w:themeColor="text1"/>
          <w:sz w:val="44"/>
          <w:szCs w:val="44"/>
          <w:highlight w:val="none"/>
          <w14:textFill>
            <w14:solidFill>
              <w14:schemeClr w14:val="tx1"/>
            </w14:solidFill>
          </w14:textFill>
        </w:rPr>
        <w:t>目  录</w:t>
      </w:r>
    </w:p>
    <w:p>
      <w:pPr>
        <w:spacing w:line="400" w:lineRule="exact"/>
        <w:jc w:val="center"/>
        <w:rPr>
          <w:rFonts w:ascii="宋体" w:hAnsi="宋体"/>
          <w:b/>
          <w:color w:val="000000" w:themeColor="text1"/>
          <w:sz w:val="44"/>
          <w:szCs w:val="44"/>
          <w:highlight w:val="none"/>
          <w14:textFill>
            <w14:solidFill>
              <w14:schemeClr w14:val="tx1"/>
            </w14:solidFill>
          </w14:textFill>
        </w:rPr>
      </w:pPr>
    </w:p>
    <w:p>
      <w:pPr>
        <w:pStyle w:val="19"/>
        <w:tabs>
          <w:tab w:val="right" w:leader="dot" w:pos="8869"/>
        </w:tabs>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fldChar w:fldCharType="begin"/>
      </w:r>
      <w:r>
        <w:rPr>
          <w:rFonts w:hint="eastAsia" w:ascii="宋体" w:hAnsi="宋体" w:eastAsia="宋体" w:cs="宋体"/>
          <w:b/>
          <w:color w:val="000000" w:themeColor="text1"/>
          <w:sz w:val="28"/>
          <w:szCs w:val="28"/>
          <w:highlight w:val="none"/>
          <w14:textFill>
            <w14:solidFill>
              <w14:schemeClr w14:val="tx1"/>
            </w14:solidFill>
          </w14:textFill>
        </w:rPr>
        <w:instrText xml:space="preserve"> TOC \o "1-3" \h \z \u </w:instrText>
      </w:r>
      <w:r>
        <w:rPr>
          <w:rFonts w:hint="eastAsia" w:ascii="宋体" w:hAnsi="宋体" w:eastAsia="宋体" w:cs="宋体"/>
          <w:b/>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"_Toc129703548"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Style w:val="33"/>
          <w:rFonts w:hint="eastAsia" w:ascii="宋体" w:hAnsi="宋体" w:eastAsia="宋体" w:cs="宋体"/>
          <w:color w:val="000000" w:themeColor="text1"/>
          <w:sz w:val="28"/>
          <w:szCs w:val="28"/>
          <w:highlight w:val="none"/>
          <w14:textFill>
            <w14:solidFill>
              <w14:schemeClr w14:val="tx1"/>
            </w14:solidFill>
          </w14:textFill>
        </w:rPr>
        <w:t>第一章 竞争性谈判公告</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PAGEREF _Toc129703548 \h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1</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pPr>
        <w:pStyle w:val="19"/>
        <w:tabs>
          <w:tab w:val="right" w:leader="dot" w:pos="8869"/>
        </w:tabs>
        <w:spacing w:line="360" w:lineRule="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"_Toc129703549"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Style w:val="33"/>
          <w:rFonts w:hint="eastAsia" w:ascii="宋体" w:hAnsi="宋体" w:eastAsia="宋体" w:cs="宋体"/>
          <w:color w:val="000000" w:themeColor="text1"/>
          <w:sz w:val="28"/>
          <w:szCs w:val="28"/>
          <w:highlight w:val="none"/>
          <w14:textFill>
            <w14:solidFill>
              <w14:schemeClr w14:val="tx1"/>
            </w14:solidFill>
          </w14:textFill>
        </w:rPr>
        <w:t>第二章 供应商须知</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PAGEREF _Toc129703549 \h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5</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pPr>
        <w:pStyle w:val="19"/>
        <w:tabs>
          <w:tab w:val="right" w:leader="dot" w:pos="8869"/>
        </w:tabs>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"_Toc129703550"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Style w:val="33"/>
          <w:rFonts w:hint="eastAsia" w:ascii="宋体" w:hAnsi="宋体" w:eastAsia="宋体" w:cs="宋体"/>
          <w:color w:val="000000" w:themeColor="text1"/>
          <w:sz w:val="28"/>
          <w:szCs w:val="28"/>
          <w:highlight w:val="none"/>
          <w14:textFill>
            <w14:solidFill>
              <w14:schemeClr w14:val="tx1"/>
            </w14:solidFill>
          </w14:textFill>
        </w:rPr>
        <w:t>第三章 采购需求</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PAGEREF _Toc129703550 \h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26</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pPr>
        <w:pStyle w:val="19"/>
        <w:tabs>
          <w:tab w:val="right" w:leader="dot" w:pos="8869"/>
        </w:tabs>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"_Toc129703551"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Style w:val="33"/>
          <w:rFonts w:hint="eastAsia" w:ascii="宋体" w:hAnsi="宋体" w:eastAsia="宋体" w:cs="宋体"/>
          <w:color w:val="000000" w:themeColor="text1"/>
          <w:sz w:val="28"/>
          <w:szCs w:val="28"/>
          <w:highlight w:val="none"/>
          <w14:textFill>
            <w14:solidFill>
              <w14:schemeClr w14:val="tx1"/>
            </w14:solidFill>
          </w14:textFill>
        </w:rPr>
        <w:t>第四章 评审程序和评定成交的标准</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PAGEREF _Toc129703551 \h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86</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pPr>
        <w:pStyle w:val="19"/>
        <w:tabs>
          <w:tab w:val="right" w:leader="dot" w:pos="8869"/>
        </w:tabs>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"_Toc129703552"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Style w:val="33"/>
          <w:rFonts w:hint="eastAsia" w:ascii="宋体" w:hAnsi="宋体" w:eastAsia="宋体" w:cs="宋体"/>
          <w:color w:val="000000" w:themeColor="text1"/>
          <w:sz w:val="28"/>
          <w:szCs w:val="28"/>
          <w:highlight w:val="none"/>
          <w14:textFill>
            <w14:solidFill>
              <w14:schemeClr w14:val="tx1"/>
            </w14:solidFill>
          </w14:textFill>
        </w:rPr>
        <w:t>第五章 响应文件格式</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PAGEREF _Toc129703552 \h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92</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pPr>
        <w:pStyle w:val="19"/>
        <w:tabs>
          <w:tab w:val="right" w:leader="dot" w:pos="8869"/>
        </w:tabs>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"_Toc129703553"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Style w:val="33"/>
          <w:rFonts w:hint="eastAsia" w:ascii="宋体" w:hAnsi="宋体" w:eastAsia="宋体" w:cs="宋体"/>
          <w:color w:val="000000" w:themeColor="text1"/>
          <w:sz w:val="28"/>
          <w:szCs w:val="28"/>
          <w:highlight w:val="none"/>
          <w14:textFill>
            <w14:solidFill>
              <w14:schemeClr w14:val="tx1"/>
            </w14:solidFill>
          </w14:textFill>
        </w:rPr>
        <w:t>第六章 合同文本</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PAGEREF _Toc129703553 \h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115</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pPr>
        <w:pStyle w:val="20"/>
        <w:tabs>
          <w:tab w:val="right" w:leader="dot" w:pos="8931"/>
          <w:tab w:val="clear" w:pos="8296"/>
        </w:tabs>
        <w:snapToGrid w:val="0"/>
        <w:spacing w:line="500" w:lineRule="atLeast"/>
        <w:ind w:left="0" w:leftChars="0"/>
        <w:rPr>
          <w:rFonts w:ascii="宋体" w:hAnsi="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fldChar w:fldCharType="end"/>
      </w:r>
    </w:p>
    <w:p>
      <w:pPr>
        <w:spacing w:line="400" w:lineRule="exact"/>
        <w:jc w:val="left"/>
        <w:rPr>
          <w:rFonts w:ascii="宋体" w:hAnsi="宋体"/>
          <w:b/>
          <w:color w:val="000000" w:themeColor="text1"/>
          <w:sz w:val="32"/>
          <w:szCs w:val="32"/>
          <w:highlight w:val="none"/>
          <w14:textFill>
            <w14:solidFill>
              <w14:schemeClr w14:val="tx1"/>
            </w14:solidFill>
          </w14:textFill>
        </w:rPr>
      </w:pPr>
    </w:p>
    <w:p>
      <w:pPr>
        <w:spacing w:line="400" w:lineRule="exact"/>
        <w:jc w:val="center"/>
        <w:rPr>
          <w:rFonts w:ascii="宋体" w:hAnsi="宋体"/>
          <w:b/>
          <w:color w:val="000000" w:themeColor="text1"/>
          <w:sz w:val="32"/>
          <w:szCs w:val="32"/>
          <w:highlight w:val="none"/>
          <w14:textFill>
            <w14:solidFill>
              <w14:schemeClr w14:val="tx1"/>
            </w14:solidFill>
          </w14:textFill>
        </w:rPr>
      </w:pPr>
    </w:p>
    <w:p>
      <w:pPr>
        <w:spacing w:line="400" w:lineRule="exact"/>
        <w:jc w:val="center"/>
        <w:rPr>
          <w:rFonts w:ascii="宋体" w:hAnsi="宋体"/>
          <w:b/>
          <w:color w:val="000000" w:themeColor="text1"/>
          <w:sz w:val="32"/>
          <w:szCs w:val="32"/>
          <w:highlight w:val="none"/>
          <w14:textFill>
            <w14:solidFill>
              <w14:schemeClr w14:val="tx1"/>
            </w14:solidFill>
          </w14:textFill>
        </w:rPr>
      </w:pPr>
    </w:p>
    <w:p>
      <w:pPr>
        <w:spacing w:line="400" w:lineRule="exact"/>
        <w:jc w:val="center"/>
        <w:rPr>
          <w:rFonts w:ascii="宋体" w:hAnsi="宋体"/>
          <w:b/>
          <w:color w:val="000000" w:themeColor="text1"/>
          <w:sz w:val="32"/>
          <w:szCs w:val="32"/>
          <w:highlight w:val="none"/>
          <w14:textFill>
            <w14:solidFill>
              <w14:schemeClr w14:val="tx1"/>
            </w14:solidFill>
          </w14:textFill>
        </w:rPr>
      </w:pPr>
    </w:p>
    <w:p>
      <w:pPr>
        <w:spacing w:line="400" w:lineRule="exact"/>
        <w:jc w:val="center"/>
        <w:rPr>
          <w:rFonts w:ascii="宋体" w:hAnsi="宋体"/>
          <w:b/>
          <w:color w:val="000000" w:themeColor="text1"/>
          <w:sz w:val="32"/>
          <w:szCs w:val="32"/>
          <w:highlight w:val="none"/>
          <w14:textFill>
            <w14:solidFill>
              <w14:schemeClr w14:val="tx1"/>
            </w14:solidFill>
          </w14:textFill>
        </w:rPr>
      </w:pPr>
    </w:p>
    <w:p>
      <w:pPr>
        <w:spacing w:line="400" w:lineRule="exact"/>
        <w:rPr>
          <w:rFonts w:ascii="宋体" w:hAnsi="宋体"/>
          <w:b/>
          <w:color w:val="000000" w:themeColor="text1"/>
          <w:sz w:val="32"/>
          <w:szCs w:val="32"/>
          <w:highlight w:val="none"/>
          <w14:textFill>
            <w14:solidFill>
              <w14:schemeClr w14:val="tx1"/>
            </w14:solidFill>
          </w14:textFill>
        </w:rPr>
        <w:sectPr>
          <w:headerReference r:id="rId8" w:type="default"/>
          <w:footerReference r:id="rId9" w:type="default"/>
          <w:pgSz w:w="11906" w:h="16838"/>
          <w:pgMar w:top="1440" w:right="1440" w:bottom="1440" w:left="1587" w:header="851" w:footer="992" w:gutter="0"/>
          <w:pgNumType w:start="0"/>
          <w:cols w:space="720" w:num="1"/>
          <w:titlePg/>
          <w:docGrid w:type="lines" w:linePitch="312" w:charSpace="0"/>
        </w:sectPr>
      </w:pPr>
      <w:bookmarkStart w:id="126" w:name="_GoBack"/>
      <w:bookmarkEnd w:id="126"/>
    </w:p>
    <w:p>
      <w:pPr>
        <w:pStyle w:val="2"/>
        <w:spacing w:after="100" w:line="480" w:lineRule="auto"/>
        <w:jc w:val="center"/>
        <w:rPr>
          <w:color w:val="000000" w:themeColor="text1"/>
          <w:highlight w:val="none"/>
          <w14:textFill>
            <w14:solidFill>
              <w14:schemeClr w14:val="tx1"/>
            </w14:solidFill>
          </w14:textFill>
        </w:rPr>
      </w:pPr>
      <w:bookmarkStart w:id="0" w:name="_Toc129703548"/>
      <w:r>
        <w:rPr>
          <w:rFonts w:hint="eastAsia"/>
          <w:color w:val="000000" w:themeColor="text1"/>
          <w:highlight w:val="none"/>
          <w14:textFill>
            <w14:solidFill>
              <w14:schemeClr w14:val="tx1"/>
            </w14:solidFill>
          </w14:textFill>
        </w:rPr>
        <w:t>第一章 竞争性谈判公告</w:t>
      </w:r>
      <w:bookmarkEnd w:id="0"/>
    </w:p>
    <w:p>
      <w:pPr>
        <w:spacing w:line="400" w:lineRule="exact"/>
        <w:jc w:val="center"/>
        <w:rPr>
          <w:rFonts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lang w:eastAsia="zh-CN"/>
          <w14:textFill>
            <w14:solidFill>
              <w14:schemeClr w14:val="tx1"/>
            </w14:solidFill>
          </w14:textFill>
        </w:rPr>
        <w:t>广西正海招标有限公司关于</w:t>
      </w:r>
      <w:r>
        <w:rPr>
          <w:rFonts w:hint="eastAsia" w:ascii="宋体" w:hAnsi="宋体"/>
          <w:b/>
          <w:bCs/>
          <w:color w:val="000000" w:themeColor="text1"/>
          <w:sz w:val="24"/>
          <w:szCs w:val="24"/>
          <w:highlight w:val="none"/>
          <w:lang w:val="en-US" w:eastAsia="zh-CN"/>
          <w14:textFill>
            <w14:solidFill>
              <w14:schemeClr w14:val="tx1"/>
            </w14:solidFill>
          </w14:textFill>
        </w:rPr>
        <w:t>2025年试剂耗材、标准物质批量采购项目</w:t>
      </w:r>
      <w:r>
        <w:rPr>
          <w:rFonts w:hint="eastAsia" w:ascii="宋体" w:hAnsi="宋体"/>
          <w:b/>
          <w:bCs/>
          <w:color w:val="000000" w:themeColor="text1"/>
          <w:sz w:val="24"/>
          <w:szCs w:val="24"/>
          <w:highlight w:val="none"/>
          <w:lang w:eastAsia="zh-CN"/>
          <w14:textFill>
            <w14:solidFill>
              <w14:schemeClr w14:val="tx1"/>
            </w14:solidFill>
          </w14:textFill>
        </w:rPr>
        <w:t>（</w:t>
      </w:r>
      <w:r>
        <w:rPr>
          <w:rFonts w:hint="eastAsia" w:ascii="宋体" w:hAnsi="宋体"/>
          <w:b/>
          <w:bCs/>
          <w:color w:val="000000" w:themeColor="text1"/>
          <w:sz w:val="24"/>
          <w:szCs w:val="24"/>
          <w:highlight w:val="none"/>
          <w:lang w:val="en-US" w:eastAsia="zh-CN"/>
          <w14:textFill>
            <w14:solidFill>
              <w14:schemeClr w14:val="tx1"/>
            </w14:solidFill>
          </w14:textFill>
        </w:rPr>
        <w:t>GXZC2025-J1-000697-ZHZB</w:t>
      </w:r>
      <w:r>
        <w:rPr>
          <w:rFonts w:hint="eastAsia" w:ascii="宋体" w:hAnsi="宋体"/>
          <w:b/>
          <w:bCs/>
          <w:color w:val="000000" w:themeColor="text1"/>
          <w:sz w:val="24"/>
          <w:szCs w:val="24"/>
          <w:highlight w:val="none"/>
          <w:lang w:eastAsia="zh-CN"/>
          <w14:textFill>
            <w14:solidFill>
              <w14:schemeClr w14:val="tx1"/>
            </w14:solidFill>
          </w14:textFill>
        </w:rPr>
        <w:t>）的</w:t>
      </w:r>
      <w:r>
        <w:rPr>
          <w:rFonts w:hint="eastAsia" w:ascii="宋体" w:hAnsi="宋体"/>
          <w:b/>
          <w:bCs/>
          <w:color w:val="000000" w:themeColor="text1"/>
          <w:sz w:val="24"/>
          <w:szCs w:val="24"/>
          <w:highlight w:val="none"/>
          <w14:textFill>
            <w14:solidFill>
              <w14:schemeClr w14:val="tx1"/>
            </w14:solidFill>
          </w14:textFill>
        </w:rPr>
        <w:t>竞争性谈判公告</w:t>
      </w:r>
    </w:p>
    <w:p>
      <w:pPr>
        <w:spacing w:line="360" w:lineRule="auto"/>
        <w:rPr>
          <w:rFonts w:ascii="宋体" w:hAnsi="宋体"/>
          <w:color w:val="000000" w:themeColor="text1"/>
          <w:szCs w:val="21"/>
          <w:highlight w:val="none"/>
          <w14:textFill>
            <w14:solidFill>
              <w14:schemeClr w14:val="tx1"/>
            </w14:solidFill>
          </w14:textFill>
        </w:rPr>
      </w:pPr>
    </w:p>
    <w:p>
      <w:pPr>
        <w:keepNext w:val="0"/>
        <w:pageBreakBefore w:val="0"/>
        <w:pBdr>
          <w:top w:val="single" w:color="auto" w:sz="4" w:space="1"/>
          <w:left w:val="single" w:color="auto" w:sz="4" w:space="4"/>
          <w:bottom w:val="single" w:color="auto" w:sz="4" w:space="1"/>
          <w:right w:val="single" w:color="auto" w:sz="4" w:space="4"/>
        </w:pBdr>
        <w:kinsoku/>
        <w:overflowPunct/>
        <w:topLinePunct w:val="0"/>
        <w:autoSpaceDE/>
        <w:autoSpaceDN/>
        <w:bidi w:val="0"/>
        <w:adjustRightInd/>
        <w:spacing w:line="360" w:lineRule="auto"/>
        <w:ind w:left="0"/>
        <w:textAlignment w:val="auto"/>
        <w:rPr>
          <w:rFonts w:ascii="宋体" w:hAnsi="宋体"/>
          <w:color w:val="000000" w:themeColor="text1"/>
          <w:szCs w:val="21"/>
          <w:highlight w:val="none"/>
          <w14:textFill>
            <w14:solidFill>
              <w14:schemeClr w14:val="tx1"/>
            </w14:solidFill>
          </w14:textFill>
        </w:rPr>
      </w:pPr>
      <w:bookmarkStart w:id="1" w:name="_Hlk37430271"/>
      <w:r>
        <w:rPr>
          <w:rFonts w:hint="eastAsia" w:ascii="宋体" w:hAnsi="宋体"/>
          <w:color w:val="000000" w:themeColor="text1"/>
          <w:szCs w:val="21"/>
          <w:highlight w:val="none"/>
          <w14:textFill>
            <w14:solidFill>
              <w14:schemeClr w14:val="tx1"/>
            </w14:solidFill>
          </w14:textFill>
        </w:rPr>
        <w:t>项目概况</w:t>
      </w:r>
    </w:p>
    <w:p>
      <w:pPr>
        <w:keepNext w:val="0"/>
        <w:pageBreakBefore w:val="0"/>
        <w:pBdr>
          <w:top w:val="single" w:color="auto" w:sz="4" w:space="1"/>
          <w:left w:val="single" w:color="auto" w:sz="4" w:space="4"/>
          <w:bottom w:val="single" w:color="auto" w:sz="4" w:space="1"/>
          <w:right w:val="single" w:color="auto" w:sz="4" w:space="4"/>
        </w:pBdr>
        <w:kinsoku/>
        <w:overflowPunct/>
        <w:topLinePunct w:val="0"/>
        <w:autoSpaceDE/>
        <w:autoSpaceDN/>
        <w:bidi w:val="0"/>
        <w:adjustRightInd/>
        <w:spacing w:line="360" w:lineRule="auto"/>
        <w:ind w:left="0" w:firstLine="420" w:firstLineChars="200"/>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lang w:val="en-US" w:eastAsia="zh-CN"/>
          <w14:textFill>
            <w14:solidFill>
              <w14:schemeClr w14:val="tx1"/>
            </w14:solidFill>
          </w14:textFill>
        </w:rPr>
        <w:t>2025年试剂耗材、标准物质批量采购项目</w:t>
      </w:r>
      <w:r>
        <w:rPr>
          <w:rFonts w:hint="default" w:ascii="宋体" w:hAnsi="宋体"/>
          <w:color w:val="000000" w:themeColor="text1"/>
          <w:szCs w:val="21"/>
          <w:highlight w:val="none"/>
          <w:u w:val="none"/>
          <w:lang w:val="en-US" w:eastAsia="zh-CN"/>
          <w14:textFill>
            <w14:solidFill>
              <w14:schemeClr w14:val="tx1"/>
            </w14:solidFill>
          </w14:textFill>
        </w:rPr>
        <w:t>采购项目</w:t>
      </w:r>
      <w:r>
        <w:rPr>
          <w:rFonts w:hint="eastAsia" w:ascii="宋体" w:hAnsi="宋体"/>
          <w:color w:val="000000" w:themeColor="text1"/>
          <w:szCs w:val="21"/>
          <w:highlight w:val="none"/>
          <w14:textFill>
            <w14:solidFill>
              <w14:schemeClr w14:val="tx1"/>
            </w14:solidFill>
          </w14:textFill>
        </w:rPr>
        <w:t>的潜在供应商应在</w:t>
      </w:r>
      <w:r>
        <w:rPr>
          <w:rFonts w:hint="eastAsia" w:ascii="宋体" w:hAnsi="宋体"/>
          <w:color w:val="000000" w:themeColor="text1"/>
          <w:szCs w:val="21"/>
          <w:highlight w:val="none"/>
          <w:lang w:eastAsia="zh-CN"/>
          <w14:textFill>
            <w14:solidFill>
              <w14:schemeClr w14:val="tx1"/>
            </w14:solidFill>
          </w14:textFill>
        </w:rPr>
        <w:t>广西政府采购云平台</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eastAsia="zh-CN"/>
          <w14:textFill>
            <w14:solidFill>
              <w14:schemeClr w14:val="tx1"/>
            </w14:solidFill>
          </w14:textFill>
        </w:rPr>
        <w:t>https://www.gcy.zfcg.gxzf.gov.cn/</w:t>
      </w:r>
      <w:r>
        <w:rPr>
          <w:rFonts w:hint="eastAsia" w:ascii="宋体" w:hAnsi="宋体"/>
          <w:color w:val="000000" w:themeColor="text1"/>
          <w:szCs w:val="21"/>
          <w:highlight w:val="none"/>
          <w14:textFill>
            <w14:solidFill>
              <w14:schemeClr w14:val="tx1"/>
            </w14:solidFill>
          </w14:textFill>
        </w:rPr>
        <w:t>）获取（下载）竞争性谈判文件，并于</w:t>
      </w:r>
      <w:r>
        <w:rPr>
          <w:rFonts w:hint="eastAsia" w:ascii="宋体" w:hAnsi="宋体"/>
          <w:color w:val="000000" w:themeColor="text1"/>
          <w:szCs w:val="21"/>
          <w:highlight w:val="none"/>
          <w:u w:val="single"/>
          <w:lang w:eastAsia="zh-CN"/>
          <w14:textFill>
            <w14:solidFill>
              <w14:schemeClr w14:val="tx1"/>
            </w14:solidFill>
          </w14:textFill>
        </w:rPr>
        <w:t>20</w:t>
      </w:r>
      <w:r>
        <w:rPr>
          <w:rFonts w:hint="eastAsia" w:ascii="宋体" w:hAnsi="宋体"/>
          <w:color w:val="000000" w:themeColor="text1"/>
          <w:szCs w:val="21"/>
          <w:highlight w:val="none"/>
          <w:u w:val="single"/>
          <w:lang w:val="en-US" w:eastAsia="zh-CN"/>
          <w14:textFill>
            <w14:solidFill>
              <w14:schemeClr w14:val="tx1"/>
            </w14:solidFill>
          </w14:textFill>
        </w:rPr>
        <w:t>25</w:t>
      </w:r>
      <w:r>
        <w:rPr>
          <w:rFonts w:hint="eastAsia" w:ascii="宋体" w:hAnsi="宋体"/>
          <w:color w:val="000000" w:themeColor="text1"/>
          <w:szCs w:val="21"/>
          <w:highlight w:val="none"/>
          <w:u w:val="single"/>
          <w:lang w:eastAsia="zh-CN"/>
          <w14:textFill>
            <w14:solidFill>
              <w14:schemeClr w14:val="tx1"/>
            </w14:solidFill>
          </w14:textFill>
        </w:rPr>
        <w:t>年</w:t>
      </w:r>
      <w:r>
        <w:rPr>
          <w:rFonts w:hint="eastAsia" w:ascii="宋体" w:hAnsi="宋体"/>
          <w:color w:val="000000" w:themeColor="text1"/>
          <w:szCs w:val="21"/>
          <w:highlight w:val="none"/>
          <w:u w:val="single"/>
          <w:lang w:val="en-US" w:eastAsia="zh-CN"/>
          <w14:textFill>
            <w14:solidFill>
              <w14:schemeClr w14:val="tx1"/>
            </w14:solidFill>
          </w14:textFill>
        </w:rPr>
        <w:t>4</w:t>
      </w:r>
      <w:r>
        <w:rPr>
          <w:rFonts w:hint="eastAsia" w:ascii="宋体" w:hAnsi="宋体"/>
          <w:color w:val="000000" w:themeColor="text1"/>
          <w:szCs w:val="21"/>
          <w:highlight w:val="none"/>
          <w:u w:val="single"/>
          <w14:textFill>
            <w14:solidFill>
              <w14:schemeClr w14:val="tx1"/>
            </w14:solidFill>
          </w14:textFill>
        </w:rPr>
        <w:t>月</w:t>
      </w:r>
      <w:r>
        <w:rPr>
          <w:rFonts w:hint="eastAsia" w:ascii="宋体" w:hAnsi="宋体"/>
          <w:color w:val="000000" w:themeColor="text1"/>
          <w:szCs w:val="21"/>
          <w:highlight w:val="none"/>
          <w:u w:val="single"/>
          <w:lang w:val="en-US" w:eastAsia="zh-CN"/>
          <w14:textFill>
            <w14:solidFill>
              <w14:schemeClr w14:val="tx1"/>
            </w14:solidFill>
          </w14:textFill>
        </w:rPr>
        <w:t>22</w:t>
      </w:r>
      <w:r>
        <w:rPr>
          <w:rFonts w:hint="eastAsia" w:ascii="宋体" w:hAnsi="宋体"/>
          <w:color w:val="000000" w:themeColor="text1"/>
          <w:szCs w:val="21"/>
          <w:highlight w:val="none"/>
          <w:u w:val="single"/>
          <w14:textFill>
            <w14:solidFill>
              <w14:schemeClr w14:val="tx1"/>
            </w14:solidFill>
          </w14:textFill>
        </w:rPr>
        <w:t>日</w:t>
      </w:r>
      <w:r>
        <w:rPr>
          <w:rFonts w:hint="eastAsia" w:ascii="宋体" w:hAnsi="宋体"/>
          <w:bCs/>
          <w:color w:val="000000" w:themeColor="text1"/>
          <w:szCs w:val="21"/>
          <w:highlight w:val="none"/>
          <w:u w:val="single"/>
          <w:lang w:val="en-US" w:eastAsia="zh-CN"/>
          <w14:textFill>
            <w14:solidFill>
              <w14:schemeClr w14:val="tx1"/>
            </w14:solidFill>
          </w14:textFill>
        </w:rPr>
        <w:t>9</w:t>
      </w:r>
      <w:r>
        <w:rPr>
          <w:rFonts w:hint="eastAsia" w:ascii="宋体" w:hAnsi="宋体"/>
          <w:bCs/>
          <w:color w:val="000000" w:themeColor="text1"/>
          <w:szCs w:val="21"/>
          <w:highlight w:val="none"/>
          <w:u w:val="single"/>
          <w14:textFill>
            <w14:solidFill>
              <w14:schemeClr w14:val="tx1"/>
            </w14:solidFill>
          </w14:textFill>
        </w:rPr>
        <w:t>时</w:t>
      </w:r>
      <w:r>
        <w:rPr>
          <w:rFonts w:ascii="宋体" w:hAnsi="宋体"/>
          <w:bCs/>
          <w:color w:val="000000" w:themeColor="text1"/>
          <w:szCs w:val="21"/>
          <w:highlight w:val="none"/>
          <w:u w:val="single"/>
          <w14:textFill>
            <w14:solidFill>
              <w14:schemeClr w14:val="tx1"/>
            </w14:solidFill>
          </w14:textFill>
        </w:rPr>
        <w:t>00</w:t>
      </w:r>
      <w:r>
        <w:rPr>
          <w:rFonts w:hint="eastAsia" w:ascii="宋体" w:hAnsi="宋体"/>
          <w:bCs/>
          <w:color w:val="000000" w:themeColor="text1"/>
          <w:szCs w:val="21"/>
          <w:highlight w:val="none"/>
          <w:u w:val="single"/>
          <w14:textFill>
            <w14:solidFill>
              <w14:schemeClr w14:val="tx1"/>
            </w14:solidFill>
          </w14:textFill>
        </w:rPr>
        <w:t>分（</w:t>
      </w:r>
      <w:r>
        <w:rPr>
          <w:rFonts w:hint="eastAsia" w:ascii="宋体" w:hAnsi="宋体"/>
          <w:bCs/>
          <w:color w:val="000000" w:themeColor="text1"/>
          <w:szCs w:val="21"/>
          <w:highlight w:val="none"/>
          <w14:textFill>
            <w14:solidFill>
              <w14:schemeClr w14:val="tx1"/>
            </w14:solidFill>
          </w14:textFill>
        </w:rPr>
        <w:t>北京时间）前提交（上传）</w:t>
      </w:r>
      <w:r>
        <w:rPr>
          <w:rFonts w:hint="eastAsia" w:ascii="宋体" w:hAnsi="宋体"/>
          <w:color w:val="000000" w:themeColor="text1"/>
          <w:szCs w:val="21"/>
          <w:highlight w:val="none"/>
          <w14:textFill>
            <w14:solidFill>
              <w14:schemeClr w14:val="tx1"/>
            </w14:solidFill>
          </w14:textFill>
        </w:rPr>
        <w:t>响应</w:t>
      </w:r>
      <w:r>
        <w:rPr>
          <w:rFonts w:ascii="宋体" w:hAnsi="宋体"/>
          <w:bCs/>
          <w:color w:val="000000" w:themeColor="text1"/>
          <w:szCs w:val="21"/>
          <w:highlight w:val="none"/>
          <w14:textFill>
            <w14:solidFill>
              <w14:schemeClr w14:val="tx1"/>
            </w14:solidFill>
          </w14:textFill>
        </w:rPr>
        <w:t>文件</w:t>
      </w:r>
      <w:r>
        <w:rPr>
          <w:rFonts w:hint="eastAsia" w:ascii="宋体" w:hAnsi="宋体"/>
          <w:color w:val="000000" w:themeColor="text1"/>
          <w:szCs w:val="21"/>
          <w:highlight w:val="none"/>
          <w14:textFill>
            <w14:solidFill>
              <w14:schemeClr w14:val="tx1"/>
            </w14:solidFill>
          </w14:textFill>
        </w:rPr>
        <w:t>。</w:t>
      </w:r>
    </w:p>
    <w:p>
      <w:pPr>
        <w:keepNext w:val="0"/>
        <w:pageBreakBefore w:val="0"/>
        <w:kinsoku/>
        <w:wordWrap/>
        <w:overflowPunct/>
        <w:topLinePunct w:val="0"/>
        <w:autoSpaceDE/>
        <w:autoSpaceDN/>
        <w:bidi w:val="0"/>
        <w:adjustRightInd/>
        <w:spacing w:line="360" w:lineRule="auto"/>
        <w:ind w:left="0" w:firstLine="360" w:firstLineChars="150"/>
        <w:textAlignment w:val="auto"/>
        <w:rPr>
          <w:rFonts w:ascii="黑体" w:hAnsi="黑体" w:eastAsia="黑体"/>
          <w:b/>
          <w:bCs/>
          <w:color w:val="000000" w:themeColor="text1"/>
          <w:sz w:val="24"/>
          <w:highlight w:val="none"/>
          <w14:textFill>
            <w14:solidFill>
              <w14:schemeClr w14:val="tx1"/>
            </w14:solidFill>
          </w14:textFill>
        </w:rPr>
      </w:pPr>
      <w:bookmarkStart w:id="2" w:name="_Toc35393629"/>
      <w:bookmarkStart w:id="3" w:name="_Toc71365362"/>
      <w:bookmarkStart w:id="4" w:name="_Toc71366040"/>
      <w:bookmarkStart w:id="5" w:name="_Toc35393798"/>
      <w:bookmarkStart w:id="6" w:name="_Toc28359089"/>
      <w:bookmarkStart w:id="7" w:name="_Toc28359012"/>
      <w:r>
        <w:rPr>
          <w:rFonts w:hint="eastAsia" w:ascii="黑体" w:hAnsi="黑体" w:eastAsia="黑体"/>
          <w:b/>
          <w:bCs/>
          <w:color w:val="000000" w:themeColor="text1"/>
          <w:sz w:val="24"/>
          <w:highlight w:val="none"/>
          <w14:textFill>
            <w14:solidFill>
              <w14:schemeClr w14:val="tx1"/>
            </w14:solidFill>
          </w14:textFill>
        </w:rPr>
        <w:t>一、项目基本情况</w:t>
      </w:r>
      <w:bookmarkEnd w:id="2"/>
      <w:bookmarkEnd w:id="3"/>
      <w:bookmarkEnd w:id="4"/>
      <w:bookmarkEnd w:id="5"/>
      <w:bookmarkEnd w:id="6"/>
      <w:bookmarkEnd w:id="7"/>
    </w:p>
    <w:p>
      <w:pPr>
        <w:keepNext w:val="0"/>
        <w:pageBreakBefore w:val="0"/>
        <w:kinsoku/>
        <w:wordWrap/>
        <w:overflowPunct/>
        <w:topLinePunct w:val="0"/>
        <w:autoSpaceDE/>
        <w:autoSpaceDN/>
        <w:bidi w:val="0"/>
        <w:adjustRightInd/>
        <w:spacing w:line="360" w:lineRule="auto"/>
        <w:ind w:left="0" w:firstLine="420" w:firstLineChars="200"/>
        <w:textAlignment w:val="auto"/>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项目编号：</w:t>
      </w:r>
      <w:r>
        <w:rPr>
          <w:rFonts w:hint="eastAsia" w:ascii="宋体" w:hAnsi="宋体"/>
          <w:color w:val="000000" w:themeColor="text1"/>
          <w:szCs w:val="21"/>
          <w:highlight w:val="none"/>
          <w:lang w:val="en-US" w:eastAsia="zh-CN"/>
          <w14:textFill>
            <w14:solidFill>
              <w14:schemeClr w14:val="tx1"/>
            </w14:solidFill>
          </w14:textFill>
        </w:rPr>
        <w:t>GXZC2025-J1-000697-ZHZB</w:t>
      </w:r>
    </w:p>
    <w:p>
      <w:pPr>
        <w:keepNext w:val="0"/>
        <w:pageBreakBefore w:val="0"/>
        <w:kinsoku/>
        <w:wordWrap/>
        <w:overflowPunct/>
        <w:topLinePunct w:val="0"/>
        <w:autoSpaceDE/>
        <w:autoSpaceDN/>
        <w:bidi w:val="0"/>
        <w:adjustRightInd/>
        <w:spacing w:line="360" w:lineRule="auto"/>
        <w:ind w:left="0" w:firstLine="420" w:firstLineChars="200"/>
        <w:textAlignment w:val="auto"/>
        <w:rPr>
          <w:rFonts w:hint="default" w:ascii="宋体" w:hAnsi="宋体" w:eastAsia="宋体"/>
          <w:color w:val="000000" w:themeColor="text1"/>
          <w:szCs w:val="21"/>
          <w:highlight w:val="none"/>
          <w:u w:val="singl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项目名称：</w:t>
      </w:r>
      <w:r>
        <w:rPr>
          <w:rFonts w:hint="eastAsia" w:ascii="宋体" w:hAnsi="宋体"/>
          <w:color w:val="000000" w:themeColor="text1"/>
          <w:szCs w:val="21"/>
          <w:highlight w:val="none"/>
          <w:lang w:val="en-US" w:eastAsia="zh-CN"/>
          <w14:textFill>
            <w14:solidFill>
              <w14:schemeClr w14:val="tx1"/>
            </w14:solidFill>
          </w14:textFill>
        </w:rPr>
        <w:t>2025年试剂耗材、标准物质批量采购项目</w:t>
      </w:r>
    </w:p>
    <w:p>
      <w:pPr>
        <w:keepNext w:val="0"/>
        <w:pageBreakBefore w:val="0"/>
        <w:kinsoku/>
        <w:wordWrap/>
        <w:overflowPunct/>
        <w:topLinePunct w:val="0"/>
        <w:autoSpaceDE/>
        <w:autoSpaceDN/>
        <w:bidi w:val="0"/>
        <w:adjustRightInd/>
        <w:spacing w:line="360" w:lineRule="auto"/>
        <w:ind w:left="0" w:firstLine="420" w:firstLineChars="200"/>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采购方式：竞争性谈判</w:t>
      </w:r>
    </w:p>
    <w:p>
      <w:pPr>
        <w:keepNext w:val="0"/>
        <w:pageBreakBefore w:val="0"/>
        <w:kinsoku/>
        <w:wordWrap/>
        <w:overflowPunct/>
        <w:topLinePunct w:val="0"/>
        <w:autoSpaceDE/>
        <w:autoSpaceDN/>
        <w:bidi w:val="0"/>
        <w:adjustRightInd/>
        <w:spacing w:line="360" w:lineRule="auto"/>
        <w:ind w:left="0" w:firstLine="420" w:firstLineChars="200"/>
        <w:textAlignment w:val="auto"/>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预算金额：</w:t>
      </w:r>
      <w:r>
        <w:rPr>
          <w:rFonts w:hint="eastAsia" w:ascii="宋体" w:hAnsi="宋体"/>
          <w:iCs/>
          <w:color w:val="000000" w:themeColor="text1"/>
          <w:szCs w:val="21"/>
          <w:highlight w:val="none"/>
          <w:u w:val="none"/>
          <w:lang w:val="en-US" w:eastAsia="zh-CN"/>
          <w14:textFill>
            <w14:solidFill>
              <w14:schemeClr w14:val="tx1"/>
            </w14:solidFill>
          </w14:textFill>
        </w:rPr>
        <w:t>壹佰贰拾贰万元整（</w:t>
      </w:r>
      <w:r>
        <w:rPr>
          <w:rFonts w:hint="default" w:ascii="Arial" w:hAnsi="Arial" w:cs="Arial"/>
          <w:iCs/>
          <w:color w:val="000000" w:themeColor="text1"/>
          <w:szCs w:val="21"/>
          <w:highlight w:val="none"/>
          <w:u w:val="none"/>
          <w:lang w:val="en-US" w:eastAsia="zh-CN"/>
          <w14:textFill>
            <w14:solidFill>
              <w14:schemeClr w14:val="tx1"/>
            </w14:solidFill>
          </w14:textFill>
        </w:rPr>
        <w:t>¥</w:t>
      </w:r>
      <w:r>
        <w:rPr>
          <w:rFonts w:hint="eastAsia" w:ascii="宋体" w:hAnsi="宋体"/>
          <w:iCs/>
          <w:color w:val="000000" w:themeColor="text1"/>
          <w:szCs w:val="21"/>
          <w:highlight w:val="none"/>
          <w:u w:val="none"/>
          <w:lang w:val="en-US" w:eastAsia="zh-CN"/>
          <w14:textFill>
            <w14:solidFill>
              <w14:schemeClr w14:val="tx1"/>
            </w14:solidFill>
          </w14:textFill>
        </w:rPr>
        <w:t>1220000.00），其中1分包：玖拾捌万元整（</w:t>
      </w:r>
      <w:r>
        <w:rPr>
          <w:rFonts w:hint="default" w:ascii="Arial" w:hAnsi="Arial" w:cs="Arial"/>
          <w:iCs/>
          <w:color w:val="000000" w:themeColor="text1"/>
          <w:szCs w:val="21"/>
          <w:highlight w:val="none"/>
          <w:u w:val="none"/>
          <w:lang w:val="en-US" w:eastAsia="zh-CN"/>
          <w14:textFill>
            <w14:solidFill>
              <w14:schemeClr w14:val="tx1"/>
            </w14:solidFill>
          </w14:textFill>
        </w:rPr>
        <w:t>¥</w:t>
      </w:r>
      <w:r>
        <w:rPr>
          <w:rFonts w:hint="eastAsia" w:ascii="宋体" w:hAnsi="宋体"/>
          <w:iCs/>
          <w:color w:val="000000" w:themeColor="text1"/>
          <w:szCs w:val="21"/>
          <w:highlight w:val="none"/>
          <w:u w:val="none"/>
          <w:lang w:val="en-US" w:eastAsia="zh-CN"/>
          <w14:textFill>
            <w14:solidFill>
              <w14:schemeClr w14:val="tx1"/>
            </w14:solidFill>
          </w14:textFill>
        </w:rPr>
        <w:t>980000.00）；2分包：贰拾肆万元整（</w:t>
      </w:r>
      <w:r>
        <w:rPr>
          <w:rFonts w:hint="default" w:ascii="Arial" w:hAnsi="Arial" w:cs="Arial"/>
          <w:iCs/>
          <w:color w:val="000000" w:themeColor="text1"/>
          <w:szCs w:val="21"/>
          <w:highlight w:val="none"/>
          <w:u w:val="none"/>
          <w:lang w:val="en-US" w:eastAsia="zh-CN"/>
          <w14:textFill>
            <w14:solidFill>
              <w14:schemeClr w14:val="tx1"/>
            </w14:solidFill>
          </w14:textFill>
        </w:rPr>
        <w:t>¥</w:t>
      </w:r>
      <w:r>
        <w:rPr>
          <w:rFonts w:hint="eastAsia" w:ascii="宋体" w:hAnsi="宋体" w:eastAsia="宋体" w:cs="Times New Roman"/>
          <w:iCs/>
          <w:color w:val="000000" w:themeColor="text1"/>
          <w:szCs w:val="21"/>
          <w:highlight w:val="none"/>
          <w:u w:val="none"/>
          <w:lang w:val="en-US" w:eastAsia="zh-CN"/>
          <w14:textFill>
            <w14:solidFill>
              <w14:schemeClr w14:val="tx1"/>
            </w14:solidFill>
          </w14:textFill>
        </w:rPr>
        <w:t>240000.00</w:t>
      </w:r>
      <w:r>
        <w:rPr>
          <w:rFonts w:hint="eastAsia" w:ascii="宋体" w:hAnsi="宋体"/>
          <w:iCs/>
          <w:color w:val="000000" w:themeColor="text1"/>
          <w:szCs w:val="21"/>
          <w:highlight w:val="none"/>
          <w:u w:val="none"/>
          <w:lang w:val="en-US" w:eastAsia="zh-CN"/>
          <w14:textFill>
            <w14:solidFill>
              <w14:schemeClr w14:val="tx1"/>
            </w14:solidFill>
          </w14:textFill>
        </w:rPr>
        <w:t>）。</w:t>
      </w:r>
    </w:p>
    <w:p>
      <w:pPr>
        <w:keepNext w:val="0"/>
        <w:pageBreakBefore w:val="0"/>
        <w:kinsoku/>
        <w:wordWrap/>
        <w:overflowPunct/>
        <w:topLinePunct w:val="0"/>
        <w:autoSpaceDE/>
        <w:autoSpaceDN/>
        <w:bidi w:val="0"/>
        <w:adjustRightInd/>
        <w:spacing w:line="360" w:lineRule="auto"/>
        <w:ind w:left="0" w:firstLine="420" w:firstLineChars="200"/>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最高限价：</w:t>
      </w:r>
      <w:r>
        <w:rPr>
          <w:rFonts w:hint="eastAsia" w:ascii="宋体" w:hAnsi="宋体"/>
          <w:iCs/>
          <w:color w:val="000000" w:themeColor="text1"/>
          <w:szCs w:val="21"/>
          <w:highlight w:val="none"/>
          <w:u w:val="none"/>
          <w:lang w:val="en-US" w:eastAsia="zh-CN"/>
          <w14:textFill>
            <w14:solidFill>
              <w14:schemeClr w14:val="tx1"/>
            </w14:solidFill>
          </w14:textFill>
        </w:rPr>
        <w:t>壹佰贰拾贰万元整（</w:t>
      </w:r>
      <w:r>
        <w:rPr>
          <w:rFonts w:hint="default" w:ascii="Arial" w:hAnsi="Arial" w:cs="Arial"/>
          <w:iCs/>
          <w:color w:val="000000" w:themeColor="text1"/>
          <w:szCs w:val="21"/>
          <w:highlight w:val="none"/>
          <w:u w:val="none"/>
          <w:lang w:val="en-US" w:eastAsia="zh-CN"/>
          <w14:textFill>
            <w14:solidFill>
              <w14:schemeClr w14:val="tx1"/>
            </w14:solidFill>
          </w14:textFill>
        </w:rPr>
        <w:t>¥</w:t>
      </w:r>
      <w:r>
        <w:rPr>
          <w:rFonts w:hint="eastAsia" w:ascii="宋体" w:hAnsi="宋体"/>
          <w:iCs/>
          <w:color w:val="000000" w:themeColor="text1"/>
          <w:szCs w:val="21"/>
          <w:highlight w:val="none"/>
          <w:u w:val="none"/>
          <w:lang w:val="en-US" w:eastAsia="zh-CN"/>
          <w14:textFill>
            <w14:solidFill>
              <w14:schemeClr w14:val="tx1"/>
            </w14:solidFill>
          </w14:textFill>
        </w:rPr>
        <w:t>1220000.00），其中1分包：玖拾捌万元整（</w:t>
      </w:r>
      <w:r>
        <w:rPr>
          <w:rFonts w:hint="default" w:ascii="Arial" w:hAnsi="Arial" w:cs="Arial"/>
          <w:iCs/>
          <w:color w:val="000000" w:themeColor="text1"/>
          <w:szCs w:val="21"/>
          <w:highlight w:val="none"/>
          <w:u w:val="none"/>
          <w:lang w:val="en-US" w:eastAsia="zh-CN"/>
          <w14:textFill>
            <w14:solidFill>
              <w14:schemeClr w14:val="tx1"/>
            </w14:solidFill>
          </w14:textFill>
        </w:rPr>
        <w:t>¥</w:t>
      </w:r>
      <w:r>
        <w:rPr>
          <w:rFonts w:hint="eastAsia" w:ascii="宋体" w:hAnsi="宋体"/>
          <w:iCs/>
          <w:color w:val="000000" w:themeColor="text1"/>
          <w:szCs w:val="21"/>
          <w:highlight w:val="none"/>
          <w:u w:val="none"/>
          <w:lang w:val="en-US" w:eastAsia="zh-CN"/>
          <w14:textFill>
            <w14:solidFill>
              <w14:schemeClr w14:val="tx1"/>
            </w14:solidFill>
          </w14:textFill>
        </w:rPr>
        <w:t>980000.00）；2分包：贰拾肆万元整（</w:t>
      </w:r>
      <w:r>
        <w:rPr>
          <w:rFonts w:hint="default" w:ascii="Arial" w:hAnsi="Arial" w:cs="Arial"/>
          <w:iCs/>
          <w:color w:val="000000" w:themeColor="text1"/>
          <w:szCs w:val="21"/>
          <w:highlight w:val="none"/>
          <w:u w:val="none"/>
          <w:lang w:val="en-US" w:eastAsia="zh-CN"/>
          <w14:textFill>
            <w14:solidFill>
              <w14:schemeClr w14:val="tx1"/>
            </w14:solidFill>
          </w14:textFill>
        </w:rPr>
        <w:t>¥</w:t>
      </w:r>
      <w:r>
        <w:rPr>
          <w:rFonts w:hint="eastAsia" w:ascii="宋体" w:hAnsi="宋体" w:eastAsia="宋体" w:cs="Times New Roman"/>
          <w:iCs/>
          <w:color w:val="000000" w:themeColor="text1"/>
          <w:szCs w:val="21"/>
          <w:highlight w:val="none"/>
          <w:u w:val="none"/>
          <w:lang w:val="en-US" w:eastAsia="zh-CN"/>
          <w14:textFill>
            <w14:solidFill>
              <w14:schemeClr w14:val="tx1"/>
            </w14:solidFill>
          </w14:textFill>
        </w:rPr>
        <w:t>240000.00</w:t>
      </w:r>
      <w:r>
        <w:rPr>
          <w:rFonts w:hint="eastAsia" w:ascii="宋体" w:hAnsi="宋体"/>
          <w:iCs/>
          <w:color w:val="000000" w:themeColor="text1"/>
          <w:szCs w:val="21"/>
          <w:highlight w:val="none"/>
          <w:u w:val="none"/>
          <w:lang w:val="en-US" w:eastAsia="zh-CN"/>
          <w14:textFill>
            <w14:solidFill>
              <w14:schemeClr w14:val="tx1"/>
            </w14:solidFill>
          </w14:textFill>
        </w:rPr>
        <w:t>）。</w:t>
      </w:r>
    </w:p>
    <w:p>
      <w:pPr>
        <w:keepNext w:val="0"/>
        <w:pageBreakBefore w:val="0"/>
        <w:kinsoku/>
        <w:wordWrap/>
        <w:overflowPunct/>
        <w:topLinePunct w:val="0"/>
        <w:autoSpaceDE/>
        <w:autoSpaceDN/>
        <w:bidi w:val="0"/>
        <w:adjustRightInd/>
        <w:spacing w:line="360" w:lineRule="auto"/>
        <w:ind w:left="0" w:firstLine="420" w:firstLineChars="200"/>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采购需求：</w:t>
      </w:r>
    </w:p>
    <w:tbl>
      <w:tblPr>
        <w:tblStyle w:val="28"/>
        <w:tblW w:w="965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34"/>
        <w:gridCol w:w="1343"/>
        <w:gridCol w:w="1500"/>
        <w:gridCol w:w="946"/>
        <w:gridCol w:w="38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序号</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auto"/>
              <w:ind w:left="0"/>
              <w:jc w:val="center"/>
              <w:textAlignment w:val="auto"/>
              <w:rPr>
                <w:rFonts w:hint="eastAsia" w:ascii="宋体" w:hAnsi="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供货序号</w:t>
            </w:r>
          </w:p>
        </w:tc>
        <w:tc>
          <w:tcPr>
            <w:tcW w:w="13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auto"/>
              <w:ind w:left="0"/>
              <w:jc w:val="center"/>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标的名称</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auto"/>
              <w:ind w:left="0"/>
              <w:jc w:val="center"/>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单价预算金额（元）</w:t>
            </w:r>
          </w:p>
        </w:tc>
        <w:tc>
          <w:tcPr>
            <w:tcW w:w="9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auto"/>
              <w:ind w:left="0"/>
              <w:jc w:val="center"/>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单位</w:t>
            </w:r>
          </w:p>
        </w:tc>
        <w:tc>
          <w:tcPr>
            <w:tcW w:w="3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eastAsia="宋体"/>
                <w:color w:val="000000" w:themeColor="text1"/>
                <w:szCs w:val="21"/>
                <w:highlight w:val="none"/>
                <w:lang w:eastAsia="zh-CN"/>
                <w14:textFill>
                  <w14:solidFill>
                    <w14:schemeClr w14:val="tx1"/>
                  </w14:solidFill>
                </w14:textFill>
              </w:rPr>
              <w:t>技术参数要求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653"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auto"/>
              <w:ind w:left="0"/>
              <w:jc w:val="both"/>
              <w:textAlignment w:val="auto"/>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b/>
                <w:bCs/>
                <w:color w:val="000000" w:themeColor="text1"/>
                <w:szCs w:val="21"/>
                <w:highlight w:val="none"/>
                <w:lang w:val="en-US" w:eastAsia="zh-CN"/>
                <w14:textFill>
                  <w14:solidFill>
                    <w14:schemeClr w14:val="tx1"/>
                  </w14:solidFill>
                </w14:textFill>
              </w:rPr>
              <w:t>1分包：试剂、耗材产品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auto"/>
              <w:ind w:left="0"/>
              <w:jc w:val="center"/>
              <w:textAlignment w:val="auto"/>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auto"/>
              <w:ind w:left="0"/>
              <w:jc w:val="center"/>
              <w:textAlignment w:val="auto"/>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现1</w:t>
            </w:r>
          </w:p>
        </w:tc>
        <w:tc>
          <w:tcPr>
            <w:tcW w:w="13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ind w:left="0"/>
              <w:jc w:val="center"/>
              <w:textAlignment w:val="auto"/>
              <w:rPr>
                <w:rFonts w:ascii="宋体" w:hAnsi="宋体" w:cs="宋体"/>
                <w:color w:val="000000" w:themeColor="text1"/>
                <w:szCs w:val="21"/>
                <w:highlight w:val="none"/>
                <w14:textFill>
                  <w14:solidFill>
                    <w14:schemeClr w14:val="tx1"/>
                  </w14:solidFill>
                </w14:textFill>
              </w:rPr>
            </w:pPr>
            <w:r>
              <w:rPr>
                <w:rFonts w:hint="default" w:ascii="宋体" w:hAnsi="宋体" w:cs="宋体"/>
                <w:color w:val="000000" w:themeColor="text1"/>
                <w:szCs w:val="21"/>
                <w:highlight w:val="none"/>
                <w:lang w:val="en-US" w:eastAsia="zh-CN"/>
                <w14:textFill>
                  <w14:solidFill>
                    <w14:schemeClr w14:val="tx1"/>
                  </w14:solidFill>
                </w14:textFill>
              </w:rPr>
              <w:t>活性炭防护口罩</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ind w:left="0"/>
              <w:jc w:val="center"/>
              <w:textAlignment w:val="auto"/>
              <w:rPr>
                <w:rFonts w:hint="default" w:ascii="宋体" w:hAnsi="宋体" w:cs="宋体"/>
                <w:color w:val="000000" w:themeColor="text1"/>
                <w:szCs w:val="21"/>
                <w:highlight w:val="none"/>
                <w:lang w:val="en-US" w:eastAsia="zh-CN"/>
                <w14:textFill>
                  <w14:solidFill>
                    <w14:schemeClr w14:val="tx1"/>
                  </w14:solidFill>
                </w14:textFill>
              </w:rPr>
            </w:pPr>
            <w:r>
              <w:rPr>
                <w:rFonts w:hint="default" w:ascii="宋体" w:hAnsi="宋体" w:cs="宋体"/>
                <w:color w:val="000000" w:themeColor="text1"/>
                <w:szCs w:val="21"/>
                <w:highlight w:val="none"/>
                <w:lang w:val="en-US" w:eastAsia="zh-CN"/>
                <w14:textFill>
                  <w14:solidFill>
                    <w14:schemeClr w14:val="tx1"/>
                  </w14:solidFill>
                </w14:textFill>
              </w:rPr>
              <w:t xml:space="preserve">23 </w:t>
            </w:r>
          </w:p>
        </w:tc>
        <w:tc>
          <w:tcPr>
            <w:tcW w:w="9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元/盒</w:t>
            </w:r>
          </w:p>
        </w:tc>
        <w:tc>
          <w:tcPr>
            <w:tcW w:w="3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eastAsia="宋体"/>
                <w:color w:val="000000" w:themeColor="text1"/>
                <w:szCs w:val="21"/>
                <w:highlight w:val="none"/>
                <w:lang w:val="en-US" w:eastAsia="zh-CN"/>
                <w14:textFill>
                  <w14:solidFill>
                    <w14:schemeClr w14:val="tx1"/>
                  </w14:solidFill>
                </w14:textFill>
              </w:rPr>
              <w:t>50个/盒，一次性活性炭防护口罩，四层防护</w:t>
            </w:r>
            <w:r>
              <w:rPr>
                <w:rFonts w:hint="eastAsia" w:ascii="宋体" w:hAnsi="宋体"/>
                <w:color w:val="000000" w:themeColor="text1"/>
                <w:szCs w:val="21"/>
                <w:highlight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auto"/>
              <w:ind w:left="0"/>
              <w:jc w:val="center"/>
              <w:textAlignment w:val="auto"/>
              <w:rPr>
                <w:rFonts w:hint="eastAsia" w:ascii="宋体" w:hAnsi="宋体"/>
                <w:color w:val="000000" w:themeColor="text1"/>
                <w:szCs w:val="21"/>
                <w:highlight w:val="none"/>
                <w:lang w:eastAsia="zh-CN"/>
                <w14:textFill>
                  <w14:solidFill>
                    <w14:schemeClr w14:val="tx1"/>
                  </w14:solidFill>
                </w14:textFill>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ind w:left="0"/>
              <w:jc w:val="center"/>
              <w:textAlignment w:val="auto"/>
              <w:rPr>
                <w:rFonts w:hint="eastAsia" w:ascii="宋体" w:hAnsi="宋体" w:cs="宋体"/>
                <w:color w:val="000000" w:themeColor="text1"/>
                <w:szCs w:val="21"/>
                <w:highlight w:val="none"/>
                <w:lang w:eastAsia="zh-CN"/>
                <w14:textFill>
                  <w14:solidFill>
                    <w14:schemeClr w14:val="tx1"/>
                  </w14:solidFill>
                </w14:textFill>
              </w:rPr>
            </w:pPr>
          </w:p>
        </w:tc>
        <w:tc>
          <w:tcPr>
            <w:tcW w:w="9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p>
        </w:tc>
        <w:tc>
          <w:tcPr>
            <w:tcW w:w="3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653" w:type="dxa"/>
            <w:gridSpan w:val="6"/>
            <w:tcBorders>
              <w:top w:val="single" w:color="auto" w:sz="4" w:space="0"/>
              <w:left w:val="single" w:color="auto" w:sz="4" w:space="0"/>
              <w:bottom w:val="single" w:color="auto" w:sz="4" w:space="0"/>
              <w:right w:val="single" w:color="auto" w:sz="4" w:space="0"/>
            </w:tcBorders>
            <w:noWrap w:val="0"/>
            <w:vAlign w:val="center"/>
          </w:tcPr>
          <w:p>
            <w:pPr>
              <w:keepNext w:val="0"/>
              <w:pageBreakBefore w:val="0"/>
              <w:kinsoku/>
              <w:wordWrap/>
              <w:overflowPunct/>
              <w:topLinePunct w:val="0"/>
              <w:autoSpaceDE/>
              <w:autoSpaceDN/>
              <w:bidi w:val="0"/>
              <w:adjustRightInd/>
              <w:spacing w:line="360" w:lineRule="auto"/>
              <w:ind w:left="0"/>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合同履行期限：</w:t>
            </w:r>
            <w:r>
              <w:rPr>
                <w:rFonts w:hint="eastAsia" w:ascii="宋体" w:hAnsi="宋体"/>
                <w:color w:val="000000" w:themeColor="text1"/>
                <w:szCs w:val="21"/>
                <w:highlight w:val="none"/>
                <w:lang w:val="en-US" w:eastAsia="zh-CN"/>
                <w14:textFill>
                  <w14:solidFill>
                    <w14:schemeClr w14:val="tx1"/>
                  </w14:solidFill>
                </w14:textFill>
              </w:rPr>
              <w:t>自签订合同并生效之日起至2025年12月31日</w:t>
            </w:r>
            <w:r>
              <w:rPr>
                <w:rFonts w:hint="eastAsia" w:ascii="宋体" w:hAnsi="宋体"/>
                <w:color w:val="000000" w:themeColor="text1"/>
                <w:szCs w:val="21"/>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653"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auto"/>
              <w:ind w:left="0"/>
              <w:jc w:val="both"/>
              <w:textAlignment w:val="auto"/>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b/>
                <w:bCs/>
                <w:color w:val="000000" w:themeColor="text1"/>
                <w:szCs w:val="21"/>
                <w:highlight w:val="none"/>
                <w:lang w:val="en-US" w:eastAsia="zh-CN"/>
                <w14:textFill>
                  <w14:solidFill>
                    <w14:schemeClr w14:val="tx1"/>
                  </w14:solidFill>
                </w14:textFill>
              </w:rPr>
              <w:t>2分包：标准物质产品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auto"/>
              <w:ind w:left="0"/>
              <w:jc w:val="center"/>
              <w:textAlignment w:val="auto"/>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auto"/>
              <w:ind w:left="0"/>
              <w:jc w:val="center"/>
              <w:textAlignment w:val="auto"/>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质1</w:t>
            </w:r>
          </w:p>
        </w:tc>
        <w:tc>
          <w:tcPr>
            <w:tcW w:w="13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ind w:left="0"/>
              <w:jc w:val="center"/>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水质 pH</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ind w:left="0"/>
              <w:jc w:val="center"/>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40</w:t>
            </w:r>
          </w:p>
        </w:tc>
        <w:tc>
          <w:tcPr>
            <w:tcW w:w="9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ind w:left="0"/>
              <w:jc w:val="center"/>
              <w:textAlignment w:val="auto"/>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default" w:ascii="宋体" w:hAnsi="宋体" w:eastAsia="宋体" w:cs="宋体"/>
                <w:color w:val="000000" w:themeColor="text1"/>
                <w:szCs w:val="21"/>
                <w:highlight w:val="none"/>
                <w:lang w:val="en-US" w:eastAsia="zh-CN"/>
                <w14:textFill>
                  <w14:solidFill>
                    <w14:schemeClr w14:val="tx1"/>
                  </w14:solidFill>
                </w14:textFill>
              </w:rPr>
              <w:t>元/支</w:t>
            </w:r>
          </w:p>
        </w:tc>
        <w:tc>
          <w:tcPr>
            <w:tcW w:w="3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auto"/>
              <w:ind w:left="0"/>
              <w:jc w:val="both"/>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国家标准环境标准样品，质控样，pH在7左右，需稀释10mL-100mL，用无二氧化碳纯水定容。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auto"/>
              <w:ind w:left="0"/>
              <w:jc w:val="center"/>
              <w:textAlignment w:val="auto"/>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auto"/>
              <w:ind w:left="0"/>
              <w:jc w:val="center"/>
              <w:textAlignment w:val="auto"/>
              <w:rPr>
                <w:rFonts w:hint="eastAsia" w:ascii="宋体" w:hAnsi="宋体"/>
                <w:color w:val="000000" w:themeColor="text1"/>
                <w:szCs w:val="21"/>
                <w:highlight w:val="none"/>
                <w:lang w:val="en-US" w:eastAsia="zh-CN"/>
                <w14:textFill>
                  <w14:solidFill>
                    <w14:schemeClr w14:val="tx1"/>
                  </w14:solidFill>
                </w14:textFill>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ind w:left="0"/>
              <w:jc w:val="center"/>
              <w:textAlignment w:val="auto"/>
              <w:rPr>
                <w:rFonts w:hint="eastAsia" w:ascii="宋体" w:hAnsi="宋体" w:cs="宋体"/>
                <w:color w:val="000000" w:themeColor="text1"/>
                <w:szCs w:val="21"/>
                <w:highlight w:val="none"/>
                <w:lang w:eastAsia="zh-CN"/>
                <w14:textFill>
                  <w14:solidFill>
                    <w14:schemeClr w14:val="tx1"/>
                  </w14:solidFill>
                </w14:textFill>
              </w:rPr>
            </w:pPr>
          </w:p>
        </w:tc>
        <w:tc>
          <w:tcPr>
            <w:tcW w:w="9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p>
        </w:tc>
        <w:tc>
          <w:tcPr>
            <w:tcW w:w="3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653" w:type="dxa"/>
            <w:gridSpan w:val="6"/>
            <w:tcBorders>
              <w:top w:val="single" w:color="auto" w:sz="4" w:space="0"/>
              <w:left w:val="single" w:color="auto" w:sz="4" w:space="0"/>
              <w:bottom w:val="single" w:color="auto" w:sz="4" w:space="0"/>
              <w:right w:val="single" w:color="auto" w:sz="4" w:space="0"/>
            </w:tcBorders>
            <w:noWrap w:val="0"/>
            <w:vAlign w:val="center"/>
          </w:tcPr>
          <w:p>
            <w:pPr>
              <w:keepNext w:val="0"/>
              <w:pageBreakBefore w:val="0"/>
              <w:kinsoku/>
              <w:wordWrap/>
              <w:overflowPunct/>
              <w:topLinePunct w:val="0"/>
              <w:autoSpaceDE/>
              <w:autoSpaceDN/>
              <w:bidi w:val="0"/>
              <w:adjustRightInd/>
              <w:spacing w:line="360" w:lineRule="auto"/>
              <w:ind w:left="0"/>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合同履行期限：</w:t>
            </w:r>
            <w:r>
              <w:rPr>
                <w:rFonts w:hint="eastAsia" w:ascii="宋体" w:hAnsi="宋体" w:eastAsia="宋体" w:cs="宋体"/>
                <w:strike w:val="0"/>
                <w:dstrike w:val="0"/>
                <w:color w:val="000000" w:themeColor="text1"/>
                <w:sz w:val="21"/>
                <w:szCs w:val="21"/>
                <w:highlight w:val="none"/>
                <w:lang w:val="en-US" w:eastAsia="zh-CN"/>
                <w14:textFill>
                  <w14:solidFill>
                    <w14:schemeClr w14:val="tx1"/>
                  </w14:solidFill>
                </w14:textFill>
              </w:rPr>
              <w:t>自签订合同并生效之日起至2025年12月31日</w:t>
            </w:r>
            <w:r>
              <w:rPr>
                <w:rFonts w:hint="eastAsia" w:ascii="宋体" w:hAnsi="宋体" w:cs="宋体"/>
                <w:color w:val="000000" w:themeColor="text1"/>
                <w:sz w:val="21"/>
                <w:szCs w:val="21"/>
                <w:highlight w:val="none"/>
                <w:lang w:eastAsia="zh-CN"/>
                <w14:textFill>
                  <w14:solidFill>
                    <w14:schemeClr w14:val="tx1"/>
                  </w14:solidFill>
                </w14:textFill>
              </w:rPr>
              <w:t>。</w:t>
            </w:r>
          </w:p>
        </w:tc>
      </w:tr>
    </w:tbl>
    <w:p>
      <w:pPr>
        <w:keepNext w:val="0"/>
        <w:pageBreakBefore w:val="0"/>
        <w:kinsoku/>
        <w:wordWrap/>
        <w:overflowPunct/>
        <w:topLinePunct w:val="0"/>
        <w:autoSpaceDE/>
        <w:autoSpaceDN/>
        <w:bidi w:val="0"/>
        <w:adjustRightInd/>
        <w:spacing w:line="360" w:lineRule="auto"/>
        <w:ind w:left="0" w:firstLine="420" w:firstLineChars="200"/>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本项目不接受联合体</w:t>
      </w:r>
      <w:r>
        <w:rPr>
          <w:rFonts w:hint="eastAsia" w:ascii="宋体" w:hAnsi="宋体"/>
          <w:color w:val="000000" w:themeColor="text1"/>
          <w:szCs w:val="21"/>
          <w:highlight w:val="none"/>
          <w:lang w:val="en-US" w:eastAsia="zh-CN"/>
          <w14:textFill>
            <w14:solidFill>
              <w14:schemeClr w14:val="tx1"/>
            </w14:solidFill>
          </w14:textFill>
        </w:rPr>
        <w:t>竞标</w:t>
      </w:r>
      <w:r>
        <w:rPr>
          <w:rFonts w:hint="eastAsia" w:ascii="宋体" w:hAnsi="宋体"/>
          <w:color w:val="000000" w:themeColor="text1"/>
          <w:szCs w:val="21"/>
          <w:highlight w:val="none"/>
          <w14:textFill>
            <w14:solidFill>
              <w14:schemeClr w14:val="tx1"/>
            </w14:solidFill>
          </w14:textFill>
        </w:rPr>
        <w:t>。</w:t>
      </w:r>
    </w:p>
    <w:p>
      <w:pPr>
        <w:keepNext w:val="0"/>
        <w:pageBreakBefore w:val="0"/>
        <w:kinsoku/>
        <w:wordWrap/>
        <w:overflowPunct/>
        <w:topLinePunct w:val="0"/>
        <w:autoSpaceDE/>
        <w:autoSpaceDN/>
        <w:bidi w:val="0"/>
        <w:adjustRightInd/>
        <w:spacing w:line="360" w:lineRule="auto"/>
        <w:ind w:left="0" w:firstLine="480" w:firstLineChars="200"/>
        <w:textAlignment w:val="auto"/>
        <w:rPr>
          <w:rFonts w:ascii="黑体" w:hAnsi="黑体" w:eastAsia="黑体"/>
          <w:b/>
          <w:bCs/>
          <w:color w:val="000000" w:themeColor="text1"/>
          <w:sz w:val="24"/>
          <w:highlight w:val="none"/>
          <w14:textFill>
            <w14:solidFill>
              <w14:schemeClr w14:val="tx1"/>
            </w14:solidFill>
          </w14:textFill>
        </w:rPr>
      </w:pPr>
      <w:bookmarkStart w:id="8" w:name="_Toc71366041"/>
      <w:bookmarkStart w:id="9" w:name="_Toc71365363"/>
      <w:bookmarkStart w:id="10" w:name="_Toc28359090"/>
      <w:bookmarkStart w:id="11" w:name="_Toc35393799"/>
      <w:bookmarkStart w:id="12" w:name="_Toc35393630"/>
      <w:bookmarkStart w:id="13" w:name="_Toc28359013"/>
      <w:r>
        <w:rPr>
          <w:rFonts w:hint="eastAsia" w:ascii="黑体" w:hAnsi="黑体" w:eastAsia="黑体"/>
          <w:b/>
          <w:bCs/>
          <w:color w:val="000000" w:themeColor="text1"/>
          <w:sz w:val="24"/>
          <w:highlight w:val="none"/>
          <w14:textFill>
            <w14:solidFill>
              <w14:schemeClr w14:val="tx1"/>
            </w14:solidFill>
          </w14:textFill>
        </w:rPr>
        <w:t>二、供应商的资格条件：</w:t>
      </w:r>
      <w:bookmarkEnd w:id="8"/>
      <w:bookmarkEnd w:id="9"/>
      <w:bookmarkEnd w:id="10"/>
      <w:bookmarkEnd w:id="11"/>
      <w:bookmarkEnd w:id="12"/>
      <w:bookmarkEnd w:id="13"/>
    </w:p>
    <w:p>
      <w:pPr>
        <w:keepNext w:val="0"/>
        <w:pageBreakBefore w:val="0"/>
        <w:kinsoku/>
        <w:wordWrap/>
        <w:overflowPunct/>
        <w:topLinePunct w:val="0"/>
        <w:autoSpaceDE/>
        <w:autoSpaceDN/>
        <w:bidi w:val="0"/>
        <w:adjustRightInd/>
        <w:spacing w:line="360" w:lineRule="auto"/>
        <w:ind w:left="0" w:firstLine="420" w:firstLineChars="200"/>
        <w:textAlignment w:val="auto"/>
        <w:rPr>
          <w:rFonts w:ascii="宋体" w:hAnsi="宋体"/>
          <w:color w:val="000000" w:themeColor="text1"/>
          <w:szCs w:val="21"/>
          <w:highlight w:val="none"/>
          <w14:textFill>
            <w14:solidFill>
              <w14:schemeClr w14:val="tx1"/>
            </w14:solidFill>
          </w14:textFill>
        </w:rPr>
      </w:pPr>
      <w:bookmarkStart w:id="14" w:name="_Toc28359014"/>
      <w:bookmarkStart w:id="15" w:name="_Toc28359091"/>
      <w:r>
        <w:rPr>
          <w:rFonts w:hint="eastAsia" w:ascii="宋体" w:hAnsi="宋体"/>
          <w:color w:val="000000" w:themeColor="text1"/>
          <w:szCs w:val="21"/>
          <w:highlight w:val="none"/>
          <w14:textFill>
            <w14:solidFill>
              <w14:schemeClr w14:val="tx1"/>
            </w14:solidFill>
          </w14:textFill>
        </w:rPr>
        <w:t>1.满足《中华人民共和国政府采购法》第二十二条规定；</w:t>
      </w:r>
    </w:p>
    <w:p>
      <w:pPr>
        <w:keepNext w:val="0"/>
        <w:pageBreakBefore w:val="0"/>
        <w:kinsoku/>
        <w:wordWrap/>
        <w:overflowPunct/>
        <w:topLinePunct w:val="0"/>
        <w:autoSpaceDE/>
        <w:autoSpaceDN/>
        <w:bidi w:val="0"/>
        <w:adjustRightInd/>
        <w:spacing w:line="360" w:lineRule="auto"/>
        <w:ind w:left="0" w:firstLine="420" w:firstLineChars="200"/>
        <w:textAlignment w:val="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.落实政府采购政策需满足的资格要求：无；</w:t>
      </w:r>
    </w:p>
    <w:p>
      <w:pPr>
        <w:keepNext w:val="0"/>
        <w:pageBreakBefore w:val="0"/>
        <w:kinsoku/>
        <w:wordWrap/>
        <w:overflowPunct/>
        <w:topLinePunct w:val="0"/>
        <w:autoSpaceDE/>
        <w:autoSpaceDN/>
        <w:bidi w:val="0"/>
        <w:adjustRightInd/>
        <w:spacing w:line="360" w:lineRule="auto"/>
        <w:ind w:left="0" w:firstLine="420" w:firstLineChars="200"/>
        <w:textAlignment w:val="auto"/>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3.本项目的特定资格要求：</w:t>
      </w:r>
      <w:r>
        <w:rPr>
          <w:rFonts w:hint="eastAsia" w:ascii="宋体" w:hAnsi="宋体"/>
          <w:color w:val="000000" w:themeColor="text1"/>
          <w:szCs w:val="21"/>
          <w:highlight w:val="none"/>
          <w:lang w:val="en-US" w:eastAsia="zh-CN"/>
          <w14:textFill>
            <w14:solidFill>
              <w14:schemeClr w14:val="tx1"/>
            </w14:solidFill>
          </w14:textFill>
        </w:rPr>
        <w:t>1分包供应商须具备有效的《</w:t>
      </w:r>
      <w:r>
        <w:rPr>
          <w:rFonts w:hint="eastAsia" w:ascii="宋体" w:hAnsi="宋体"/>
          <w:color w:val="000000" w:themeColor="text1"/>
          <w:szCs w:val="21"/>
          <w:highlight w:val="none"/>
          <w14:textFill>
            <w14:solidFill>
              <w14:schemeClr w14:val="tx1"/>
            </w14:solidFill>
          </w14:textFill>
        </w:rPr>
        <w:t>危险化学品经营许可证</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olor w:val="000000" w:themeColor="text1"/>
          <w:szCs w:val="21"/>
          <w:highlight w:val="none"/>
          <w:lang w:eastAsia="zh-CN"/>
          <w14:textFill>
            <w14:solidFill>
              <w14:schemeClr w14:val="tx1"/>
            </w14:solidFill>
          </w14:textFill>
        </w:rPr>
        <w:t>。</w:t>
      </w:r>
    </w:p>
    <w:p>
      <w:pPr>
        <w:keepNext w:val="0"/>
        <w:pageBreakBefore w:val="0"/>
        <w:kinsoku/>
        <w:wordWrap/>
        <w:overflowPunct/>
        <w:topLinePunct w:val="0"/>
        <w:autoSpaceDE/>
        <w:autoSpaceDN/>
        <w:bidi w:val="0"/>
        <w:adjustRightInd/>
        <w:spacing w:line="360" w:lineRule="auto"/>
        <w:ind w:left="0" w:firstLine="480" w:firstLineChars="200"/>
        <w:textAlignment w:val="auto"/>
        <w:rPr>
          <w:rFonts w:ascii="黑体" w:hAnsi="黑体" w:eastAsia="黑体"/>
          <w:b/>
          <w:bCs/>
          <w:color w:val="000000" w:themeColor="text1"/>
          <w:sz w:val="24"/>
          <w:highlight w:val="none"/>
          <w14:textFill>
            <w14:solidFill>
              <w14:schemeClr w14:val="tx1"/>
            </w14:solidFill>
          </w14:textFill>
        </w:rPr>
      </w:pPr>
      <w:bookmarkStart w:id="16" w:name="_Toc71366042"/>
      <w:bookmarkStart w:id="17" w:name="_Toc35393631"/>
      <w:bookmarkStart w:id="18" w:name="_Toc71365364"/>
      <w:bookmarkStart w:id="19" w:name="_Toc35393800"/>
      <w:r>
        <w:rPr>
          <w:rFonts w:hint="eastAsia" w:ascii="黑体" w:hAnsi="黑体" w:eastAsia="黑体"/>
          <w:b/>
          <w:bCs/>
          <w:color w:val="000000" w:themeColor="text1"/>
          <w:sz w:val="24"/>
          <w:highlight w:val="none"/>
          <w14:textFill>
            <w14:solidFill>
              <w14:schemeClr w14:val="tx1"/>
            </w14:solidFill>
          </w14:textFill>
        </w:rPr>
        <w:t>三、获取竞争性谈判文件</w:t>
      </w:r>
      <w:bookmarkEnd w:id="14"/>
      <w:bookmarkEnd w:id="15"/>
      <w:bookmarkEnd w:id="16"/>
      <w:bookmarkEnd w:id="17"/>
      <w:bookmarkEnd w:id="18"/>
      <w:bookmarkEnd w:id="19"/>
    </w:p>
    <w:p>
      <w:pPr>
        <w:keepNext w:val="0"/>
        <w:pageBreakBefore w:val="0"/>
        <w:widowControl/>
        <w:kinsoku/>
        <w:wordWrap/>
        <w:overflowPunct/>
        <w:topLinePunct w:val="0"/>
        <w:autoSpaceDE/>
        <w:autoSpaceDN/>
        <w:bidi w:val="0"/>
        <w:adjustRightInd/>
        <w:spacing w:line="360" w:lineRule="auto"/>
        <w:ind w:left="0" w:firstLine="420" w:firstLineChars="200"/>
        <w:jc w:val="left"/>
        <w:textAlignment w:val="auto"/>
        <w:rPr>
          <w:rFonts w:ascii="宋体" w:hAnsi="宋体" w:eastAsia="宋体" w:cs="宋体"/>
          <w:color w:val="000000" w:themeColor="text1"/>
          <w:szCs w:val="21"/>
          <w:highlight w:val="none"/>
          <w14:textFill>
            <w14:solidFill>
              <w14:schemeClr w14:val="tx1"/>
            </w14:solidFill>
          </w14:textFill>
        </w:rPr>
      </w:pPr>
      <w:bookmarkStart w:id="20" w:name="_Toc35393632"/>
      <w:bookmarkStart w:id="21" w:name="_Toc28359092"/>
      <w:bookmarkStart w:id="22" w:name="_Toc71366043"/>
      <w:bookmarkStart w:id="23" w:name="_Toc28359015"/>
      <w:bookmarkStart w:id="24" w:name="_Toc71365365"/>
      <w:bookmarkStart w:id="25" w:name="_Toc35393801"/>
      <w:r>
        <w:rPr>
          <w:rFonts w:hint="eastAsia" w:ascii="宋体" w:hAnsi="宋体" w:eastAsia="宋体" w:cs="宋体"/>
          <w:color w:val="000000" w:themeColor="text1"/>
          <w:szCs w:val="21"/>
          <w:highlight w:val="none"/>
          <w14:textFill>
            <w14:solidFill>
              <w14:schemeClr w14:val="tx1"/>
            </w14:solidFill>
          </w14:textFill>
        </w:rPr>
        <w:t>时间：</w:t>
      </w:r>
      <w:r>
        <w:rPr>
          <w:rFonts w:hint="eastAsia" w:ascii="宋体" w:hAnsi="宋体" w:cs="宋体"/>
          <w:color w:val="000000" w:themeColor="text1"/>
          <w:szCs w:val="21"/>
          <w:highlight w:val="none"/>
          <w:lang w:eastAsia="zh-CN"/>
          <w14:textFill>
            <w14:solidFill>
              <w14:schemeClr w14:val="tx1"/>
            </w14:solidFill>
          </w14:textFill>
        </w:rPr>
        <w:t>202</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lang w:eastAsia="zh-CN"/>
          <w14:textFill>
            <w14:solidFill>
              <w14:schemeClr w14:val="tx1"/>
            </w14:solidFill>
          </w14:textFill>
        </w:rPr>
        <w:t>年</w:t>
      </w: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lang w:val="en-US" w:eastAsia="zh-CN"/>
          <w14:textFill>
            <w14:solidFill>
              <w14:schemeClr w14:val="tx1"/>
            </w14:solidFill>
          </w14:textFill>
        </w:rPr>
        <w:t>16</w:t>
      </w:r>
      <w:r>
        <w:rPr>
          <w:rFonts w:hint="eastAsia" w:ascii="宋体" w:hAnsi="宋体" w:eastAsia="宋体" w:cs="宋体"/>
          <w:color w:val="000000" w:themeColor="text1"/>
          <w:szCs w:val="21"/>
          <w:highlight w:val="none"/>
          <w14:textFill>
            <w14:solidFill>
              <w14:schemeClr w14:val="tx1"/>
            </w14:solidFill>
          </w14:textFill>
        </w:rPr>
        <w:t>日至</w:t>
      </w:r>
      <w:r>
        <w:rPr>
          <w:rFonts w:hint="eastAsia" w:ascii="宋体" w:hAnsi="宋体" w:cs="宋体"/>
          <w:color w:val="000000" w:themeColor="text1"/>
          <w:szCs w:val="21"/>
          <w:highlight w:val="none"/>
          <w:lang w:eastAsia="zh-CN"/>
          <w14:textFill>
            <w14:solidFill>
              <w14:schemeClr w14:val="tx1"/>
            </w14:solidFill>
          </w14:textFill>
        </w:rPr>
        <w:t>202</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lang w:eastAsia="zh-CN"/>
          <w14:textFill>
            <w14:solidFill>
              <w14:schemeClr w14:val="tx1"/>
            </w14:solidFill>
          </w14:textFill>
        </w:rPr>
        <w:t>年</w:t>
      </w: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lang w:val="en-US" w:eastAsia="zh-CN"/>
          <w14:textFill>
            <w14:solidFill>
              <w14:schemeClr w14:val="tx1"/>
            </w14:solidFill>
          </w14:textFill>
        </w:rPr>
        <w:t>21</w:t>
      </w:r>
      <w:r>
        <w:rPr>
          <w:rFonts w:hint="eastAsia" w:ascii="宋体" w:hAnsi="宋体" w:eastAsia="宋体" w:cs="宋体"/>
          <w:color w:val="000000" w:themeColor="text1"/>
          <w:szCs w:val="21"/>
          <w:highlight w:val="none"/>
          <w14:textFill>
            <w14:solidFill>
              <w14:schemeClr w14:val="tx1"/>
            </w14:solidFill>
          </w14:textFill>
        </w:rPr>
        <w:t>日，每天00:00至11:59，12:00至23:59（北京时间，法定节假日除外）</w:t>
      </w:r>
    </w:p>
    <w:p>
      <w:pPr>
        <w:keepNext w:val="0"/>
        <w:pageBreakBefore w:val="0"/>
        <w:widowControl/>
        <w:kinsoku/>
        <w:wordWrap/>
        <w:overflowPunct/>
        <w:topLinePunct w:val="0"/>
        <w:autoSpaceDE/>
        <w:autoSpaceDN/>
        <w:bidi w:val="0"/>
        <w:adjustRightInd/>
        <w:spacing w:line="360" w:lineRule="auto"/>
        <w:ind w:left="0" w:firstLine="420" w:firstLineChars="200"/>
        <w:jc w:val="left"/>
        <w:textAlignment w:val="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地点（网址）：</w:t>
      </w:r>
      <w:r>
        <w:rPr>
          <w:rFonts w:hint="eastAsia" w:ascii="宋体" w:hAnsi="宋体" w:eastAsia="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https://www.gcy.zfcg.gxzf.gov.cn/</w:t>
      </w:r>
      <w:r>
        <w:rPr>
          <w:rFonts w:hint="eastAsia" w:ascii="宋体" w:hAnsi="宋体" w:eastAsia="宋体" w:cs="宋体"/>
          <w:color w:val="000000" w:themeColor="text1"/>
          <w:szCs w:val="21"/>
          <w:highlight w:val="none"/>
          <w14:textFill>
            <w14:solidFill>
              <w14:schemeClr w14:val="tx1"/>
            </w14:solidFill>
          </w14:textFill>
        </w:rPr>
        <w:t xml:space="preserve">）                                                                                                                                                                                                            </w:t>
      </w:r>
    </w:p>
    <w:p>
      <w:pPr>
        <w:keepNext w:val="0"/>
        <w:pageBreakBefore w:val="0"/>
        <w:widowControl/>
        <w:kinsoku/>
        <w:wordWrap/>
        <w:overflowPunct/>
        <w:topLinePunct w:val="0"/>
        <w:autoSpaceDE/>
        <w:autoSpaceDN/>
        <w:bidi w:val="0"/>
        <w:adjustRightInd/>
        <w:spacing w:line="360" w:lineRule="auto"/>
        <w:ind w:left="0" w:firstLine="420" w:firstLineChars="200"/>
        <w:jc w:val="left"/>
        <w:textAlignment w:val="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方式：网上下载。本项目不提供纸质文件，潜在供应商需在广西政府采购云平台（https://www.gcy.zfcg.gxzf.gov.cn/）-进入“项目采购”应用，在获取采购文件菜单中选择项目，获取竞争性</w:t>
      </w:r>
      <w:r>
        <w:rPr>
          <w:rFonts w:hint="eastAsia" w:ascii="宋体" w:hAnsi="宋体" w:cs="宋体"/>
          <w:color w:val="000000" w:themeColor="text1"/>
          <w:szCs w:val="21"/>
          <w:highlight w:val="none"/>
          <w:lang w:eastAsia="zh-CN"/>
          <w14:textFill>
            <w14:solidFill>
              <w14:schemeClr w14:val="tx1"/>
            </w14:solidFill>
          </w14:textFill>
        </w:rPr>
        <w:t>谈判</w:t>
      </w:r>
      <w:r>
        <w:rPr>
          <w:rFonts w:hint="eastAsia" w:ascii="宋体" w:hAnsi="宋体" w:eastAsia="宋体" w:cs="宋体"/>
          <w:color w:val="000000" w:themeColor="text1"/>
          <w:szCs w:val="21"/>
          <w:highlight w:val="none"/>
          <w14:textFill>
            <w14:solidFill>
              <w14:schemeClr w14:val="tx1"/>
            </w14:solidFill>
          </w14:textFill>
        </w:rPr>
        <w:t>文件。电子响应文件制作需要基于广西政府采购云平台获取的</w:t>
      </w:r>
      <w:r>
        <w:rPr>
          <w:rFonts w:hint="eastAsia" w:ascii="宋体" w:hAnsi="宋体" w:cs="宋体"/>
          <w:color w:val="000000" w:themeColor="text1"/>
          <w:szCs w:val="21"/>
          <w:highlight w:val="none"/>
          <w:lang w:eastAsia="zh-CN"/>
          <w14:textFill>
            <w14:solidFill>
              <w14:schemeClr w14:val="tx1"/>
            </w14:solidFill>
          </w14:textFill>
        </w:rPr>
        <w:t>谈判</w:t>
      </w:r>
      <w:r>
        <w:rPr>
          <w:rFonts w:hint="eastAsia" w:ascii="宋体" w:hAnsi="宋体" w:eastAsia="宋体" w:cs="宋体"/>
          <w:color w:val="000000" w:themeColor="text1"/>
          <w:szCs w:val="21"/>
          <w:highlight w:val="none"/>
          <w14:textFill>
            <w14:solidFill>
              <w14:schemeClr w14:val="tx1"/>
            </w14:solidFill>
          </w14:textFill>
        </w:rPr>
        <w:t>文件编制，通过其他方式获取</w:t>
      </w:r>
      <w:r>
        <w:rPr>
          <w:rFonts w:hint="eastAsia" w:ascii="宋体" w:hAnsi="宋体" w:cs="宋体"/>
          <w:color w:val="000000" w:themeColor="text1"/>
          <w:szCs w:val="21"/>
          <w:highlight w:val="none"/>
          <w:lang w:eastAsia="zh-CN"/>
          <w14:textFill>
            <w14:solidFill>
              <w14:schemeClr w14:val="tx1"/>
            </w14:solidFill>
          </w14:textFill>
        </w:rPr>
        <w:t>谈判</w:t>
      </w:r>
      <w:r>
        <w:rPr>
          <w:rFonts w:hint="eastAsia" w:ascii="宋体" w:hAnsi="宋体" w:eastAsia="宋体" w:cs="宋体"/>
          <w:color w:val="000000" w:themeColor="text1"/>
          <w:szCs w:val="21"/>
          <w:highlight w:val="none"/>
          <w14:textFill>
            <w14:solidFill>
              <w14:schemeClr w14:val="tx1"/>
            </w14:solidFill>
          </w14:textFill>
        </w:rPr>
        <w:t>文件的，将有可能导致供应商无法在广西政府采购云平台编制及上传响应文件</w:t>
      </w:r>
      <w:r>
        <w:rPr>
          <w:rFonts w:hint="eastAsia" w:ascii="宋体" w:hAnsi="宋体" w:eastAsia="宋体" w:cs="宋体"/>
          <w:color w:val="000000" w:themeColor="text1"/>
          <w:szCs w:val="21"/>
          <w:highlight w:val="none"/>
          <w:lang w:eastAsia="zh-CN"/>
          <w14:textFill>
            <w14:solidFill>
              <w14:schemeClr w14:val="tx1"/>
            </w14:solidFill>
          </w14:textFill>
        </w:rPr>
        <w:t>。</w:t>
      </w:r>
    </w:p>
    <w:p>
      <w:pPr>
        <w:keepNext w:val="0"/>
        <w:pageBreakBefore w:val="0"/>
        <w:widowControl/>
        <w:kinsoku/>
        <w:wordWrap/>
        <w:overflowPunct/>
        <w:topLinePunct w:val="0"/>
        <w:autoSpaceDE/>
        <w:autoSpaceDN/>
        <w:bidi w:val="0"/>
        <w:adjustRightInd/>
        <w:spacing w:line="360" w:lineRule="auto"/>
        <w:ind w:left="0" w:firstLine="420" w:firstLineChars="200"/>
        <w:jc w:val="left"/>
        <w:textAlignment w:val="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售价：0元</w:t>
      </w:r>
    </w:p>
    <w:p>
      <w:pPr>
        <w:keepNext w:val="0"/>
        <w:pageBreakBefore w:val="0"/>
        <w:kinsoku/>
        <w:wordWrap/>
        <w:overflowPunct/>
        <w:topLinePunct w:val="0"/>
        <w:autoSpaceDE/>
        <w:autoSpaceDN/>
        <w:bidi w:val="0"/>
        <w:adjustRightInd/>
        <w:spacing w:line="360" w:lineRule="auto"/>
        <w:ind w:left="0" w:firstLine="360" w:firstLineChars="150"/>
        <w:textAlignment w:val="auto"/>
        <w:rPr>
          <w:rFonts w:ascii="黑体" w:hAnsi="黑体" w:eastAsia="黑体"/>
          <w:b/>
          <w:bCs/>
          <w:color w:val="000000" w:themeColor="text1"/>
          <w:sz w:val="24"/>
          <w:highlight w:val="none"/>
          <w14:textFill>
            <w14:solidFill>
              <w14:schemeClr w14:val="tx1"/>
            </w14:solidFill>
          </w14:textFill>
        </w:rPr>
      </w:pPr>
      <w:r>
        <w:rPr>
          <w:rFonts w:hint="eastAsia" w:ascii="黑体" w:hAnsi="黑体" w:eastAsia="黑体"/>
          <w:b/>
          <w:bCs/>
          <w:color w:val="000000" w:themeColor="text1"/>
          <w:sz w:val="24"/>
          <w:highlight w:val="none"/>
          <w14:textFill>
            <w14:solidFill>
              <w14:schemeClr w14:val="tx1"/>
            </w14:solidFill>
          </w14:textFill>
        </w:rPr>
        <w:t>四、响应文件提交</w:t>
      </w:r>
      <w:bookmarkEnd w:id="20"/>
      <w:bookmarkEnd w:id="21"/>
      <w:bookmarkEnd w:id="22"/>
      <w:bookmarkEnd w:id="23"/>
      <w:bookmarkEnd w:id="24"/>
      <w:bookmarkEnd w:id="25"/>
    </w:p>
    <w:p>
      <w:pPr>
        <w:keepNext w:val="0"/>
        <w:pageBreakBefore w:val="0"/>
        <w:kinsoku/>
        <w:wordWrap/>
        <w:overflowPunct/>
        <w:topLinePunct w:val="0"/>
        <w:autoSpaceDE/>
        <w:autoSpaceDN/>
        <w:bidi w:val="0"/>
        <w:adjustRightInd/>
        <w:spacing w:line="360" w:lineRule="auto"/>
        <w:ind w:left="0" w:firstLine="420" w:firstLineChars="200"/>
        <w:textAlignment w:val="auto"/>
        <w:rPr>
          <w:rFonts w:ascii="宋体" w:hAnsi="宋体"/>
          <w:bCs/>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截止时间：</w:t>
      </w:r>
      <w:r>
        <w:rPr>
          <w:rFonts w:hint="eastAsia" w:ascii="宋体" w:hAnsi="宋体"/>
          <w:bCs/>
          <w:color w:val="000000" w:themeColor="text1"/>
          <w:szCs w:val="21"/>
          <w:highlight w:val="none"/>
          <w:u w:val="single"/>
          <w:lang w:eastAsia="zh-CN"/>
          <w14:textFill>
            <w14:solidFill>
              <w14:schemeClr w14:val="tx1"/>
            </w14:solidFill>
          </w14:textFill>
        </w:rPr>
        <w:t>202</w:t>
      </w:r>
      <w:r>
        <w:rPr>
          <w:rFonts w:hint="eastAsia" w:ascii="宋体" w:hAnsi="宋体"/>
          <w:bCs/>
          <w:color w:val="000000" w:themeColor="text1"/>
          <w:szCs w:val="21"/>
          <w:highlight w:val="none"/>
          <w:u w:val="single"/>
          <w:lang w:val="en-US" w:eastAsia="zh-CN"/>
          <w14:textFill>
            <w14:solidFill>
              <w14:schemeClr w14:val="tx1"/>
            </w14:solidFill>
          </w14:textFill>
        </w:rPr>
        <w:t>5</w:t>
      </w:r>
      <w:r>
        <w:rPr>
          <w:rFonts w:hint="eastAsia" w:ascii="宋体" w:hAnsi="宋体"/>
          <w:bCs/>
          <w:color w:val="000000" w:themeColor="text1"/>
          <w:szCs w:val="21"/>
          <w:highlight w:val="none"/>
          <w:u w:val="single"/>
          <w:lang w:eastAsia="zh-CN"/>
          <w14:textFill>
            <w14:solidFill>
              <w14:schemeClr w14:val="tx1"/>
            </w14:solidFill>
          </w14:textFill>
        </w:rPr>
        <w:t>年</w:t>
      </w:r>
      <w:r>
        <w:rPr>
          <w:rFonts w:hint="eastAsia" w:ascii="宋体" w:hAnsi="宋体"/>
          <w:bCs/>
          <w:color w:val="000000" w:themeColor="text1"/>
          <w:szCs w:val="21"/>
          <w:highlight w:val="none"/>
          <w:u w:val="single"/>
          <w:lang w:val="en-US" w:eastAsia="zh-CN"/>
          <w14:textFill>
            <w14:solidFill>
              <w14:schemeClr w14:val="tx1"/>
            </w14:solidFill>
          </w14:textFill>
        </w:rPr>
        <w:t>4</w:t>
      </w:r>
      <w:r>
        <w:rPr>
          <w:rFonts w:hint="eastAsia" w:ascii="宋体" w:hAnsi="宋体"/>
          <w:bCs/>
          <w:color w:val="000000" w:themeColor="text1"/>
          <w:szCs w:val="21"/>
          <w:highlight w:val="none"/>
          <w:u w:val="single"/>
          <w14:textFill>
            <w14:solidFill>
              <w14:schemeClr w14:val="tx1"/>
            </w14:solidFill>
          </w14:textFill>
        </w:rPr>
        <w:t>月</w:t>
      </w:r>
      <w:r>
        <w:rPr>
          <w:rFonts w:hint="eastAsia" w:ascii="宋体" w:hAnsi="宋体"/>
          <w:bCs/>
          <w:color w:val="000000" w:themeColor="text1"/>
          <w:szCs w:val="21"/>
          <w:highlight w:val="none"/>
          <w:u w:val="single"/>
          <w:lang w:val="en-US" w:eastAsia="zh-CN"/>
          <w14:textFill>
            <w14:solidFill>
              <w14:schemeClr w14:val="tx1"/>
            </w14:solidFill>
          </w14:textFill>
        </w:rPr>
        <w:t>22</w:t>
      </w:r>
      <w:r>
        <w:rPr>
          <w:rFonts w:hint="eastAsia" w:ascii="宋体" w:hAnsi="宋体"/>
          <w:bCs/>
          <w:color w:val="000000" w:themeColor="text1"/>
          <w:szCs w:val="21"/>
          <w:highlight w:val="none"/>
          <w:u w:val="single"/>
          <w14:textFill>
            <w14:solidFill>
              <w14:schemeClr w14:val="tx1"/>
            </w14:solidFill>
          </w14:textFill>
        </w:rPr>
        <w:t>日</w:t>
      </w:r>
      <w:r>
        <w:rPr>
          <w:rFonts w:hint="eastAsia" w:ascii="宋体" w:hAnsi="宋体"/>
          <w:bCs/>
          <w:color w:val="000000" w:themeColor="text1"/>
          <w:szCs w:val="21"/>
          <w:highlight w:val="none"/>
          <w:u w:val="single"/>
          <w:lang w:val="en-US" w:eastAsia="zh-CN"/>
          <w14:textFill>
            <w14:solidFill>
              <w14:schemeClr w14:val="tx1"/>
            </w14:solidFill>
          </w14:textFill>
        </w:rPr>
        <w:t>9</w:t>
      </w:r>
      <w:r>
        <w:rPr>
          <w:rFonts w:hint="eastAsia" w:ascii="宋体" w:hAnsi="宋体"/>
          <w:bCs/>
          <w:color w:val="000000" w:themeColor="text1"/>
          <w:szCs w:val="21"/>
          <w:highlight w:val="none"/>
          <w:u w:val="single"/>
          <w14:textFill>
            <w14:solidFill>
              <w14:schemeClr w14:val="tx1"/>
            </w14:solidFill>
          </w14:textFill>
        </w:rPr>
        <w:t>点</w:t>
      </w:r>
      <w:r>
        <w:rPr>
          <w:rFonts w:ascii="宋体" w:hAnsi="宋体"/>
          <w:bCs/>
          <w:color w:val="000000" w:themeColor="text1"/>
          <w:szCs w:val="21"/>
          <w:highlight w:val="none"/>
          <w:u w:val="single"/>
          <w14:textFill>
            <w14:solidFill>
              <w14:schemeClr w14:val="tx1"/>
            </w14:solidFill>
          </w14:textFill>
        </w:rPr>
        <w:t>00</w:t>
      </w:r>
      <w:r>
        <w:rPr>
          <w:rFonts w:hint="eastAsia" w:ascii="宋体" w:hAnsi="宋体"/>
          <w:bCs/>
          <w:color w:val="000000" w:themeColor="text1"/>
          <w:szCs w:val="21"/>
          <w:highlight w:val="none"/>
          <w:u w:val="single"/>
          <w14:textFill>
            <w14:solidFill>
              <w14:schemeClr w14:val="tx1"/>
            </w14:solidFill>
          </w14:textFill>
        </w:rPr>
        <w:t>分</w:t>
      </w:r>
      <w:r>
        <w:rPr>
          <w:rFonts w:hint="eastAsia" w:ascii="宋体" w:hAnsi="宋体"/>
          <w:bCs/>
          <w:color w:val="000000" w:themeColor="text1"/>
          <w:szCs w:val="21"/>
          <w:highlight w:val="none"/>
          <w14:textFill>
            <w14:solidFill>
              <w14:schemeClr w14:val="tx1"/>
            </w14:solidFill>
          </w14:textFill>
        </w:rPr>
        <w:t>（北京时间）</w:t>
      </w:r>
    </w:p>
    <w:p>
      <w:pPr>
        <w:keepNext w:val="0"/>
        <w:pageBreakBefore w:val="0"/>
        <w:kinsoku/>
        <w:wordWrap/>
        <w:overflowPunct/>
        <w:topLinePunct w:val="0"/>
        <w:autoSpaceDE/>
        <w:autoSpaceDN/>
        <w:bidi w:val="0"/>
        <w:adjustRightInd/>
        <w:spacing w:line="360" w:lineRule="auto"/>
        <w:ind w:left="0"/>
        <w:textAlignment w:val="auto"/>
        <w:rPr>
          <w:rFonts w:ascii="宋体" w:hAnsi="宋体"/>
          <w:bCs/>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地点：</w:t>
      </w:r>
      <w:r>
        <w:rPr>
          <w:rFonts w:hint="eastAsia" w:ascii="宋体" w:hAnsi="宋体"/>
          <w:color w:val="000000" w:themeColor="text1"/>
          <w:szCs w:val="21"/>
          <w:highlight w:val="none"/>
          <w:lang w:eastAsia="zh-CN"/>
          <w14:textFill>
            <w14:solidFill>
              <w14:schemeClr w14:val="tx1"/>
            </w14:solidFill>
          </w14:textFill>
        </w:rPr>
        <w:t>广西政府采购云平台</w:t>
      </w:r>
      <w:r>
        <w:rPr>
          <w:rFonts w:hint="eastAsia" w:ascii="宋体" w:hAnsi="宋体" w:cs="宋体"/>
          <w:bCs/>
          <w:color w:val="000000" w:themeColor="text1"/>
          <w:kern w:val="0"/>
          <w:szCs w:val="21"/>
          <w:highlight w:val="none"/>
          <w14:textFill>
            <w14:solidFill>
              <w14:schemeClr w14:val="tx1"/>
            </w14:solidFill>
          </w14:textFill>
        </w:rPr>
        <w:t>（</w:t>
      </w:r>
      <w:r>
        <w:rPr>
          <w:rFonts w:hint="eastAsia" w:ascii="宋体" w:hAnsi="宋体" w:cs="宋体"/>
          <w:bCs/>
          <w:color w:val="000000" w:themeColor="text1"/>
          <w:kern w:val="0"/>
          <w:szCs w:val="21"/>
          <w:highlight w:val="none"/>
          <w:lang w:eastAsia="zh-CN"/>
          <w14:textFill>
            <w14:solidFill>
              <w14:schemeClr w14:val="tx1"/>
            </w14:solidFill>
          </w14:textFill>
        </w:rPr>
        <w:t>https://www.gcy.zfcg.gxzf.gov.cn/</w:t>
      </w:r>
      <w:r>
        <w:rPr>
          <w:rFonts w:hint="eastAsia" w:ascii="宋体" w:hAnsi="宋体" w:cs="宋体"/>
          <w:bCs/>
          <w:color w:val="000000" w:themeColor="text1"/>
          <w:kern w:val="0"/>
          <w:szCs w:val="21"/>
          <w:highlight w:val="none"/>
          <w14:textFill>
            <w14:solidFill>
              <w14:schemeClr w14:val="tx1"/>
            </w14:solidFill>
          </w14:textFill>
        </w:rPr>
        <w:t>）</w:t>
      </w:r>
    </w:p>
    <w:p>
      <w:pPr>
        <w:keepNext w:val="0"/>
        <w:pageBreakBefore w:val="0"/>
        <w:kinsoku/>
        <w:wordWrap/>
        <w:overflowPunct/>
        <w:topLinePunct w:val="0"/>
        <w:autoSpaceDE/>
        <w:autoSpaceDN/>
        <w:bidi w:val="0"/>
        <w:adjustRightInd/>
        <w:spacing w:line="360" w:lineRule="auto"/>
        <w:ind w:left="0" w:firstLine="360" w:firstLineChars="150"/>
        <w:textAlignment w:val="auto"/>
        <w:rPr>
          <w:rFonts w:ascii="黑体" w:hAnsi="黑体" w:eastAsia="黑体"/>
          <w:b/>
          <w:bCs/>
          <w:color w:val="000000" w:themeColor="text1"/>
          <w:sz w:val="24"/>
          <w:highlight w:val="none"/>
          <w14:textFill>
            <w14:solidFill>
              <w14:schemeClr w14:val="tx1"/>
            </w14:solidFill>
          </w14:textFill>
        </w:rPr>
      </w:pPr>
      <w:bookmarkStart w:id="26" w:name="_Toc28359016"/>
      <w:bookmarkStart w:id="27" w:name="_Toc28359093"/>
      <w:bookmarkStart w:id="28" w:name="_Toc35393802"/>
      <w:bookmarkStart w:id="29" w:name="_Toc71366044"/>
      <w:bookmarkStart w:id="30" w:name="_Toc71365366"/>
      <w:bookmarkStart w:id="31" w:name="_Toc35393633"/>
      <w:r>
        <w:rPr>
          <w:rFonts w:hint="eastAsia" w:ascii="黑体" w:hAnsi="黑体" w:eastAsia="黑体"/>
          <w:b/>
          <w:bCs/>
          <w:color w:val="000000" w:themeColor="text1"/>
          <w:sz w:val="24"/>
          <w:highlight w:val="none"/>
          <w14:textFill>
            <w14:solidFill>
              <w14:schemeClr w14:val="tx1"/>
            </w14:solidFill>
          </w14:textFill>
        </w:rPr>
        <w:t>五、开启</w:t>
      </w:r>
      <w:bookmarkEnd w:id="26"/>
      <w:bookmarkEnd w:id="27"/>
      <w:bookmarkEnd w:id="28"/>
      <w:bookmarkEnd w:id="29"/>
      <w:bookmarkEnd w:id="30"/>
      <w:bookmarkEnd w:id="31"/>
    </w:p>
    <w:p>
      <w:pPr>
        <w:keepNext w:val="0"/>
        <w:pageBreakBefore w:val="0"/>
        <w:kinsoku/>
        <w:wordWrap/>
        <w:overflowPunct/>
        <w:topLinePunct w:val="0"/>
        <w:autoSpaceDE/>
        <w:autoSpaceDN/>
        <w:bidi w:val="0"/>
        <w:adjustRightInd/>
        <w:spacing w:line="360" w:lineRule="auto"/>
        <w:ind w:left="0" w:firstLine="420" w:firstLineChars="200"/>
        <w:textAlignment w:val="auto"/>
        <w:rPr>
          <w:rFonts w:ascii="宋体" w:hAnsi="宋体"/>
          <w:bCs/>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时间：</w:t>
      </w:r>
      <w:r>
        <w:rPr>
          <w:rFonts w:hint="eastAsia" w:ascii="宋体" w:hAnsi="宋体"/>
          <w:color w:val="000000" w:themeColor="text1"/>
          <w:szCs w:val="21"/>
          <w:highlight w:val="none"/>
          <w:u w:val="single"/>
          <w:lang w:eastAsia="zh-CN"/>
          <w14:textFill>
            <w14:solidFill>
              <w14:schemeClr w14:val="tx1"/>
            </w14:solidFill>
          </w14:textFill>
        </w:rPr>
        <w:t>202</w:t>
      </w:r>
      <w:r>
        <w:rPr>
          <w:rFonts w:hint="eastAsia" w:ascii="宋体" w:hAnsi="宋体"/>
          <w:color w:val="000000" w:themeColor="text1"/>
          <w:szCs w:val="21"/>
          <w:highlight w:val="none"/>
          <w:u w:val="single"/>
          <w:lang w:val="en-US" w:eastAsia="zh-CN"/>
          <w14:textFill>
            <w14:solidFill>
              <w14:schemeClr w14:val="tx1"/>
            </w14:solidFill>
          </w14:textFill>
        </w:rPr>
        <w:t>5</w:t>
      </w:r>
      <w:r>
        <w:rPr>
          <w:rFonts w:hint="eastAsia" w:ascii="宋体" w:hAnsi="宋体"/>
          <w:color w:val="000000" w:themeColor="text1"/>
          <w:szCs w:val="21"/>
          <w:highlight w:val="none"/>
          <w:u w:val="single"/>
          <w:lang w:eastAsia="zh-CN"/>
          <w14:textFill>
            <w14:solidFill>
              <w14:schemeClr w14:val="tx1"/>
            </w14:solidFill>
          </w14:textFill>
        </w:rPr>
        <w:t>年</w:t>
      </w:r>
      <w:r>
        <w:rPr>
          <w:rFonts w:hint="eastAsia" w:ascii="宋体" w:hAnsi="宋体"/>
          <w:color w:val="000000" w:themeColor="text1"/>
          <w:szCs w:val="21"/>
          <w:highlight w:val="none"/>
          <w:u w:val="single"/>
          <w:lang w:val="en-US" w:eastAsia="zh-CN"/>
          <w14:textFill>
            <w14:solidFill>
              <w14:schemeClr w14:val="tx1"/>
            </w14:solidFill>
          </w14:textFill>
        </w:rPr>
        <w:t>4</w:t>
      </w:r>
      <w:r>
        <w:rPr>
          <w:rFonts w:hint="eastAsia" w:ascii="宋体" w:hAnsi="宋体"/>
          <w:color w:val="000000" w:themeColor="text1"/>
          <w:szCs w:val="21"/>
          <w:highlight w:val="none"/>
          <w:u w:val="single"/>
          <w14:textFill>
            <w14:solidFill>
              <w14:schemeClr w14:val="tx1"/>
            </w14:solidFill>
          </w14:textFill>
        </w:rPr>
        <w:t>月</w:t>
      </w:r>
      <w:r>
        <w:rPr>
          <w:rFonts w:hint="eastAsia" w:ascii="宋体" w:hAnsi="宋体"/>
          <w:color w:val="000000" w:themeColor="text1"/>
          <w:szCs w:val="21"/>
          <w:highlight w:val="none"/>
          <w:u w:val="single"/>
          <w:lang w:val="en-US" w:eastAsia="zh-CN"/>
          <w14:textFill>
            <w14:solidFill>
              <w14:schemeClr w14:val="tx1"/>
            </w14:solidFill>
          </w14:textFill>
        </w:rPr>
        <w:t>22</w:t>
      </w:r>
      <w:r>
        <w:rPr>
          <w:rFonts w:hint="eastAsia" w:ascii="宋体" w:hAnsi="宋体"/>
          <w:color w:val="000000" w:themeColor="text1"/>
          <w:szCs w:val="21"/>
          <w:highlight w:val="none"/>
          <w:u w:val="single"/>
          <w14:textFill>
            <w14:solidFill>
              <w14:schemeClr w14:val="tx1"/>
            </w14:solidFill>
          </w14:textFill>
        </w:rPr>
        <w:t>日</w:t>
      </w:r>
      <w:r>
        <w:rPr>
          <w:rFonts w:hint="eastAsia" w:ascii="宋体" w:hAnsi="宋体"/>
          <w:bCs/>
          <w:color w:val="000000" w:themeColor="text1"/>
          <w:szCs w:val="21"/>
          <w:highlight w:val="none"/>
          <w:u w:val="single"/>
          <w:lang w:val="en-US" w:eastAsia="zh-CN"/>
          <w14:textFill>
            <w14:solidFill>
              <w14:schemeClr w14:val="tx1"/>
            </w14:solidFill>
          </w14:textFill>
        </w:rPr>
        <w:t>9</w:t>
      </w:r>
      <w:r>
        <w:rPr>
          <w:rFonts w:hint="eastAsia" w:ascii="宋体" w:hAnsi="宋体"/>
          <w:bCs/>
          <w:color w:val="000000" w:themeColor="text1"/>
          <w:szCs w:val="21"/>
          <w:highlight w:val="none"/>
          <w:u w:val="single"/>
          <w14:textFill>
            <w14:solidFill>
              <w14:schemeClr w14:val="tx1"/>
            </w14:solidFill>
          </w14:textFill>
        </w:rPr>
        <w:t>点</w:t>
      </w:r>
      <w:r>
        <w:rPr>
          <w:rFonts w:ascii="宋体" w:hAnsi="宋体"/>
          <w:bCs/>
          <w:color w:val="000000" w:themeColor="text1"/>
          <w:szCs w:val="21"/>
          <w:highlight w:val="none"/>
          <w:u w:val="single"/>
          <w14:textFill>
            <w14:solidFill>
              <w14:schemeClr w14:val="tx1"/>
            </w14:solidFill>
          </w14:textFill>
        </w:rPr>
        <w:t>00</w:t>
      </w:r>
      <w:r>
        <w:rPr>
          <w:rFonts w:hint="eastAsia" w:ascii="宋体" w:hAnsi="宋体"/>
          <w:bCs/>
          <w:color w:val="000000" w:themeColor="text1"/>
          <w:szCs w:val="21"/>
          <w:highlight w:val="none"/>
          <w:u w:val="single"/>
          <w14:textFill>
            <w14:solidFill>
              <w14:schemeClr w14:val="tx1"/>
            </w14:solidFill>
          </w14:textFill>
        </w:rPr>
        <w:t>分（北京时间）</w:t>
      </w:r>
    </w:p>
    <w:p>
      <w:pPr>
        <w:keepNext w:val="0"/>
        <w:pageBreakBefore w:val="0"/>
        <w:kinsoku/>
        <w:wordWrap/>
        <w:overflowPunct/>
        <w:topLinePunct w:val="0"/>
        <w:autoSpaceDE/>
        <w:autoSpaceDN/>
        <w:bidi w:val="0"/>
        <w:adjustRightInd/>
        <w:spacing w:line="360" w:lineRule="auto"/>
        <w:ind w:left="0" w:firstLine="420" w:firstLineChars="200"/>
        <w:textAlignment w:val="auto"/>
        <w:rPr>
          <w:rFonts w:ascii="宋体" w:hAnsi="宋体"/>
          <w:bCs/>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地点：</w:t>
      </w:r>
      <w:r>
        <w:rPr>
          <w:rFonts w:hint="eastAsia" w:ascii="宋体" w:hAnsi="宋体"/>
          <w:color w:val="000000" w:themeColor="text1"/>
          <w:szCs w:val="21"/>
          <w:highlight w:val="none"/>
          <w:lang w:eastAsia="zh-CN"/>
          <w14:textFill>
            <w14:solidFill>
              <w14:schemeClr w14:val="tx1"/>
            </w14:solidFill>
          </w14:textFill>
        </w:rPr>
        <w:t>广西政府采购云平台</w:t>
      </w:r>
      <w:r>
        <w:rPr>
          <w:rFonts w:hint="eastAsia" w:ascii="宋体" w:hAnsi="宋体" w:cs="宋体"/>
          <w:bCs/>
          <w:color w:val="000000" w:themeColor="text1"/>
          <w:kern w:val="0"/>
          <w:szCs w:val="21"/>
          <w:highlight w:val="none"/>
          <w14:textFill>
            <w14:solidFill>
              <w14:schemeClr w14:val="tx1"/>
            </w14:solidFill>
          </w14:textFill>
        </w:rPr>
        <w:t>（</w:t>
      </w:r>
      <w:r>
        <w:rPr>
          <w:rFonts w:hint="eastAsia" w:ascii="宋体" w:hAnsi="宋体" w:cs="宋体"/>
          <w:bCs/>
          <w:color w:val="000000" w:themeColor="text1"/>
          <w:kern w:val="0"/>
          <w:szCs w:val="21"/>
          <w:highlight w:val="none"/>
          <w:lang w:eastAsia="zh-CN"/>
          <w14:textFill>
            <w14:solidFill>
              <w14:schemeClr w14:val="tx1"/>
            </w14:solidFill>
          </w14:textFill>
        </w:rPr>
        <w:t>https://www.gcy.zfcg.gxzf.gov.cn/</w:t>
      </w:r>
      <w:r>
        <w:rPr>
          <w:rFonts w:hint="eastAsia" w:ascii="宋体" w:hAnsi="宋体" w:cs="宋体"/>
          <w:bCs/>
          <w:color w:val="000000" w:themeColor="text1"/>
          <w:kern w:val="0"/>
          <w:szCs w:val="21"/>
          <w:highlight w:val="none"/>
          <w14:textFill>
            <w14:solidFill>
              <w14:schemeClr w14:val="tx1"/>
            </w14:solidFill>
          </w14:textFill>
        </w:rPr>
        <w:t>）</w:t>
      </w:r>
    </w:p>
    <w:p>
      <w:pPr>
        <w:keepNext w:val="0"/>
        <w:pageBreakBefore w:val="0"/>
        <w:kinsoku/>
        <w:wordWrap/>
        <w:overflowPunct/>
        <w:topLinePunct w:val="0"/>
        <w:autoSpaceDE/>
        <w:autoSpaceDN/>
        <w:bidi w:val="0"/>
        <w:adjustRightInd/>
        <w:spacing w:line="360" w:lineRule="auto"/>
        <w:ind w:left="0" w:firstLine="360" w:firstLineChars="150"/>
        <w:textAlignment w:val="auto"/>
        <w:rPr>
          <w:rFonts w:ascii="黑体" w:hAnsi="黑体" w:eastAsia="黑体"/>
          <w:b/>
          <w:bCs/>
          <w:color w:val="000000" w:themeColor="text1"/>
          <w:sz w:val="24"/>
          <w:highlight w:val="none"/>
          <w14:textFill>
            <w14:solidFill>
              <w14:schemeClr w14:val="tx1"/>
            </w14:solidFill>
          </w14:textFill>
        </w:rPr>
      </w:pPr>
      <w:bookmarkStart w:id="32" w:name="_Toc28359017"/>
      <w:bookmarkStart w:id="33" w:name="_Toc28359094"/>
      <w:bookmarkStart w:id="34" w:name="_Toc35393803"/>
      <w:bookmarkStart w:id="35" w:name="_Toc71366045"/>
      <w:bookmarkStart w:id="36" w:name="_Toc35393634"/>
      <w:bookmarkStart w:id="37" w:name="_Toc71365367"/>
      <w:r>
        <w:rPr>
          <w:rFonts w:hint="eastAsia" w:ascii="黑体" w:hAnsi="黑体" w:eastAsia="黑体"/>
          <w:b/>
          <w:bCs/>
          <w:color w:val="000000" w:themeColor="text1"/>
          <w:sz w:val="24"/>
          <w:highlight w:val="none"/>
          <w14:textFill>
            <w14:solidFill>
              <w14:schemeClr w14:val="tx1"/>
            </w14:solidFill>
          </w14:textFill>
        </w:rPr>
        <w:t>六、公告期限</w:t>
      </w:r>
      <w:bookmarkEnd w:id="32"/>
      <w:bookmarkEnd w:id="33"/>
      <w:bookmarkEnd w:id="34"/>
      <w:bookmarkEnd w:id="35"/>
      <w:bookmarkEnd w:id="36"/>
      <w:bookmarkEnd w:id="37"/>
    </w:p>
    <w:p>
      <w:pPr>
        <w:keepNext w:val="0"/>
        <w:pageBreakBefore w:val="0"/>
        <w:kinsoku/>
        <w:wordWrap/>
        <w:overflowPunct/>
        <w:topLinePunct w:val="0"/>
        <w:autoSpaceDE/>
        <w:autoSpaceDN/>
        <w:bidi w:val="0"/>
        <w:adjustRightInd/>
        <w:spacing w:line="360" w:lineRule="auto"/>
        <w:ind w:left="0" w:firstLine="420" w:firstLineChars="200"/>
        <w:textAlignment w:val="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自本公告发布之日起3个工作日。</w:t>
      </w:r>
    </w:p>
    <w:p>
      <w:pPr>
        <w:keepNext w:val="0"/>
        <w:pageBreakBefore w:val="0"/>
        <w:kinsoku/>
        <w:wordWrap/>
        <w:overflowPunct/>
        <w:topLinePunct w:val="0"/>
        <w:autoSpaceDE/>
        <w:autoSpaceDN/>
        <w:bidi w:val="0"/>
        <w:adjustRightInd/>
        <w:spacing w:line="360" w:lineRule="auto"/>
        <w:ind w:left="0" w:firstLine="360" w:firstLineChars="150"/>
        <w:textAlignment w:val="auto"/>
        <w:rPr>
          <w:rFonts w:ascii="黑体" w:hAnsi="黑体" w:eastAsia="黑体"/>
          <w:b/>
          <w:bCs/>
          <w:color w:val="000000" w:themeColor="text1"/>
          <w:sz w:val="24"/>
          <w:highlight w:val="none"/>
          <w14:textFill>
            <w14:solidFill>
              <w14:schemeClr w14:val="tx1"/>
            </w14:solidFill>
          </w14:textFill>
        </w:rPr>
      </w:pPr>
      <w:bookmarkStart w:id="38" w:name="_Toc35393635"/>
      <w:bookmarkStart w:id="39" w:name="_Toc71366046"/>
      <w:bookmarkStart w:id="40" w:name="_Toc71365368"/>
      <w:bookmarkStart w:id="41" w:name="_Toc35393804"/>
      <w:r>
        <w:rPr>
          <w:rFonts w:hint="eastAsia" w:ascii="黑体" w:hAnsi="黑体" w:eastAsia="黑体"/>
          <w:b/>
          <w:bCs/>
          <w:color w:val="000000" w:themeColor="text1"/>
          <w:sz w:val="24"/>
          <w:highlight w:val="none"/>
          <w14:textFill>
            <w14:solidFill>
              <w14:schemeClr w14:val="tx1"/>
            </w14:solidFill>
          </w14:textFill>
        </w:rPr>
        <w:t>七、其他补充事宜</w:t>
      </w:r>
      <w:bookmarkEnd w:id="38"/>
      <w:bookmarkEnd w:id="39"/>
      <w:bookmarkEnd w:id="40"/>
      <w:bookmarkEnd w:id="41"/>
    </w:p>
    <w:p>
      <w:pPr>
        <w:keepNext w:val="0"/>
        <w:pageBreakBefore w:val="0"/>
        <w:kinsoku/>
        <w:wordWrap/>
        <w:overflowPunct/>
        <w:topLinePunct w:val="0"/>
        <w:autoSpaceDE/>
        <w:autoSpaceDN/>
        <w:bidi w:val="0"/>
        <w:adjustRightInd/>
        <w:spacing w:line="360" w:lineRule="auto"/>
        <w:ind w:left="0" w:firstLine="420" w:firstLineChars="200"/>
        <w:textAlignment w:val="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r>
        <w:rPr>
          <w:rFonts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网上查询地址</w:t>
      </w:r>
    </w:p>
    <w:p>
      <w:pPr>
        <w:keepNext w:val="0"/>
        <w:keepLines w:val="0"/>
        <w:pageBreakBefore w:val="0"/>
        <w:kinsoku/>
        <w:wordWrap/>
        <w:overflowPunct/>
        <w:topLinePunct w:val="0"/>
        <w:autoSpaceDE/>
        <w:autoSpaceDN/>
        <w:bidi w:val="0"/>
        <w:adjustRightInd/>
        <w:spacing w:line="360" w:lineRule="auto"/>
        <w:ind w:left="0" w:firstLine="420" w:firstLineChars="200"/>
        <w:textAlignment w:val="auto"/>
        <w:rPr>
          <w:rFonts w:hint="eastAsia" w:ascii="宋体" w:hAnsi="宋体" w:cs="宋体"/>
          <w:color w:val="000000" w:themeColor="text1"/>
          <w:kern w:val="0"/>
          <w:szCs w:val="21"/>
          <w:highlight w:val="none"/>
          <w14:textFill>
            <w14:solidFill>
              <w14:schemeClr w14:val="tx1"/>
            </w14:solidFill>
          </w14:textFill>
        </w:rPr>
      </w:pPr>
      <w:bookmarkStart w:id="42" w:name="_Hlk37429674"/>
      <w:bookmarkStart w:id="43" w:name="_Toc71365369"/>
      <w:bookmarkStart w:id="44" w:name="_Toc28359095"/>
      <w:bookmarkStart w:id="45" w:name="_Toc35393636"/>
      <w:bookmarkStart w:id="46" w:name="_Toc35393805"/>
      <w:bookmarkStart w:id="47" w:name="_Toc28359018"/>
      <w:bookmarkStart w:id="48" w:name="_Toc71366047"/>
      <w:r>
        <w:rPr>
          <w:rFonts w:hint="eastAsia" w:ascii="宋体" w:hAnsi="宋体" w:cs="宋体"/>
          <w:color w:val="000000" w:themeColor="text1"/>
          <w:kern w:val="0"/>
          <w:szCs w:val="21"/>
          <w:highlight w:val="none"/>
          <w14:textFill>
            <w14:solidFill>
              <w14:schemeClr w14:val="tx1"/>
            </w14:solidFill>
          </w14:textFill>
        </w:rPr>
        <w:t>中国政府采购网、广西壮族自治区政府采购网、</w:t>
      </w:r>
      <w:r>
        <w:rPr>
          <w:rFonts w:hint="eastAsia" w:ascii="宋体" w:hAnsi="宋体" w:cs="宋体"/>
          <w:color w:val="000000" w:themeColor="text1"/>
          <w:kern w:val="0"/>
          <w:szCs w:val="21"/>
          <w:highlight w:val="none"/>
          <w:lang w:val="en-US" w:eastAsia="zh-CN"/>
          <w14:textFill>
            <w14:solidFill>
              <w14:schemeClr w14:val="tx1"/>
            </w14:solidFill>
          </w14:textFill>
        </w:rPr>
        <w:t>广西壮族自治区生态环境厅网</w:t>
      </w:r>
      <w:r>
        <w:rPr>
          <w:rFonts w:hint="eastAsia" w:ascii="宋体" w:hAnsi="宋体" w:cs="宋体"/>
          <w:color w:val="000000" w:themeColor="text1"/>
          <w:kern w:val="0"/>
          <w:szCs w:val="21"/>
          <w:highlight w:val="none"/>
          <w:lang w:eastAsia="zh-CN"/>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广西正海招标有限公司网</w:t>
      </w:r>
    </w:p>
    <w:p>
      <w:pPr>
        <w:keepNext w:val="0"/>
        <w:keepLines/>
        <w:pageBreakBefore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2.本项目需要落实的政府采购政策</w:t>
      </w:r>
    </w:p>
    <w:p>
      <w:pPr>
        <w:keepNext w:val="0"/>
        <w:keepLines/>
        <w:pageBreakBefore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（1）政府采购促进中小企业发展。</w:t>
      </w:r>
    </w:p>
    <w:p>
      <w:pPr>
        <w:keepNext w:val="0"/>
        <w:keepLines/>
        <w:pageBreakBefore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（2）政府采购支持采用本国产品的政策。</w:t>
      </w:r>
    </w:p>
    <w:p>
      <w:pPr>
        <w:keepNext w:val="0"/>
        <w:keepLines/>
        <w:pageBreakBefore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（3）强制采购节能产品；优先采购节能产品、环境标志产品。</w:t>
      </w:r>
    </w:p>
    <w:p>
      <w:pPr>
        <w:keepNext w:val="0"/>
        <w:keepLines/>
        <w:pageBreakBefore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（4）政府采购促进残疾人就业政策。</w:t>
      </w:r>
    </w:p>
    <w:p>
      <w:pPr>
        <w:keepNext w:val="0"/>
        <w:keepLines/>
        <w:pageBreakBefore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（5）政府采购支持监狱企业发展。</w:t>
      </w:r>
    </w:p>
    <w:bookmarkEnd w:id="42"/>
    <w:p>
      <w:pPr>
        <w:keepNext w:val="0"/>
        <w:keepLines/>
        <w:pageBreakBefore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3.供应商竞标注意事项</w:t>
      </w:r>
    </w:p>
    <w:p>
      <w:pPr>
        <w:keepNext w:val="0"/>
        <w:keepLines w:val="0"/>
        <w:pageBreakBefore w:val="0"/>
        <w:widowControl w:val="0"/>
        <w:tabs>
          <w:tab w:val="left" w:pos="639"/>
        </w:tabs>
        <w:kinsoku/>
        <w:wordWrap w:val="0"/>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cs="宋体"/>
          <w:b w:val="0"/>
          <w:bCs/>
          <w:color w:val="000000" w:themeColor="text1"/>
          <w:sz w:val="21"/>
          <w:szCs w:val="21"/>
          <w:highlight w:val="none"/>
          <w:lang w:eastAsia="zh-CN"/>
          <w14:textFill>
            <w14:solidFill>
              <w14:schemeClr w14:val="tx1"/>
            </w14:solidFill>
          </w14:textFill>
        </w:rPr>
        <w:t>（</w:t>
      </w:r>
      <w:r>
        <w:rPr>
          <w:rFonts w:hint="eastAsia" w:ascii="宋体" w:hAnsi="宋体" w:cs="宋体"/>
          <w:b w:val="0"/>
          <w:bCs/>
          <w:color w:val="000000" w:themeColor="text1"/>
          <w:sz w:val="21"/>
          <w:szCs w:val="21"/>
          <w:highlight w:val="none"/>
          <w:lang w:val="en-US" w:eastAsia="zh-CN"/>
          <w14:textFill>
            <w14:solidFill>
              <w14:schemeClr w14:val="tx1"/>
            </w14:solidFill>
          </w14:textFill>
        </w:rPr>
        <w:t>1</w:t>
      </w:r>
      <w:r>
        <w:rPr>
          <w:rFonts w:hint="eastAsia" w:ascii="宋体" w:hAnsi="宋体" w:cs="宋体"/>
          <w:b w:val="0"/>
          <w:bCs/>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color w:val="000000" w:themeColor="text1"/>
          <w:sz w:val="21"/>
          <w:szCs w:val="21"/>
          <w:highlight w:val="none"/>
          <w14:textFill>
            <w14:solidFill>
              <w14:schemeClr w14:val="tx1"/>
            </w14:solidFill>
          </w14:textFill>
        </w:rPr>
        <w:t>本项目为全流程电子化采购项目，通过广西政府采购云平台（https://www.gcy.zfcg.gxzf.gov.cn/）实行在线电子竞标，供应商应按照本项目竞争性</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谈判</w:t>
      </w:r>
      <w:r>
        <w:rPr>
          <w:rFonts w:hint="eastAsia" w:ascii="宋体" w:hAnsi="宋体" w:eastAsia="宋体" w:cs="宋体"/>
          <w:b w:val="0"/>
          <w:bCs/>
          <w:color w:val="000000" w:themeColor="text1"/>
          <w:sz w:val="21"/>
          <w:szCs w:val="21"/>
          <w:highlight w:val="none"/>
          <w14:textFill>
            <w14:solidFill>
              <w14:schemeClr w14:val="tx1"/>
            </w14:solidFill>
          </w14:textFill>
        </w:rPr>
        <w:t>文件和广西政府采购云平台 的要求编制、加密后在提交响应文件截止时间前通过网络上传至 广西政府采购云平台 （加密的电子响应文件是指后缀名为“jmbs”的文件），供应商在广西政府采购云平台 提交电子响应文件时，请填写参加远程采购活动经办人联系方式。供应商登录广西政府采购云平台 ，依次进入“服务中心-项目采购-操作流程-电子招投标-政府采购项目电子交易管理操作指南-供应商”查看电子竞标具体操作流程。</w:t>
      </w:r>
    </w:p>
    <w:p>
      <w:pPr>
        <w:keepNext w:val="0"/>
        <w:keepLines/>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陆广西政府采购云平台 ，依次进入“服务中心-入驻与配置”中查看CA数字证书办理操作流程。如在操作过程中遇到问题或者需要技术支持，请致电桂采云客服热线：95763）。</w:t>
      </w:r>
    </w:p>
    <w:p>
      <w:pPr>
        <w:keepNext w:val="0"/>
        <w:keepLines/>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（3）CA证书在线解密：首次响应文件开启时，需携带制作响应文件时用来加密的有效数字证书（CA认证）登录广西政府采购云平台 电子开标大厅现场按规定时间对加密的响应文件进行解密，否则后果自负。</w:t>
      </w:r>
    </w:p>
    <w:p>
      <w:pPr>
        <w:keepNext w:val="0"/>
        <w:keepLines/>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注：1）为确保网上操作合法、有效和安全，请供应商确保在电子竞标过程中能够对相关数据电文进行加密和使用电子签章，妥善保管CA数字证书并使用有效的CA数字证书参与整个采购活动。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pPr>
        <w:keepNext w:val="0"/>
        <w:keepLines/>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（4）供应商需要在具备有摄像头及语音功能且互联网网络状况良好的电脑登录广西政府采购云平台 远程开标大厅参与本次</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谈判</w:t>
      </w:r>
      <w:r>
        <w:rPr>
          <w:rFonts w:hint="eastAsia" w:ascii="宋体" w:hAnsi="宋体" w:eastAsia="宋体" w:cs="宋体"/>
          <w:b w:val="0"/>
          <w:bCs/>
          <w:color w:val="000000" w:themeColor="text1"/>
          <w:sz w:val="21"/>
          <w:szCs w:val="21"/>
          <w:highlight w:val="none"/>
          <w14:textFill>
            <w14:solidFill>
              <w14:schemeClr w14:val="tx1"/>
            </w14:solidFill>
          </w14:textFill>
        </w:rPr>
        <w:t>，否则后果自负。</w:t>
      </w:r>
    </w:p>
    <w:p>
      <w:pPr>
        <w:keepNext w:val="0"/>
        <w:pageBreakBefore w:val="0"/>
        <w:widowControl/>
        <w:kinsoku/>
        <w:wordWrap/>
        <w:overflowPunct/>
        <w:topLinePunct w:val="0"/>
        <w:autoSpaceDE/>
        <w:autoSpaceDN/>
        <w:bidi w:val="0"/>
        <w:adjustRightInd/>
        <w:snapToGrid/>
        <w:spacing w:line="360" w:lineRule="auto"/>
        <w:ind w:left="0" w:firstLine="360" w:firstLineChars="150"/>
        <w:textAlignment w:val="auto"/>
        <w:rPr>
          <w:rFonts w:hint="eastAsia" w:ascii="黑体" w:hAnsi="黑体" w:eastAsia="黑体" w:cs="Times New Roman"/>
          <w:b/>
          <w:bCs/>
          <w:color w:val="000000" w:themeColor="text1"/>
          <w:sz w:val="24"/>
          <w:szCs w:val="24"/>
          <w:highlight w:val="none"/>
          <w14:textFill>
            <w14:solidFill>
              <w14:schemeClr w14:val="tx1"/>
            </w14:solidFill>
          </w14:textFill>
        </w:rPr>
      </w:pPr>
      <w:r>
        <w:rPr>
          <w:rFonts w:hint="eastAsia" w:ascii="黑体" w:hAnsi="黑体" w:eastAsia="黑体" w:cs="Times New Roman"/>
          <w:b/>
          <w:bCs/>
          <w:color w:val="000000" w:themeColor="text1"/>
          <w:sz w:val="24"/>
          <w:szCs w:val="24"/>
          <w:highlight w:val="none"/>
          <w14:textFill>
            <w14:solidFill>
              <w14:schemeClr w14:val="tx1"/>
            </w14:solidFill>
          </w14:textFill>
        </w:rPr>
        <w:t>八、凡对本次采购提出询问，请按以下方式联系。</w:t>
      </w:r>
      <w:bookmarkEnd w:id="43"/>
      <w:bookmarkEnd w:id="44"/>
      <w:bookmarkEnd w:id="45"/>
      <w:bookmarkEnd w:id="46"/>
      <w:bookmarkEnd w:id="47"/>
      <w:bookmarkEnd w:id="48"/>
    </w:p>
    <w:p>
      <w:pPr>
        <w:keepNext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bookmarkStart w:id="49" w:name="_Toc35393637"/>
      <w:bookmarkStart w:id="50" w:name="_Toc28359019"/>
      <w:bookmarkStart w:id="51" w:name="_Toc28359096"/>
      <w:bookmarkStart w:id="52" w:name="_Toc35393806"/>
      <w:r>
        <w:rPr>
          <w:rFonts w:hint="eastAsia" w:ascii="宋体" w:hAnsi="宋体" w:eastAsia="宋体" w:cs="宋体"/>
          <w:color w:val="000000" w:themeColor="text1"/>
          <w:kern w:val="0"/>
          <w:sz w:val="21"/>
          <w:szCs w:val="21"/>
          <w:highlight w:val="none"/>
          <w14:textFill>
            <w14:solidFill>
              <w14:schemeClr w14:val="tx1"/>
            </w14:solidFill>
          </w14:textFill>
        </w:rPr>
        <w:t>1.采购人信息</w:t>
      </w:r>
      <w:bookmarkEnd w:id="49"/>
      <w:bookmarkEnd w:id="50"/>
      <w:bookmarkEnd w:id="51"/>
      <w:bookmarkEnd w:id="52"/>
    </w:p>
    <w:p>
      <w:pPr>
        <w:keepNext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bookmarkStart w:id="53" w:name="_Toc28359097"/>
      <w:bookmarkStart w:id="54" w:name="_Toc28359020"/>
      <w:bookmarkStart w:id="55" w:name="_Toc35393807"/>
      <w:bookmarkStart w:id="56" w:name="_Toc35393638"/>
      <w:r>
        <w:rPr>
          <w:rFonts w:hint="eastAsia" w:ascii="宋体" w:hAnsi="宋体" w:eastAsia="宋体" w:cs="宋体"/>
          <w:color w:val="000000" w:themeColor="text1"/>
          <w:sz w:val="21"/>
          <w:szCs w:val="21"/>
          <w:highlight w:val="none"/>
          <w14:textFill>
            <w14:solidFill>
              <w14:schemeClr w14:val="tx1"/>
            </w14:solidFill>
          </w14:textFill>
        </w:rPr>
        <w:t>采购单位：</w:t>
      </w:r>
      <w:r>
        <w:rPr>
          <w:rFonts w:hint="eastAsia" w:ascii="宋体" w:hAnsi="宋体" w:cs="宋体"/>
          <w:color w:val="000000" w:themeColor="text1"/>
          <w:sz w:val="21"/>
          <w:szCs w:val="21"/>
          <w:highlight w:val="none"/>
          <w:lang w:val="en-US" w:eastAsia="zh-CN"/>
          <w14:textFill>
            <w14:solidFill>
              <w14:schemeClr w14:val="tx1"/>
            </w14:solidFill>
          </w14:textFill>
        </w:rPr>
        <w:t>广西壮族自治区南宁生态环境监测中心</w:t>
      </w:r>
    </w:p>
    <w:p>
      <w:pPr>
        <w:keepNext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地址：南宁市民主路45号 </w:t>
      </w:r>
    </w:p>
    <w:p>
      <w:pPr>
        <w:keepNext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联系电话：</w:t>
      </w:r>
      <w:r>
        <w:rPr>
          <w:rFonts w:hint="eastAsia" w:ascii="宋体" w:hAnsi="宋体" w:cs="宋体"/>
          <w:color w:val="000000" w:themeColor="text1"/>
          <w:sz w:val="21"/>
          <w:szCs w:val="21"/>
          <w:highlight w:val="none"/>
          <w:lang w:val="en-US" w:eastAsia="zh-CN"/>
          <w14:textFill>
            <w14:solidFill>
              <w14:schemeClr w14:val="tx1"/>
            </w14:solidFill>
          </w14:textFill>
        </w:rPr>
        <w:t>李工</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0771-2828826</w:t>
      </w:r>
    </w:p>
    <w:p>
      <w:pPr>
        <w:keepNext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2.采购代理机构信息</w:t>
      </w:r>
      <w:bookmarkEnd w:id="53"/>
      <w:bookmarkEnd w:id="54"/>
      <w:bookmarkEnd w:id="55"/>
      <w:bookmarkEnd w:id="56"/>
    </w:p>
    <w:bookmarkEnd w:id="1"/>
    <w:p>
      <w:pPr>
        <w:keepNext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名称：广西正海招标有限公司　　　　　　　　　　　　</w:t>
      </w:r>
    </w:p>
    <w:p>
      <w:pPr>
        <w:keepNext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地址：</w:t>
      </w:r>
      <w:r>
        <w:rPr>
          <w:rFonts w:hint="eastAsia" w:ascii="宋体" w:hAnsi="宋体" w:cs="宋体"/>
          <w:color w:val="000000" w:themeColor="text1"/>
          <w:sz w:val="21"/>
          <w:szCs w:val="21"/>
          <w:highlight w:val="none"/>
          <w:lang w:eastAsia="zh-CN"/>
          <w14:textFill>
            <w14:solidFill>
              <w14:schemeClr w14:val="tx1"/>
            </w14:solidFill>
          </w14:textFill>
        </w:rPr>
        <w:t>广西</w:t>
      </w:r>
      <w:r>
        <w:rPr>
          <w:rFonts w:hint="eastAsia" w:ascii="宋体" w:hAnsi="宋体" w:eastAsia="宋体" w:cs="宋体"/>
          <w:color w:val="000000" w:themeColor="text1"/>
          <w:sz w:val="21"/>
          <w:szCs w:val="21"/>
          <w:highlight w:val="none"/>
          <w:lang w:eastAsia="zh-CN"/>
          <w14:textFill>
            <w14:solidFill>
              <w14:schemeClr w14:val="tx1"/>
            </w14:solidFill>
          </w14:textFill>
        </w:rPr>
        <w:t>南宁市青秀区茅桥路2号习艺基地A栋1号电梯3楼　　　　　　　　　　　　</w:t>
      </w:r>
    </w:p>
    <w:p>
      <w:pPr>
        <w:keepNext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联系方式： 0771-2865989       传真：0771-5650199　　　　　　　　　　</w:t>
      </w:r>
    </w:p>
    <w:p>
      <w:pPr>
        <w:keepNext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3.项目联系方式</w:t>
      </w:r>
    </w:p>
    <w:p>
      <w:pPr>
        <w:keepNext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项目联系人：</w:t>
      </w:r>
      <w:r>
        <w:rPr>
          <w:rFonts w:hint="eastAsia" w:ascii="宋体" w:hAnsi="宋体" w:eastAsia="宋体" w:cs="宋体"/>
          <w:color w:val="000000" w:themeColor="text1"/>
          <w:sz w:val="21"/>
          <w:szCs w:val="21"/>
          <w:highlight w:val="none"/>
          <w:lang w:val="en-US" w:eastAsia="zh-CN"/>
          <w14:textFill>
            <w14:solidFill>
              <w14:schemeClr w14:val="tx1"/>
            </w14:solidFill>
          </w14:textFill>
        </w:rPr>
        <w:t>覃旭理、王玉娇</w:t>
      </w:r>
      <w:r>
        <w:rPr>
          <w:rFonts w:hint="eastAsia" w:ascii="宋体" w:hAnsi="宋体" w:eastAsia="宋体" w:cs="宋体"/>
          <w:color w:val="000000" w:themeColor="text1"/>
          <w:sz w:val="21"/>
          <w:szCs w:val="21"/>
          <w:highlight w:val="none"/>
          <w:lang w:eastAsia="zh-CN"/>
          <w14:textFill>
            <w14:solidFill>
              <w14:schemeClr w14:val="tx1"/>
            </w14:solidFill>
          </w14:textFill>
        </w:rPr>
        <w:t xml:space="preserve">   </w:t>
      </w:r>
    </w:p>
    <w:p>
      <w:pPr>
        <w:keepNext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联系电话：0771-2865989</w:t>
      </w:r>
    </w:p>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广西正海招标有限公司</w:t>
      </w:r>
    </w:p>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202</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lang w:val="en-US" w:eastAsia="zh-CN"/>
          <w14:textFill>
            <w14:solidFill>
              <w14:schemeClr w14:val="tx1"/>
            </w14:solidFill>
          </w14:textFill>
        </w:rPr>
        <w:t>年</w:t>
      </w: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val="en-US" w:eastAsia="zh-CN"/>
          <w14:textFill>
            <w14:solidFill>
              <w14:schemeClr w14:val="tx1"/>
            </w14:solidFill>
          </w14:textFill>
        </w:rPr>
        <w:t>月</w:t>
      </w:r>
      <w:r>
        <w:rPr>
          <w:rFonts w:hint="eastAsia" w:ascii="宋体" w:hAnsi="宋体" w:cs="宋体"/>
          <w:color w:val="000000" w:themeColor="text1"/>
          <w:sz w:val="21"/>
          <w:szCs w:val="21"/>
          <w:highlight w:val="none"/>
          <w:lang w:val="en-US" w:eastAsia="zh-CN"/>
          <w14:textFill>
            <w14:solidFill>
              <w14:schemeClr w14:val="tx1"/>
            </w14:solidFill>
          </w14:textFill>
        </w:rPr>
        <w:t>16</w:t>
      </w:r>
      <w:r>
        <w:rPr>
          <w:rFonts w:hint="eastAsia" w:ascii="宋体" w:hAnsi="宋体" w:eastAsia="宋体" w:cs="宋体"/>
          <w:color w:val="000000" w:themeColor="text1"/>
          <w:sz w:val="21"/>
          <w:szCs w:val="21"/>
          <w:highlight w:val="none"/>
          <w:lang w:val="en-US" w:eastAsia="zh-CN"/>
          <w14:textFill>
            <w14:solidFill>
              <w14:schemeClr w14:val="tx1"/>
            </w14:solidFill>
          </w14:textFill>
        </w:rPr>
        <w:t>日</w:t>
      </w:r>
    </w:p>
    <w:p>
      <w:pPr>
        <w:spacing w:line="360" w:lineRule="auto"/>
        <w:ind w:firstLine="880" w:firstLineChars="200"/>
        <w:rPr>
          <w:color w:val="000000" w:themeColor="text1"/>
          <w:highlight w:val="none"/>
          <w14:textFill>
            <w14:solidFill>
              <w14:schemeClr w14:val="tx1"/>
            </w14:solidFill>
          </w14:textFill>
        </w:rPr>
      </w:pPr>
      <w:r>
        <w:rPr>
          <w:rFonts w:ascii="方正小标宋简体" w:hAnsi="方正小标宋简体" w:eastAsia="方正小标宋简体" w:cs="方正小标宋简体"/>
          <w:bCs/>
          <w:color w:val="000000" w:themeColor="text1"/>
          <w:sz w:val="44"/>
          <w:szCs w:val="44"/>
          <w:highlight w:val="none"/>
          <w14:textFill>
            <w14:solidFill>
              <w14:schemeClr w14:val="tx1"/>
            </w14:solidFill>
          </w14:textFill>
        </w:rPr>
        <w:br w:type="page"/>
      </w:r>
    </w:p>
    <w:p>
      <w:pPr>
        <w:pStyle w:val="2"/>
        <w:jc w:val="center"/>
        <w:rPr>
          <w:color w:val="000000" w:themeColor="text1"/>
          <w:highlight w:val="none"/>
          <w14:textFill>
            <w14:solidFill>
              <w14:schemeClr w14:val="tx1"/>
            </w14:solidFill>
          </w14:textFill>
        </w:rPr>
      </w:pPr>
      <w:bookmarkStart w:id="57" w:name="_Toc129703549"/>
      <w:r>
        <w:rPr>
          <w:rFonts w:hint="eastAsia"/>
          <w:color w:val="000000" w:themeColor="text1"/>
          <w:highlight w:val="none"/>
          <w14:textFill>
            <w14:solidFill>
              <w14:schemeClr w14:val="tx1"/>
            </w14:solidFill>
          </w14:textFill>
        </w:rPr>
        <w:t>第二章 供应商须知</w:t>
      </w:r>
      <w:bookmarkEnd w:id="57"/>
    </w:p>
    <w:p>
      <w:pPr>
        <w:spacing w:line="400" w:lineRule="exact"/>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供应商须知前附表</w:t>
      </w:r>
    </w:p>
    <w:p>
      <w:pPr>
        <w:spacing w:line="400" w:lineRule="exact"/>
        <w:jc w:val="center"/>
        <w:rPr>
          <w:rFonts w:ascii="宋体" w:hAnsi="宋体"/>
          <w:b/>
          <w:color w:val="000000" w:themeColor="text1"/>
          <w:sz w:val="32"/>
          <w:szCs w:val="32"/>
          <w:highlight w:val="none"/>
          <w14:textFill>
            <w14:solidFill>
              <w14:schemeClr w14:val="tx1"/>
            </w14:solidFill>
          </w14:textFill>
        </w:rPr>
      </w:pPr>
    </w:p>
    <w:tbl>
      <w:tblPr>
        <w:tblStyle w:val="28"/>
        <w:tblW w:w="89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pPr>
              <w:keepNext w:val="0"/>
              <w:keepLines w:val="0"/>
              <w:pageBreakBefore w:val="0"/>
              <w:widowControl w:val="0"/>
              <w:kinsoku/>
              <w:wordWrap/>
              <w:overflowPunct/>
              <w:topLinePunct w:val="0"/>
              <w:bidi w:val="0"/>
              <w:adjustRightInd/>
              <w:spacing w:line="440" w:lineRule="exact"/>
              <w:ind w:left="0"/>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w:t>
            </w:r>
          </w:p>
        </w:tc>
        <w:tc>
          <w:tcPr>
            <w:tcW w:w="7912" w:type="dxa"/>
          </w:tcPr>
          <w:p>
            <w:pPr>
              <w:keepNext w:val="0"/>
              <w:keepLines w:val="0"/>
              <w:pageBreakBefore w:val="0"/>
              <w:widowControl w:val="0"/>
              <w:kinsoku/>
              <w:wordWrap/>
              <w:overflowPunct/>
              <w:topLinePunct w:val="0"/>
              <w:bidi w:val="0"/>
              <w:adjustRightInd/>
              <w:spacing w:line="440" w:lineRule="exact"/>
              <w:ind w:left="0"/>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keepNext w:val="0"/>
              <w:keepLines w:val="0"/>
              <w:pageBreakBefore w:val="0"/>
              <w:widowControl w:val="0"/>
              <w:kinsoku/>
              <w:wordWrap/>
              <w:overflowPunct/>
              <w:topLinePunct w:val="0"/>
              <w:bidi w:val="0"/>
              <w:adjustRightInd/>
              <w:spacing w:line="440" w:lineRule="exact"/>
              <w:ind w:left="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7912" w:type="dxa"/>
            <w:vAlign w:val="center"/>
          </w:tcPr>
          <w:p>
            <w:pPr>
              <w:keepNext w:val="0"/>
              <w:keepLines w:val="0"/>
              <w:pageBreakBefore w:val="0"/>
              <w:widowControl w:val="0"/>
              <w:kinsoku/>
              <w:wordWrap/>
              <w:overflowPunct/>
              <w:topLinePunct w:val="0"/>
              <w:bidi w:val="0"/>
              <w:adjustRightInd/>
              <w:spacing w:line="440" w:lineRule="exact"/>
              <w:ind w:left="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1.供应商的资格条件：详见竞争性谈判公告或者竞标邀请函</w:t>
            </w:r>
          </w:p>
          <w:p>
            <w:pPr>
              <w:keepNext w:val="0"/>
              <w:keepLines w:val="0"/>
              <w:pageBreakBefore w:val="0"/>
              <w:widowControl w:val="0"/>
              <w:kinsoku/>
              <w:wordWrap/>
              <w:overflowPunct/>
              <w:topLinePunct w:val="0"/>
              <w:bidi w:val="0"/>
              <w:adjustRightInd/>
              <w:spacing w:line="440" w:lineRule="exact"/>
              <w:ind w:left="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hint="eastAsia" w:ascii="宋体" w:hAnsi="宋体" w:cs="宋体"/>
                <w:bCs/>
                <w:color w:val="000000" w:themeColor="text1"/>
                <w:szCs w:val="21"/>
                <w:highlight w:val="none"/>
                <w14:textFill>
                  <w14:solidFill>
                    <w14:schemeClr w14:val="tx1"/>
                  </w14:solidFill>
                </w14:textFill>
              </w:rPr>
              <w:t>供应商</w:t>
            </w:r>
            <w:r>
              <w:rPr>
                <w:rFonts w:hint="eastAsia" w:ascii="宋体" w:hAnsi="宋体" w:cs="宋体"/>
                <w:color w:val="000000" w:themeColor="text1"/>
                <w:szCs w:val="21"/>
                <w:highlight w:val="none"/>
                <w14:textFill>
                  <w14:solidFill>
                    <w14:schemeClr w14:val="tx1"/>
                  </w14:solidFill>
                </w14:textFill>
              </w:rPr>
              <w:t>出现下列情形之一的，不得参加政府采购活动：</w:t>
            </w:r>
          </w:p>
          <w:p>
            <w:pPr>
              <w:keepNext w:val="0"/>
              <w:keepLines w:val="0"/>
              <w:pageBreakBefore w:val="0"/>
              <w:widowControl w:val="0"/>
              <w:kinsoku/>
              <w:wordWrap/>
              <w:overflowPunct/>
              <w:topLinePunct w:val="0"/>
              <w:bidi w:val="0"/>
              <w:adjustRightInd/>
              <w:spacing w:line="440" w:lineRule="exact"/>
              <w:ind w:left="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keepNext w:val="0"/>
              <w:keepLines w:val="0"/>
              <w:pageBreakBefore w:val="0"/>
              <w:widowControl w:val="0"/>
              <w:kinsoku/>
              <w:wordWrap/>
              <w:overflowPunct/>
              <w:topLinePunct w:val="0"/>
              <w:bidi w:val="0"/>
              <w:adjustRightInd/>
              <w:spacing w:line="440" w:lineRule="exact"/>
              <w:ind w:left="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keepNext w:val="0"/>
              <w:keepLines w:val="0"/>
              <w:pageBreakBefore w:val="0"/>
              <w:widowControl w:val="0"/>
              <w:kinsoku/>
              <w:wordWrap/>
              <w:overflowPunct/>
              <w:topLinePunct w:val="0"/>
              <w:bidi w:val="0"/>
              <w:adjustRightInd/>
              <w:spacing w:line="440" w:lineRule="exact"/>
              <w:ind w:left="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5.1</w:t>
            </w:r>
          </w:p>
        </w:tc>
        <w:tc>
          <w:tcPr>
            <w:tcW w:w="7912" w:type="dxa"/>
            <w:vAlign w:val="center"/>
          </w:tcPr>
          <w:p>
            <w:pPr>
              <w:keepNext w:val="0"/>
              <w:keepLines w:val="0"/>
              <w:pageBreakBefore w:val="0"/>
              <w:widowControl w:val="0"/>
              <w:kinsoku/>
              <w:wordWrap/>
              <w:overflowPunct/>
              <w:topLinePunct w:val="0"/>
              <w:bidi w:val="0"/>
              <w:adjustRightInd/>
              <w:spacing w:line="440" w:lineRule="exact"/>
              <w:ind w:left="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是否接受联合体竞标: 详见竞争性谈判公告或者竞标邀请函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keepNext w:val="0"/>
              <w:keepLines w:val="0"/>
              <w:pageBreakBefore w:val="0"/>
              <w:widowControl w:val="0"/>
              <w:kinsoku/>
              <w:wordWrap/>
              <w:overflowPunct/>
              <w:topLinePunct w:val="0"/>
              <w:bidi w:val="0"/>
              <w:adjustRightInd/>
              <w:spacing w:line="440" w:lineRule="exact"/>
              <w:ind w:left="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r>
              <w:rPr>
                <w:rFonts w:ascii="宋体" w:hAnsi="宋体" w:cs="宋体"/>
                <w:color w:val="000000" w:themeColor="text1"/>
                <w:szCs w:val="21"/>
                <w:highlight w:val="none"/>
                <w14:textFill>
                  <w14:solidFill>
                    <w14:schemeClr w14:val="tx1"/>
                  </w14:solidFill>
                </w14:textFill>
              </w:rPr>
              <w:t>.2</w:t>
            </w:r>
          </w:p>
        </w:tc>
        <w:tc>
          <w:tcPr>
            <w:tcW w:w="7912" w:type="dxa"/>
            <w:vAlign w:val="center"/>
          </w:tcPr>
          <w:p>
            <w:pPr>
              <w:keepNext w:val="0"/>
              <w:keepLines w:val="0"/>
              <w:pageBreakBefore w:val="0"/>
              <w:widowControl w:val="0"/>
              <w:kinsoku/>
              <w:wordWrap/>
              <w:overflowPunct/>
              <w:topLinePunct w:val="0"/>
              <w:bidi w:val="0"/>
              <w:adjustRightInd/>
              <w:spacing w:line="440" w:lineRule="exact"/>
              <w:ind w:left="0"/>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如接受联合体竞标，联合体竞标要求如下：</w:t>
            </w:r>
          </w:p>
          <w:p>
            <w:pPr>
              <w:keepNext w:val="0"/>
              <w:keepLines w:val="0"/>
              <w:pageBreakBefore w:val="0"/>
              <w:widowControl w:val="0"/>
              <w:kinsoku/>
              <w:wordWrap/>
              <w:overflowPunct/>
              <w:topLinePunct w:val="0"/>
              <w:bidi w:val="0"/>
              <w:adjustRightInd/>
              <w:spacing w:line="440" w:lineRule="exact"/>
              <w:ind w:left="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两个以上供应商可以组成一个竞标联合体，以一个供应商的身份共同参加竞标。联合体竞标的，须提供《联合体竞标协议书》（格式后附）。</w:t>
            </w:r>
          </w:p>
          <w:p>
            <w:pPr>
              <w:keepNext w:val="0"/>
              <w:keepLines w:val="0"/>
              <w:pageBreakBefore w:val="0"/>
              <w:widowControl w:val="0"/>
              <w:kinsoku/>
              <w:wordWrap/>
              <w:overflowPunct/>
              <w:topLinePunct w:val="0"/>
              <w:bidi w:val="0"/>
              <w:adjustRightInd/>
              <w:spacing w:line="440" w:lineRule="exact"/>
              <w:ind w:left="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以联合体形式参加竞标的，联合体各方均须具备《中华人民共和国政府采购法》第二十二条第一款规定的基本条件（涉及行政许可范围的内容，联合体各方均应具备相应资质）。本项目有特殊要求规定供应商特定条件的，联合体各方中至少有一方必须符合谈判文件规定的特定条件。</w:t>
            </w:r>
          </w:p>
          <w:p>
            <w:pPr>
              <w:keepNext w:val="0"/>
              <w:keepLines w:val="0"/>
              <w:pageBreakBefore w:val="0"/>
              <w:widowControl w:val="0"/>
              <w:kinsoku/>
              <w:wordWrap/>
              <w:overflowPunct/>
              <w:topLinePunct w:val="0"/>
              <w:bidi w:val="0"/>
              <w:adjustRightInd/>
              <w:spacing w:line="440" w:lineRule="exact"/>
              <w:ind w:left="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联合体各方之间必须签订联合竞标协议，协议书必须明确主体方（或者牵头方）并明确约定联合体各方承担的工作和相应的责任（各方承担责任与义务的分工必须符合采购需求，否则，联合体竞标无效），并将联合竞标协议连同响应文件一并提交采购代理机构。联合体各方必须共同与采购人签订采购合同，就采购合同约定的事项对采购人承担连带责任。</w:t>
            </w:r>
          </w:p>
          <w:p>
            <w:pPr>
              <w:keepNext w:val="0"/>
              <w:keepLines w:val="0"/>
              <w:pageBreakBefore w:val="0"/>
              <w:widowControl w:val="0"/>
              <w:kinsoku/>
              <w:wordWrap/>
              <w:overflowPunct/>
              <w:topLinePunct w:val="0"/>
              <w:bidi w:val="0"/>
              <w:adjustRightInd/>
              <w:spacing w:line="440" w:lineRule="exact"/>
              <w:ind w:left="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以联合体形式参加政府采购活动的，联合体各方不得再单独参加或者与其他供应商另外组成联合体参加同一合同项下的政府采购活动。</w:t>
            </w:r>
          </w:p>
          <w:p>
            <w:pPr>
              <w:keepNext w:val="0"/>
              <w:keepLines w:val="0"/>
              <w:pageBreakBefore w:val="0"/>
              <w:widowControl w:val="0"/>
              <w:kinsoku/>
              <w:wordWrap/>
              <w:overflowPunct/>
              <w:topLinePunct w:val="0"/>
              <w:bidi w:val="0"/>
              <w:adjustRightInd/>
              <w:spacing w:line="440" w:lineRule="exact"/>
              <w:ind w:left="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联合体中有同类资质的供应商按照联合体分工承担相同工作的，应当按照资质等级较低的供应商确定资质等级。</w:t>
            </w:r>
          </w:p>
          <w:p>
            <w:pPr>
              <w:keepNext w:val="0"/>
              <w:keepLines w:val="0"/>
              <w:pageBreakBefore w:val="0"/>
              <w:widowControl w:val="0"/>
              <w:kinsoku/>
              <w:wordWrap/>
              <w:overflowPunct/>
              <w:topLinePunct w:val="0"/>
              <w:bidi w:val="0"/>
              <w:adjustRightInd/>
              <w:spacing w:line="440" w:lineRule="exact"/>
              <w:ind w:left="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w:t>
            </w: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联合体竞标业绩、履约能力按照联合体各方中较高的一方认定并计算。</w:t>
            </w:r>
          </w:p>
          <w:p>
            <w:pPr>
              <w:keepNext w:val="0"/>
              <w:keepLines w:val="0"/>
              <w:pageBreakBefore w:val="0"/>
              <w:widowControl w:val="0"/>
              <w:kinsoku/>
              <w:wordWrap/>
              <w:overflowPunct/>
              <w:topLinePunct w:val="0"/>
              <w:bidi w:val="0"/>
              <w:adjustRightInd/>
              <w:spacing w:line="440" w:lineRule="exact"/>
              <w:ind w:left="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供应商为联合体的，可以由联合体中的一方或者多方共同交纳保证金，其交纳的保证金对联合体各方均具有约束力。</w:t>
            </w:r>
          </w:p>
          <w:p>
            <w:pPr>
              <w:keepNext w:val="0"/>
              <w:keepLines w:val="0"/>
              <w:pageBreakBefore w:val="0"/>
              <w:widowControl w:val="0"/>
              <w:kinsoku/>
              <w:wordWrap/>
              <w:overflowPunct/>
              <w:topLinePunct w:val="0"/>
              <w:bidi w:val="0"/>
              <w:adjustRightInd/>
              <w:spacing w:line="440" w:lineRule="exact"/>
              <w:ind w:left="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w:t>
            </w: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联合体各方均应按照谈判文件的规定分别提交资格证明文件。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keepNext w:val="0"/>
              <w:keepLines w:val="0"/>
              <w:pageBreakBefore w:val="0"/>
              <w:widowControl w:val="0"/>
              <w:kinsoku/>
              <w:wordWrap/>
              <w:overflowPunct/>
              <w:topLinePunct w:val="0"/>
              <w:bidi w:val="0"/>
              <w:adjustRightInd/>
              <w:spacing w:line="440" w:lineRule="exact"/>
              <w:ind w:left="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6.2</w:t>
            </w:r>
          </w:p>
        </w:tc>
        <w:tc>
          <w:tcPr>
            <w:tcW w:w="7912" w:type="dxa"/>
            <w:vAlign w:val="center"/>
          </w:tcPr>
          <w:p>
            <w:pPr>
              <w:pStyle w:val="9"/>
              <w:keepNext w:val="0"/>
              <w:keepLines w:val="0"/>
              <w:pageBreakBefore w:val="0"/>
              <w:widowControl w:val="0"/>
              <w:kinsoku/>
              <w:wordWrap/>
              <w:overflowPunct/>
              <w:topLinePunct w:val="0"/>
              <w:bidi w:val="0"/>
              <w:adjustRightInd/>
              <w:spacing w:line="440" w:lineRule="exact"/>
              <w:ind w:left="0"/>
              <w:rPr>
                <w:color w:val="000000" w:themeColor="text1"/>
                <w:highlight w:val="none"/>
                <w14:textFill>
                  <w14:solidFill>
                    <w14:schemeClr w14:val="tx1"/>
                  </w14:solidFill>
                </w14:textFill>
              </w:rPr>
            </w:pPr>
            <w:r>
              <w:rPr>
                <w:rFonts w:hint="eastAsia" w:ascii="MS Mincho" w:hAnsi="MS Mincho" w:eastAsia="MS Mincho" w:cs="MS Mincho"/>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不允许分包</w:t>
            </w:r>
          </w:p>
          <w:p>
            <w:pPr>
              <w:pStyle w:val="9"/>
              <w:keepNext w:val="0"/>
              <w:keepLines w:val="0"/>
              <w:pageBreakBefore w:val="0"/>
              <w:widowControl w:val="0"/>
              <w:kinsoku/>
              <w:wordWrap/>
              <w:overflowPunct/>
              <w:topLinePunct w:val="0"/>
              <w:bidi w:val="0"/>
              <w:adjustRightInd/>
              <w:spacing w:line="440" w:lineRule="exact"/>
              <w:ind w:left="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□允许分包</w:t>
            </w:r>
          </w:p>
          <w:p>
            <w:pPr>
              <w:pStyle w:val="9"/>
              <w:keepNext w:val="0"/>
              <w:keepLines w:val="0"/>
              <w:pageBreakBefore w:val="0"/>
              <w:widowControl w:val="0"/>
              <w:kinsoku/>
              <w:wordWrap/>
              <w:overflowPunct/>
              <w:topLinePunct w:val="0"/>
              <w:bidi w:val="0"/>
              <w:adjustRightInd/>
              <w:spacing w:line="440" w:lineRule="exact"/>
              <w:ind w:left="0"/>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分包内容：</w:t>
            </w:r>
            <w:r>
              <w:rPr>
                <w:rFonts w:hint="eastAsia"/>
                <w:color w:val="000000" w:themeColor="text1"/>
                <w:highlight w:val="none"/>
                <w:u w:val="single"/>
                <w14:textFill>
                  <w14:solidFill>
                    <w14:schemeClr w14:val="tx1"/>
                  </w14:solidFill>
                </w14:textFill>
              </w:rPr>
              <w:t xml:space="preserve">                                     。</w:t>
            </w:r>
          </w:p>
          <w:p>
            <w:pPr>
              <w:pStyle w:val="9"/>
              <w:keepNext w:val="0"/>
              <w:keepLines w:val="0"/>
              <w:pageBreakBefore w:val="0"/>
              <w:widowControl w:val="0"/>
              <w:kinsoku/>
              <w:wordWrap/>
              <w:overflowPunct/>
              <w:topLinePunct w:val="0"/>
              <w:bidi w:val="0"/>
              <w:adjustRightInd/>
              <w:spacing w:line="440" w:lineRule="exact"/>
              <w:ind w:left="0"/>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分包金额或者比例：</w:t>
            </w:r>
            <w:r>
              <w:rPr>
                <w:rFonts w:hint="eastAsia"/>
                <w:color w:val="000000" w:themeColor="text1"/>
                <w:highlight w:val="none"/>
                <w:u w:val="single"/>
                <w14:textFill>
                  <w14:solidFill>
                    <w14:schemeClr w14:val="tx1"/>
                  </w14:solidFill>
                </w14:textFill>
              </w:rPr>
              <w:t xml:space="preserve">                                     。</w:t>
            </w:r>
          </w:p>
          <w:p>
            <w:pPr>
              <w:pStyle w:val="9"/>
              <w:keepNext w:val="0"/>
              <w:keepLines w:val="0"/>
              <w:pageBreakBefore w:val="0"/>
              <w:widowControl w:val="0"/>
              <w:kinsoku/>
              <w:wordWrap/>
              <w:overflowPunct/>
              <w:topLinePunct w:val="0"/>
              <w:bidi w:val="0"/>
              <w:adjustRightInd/>
              <w:spacing w:line="440" w:lineRule="exact"/>
              <w:ind w:left="0"/>
              <w:rPr>
                <w:color w:val="000000" w:themeColor="text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分包供应商必须具备的资质：</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keepNext w:val="0"/>
              <w:keepLines w:val="0"/>
              <w:pageBreakBefore w:val="0"/>
              <w:widowControl w:val="0"/>
              <w:kinsoku/>
              <w:wordWrap/>
              <w:overflowPunct/>
              <w:topLinePunct w:val="0"/>
              <w:bidi w:val="0"/>
              <w:adjustRightInd/>
              <w:spacing w:line="440" w:lineRule="exact"/>
              <w:ind w:left="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7.1</w:t>
            </w:r>
          </w:p>
        </w:tc>
        <w:tc>
          <w:tcPr>
            <w:tcW w:w="7912" w:type="dxa"/>
            <w:vAlign w:val="center"/>
          </w:tcPr>
          <w:p>
            <w:pPr>
              <w:keepNext w:val="0"/>
              <w:keepLines w:val="0"/>
              <w:pageBreakBefore w:val="0"/>
              <w:widowControl w:val="0"/>
              <w:kinsoku/>
              <w:wordWrap/>
              <w:overflowPunct/>
              <w:topLinePunct w:val="0"/>
              <w:autoSpaceDE w:val="0"/>
              <w:autoSpaceDN w:val="0"/>
              <w:bidi w:val="0"/>
              <w:adjustRightInd/>
              <w:snapToGrid w:val="0"/>
              <w:spacing w:line="440" w:lineRule="exact"/>
              <w:ind w:left="0"/>
              <w:textAlignment w:val="bottom"/>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提供相同品牌产品（非单一产品采购项目的，指核心产品）的不同供应商最后报价相同时，按照下列方式确定一个供应商获得成交人推荐资格：</w:t>
            </w:r>
          </w:p>
          <w:p>
            <w:pPr>
              <w:keepNext w:val="0"/>
              <w:keepLines w:val="0"/>
              <w:pageBreakBefore w:val="0"/>
              <w:widowControl w:val="0"/>
              <w:kinsoku/>
              <w:wordWrap/>
              <w:overflowPunct/>
              <w:topLinePunct w:val="0"/>
              <w:autoSpaceDE w:val="0"/>
              <w:autoSpaceDN w:val="0"/>
              <w:bidi w:val="0"/>
              <w:adjustRightInd/>
              <w:snapToGrid w:val="0"/>
              <w:spacing w:line="440" w:lineRule="exact"/>
              <w:ind w:left="0"/>
              <w:textAlignment w:val="bottom"/>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随机抽取；</w:t>
            </w:r>
          </w:p>
          <w:p>
            <w:pPr>
              <w:pStyle w:val="9"/>
              <w:keepNext w:val="0"/>
              <w:keepLines w:val="0"/>
              <w:pageBreakBefore w:val="0"/>
              <w:widowControl w:val="0"/>
              <w:kinsoku/>
              <w:wordWrap/>
              <w:overflowPunct/>
              <w:topLinePunct w:val="0"/>
              <w:bidi w:val="0"/>
              <w:adjustRightInd/>
              <w:spacing w:line="440" w:lineRule="exact"/>
              <w:ind w:left="0"/>
              <w:rPr>
                <w:rFonts w:ascii="宋体" w:hAnsi="宋体"/>
                <w:color w:val="000000" w:themeColor="text1"/>
                <w:szCs w:val="21"/>
                <w:highlight w:val="none"/>
                <w14:textFill>
                  <w14:solidFill>
                    <w14:schemeClr w14:val="tx1"/>
                  </w14:solidFill>
                </w14:textFill>
              </w:rPr>
            </w:pPr>
            <w:r>
              <w:rPr>
                <w:rFonts w:hint="eastAsia" w:ascii="MS Mincho" w:hAnsi="MS Mincho" w:cs="MS Mincho"/>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由采购人自主选择确定一家供应商参加评审，其他竞标无效。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keepNext w:val="0"/>
              <w:keepLines w:val="0"/>
              <w:pageBreakBefore w:val="0"/>
              <w:widowControl w:val="0"/>
              <w:kinsoku/>
              <w:wordWrap/>
              <w:overflowPunct/>
              <w:topLinePunct w:val="0"/>
              <w:bidi w:val="0"/>
              <w:adjustRightInd/>
              <w:spacing w:line="440" w:lineRule="exact"/>
              <w:ind w:left="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12.1</w:t>
            </w:r>
            <w:r>
              <w:rPr>
                <w:rFonts w:ascii="宋体" w:hAnsi="宋体" w:cs="宋体"/>
                <w:color w:val="000000" w:themeColor="text1"/>
                <w:szCs w:val="21"/>
                <w:highlight w:val="none"/>
                <w14:textFill>
                  <w14:solidFill>
                    <w14:schemeClr w14:val="tx1"/>
                  </w14:solidFill>
                </w14:textFill>
              </w:rPr>
              <w:t>.1</w:t>
            </w:r>
          </w:p>
        </w:tc>
        <w:tc>
          <w:tcPr>
            <w:tcW w:w="7912" w:type="dxa"/>
            <w:vAlign w:val="center"/>
          </w:tcPr>
          <w:p>
            <w:pPr>
              <w:keepNext w:val="0"/>
              <w:keepLines w:val="0"/>
              <w:pageBreakBefore w:val="0"/>
              <w:widowControl w:val="0"/>
              <w:kinsoku/>
              <w:wordWrap/>
              <w:overflowPunct/>
              <w:topLinePunct w:val="0"/>
              <w:bidi w:val="0"/>
              <w:adjustRightInd/>
              <w:snapToGrid w:val="0"/>
              <w:spacing w:line="440" w:lineRule="exact"/>
              <w:ind w:left="0"/>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资格证明文件</w:t>
            </w:r>
          </w:p>
          <w:p>
            <w:pPr>
              <w:keepNext w:val="0"/>
              <w:keepLines w:val="0"/>
              <w:pageBreakBefore w:val="0"/>
              <w:widowControl w:val="0"/>
              <w:kinsoku/>
              <w:wordWrap/>
              <w:overflowPunct/>
              <w:topLinePunct w:val="0"/>
              <w:bidi w:val="0"/>
              <w:adjustRightInd/>
              <w:snapToGrid w:val="0"/>
              <w:spacing w:line="440" w:lineRule="exact"/>
              <w:ind w:left="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1.供应商为法人或者其他组织的提供其营业执照等证明文件（如营业执照或者事业单位法人证书或者执业许可证或者登记证书等），供应商为自然人的提供其身份证复印件；（</w:t>
            </w:r>
            <w:r>
              <w:rPr>
                <w:rFonts w:hint="eastAsia" w:ascii="宋体" w:hAnsi="宋体" w:cs="宋体"/>
                <w:b/>
                <w:color w:val="000000" w:themeColor="text1"/>
                <w:szCs w:val="21"/>
                <w:highlight w:val="none"/>
                <w14:textFill>
                  <w14:solidFill>
                    <w14:schemeClr w14:val="tx1"/>
                  </w14:solidFill>
                </w14:textFill>
              </w:rPr>
              <w:t>必须提供，否则响应文件按无效响应处理</w:t>
            </w:r>
            <w:r>
              <w:rPr>
                <w:rFonts w:hint="eastAsia" w:ascii="宋体" w:hAnsi="宋体" w:cs="宋体"/>
                <w:color w:val="000000" w:themeColor="text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snapToGrid w:val="0"/>
              <w:spacing w:line="440" w:lineRule="exact"/>
              <w:ind w:left="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供应商依法缴纳税收的相关材料（</w:t>
            </w:r>
            <w:r>
              <w:rPr>
                <w:rFonts w:hint="eastAsia" w:ascii="宋体" w:hAnsi="宋体" w:cs="宋体"/>
                <w:color w:val="000000" w:themeColor="text1"/>
                <w:szCs w:val="21"/>
                <w:highlight w:val="none"/>
                <w:u w:val="single"/>
                <w14:textFill>
                  <w14:solidFill>
                    <w14:schemeClr w14:val="tx1"/>
                  </w14:solidFill>
                </w14:textFill>
              </w:rPr>
              <w:t>20</w:t>
            </w:r>
            <w:r>
              <w:rPr>
                <w:rFonts w:hint="eastAsia" w:ascii="宋体" w:hAnsi="宋体" w:cs="宋体"/>
                <w:color w:val="000000" w:themeColor="text1"/>
                <w:szCs w:val="21"/>
                <w:highlight w:val="none"/>
                <w:u w:val="single"/>
                <w:lang w:val="en-US" w:eastAsia="zh-CN"/>
                <w14:textFill>
                  <w14:solidFill>
                    <w14:schemeClr w14:val="tx1"/>
                  </w14:solidFill>
                </w14:textFill>
              </w:rPr>
              <w:t>24</w:t>
            </w:r>
            <w:r>
              <w:rPr>
                <w:rFonts w:hint="eastAsia" w:ascii="宋体" w:hAnsi="宋体" w:cs="宋体"/>
                <w:color w:val="000000" w:themeColor="text1"/>
                <w:szCs w:val="21"/>
                <w:highlight w:val="none"/>
                <w:u w:val="single"/>
                <w14:textFill>
                  <w14:solidFill>
                    <w14:schemeClr w14:val="tx1"/>
                  </w14:solidFill>
                </w14:textFill>
              </w:rPr>
              <w:t>年</w:t>
            </w:r>
            <w:r>
              <w:rPr>
                <w:rFonts w:hint="eastAsia" w:ascii="宋体" w:hAnsi="宋体" w:cs="宋体"/>
                <w:color w:val="000000" w:themeColor="text1"/>
                <w:szCs w:val="21"/>
                <w:highlight w:val="none"/>
                <w:u w:val="single"/>
                <w:lang w:val="en-US" w:eastAsia="zh-CN"/>
                <w14:textFill>
                  <w14:solidFill>
                    <w14:schemeClr w14:val="tx1"/>
                  </w14:solidFill>
                </w14:textFill>
              </w:rPr>
              <w:t>11</w:t>
            </w:r>
            <w:r>
              <w:rPr>
                <w:rFonts w:hint="eastAsia" w:ascii="宋体" w:hAnsi="宋体" w:cs="宋体"/>
                <w:color w:val="000000" w:themeColor="text1"/>
                <w:szCs w:val="21"/>
                <w:highlight w:val="none"/>
                <w:u w:val="single"/>
                <w14:textFill>
                  <w14:solidFill>
                    <w14:schemeClr w14:val="tx1"/>
                  </w14:solidFill>
                </w14:textFill>
              </w:rPr>
              <w:t>月至202</w:t>
            </w:r>
            <w:r>
              <w:rPr>
                <w:rFonts w:hint="eastAsia" w:ascii="宋体" w:hAnsi="宋体" w:cs="宋体"/>
                <w:color w:val="000000" w:themeColor="text1"/>
                <w:szCs w:val="21"/>
                <w:highlight w:val="none"/>
                <w:u w:val="single"/>
                <w:lang w:val="en-US" w:eastAsia="zh-CN"/>
                <w14:textFill>
                  <w14:solidFill>
                    <w14:schemeClr w14:val="tx1"/>
                  </w14:solidFill>
                </w14:textFill>
              </w:rPr>
              <w:t>5</w:t>
            </w:r>
            <w:r>
              <w:rPr>
                <w:rFonts w:hint="eastAsia" w:ascii="宋体" w:hAnsi="宋体" w:cs="宋体"/>
                <w:color w:val="000000" w:themeColor="text1"/>
                <w:szCs w:val="21"/>
                <w:highlight w:val="none"/>
                <w:u w:val="single"/>
                <w14:textFill>
                  <w14:solidFill>
                    <w14:schemeClr w14:val="tx1"/>
                  </w14:solidFill>
                </w14:textFill>
              </w:rPr>
              <w:t>年</w:t>
            </w:r>
            <w:r>
              <w:rPr>
                <w:rFonts w:hint="eastAsia" w:ascii="宋体" w:hAnsi="宋体" w:cs="宋体"/>
                <w:color w:val="000000" w:themeColor="text1"/>
                <w:szCs w:val="21"/>
                <w:highlight w:val="none"/>
                <w:u w:val="single"/>
                <w:lang w:val="en-US" w:eastAsia="zh-CN"/>
                <w14:textFill>
                  <w14:solidFill>
                    <w14:schemeClr w14:val="tx1"/>
                  </w14:solidFill>
                </w14:textFill>
              </w:rPr>
              <w:t>4</w:t>
            </w:r>
            <w:r>
              <w:rPr>
                <w:rFonts w:hint="eastAsia" w:ascii="宋体" w:hAnsi="宋体" w:cs="宋体"/>
                <w:color w:val="000000" w:themeColor="text1"/>
                <w:szCs w:val="21"/>
                <w:highlight w:val="none"/>
                <w:u w:val="single"/>
                <w14:textFill>
                  <w14:solidFill>
                    <w14:schemeClr w14:val="tx1"/>
                  </w14:solidFill>
                </w14:textFill>
              </w:rPr>
              <w:t>月任意1个</w:t>
            </w:r>
            <w:r>
              <w:rPr>
                <w:rFonts w:hint="eastAsia" w:ascii="宋体" w:hAnsi="宋体" w:cs="宋体"/>
                <w:color w:val="000000" w:themeColor="text1"/>
                <w:szCs w:val="21"/>
                <w:highlight w:val="none"/>
                <w14:textFill>
                  <w14:solidFill>
                    <w14:schemeClr w14:val="tx1"/>
                  </w14:solidFill>
                </w14:textFill>
              </w:rPr>
              <w:t>月的依法缴纳税收的凭据复印件；依法免税的，必须提供相应文件证明其依法免税。从成立之日起到响应文件提交截止时间止不足要求月数的，只需提供从成立之日起的依法缴纳税收相应证明文件）；</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必须提供，否则响应文件按无效响应处理</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w:t>
            </w:r>
          </w:p>
          <w:p>
            <w:pPr>
              <w:keepNext w:val="0"/>
              <w:keepLines w:val="0"/>
              <w:pageBreakBefore w:val="0"/>
              <w:widowControl w:val="0"/>
              <w:tabs>
                <w:tab w:val="left" w:pos="525"/>
              </w:tabs>
              <w:kinsoku/>
              <w:wordWrap/>
              <w:overflowPunct/>
              <w:topLinePunct w:val="0"/>
              <w:bidi w:val="0"/>
              <w:adjustRightInd/>
              <w:snapToGrid w:val="0"/>
              <w:spacing w:line="440" w:lineRule="exact"/>
              <w:ind w:left="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供应商依法缴纳社会保障资金的相关材料[</w:t>
            </w:r>
            <w:r>
              <w:rPr>
                <w:rFonts w:hint="eastAsia" w:ascii="宋体" w:hAnsi="宋体" w:cs="宋体"/>
                <w:color w:val="000000" w:themeColor="text1"/>
                <w:szCs w:val="21"/>
                <w:highlight w:val="none"/>
                <w:u w:val="single"/>
                <w14:textFill>
                  <w14:solidFill>
                    <w14:schemeClr w14:val="tx1"/>
                  </w14:solidFill>
                </w14:textFill>
              </w:rPr>
              <w:t>20</w:t>
            </w:r>
            <w:r>
              <w:rPr>
                <w:rFonts w:hint="eastAsia" w:ascii="宋体" w:hAnsi="宋体" w:cs="宋体"/>
                <w:color w:val="000000" w:themeColor="text1"/>
                <w:szCs w:val="21"/>
                <w:highlight w:val="none"/>
                <w:u w:val="single"/>
                <w:lang w:val="en-US" w:eastAsia="zh-CN"/>
                <w14:textFill>
                  <w14:solidFill>
                    <w14:schemeClr w14:val="tx1"/>
                  </w14:solidFill>
                </w14:textFill>
              </w:rPr>
              <w:t>24</w:t>
            </w:r>
            <w:r>
              <w:rPr>
                <w:rFonts w:hint="eastAsia" w:ascii="宋体" w:hAnsi="宋体" w:cs="宋体"/>
                <w:color w:val="000000" w:themeColor="text1"/>
                <w:szCs w:val="21"/>
                <w:highlight w:val="none"/>
                <w:u w:val="single"/>
                <w14:textFill>
                  <w14:solidFill>
                    <w14:schemeClr w14:val="tx1"/>
                  </w14:solidFill>
                </w14:textFill>
              </w:rPr>
              <w:t>年</w:t>
            </w:r>
            <w:r>
              <w:rPr>
                <w:rFonts w:hint="eastAsia" w:ascii="宋体" w:hAnsi="宋体" w:cs="宋体"/>
                <w:color w:val="000000" w:themeColor="text1"/>
                <w:szCs w:val="21"/>
                <w:highlight w:val="none"/>
                <w:u w:val="single"/>
                <w:lang w:val="en-US" w:eastAsia="zh-CN"/>
                <w14:textFill>
                  <w14:solidFill>
                    <w14:schemeClr w14:val="tx1"/>
                  </w14:solidFill>
                </w14:textFill>
              </w:rPr>
              <w:t>11</w:t>
            </w:r>
            <w:r>
              <w:rPr>
                <w:rFonts w:hint="eastAsia" w:ascii="宋体" w:hAnsi="宋体" w:cs="宋体"/>
                <w:color w:val="000000" w:themeColor="text1"/>
                <w:szCs w:val="21"/>
                <w:highlight w:val="none"/>
                <w:u w:val="single"/>
                <w14:textFill>
                  <w14:solidFill>
                    <w14:schemeClr w14:val="tx1"/>
                  </w14:solidFill>
                </w14:textFill>
              </w:rPr>
              <w:t>月至202</w:t>
            </w:r>
            <w:r>
              <w:rPr>
                <w:rFonts w:hint="eastAsia" w:ascii="宋体" w:hAnsi="宋体" w:cs="宋体"/>
                <w:color w:val="000000" w:themeColor="text1"/>
                <w:szCs w:val="21"/>
                <w:highlight w:val="none"/>
                <w:u w:val="single"/>
                <w:lang w:val="en-US" w:eastAsia="zh-CN"/>
                <w14:textFill>
                  <w14:solidFill>
                    <w14:schemeClr w14:val="tx1"/>
                  </w14:solidFill>
                </w14:textFill>
              </w:rPr>
              <w:t>5</w:t>
            </w:r>
            <w:r>
              <w:rPr>
                <w:rFonts w:hint="eastAsia" w:ascii="宋体" w:hAnsi="宋体" w:cs="宋体"/>
                <w:color w:val="000000" w:themeColor="text1"/>
                <w:szCs w:val="21"/>
                <w:highlight w:val="none"/>
                <w:u w:val="single"/>
                <w14:textFill>
                  <w14:solidFill>
                    <w14:schemeClr w14:val="tx1"/>
                  </w14:solidFill>
                </w14:textFill>
              </w:rPr>
              <w:t>年</w:t>
            </w:r>
            <w:r>
              <w:rPr>
                <w:rFonts w:hint="eastAsia" w:ascii="宋体" w:hAnsi="宋体" w:cs="宋体"/>
                <w:color w:val="000000" w:themeColor="text1"/>
                <w:szCs w:val="21"/>
                <w:highlight w:val="none"/>
                <w:u w:val="single"/>
                <w:lang w:val="en-US" w:eastAsia="zh-CN"/>
                <w14:textFill>
                  <w14:solidFill>
                    <w14:schemeClr w14:val="tx1"/>
                  </w14:solidFill>
                </w14:textFill>
              </w:rPr>
              <w:t>4</w:t>
            </w:r>
            <w:r>
              <w:rPr>
                <w:rFonts w:hint="eastAsia" w:ascii="宋体" w:hAnsi="宋体" w:cs="宋体"/>
                <w:color w:val="000000" w:themeColor="text1"/>
                <w:szCs w:val="21"/>
                <w:highlight w:val="none"/>
                <w:u w:val="single"/>
                <w14:textFill>
                  <w14:solidFill>
                    <w14:schemeClr w14:val="tx1"/>
                  </w14:solidFill>
                </w14:textFill>
              </w:rPr>
              <w:t>月任意1个</w:t>
            </w:r>
            <w:r>
              <w:rPr>
                <w:rFonts w:hint="eastAsia" w:ascii="宋体" w:hAnsi="宋体" w:cs="宋体"/>
                <w:color w:val="000000" w:themeColor="text1"/>
                <w:szCs w:val="21"/>
                <w:highlight w:val="none"/>
                <w14:textFill>
                  <w14:solidFill>
                    <w14:schemeClr w14:val="tx1"/>
                  </w14:solidFill>
                </w14:textFill>
              </w:rPr>
              <w:t>月的依法缴纳社会保障资金的缴费凭证（专用收据或者社会保险缴纳清单）复印件；依法不需要缴纳社会保障资金的，必须提供相应文件证明不需要缴纳社会保障资金。从成立之日起到响应文件提交截止时间止不足要求月数的只需提供从成立之日起的依法缴纳社会保障资金的相应证明文件]；</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必须提供，否则响应文件按无效响应处理</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cs="宋体"/>
                <w:b/>
                <w:bCs/>
                <w:color w:val="000000" w:themeColor="text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spacing w:line="440" w:lineRule="exact"/>
              <w:ind w:left="0"/>
              <w:contextualSpacing/>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4.供应商</w:t>
            </w:r>
            <w:r>
              <w:rPr>
                <w:rFonts w:hint="eastAsia" w:ascii="宋体" w:hAnsi="宋体" w:cs="宋体"/>
                <w:color w:val="000000" w:themeColor="text1"/>
                <w:szCs w:val="21"/>
                <w:highlight w:val="none"/>
                <w:lang w:val="en-US" w:eastAsia="zh-CN"/>
                <w14:textFill>
                  <w14:solidFill>
                    <w14:schemeClr w14:val="tx1"/>
                  </w14:solidFill>
                </w14:textFill>
              </w:rPr>
              <w:t>2023或2024年</w:t>
            </w:r>
            <w:r>
              <w:rPr>
                <w:rFonts w:hint="eastAsia" w:ascii="宋体" w:hAnsi="宋体" w:cs="宋体"/>
                <w:color w:val="000000" w:themeColor="text1"/>
                <w:szCs w:val="21"/>
                <w:highlight w:val="none"/>
                <w14:textFill>
                  <w14:solidFill>
                    <w14:schemeClr w14:val="tx1"/>
                  </w14:solidFill>
                </w14:textFill>
              </w:rPr>
              <w:t>度的财务审计报告或财务报表复印件或者银行出具的资信证明；供应商属于成立时间在规定年度之后的法人或其他组织，需提供成立之日起至响应文件提交截止时间前的月报表或银行出具的资信证明；资信证明应在有效期内，未注明有效期的，银行出具时间至响应文件提交截止时间不超过一年]；</w:t>
            </w:r>
            <w:r>
              <w:rPr>
                <w:rFonts w:hint="eastAsia" w:ascii="宋体" w:hAnsi="宋体" w:cs="宋体"/>
                <w:bCs/>
                <w:color w:val="000000" w:themeColor="text1"/>
                <w:szCs w:val="21"/>
                <w:highlight w:val="none"/>
                <w14:textFill>
                  <w14:solidFill>
                    <w14:schemeClr w14:val="tx1"/>
                  </w14:solidFill>
                </w14:textFill>
              </w:rPr>
              <w:t>（</w:t>
            </w:r>
            <w:r>
              <w:rPr>
                <w:rFonts w:hint="eastAsia" w:ascii="宋体" w:hAnsi="宋体"/>
                <w:b/>
                <w:color w:val="000000" w:themeColor="text1"/>
                <w:szCs w:val="21"/>
                <w:highlight w:val="none"/>
                <w14:textFill>
                  <w14:solidFill>
                    <w14:schemeClr w14:val="tx1"/>
                  </w14:solidFill>
                </w14:textFill>
              </w:rPr>
              <w:t>必须提供</w:t>
            </w:r>
            <w:r>
              <w:rPr>
                <w:rFonts w:hint="eastAsia" w:ascii="宋体" w:hAnsi="宋体" w:cs="宋体"/>
                <w:b/>
                <w:color w:val="000000" w:themeColor="text1"/>
                <w:szCs w:val="21"/>
                <w:highlight w:val="none"/>
                <w14:textFill>
                  <w14:solidFill>
                    <w14:schemeClr w14:val="tx1"/>
                  </w14:solidFill>
                </w14:textFill>
              </w:rPr>
              <w:t>，否则响应文件按无效响应处理</w:t>
            </w:r>
            <w:r>
              <w:rPr>
                <w:rFonts w:hint="eastAsia" w:ascii="宋体" w:hAnsi="宋体" w:cs="宋体"/>
                <w:bCs/>
                <w:color w:val="000000" w:themeColor="text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snapToGrid w:val="0"/>
              <w:spacing w:line="440" w:lineRule="exact"/>
              <w:ind w:left="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5.供应商直接控股、管理关系信息表（格式后附）；（</w:t>
            </w:r>
            <w:r>
              <w:rPr>
                <w:rFonts w:hint="eastAsia" w:ascii="宋体" w:hAnsi="宋体" w:cs="宋体"/>
                <w:b/>
                <w:color w:val="000000" w:themeColor="text1"/>
                <w:szCs w:val="21"/>
                <w:highlight w:val="none"/>
                <w14:textFill>
                  <w14:solidFill>
                    <w14:schemeClr w14:val="tx1"/>
                  </w14:solidFill>
                </w14:textFill>
              </w:rPr>
              <w:t>必须提供，否则响应文件按无效处理</w:t>
            </w:r>
            <w:r>
              <w:rPr>
                <w:rFonts w:hint="eastAsia" w:ascii="宋体" w:hAnsi="宋体" w:cs="宋体"/>
                <w:color w:val="000000" w:themeColor="text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snapToGrid w:val="0"/>
              <w:spacing w:line="440" w:lineRule="exact"/>
              <w:ind w:left="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6.竞标声明（格式后附）；（</w:t>
            </w:r>
            <w:r>
              <w:rPr>
                <w:rFonts w:hint="eastAsia" w:ascii="宋体" w:hAnsi="宋体" w:cs="宋体"/>
                <w:b/>
                <w:color w:val="000000" w:themeColor="text1"/>
                <w:szCs w:val="21"/>
                <w:highlight w:val="none"/>
                <w14:textFill>
                  <w14:solidFill>
                    <w14:schemeClr w14:val="tx1"/>
                  </w14:solidFill>
                </w14:textFill>
              </w:rPr>
              <w:t>必须提供，否则响应文件按无效处理</w:t>
            </w:r>
            <w:r>
              <w:rPr>
                <w:rFonts w:hint="eastAsia" w:ascii="宋体" w:hAnsi="宋体" w:cs="宋体"/>
                <w:color w:val="000000" w:themeColor="text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spacing w:line="440" w:lineRule="exact"/>
              <w:ind w:left="0"/>
              <w:contextualSpacing/>
              <w:jc w:val="left"/>
              <w:rPr>
                <w:rFonts w:hint="default"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cs="Times New Roman"/>
                <w:color w:val="000000" w:themeColor="text1"/>
                <w:szCs w:val="21"/>
                <w:highlight w:val="none"/>
                <w:lang w:val="en-US" w:eastAsia="zh-CN"/>
                <w14:textFill>
                  <w14:solidFill>
                    <w14:schemeClr w14:val="tx1"/>
                  </w14:solidFill>
                </w14:textFill>
              </w:rPr>
              <w:t>7.1</w:t>
            </w:r>
            <w:r>
              <w:rPr>
                <w:rFonts w:hint="eastAsia" w:ascii="宋体" w:hAnsi="宋体"/>
                <w:color w:val="000000" w:themeColor="text1"/>
                <w:szCs w:val="21"/>
                <w:highlight w:val="none"/>
                <w:lang w:val="en-US" w:eastAsia="zh-CN"/>
                <w14:textFill>
                  <w14:solidFill>
                    <w14:schemeClr w14:val="tx1"/>
                  </w14:solidFill>
                </w14:textFill>
              </w:rPr>
              <w:t>分包供应商须提供有效的《</w:t>
            </w:r>
            <w:r>
              <w:rPr>
                <w:rFonts w:hint="eastAsia" w:ascii="宋体" w:hAnsi="宋体"/>
                <w:color w:val="000000" w:themeColor="text1"/>
                <w:szCs w:val="21"/>
                <w:highlight w:val="none"/>
                <w14:textFill>
                  <w14:solidFill>
                    <w14:schemeClr w14:val="tx1"/>
                  </w14:solidFill>
                </w14:textFill>
              </w:rPr>
              <w:t>危险化学品经营许可证</w:t>
            </w:r>
            <w:r>
              <w:rPr>
                <w:rFonts w:hint="eastAsia" w:ascii="宋体" w:hAnsi="宋体"/>
                <w:color w:val="000000" w:themeColor="text1"/>
                <w:szCs w:val="21"/>
                <w:highlight w:val="none"/>
                <w:lang w:val="en-US" w:eastAsia="zh-CN"/>
                <w14:textFill>
                  <w14:solidFill>
                    <w14:schemeClr w14:val="tx1"/>
                  </w14:solidFill>
                </w14:textFill>
              </w:rPr>
              <w:t>》复印件</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必须提供，否则响应文件按无效处理</w:t>
            </w:r>
            <w:r>
              <w:rPr>
                <w:rFonts w:hint="eastAsia" w:ascii="宋体" w:hAnsi="宋体" w:cs="宋体"/>
                <w:color w:val="000000" w:themeColor="text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spacing w:line="440" w:lineRule="exact"/>
              <w:ind w:left="0"/>
              <w:contextualSpacing/>
              <w:jc w:val="lef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cs="Times New Roman"/>
                <w:color w:val="000000" w:themeColor="text1"/>
                <w:szCs w:val="21"/>
                <w:highlight w:val="none"/>
                <w:lang w:val="en-US" w:eastAsia="zh-CN"/>
                <w14:textFill>
                  <w14:solidFill>
                    <w14:schemeClr w14:val="tx1"/>
                  </w14:solidFill>
                </w14:textFill>
              </w:rPr>
              <w:t>8.</w:t>
            </w:r>
            <w:r>
              <w:rPr>
                <w:rFonts w:hint="eastAsia" w:ascii="宋体" w:hAnsi="宋体" w:eastAsia="宋体" w:cs="Times New Roman"/>
                <w:color w:val="000000" w:themeColor="text1"/>
                <w:szCs w:val="21"/>
                <w:highlight w:val="none"/>
                <w14:textFill>
                  <w14:solidFill>
                    <w14:schemeClr w14:val="tx1"/>
                  </w14:solidFill>
                </w14:textFill>
              </w:rPr>
              <w:t>联合体竞标协议书（格式后附）；（联合体竞标时必须提供，否则响应文件按无效处理）</w:t>
            </w:r>
          </w:p>
          <w:p>
            <w:pPr>
              <w:keepNext w:val="0"/>
              <w:keepLines w:val="0"/>
              <w:pageBreakBefore w:val="0"/>
              <w:widowControl w:val="0"/>
              <w:kinsoku/>
              <w:wordWrap/>
              <w:overflowPunct/>
              <w:topLinePunct w:val="0"/>
              <w:bidi w:val="0"/>
              <w:adjustRightInd/>
              <w:snapToGrid w:val="0"/>
              <w:spacing w:line="440" w:lineRule="exact"/>
              <w:ind w:left="0"/>
              <w:jc w:val="left"/>
              <w:rPr>
                <w:rFonts w:ascii="宋体" w:hAnsi="宋体"/>
                <w:i/>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9.</w:t>
            </w:r>
            <w:r>
              <w:rPr>
                <w:rFonts w:hint="eastAsia" w:ascii="宋体" w:hAnsi="宋体" w:cs="宋体"/>
                <w:color w:val="000000" w:themeColor="text1"/>
                <w:szCs w:val="21"/>
                <w:highlight w:val="none"/>
                <w14:textFill>
                  <w14:solidFill>
                    <w14:schemeClr w14:val="tx1"/>
                  </w14:solidFill>
                </w14:textFill>
              </w:rPr>
              <w:t>除谈判文件规定必须提供以外，供应商认为需要提供的其他证明材料；</w:t>
            </w:r>
          </w:p>
          <w:p>
            <w:pPr>
              <w:keepNext w:val="0"/>
              <w:keepLines w:val="0"/>
              <w:pageBreakBefore w:val="0"/>
              <w:widowControl w:val="0"/>
              <w:kinsoku/>
              <w:wordWrap/>
              <w:overflowPunct/>
              <w:topLinePunct w:val="0"/>
              <w:bidi w:val="0"/>
              <w:adjustRightInd/>
              <w:snapToGrid w:val="0"/>
              <w:spacing w:line="440" w:lineRule="exact"/>
              <w:ind w:left="0"/>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注：</w:t>
            </w:r>
          </w:p>
          <w:p>
            <w:pPr>
              <w:keepNext w:val="0"/>
              <w:keepLines w:val="0"/>
              <w:pageBreakBefore w:val="0"/>
              <w:widowControl w:val="0"/>
              <w:kinsoku/>
              <w:wordWrap/>
              <w:overflowPunct/>
              <w:topLinePunct w:val="0"/>
              <w:bidi w:val="0"/>
              <w:adjustRightInd/>
              <w:snapToGrid w:val="0"/>
              <w:spacing w:line="440" w:lineRule="exact"/>
              <w:ind w:left="0" w:firstLine="413" w:firstLineChars="196"/>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1.以上标明“必须提供”的材料属于复印件的，必须加盖供应商</w:t>
            </w:r>
            <w:r>
              <w:rPr>
                <w:rFonts w:hint="eastAsia"/>
                <w:b/>
                <w:color w:val="000000" w:themeColor="text1"/>
                <w:highlight w:val="none"/>
                <w14:textFill>
                  <w14:solidFill>
                    <w14:schemeClr w14:val="tx1"/>
                  </w14:solidFill>
                </w14:textFill>
              </w:rPr>
              <w:t>电子签章</w:t>
            </w:r>
            <w:r>
              <w:rPr>
                <w:rFonts w:hint="eastAsia" w:ascii="宋体" w:hAnsi="宋体" w:cs="宋体"/>
                <w:b/>
                <w:color w:val="000000" w:themeColor="text1"/>
                <w:szCs w:val="21"/>
                <w:highlight w:val="none"/>
                <w14:textFill>
                  <w14:solidFill>
                    <w14:schemeClr w14:val="tx1"/>
                  </w14:solidFill>
                </w14:textFill>
              </w:rPr>
              <w:t>，否则响应文件按无效处理。</w:t>
            </w:r>
          </w:p>
          <w:p>
            <w:pPr>
              <w:keepNext w:val="0"/>
              <w:keepLines w:val="0"/>
              <w:pageBreakBefore w:val="0"/>
              <w:widowControl w:val="0"/>
              <w:kinsoku/>
              <w:wordWrap/>
              <w:overflowPunct/>
              <w:topLinePunct w:val="0"/>
              <w:bidi w:val="0"/>
              <w:adjustRightInd/>
              <w:snapToGrid w:val="0"/>
              <w:spacing w:line="440" w:lineRule="exact"/>
              <w:ind w:left="0" w:firstLine="422" w:firstLineChars="200"/>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2.联合体竞标时，第1-5项资格证明文件联合体各方均必须分别提供，</w:t>
            </w:r>
            <w:r>
              <w:rPr>
                <w:rFonts w:hint="eastAsia"/>
                <w:b/>
                <w:color w:val="000000" w:themeColor="text1"/>
                <w:highlight w:val="none"/>
                <w14:textFill>
                  <w14:solidFill>
                    <w14:schemeClr w14:val="tx1"/>
                  </w14:solidFill>
                </w14:textFill>
              </w:rPr>
              <w:t>并由</w:t>
            </w:r>
            <w:r>
              <w:rPr>
                <w:rFonts w:hint="eastAsia" w:ascii="宋体" w:hAnsi="宋体" w:cs="宋体"/>
                <w:b/>
                <w:color w:val="000000" w:themeColor="text1"/>
                <w:szCs w:val="21"/>
                <w:highlight w:val="none"/>
                <w14:textFill>
                  <w14:solidFill>
                    <w14:schemeClr w14:val="tx1"/>
                  </w14:solidFill>
                </w14:textFill>
              </w:rPr>
              <w:t>联合体</w:t>
            </w:r>
            <w:r>
              <w:rPr>
                <w:rFonts w:hint="eastAsia"/>
                <w:b/>
                <w:color w:val="000000" w:themeColor="text1"/>
                <w:highlight w:val="none"/>
                <w14:textFill>
                  <w14:solidFill>
                    <w14:schemeClr w14:val="tx1"/>
                  </w14:solidFill>
                </w14:textFill>
              </w:rPr>
              <w:t>牵头人加盖电子签章</w:t>
            </w:r>
            <w:r>
              <w:rPr>
                <w:rFonts w:hint="eastAsia" w:ascii="宋体" w:hAnsi="宋体" w:cs="宋体"/>
                <w:b/>
                <w:color w:val="000000" w:themeColor="text1"/>
                <w:szCs w:val="21"/>
                <w:highlight w:val="none"/>
                <w14:textFill>
                  <w14:solidFill>
                    <w14:schemeClr w14:val="tx1"/>
                  </w14:solidFill>
                </w14:textFill>
              </w:rPr>
              <w:t>，</w:t>
            </w:r>
            <w:r>
              <w:rPr>
                <w:rFonts w:hint="eastAsia"/>
                <w:b/>
                <w:color w:val="000000" w:themeColor="text1"/>
                <w:highlight w:val="none"/>
                <w14:textFill>
                  <w14:solidFill>
                    <w14:schemeClr w14:val="tx1"/>
                  </w14:solidFill>
                </w14:textFill>
              </w:rPr>
              <w:t>规定签字</w:t>
            </w:r>
            <w:r>
              <w:rPr>
                <w:rFonts w:hint="eastAsia" w:ascii="宋体" w:hAnsi="宋体" w:cs="宋体"/>
                <w:b/>
                <w:color w:val="000000" w:themeColor="text1"/>
                <w:szCs w:val="21"/>
                <w:highlight w:val="none"/>
                <w14:textFill>
                  <w14:solidFill>
                    <w14:schemeClr w14:val="tx1"/>
                  </w14:solidFill>
                </w14:textFill>
              </w:rPr>
              <w:t>处签字</w:t>
            </w:r>
            <w:r>
              <w:rPr>
                <w:rFonts w:hint="eastAsia" w:ascii="宋体" w:hAnsi="宋体"/>
                <w:b/>
                <w:bCs/>
                <w:color w:val="000000" w:themeColor="text1"/>
                <w:szCs w:val="21"/>
                <w:highlight w:val="none"/>
                <w14:textFill>
                  <w14:solidFill>
                    <w14:schemeClr w14:val="tx1"/>
                  </w14:solidFill>
                </w14:textFill>
              </w:rPr>
              <w:t>（或者电子签名）</w:t>
            </w:r>
            <w:r>
              <w:rPr>
                <w:rFonts w:hint="eastAsia" w:ascii="宋体" w:hAnsi="宋体" w:cs="宋体"/>
                <w:b/>
                <w:color w:val="000000" w:themeColor="text1"/>
                <w:szCs w:val="21"/>
                <w:highlight w:val="none"/>
                <w14:textFill>
                  <w14:solidFill>
                    <w14:schemeClr w14:val="tx1"/>
                  </w14:solidFill>
                </w14:textFill>
              </w:rPr>
              <w:t>，否则响应文件按无效处理。</w:t>
            </w:r>
          </w:p>
          <w:p>
            <w:pPr>
              <w:keepNext w:val="0"/>
              <w:keepLines w:val="0"/>
              <w:pageBreakBefore w:val="0"/>
              <w:widowControl w:val="0"/>
              <w:kinsoku/>
              <w:wordWrap/>
              <w:overflowPunct/>
              <w:topLinePunct w:val="0"/>
              <w:bidi w:val="0"/>
              <w:adjustRightInd/>
              <w:snapToGrid w:val="0"/>
              <w:spacing w:line="440" w:lineRule="exact"/>
              <w:ind w:left="0" w:firstLine="422" w:firstLineChars="200"/>
              <w:jc w:val="left"/>
              <w:rPr>
                <w:rFonts w:ascii="宋体" w:hAnsi="宋体" w:cs="宋体"/>
                <w:b/>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3.分公司参加竞标的，应当取得总公司授权。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keepNext w:val="0"/>
              <w:keepLines w:val="0"/>
              <w:pageBreakBefore w:val="0"/>
              <w:widowControl w:val="0"/>
              <w:kinsoku/>
              <w:wordWrap/>
              <w:overflowPunct/>
              <w:topLinePunct w:val="0"/>
              <w:bidi w:val="0"/>
              <w:adjustRightInd/>
              <w:spacing w:line="440" w:lineRule="exact"/>
              <w:ind w:left="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12.1.2</w:t>
            </w:r>
          </w:p>
        </w:tc>
        <w:tc>
          <w:tcPr>
            <w:tcW w:w="7912" w:type="dxa"/>
            <w:vAlign w:val="center"/>
          </w:tcPr>
          <w:p>
            <w:pPr>
              <w:keepNext w:val="0"/>
              <w:keepLines w:val="0"/>
              <w:pageBreakBefore w:val="0"/>
              <w:widowControl w:val="0"/>
              <w:kinsoku/>
              <w:wordWrap/>
              <w:overflowPunct/>
              <w:topLinePunct w:val="0"/>
              <w:bidi w:val="0"/>
              <w:adjustRightInd/>
              <w:spacing w:line="440" w:lineRule="exact"/>
              <w:ind w:left="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报价文件</w:t>
            </w:r>
          </w:p>
          <w:p>
            <w:pPr>
              <w:keepNext w:val="0"/>
              <w:keepLines w:val="0"/>
              <w:pageBreakBefore w:val="0"/>
              <w:widowControl w:val="0"/>
              <w:kinsoku/>
              <w:wordWrap/>
              <w:overflowPunct/>
              <w:topLinePunct w:val="0"/>
              <w:bidi w:val="0"/>
              <w:adjustRightInd/>
              <w:spacing w:line="440" w:lineRule="exact"/>
              <w:ind w:left="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竞标报价表（格式后附）；</w:t>
            </w:r>
            <w:r>
              <w:rPr>
                <w:rFonts w:hint="eastAsia" w:ascii="宋体" w:hAnsi="宋体" w:eastAsia="宋体" w:cs="宋体"/>
                <w:b/>
                <w:bCs/>
                <w:color w:val="000000" w:themeColor="text1"/>
                <w:szCs w:val="21"/>
                <w:highlight w:val="none"/>
                <w14:textFill>
                  <w14:solidFill>
                    <w14:schemeClr w14:val="tx1"/>
                  </w14:solidFill>
                </w14:textFill>
              </w:rPr>
              <w:t>（必须提供，否则响应文件按无效处理）</w:t>
            </w:r>
          </w:p>
          <w:p>
            <w:pPr>
              <w:keepNext w:val="0"/>
              <w:keepLines w:val="0"/>
              <w:pageBreakBefore w:val="0"/>
              <w:widowControl w:val="0"/>
              <w:kinsoku/>
              <w:wordWrap/>
              <w:overflowPunct/>
              <w:topLinePunct w:val="0"/>
              <w:bidi w:val="0"/>
              <w:adjustRightInd/>
              <w:spacing w:line="440" w:lineRule="exact"/>
              <w:ind w:left="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中小企业声明函（格式后附）；</w:t>
            </w:r>
            <w:r>
              <w:rPr>
                <w:rFonts w:hint="eastAsia" w:ascii="宋体" w:hAnsi="宋体" w:eastAsia="宋体" w:cs="宋体"/>
                <w:b/>
                <w:bCs/>
                <w:color w:val="000000" w:themeColor="text1"/>
                <w:szCs w:val="21"/>
                <w:highlight w:val="none"/>
                <w14:textFill>
                  <w14:solidFill>
                    <w14:schemeClr w14:val="tx1"/>
                  </w14:solidFill>
                </w14:textFill>
              </w:rPr>
              <w:t>（</w:t>
            </w:r>
            <w:r>
              <w:rPr>
                <w:rFonts w:hint="eastAsia" w:ascii="宋体" w:hAnsi="宋体" w:eastAsia="宋体" w:cs="宋体"/>
                <w:b/>
                <w:bCs/>
                <w:color w:val="000000" w:themeColor="text1"/>
                <w:szCs w:val="21"/>
                <w:highlight w:val="none"/>
                <w:lang w:eastAsia="zh-CN"/>
                <w14:textFill>
                  <w14:solidFill>
                    <w14:schemeClr w14:val="tx1"/>
                  </w14:solidFill>
                </w14:textFill>
              </w:rPr>
              <w:t>如是，请提供</w:t>
            </w:r>
            <w:r>
              <w:rPr>
                <w:rFonts w:hint="eastAsia" w:ascii="宋体" w:hAnsi="宋体" w:eastAsia="宋体" w:cs="宋体"/>
                <w:b/>
                <w:bCs/>
                <w:color w:val="000000" w:themeColor="text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spacing w:line="440" w:lineRule="exact"/>
              <w:ind w:left="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.供应商认为需要提供的其他有关资料。</w:t>
            </w:r>
          </w:p>
          <w:p>
            <w:pPr>
              <w:keepNext w:val="0"/>
              <w:keepLines w:val="0"/>
              <w:pageBreakBefore w:val="0"/>
              <w:widowControl w:val="0"/>
              <w:kinsoku/>
              <w:wordWrap/>
              <w:overflowPunct/>
              <w:topLinePunct w:val="0"/>
              <w:bidi w:val="0"/>
              <w:adjustRightInd/>
              <w:spacing w:line="440" w:lineRule="exact"/>
              <w:ind w:left="0"/>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以上标明“必须提供”的材料属于复印件的，必须加盖供应商</w:t>
            </w:r>
            <w:r>
              <w:rPr>
                <w:rFonts w:hint="eastAsia"/>
                <w:b/>
                <w:color w:val="000000" w:themeColor="text1"/>
                <w:highlight w:val="none"/>
                <w14:textFill>
                  <w14:solidFill>
                    <w14:schemeClr w14:val="tx1"/>
                  </w14:solidFill>
                </w14:textFill>
              </w:rPr>
              <w:t>电子签章</w:t>
            </w:r>
            <w:r>
              <w:rPr>
                <w:rFonts w:hint="eastAsia" w:ascii="宋体" w:hAnsi="宋体" w:cs="宋体"/>
                <w:b/>
                <w:color w:val="000000" w:themeColor="text1"/>
                <w:szCs w:val="21"/>
                <w:highlight w:val="none"/>
                <w14:textFill>
                  <w14:solidFill>
                    <w14:schemeClr w14:val="tx1"/>
                  </w14:solidFill>
                </w14:textFill>
              </w:rPr>
              <w:t>，否则响应文件按无效处理。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keepNext w:val="0"/>
              <w:keepLines w:val="0"/>
              <w:pageBreakBefore w:val="0"/>
              <w:widowControl w:val="0"/>
              <w:kinsoku/>
              <w:wordWrap/>
              <w:overflowPunct/>
              <w:topLinePunct w:val="0"/>
              <w:bidi w:val="0"/>
              <w:adjustRightInd/>
              <w:spacing w:line="440" w:lineRule="exact"/>
              <w:ind w:left="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w:t>
            </w: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3</w:t>
            </w:r>
          </w:p>
        </w:tc>
        <w:tc>
          <w:tcPr>
            <w:tcW w:w="7912" w:type="dxa"/>
            <w:vAlign w:val="center"/>
          </w:tcPr>
          <w:p>
            <w:pPr>
              <w:keepNext w:val="0"/>
              <w:keepLines w:val="0"/>
              <w:pageBreakBefore w:val="0"/>
              <w:widowControl w:val="0"/>
              <w:kinsoku/>
              <w:wordWrap/>
              <w:overflowPunct/>
              <w:topLinePunct w:val="0"/>
              <w:bidi w:val="0"/>
              <w:adjustRightInd/>
              <w:spacing w:line="440" w:lineRule="exact"/>
              <w:ind w:left="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商务技术文件</w:t>
            </w:r>
          </w:p>
          <w:p>
            <w:pPr>
              <w:keepNext w:val="0"/>
              <w:keepLines w:val="0"/>
              <w:pageBreakBefore w:val="0"/>
              <w:widowControl w:val="0"/>
              <w:kinsoku/>
              <w:wordWrap/>
              <w:overflowPunct/>
              <w:topLinePunct w:val="0"/>
              <w:bidi w:val="0"/>
              <w:adjustRightInd/>
              <w:spacing w:line="440" w:lineRule="exact"/>
              <w:ind w:left="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1.无串通竞标行为的承诺函（格式后附）；（</w:t>
            </w:r>
            <w:r>
              <w:rPr>
                <w:rFonts w:hint="eastAsia" w:ascii="宋体" w:hAnsi="宋体" w:cs="宋体"/>
                <w:b/>
                <w:color w:val="000000" w:themeColor="text1"/>
                <w:szCs w:val="21"/>
                <w:highlight w:val="none"/>
                <w14:textFill>
                  <w14:solidFill>
                    <w14:schemeClr w14:val="tx1"/>
                  </w14:solidFill>
                </w14:textFill>
              </w:rPr>
              <w:t>必须提供，否则响应文件按无效处理</w:t>
            </w:r>
            <w:r>
              <w:rPr>
                <w:rFonts w:hint="eastAsia" w:ascii="宋体" w:hAnsi="宋体" w:cs="宋体"/>
                <w:color w:val="000000" w:themeColor="text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snapToGrid w:val="0"/>
              <w:spacing w:line="440" w:lineRule="exact"/>
              <w:ind w:left="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2.法定代表人身份证明书及法定代表人有效身份证正反面复印件（格式后附）；（</w:t>
            </w:r>
            <w:r>
              <w:rPr>
                <w:rFonts w:hint="eastAsia" w:ascii="宋体" w:hAnsi="宋体" w:cs="宋体"/>
                <w:b/>
                <w:color w:val="000000" w:themeColor="text1"/>
                <w:szCs w:val="21"/>
                <w:highlight w:val="none"/>
                <w14:textFill>
                  <w14:solidFill>
                    <w14:schemeClr w14:val="tx1"/>
                  </w14:solidFill>
                </w14:textFill>
              </w:rPr>
              <w:t>必须提供，否则响应文件按无效处理</w:t>
            </w:r>
            <w:r>
              <w:rPr>
                <w:rFonts w:hint="eastAsia" w:ascii="宋体" w:hAnsi="宋体" w:cs="宋体"/>
                <w:color w:val="000000" w:themeColor="text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spacing w:line="440" w:lineRule="exact"/>
              <w:ind w:left="0"/>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3.授权委托书及委托代理人有效身份证正反面复印件（格式后附）；（</w:t>
            </w:r>
            <w:r>
              <w:rPr>
                <w:rFonts w:hint="eastAsia" w:ascii="宋体" w:hAnsi="宋体" w:cs="宋体"/>
                <w:b/>
                <w:color w:val="000000" w:themeColor="text1"/>
                <w:szCs w:val="21"/>
                <w:highlight w:val="none"/>
                <w14:textFill>
                  <w14:solidFill>
                    <w14:schemeClr w14:val="tx1"/>
                  </w14:solidFill>
                </w14:textFill>
              </w:rPr>
              <w:t>委托时必须提供，否则响应文件按无效处理</w:t>
            </w:r>
            <w:r>
              <w:rPr>
                <w:rFonts w:hint="eastAsia" w:ascii="宋体" w:hAnsi="宋体" w:cs="宋体"/>
                <w:color w:val="000000" w:themeColor="text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spacing w:line="440" w:lineRule="exact"/>
              <w:ind w:left="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4.竞标保证金提交凭证；（</w:t>
            </w:r>
            <w:r>
              <w:rPr>
                <w:rFonts w:hint="eastAsia"/>
                <w:b/>
                <w:bCs/>
                <w:color w:val="000000" w:themeColor="text1"/>
                <w:highlight w:val="none"/>
                <w14:textFill>
                  <w14:solidFill>
                    <w14:schemeClr w14:val="tx1"/>
                  </w14:solidFill>
                </w14:textFill>
              </w:rPr>
              <w:t>必须提供</w:t>
            </w:r>
            <w:r>
              <w:rPr>
                <w:rFonts w:hint="eastAsia" w:ascii="宋体" w:hAnsi="宋体" w:cs="宋体"/>
                <w:b/>
                <w:color w:val="000000" w:themeColor="text1"/>
                <w:szCs w:val="21"/>
                <w:highlight w:val="none"/>
                <w14:textFill>
                  <w14:solidFill>
                    <w14:schemeClr w14:val="tx1"/>
                  </w14:solidFill>
                </w14:textFill>
              </w:rPr>
              <w:t>，否则响应文件按无效处理</w:t>
            </w:r>
            <w:r>
              <w:rPr>
                <w:rFonts w:hint="eastAsia" w:ascii="宋体" w:hAnsi="宋体" w:cs="宋体"/>
                <w:color w:val="000000" w:themeColor="text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spacing w:line="440" w:lineRule="exact"/>
              <w:ind w:left="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5.商务要求偏离表（格式后附）；（</w:t>
            </w:r>
            <w:r>
              <w:rPr>
                <w:rFonts w:hint="eastAsia" w:ascii="宋体" w:hAnsi="宋体" w:cs="宋体"/>
                <w:b/>
                <w:color w:val="000000" w:themeColor="text1"/>
                <w:szCs w:val="21"/>
                <w:highlight w:val="none"/>
                <w14:textFill>
                  <w14:solidFill>
                    <w14:schemeClr w14:val="tx1"/>
                  </w14:solidFill>
                </w14:textFill>
              </w:rPr>
              <w:t>必须提供，否则响应文件按无效处理</w:t>
            </w:r>
            <w:r>
              <w:rPr>
                <w:rFonts w:hint="eastAsia" w:ascii="宋体" w:hAnsi="宋体" w:cs="宋体"/>
                <w:color w:val="000000" w:themeColor="text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spacing w:line="440" w:lineRule="exact"/>
              <w:ind w:left="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6.售后服务承诺（格式自拟）；（</w:t>
            </w:r>
            <w:r>
              <w:rPr>
                <w:rFonts w:hint="eastAsia" w:ascii="宋体" w:hAnsi="宋体" w:cs="宋体"/>
                <w:b/>
                <w:color w:val="000000" w:themeColor="text1"/>
                <w:szCs w:val="21"/>
                <w:highlight w:val="none"/>
                <w14:textFill>
                  <w14:solidFill>
                    <w14:schemeClr w14:val="tx1"/>
                  </w14:solidFill>
                </w14:textFill>
              </w:rPr>
              <w:t>必须提供，否则响应文件按无效处理</w:t>
            </w:r>
            <w:r>
              <w:rPr>
                <w:rFonts w:hint="eastAsia" w:ascii="宋体" w:hAnsi="宋体" w:cs="宋体"/>
                <w:color w:val="000000" w:themeColor="text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spacing w:line="440" w:lineRule="exact"/>
              <w:ind w:left="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7.货物配置清单（均不含报价）（格式后附）；（</w:t>
            </w:r>
            <w:r>
              <w:rPr>
                <w:rFonts w:hint="eastAsia" w:ascii="宋体" w:hAnsi="宋体" w:cs="宋体"/>
                <w:b/>
                <w:color w:val="000000" w:themeColor="text1"/>
                <w:szCs w:val="21"/>
                <w:highlight w:val="none"/>
                <w14:textFill>
                  <w14:solidFill>
                    <w14:schemeClr w14:val="tx1"/>
                  </w14:solidFill>
                </w14:textFill>
              </w:rPr>
              <w:t>必须提供，否则响应文件按无效处理</w:t>
            </w:r>
            <w:r>
              <w:rPr>
                <w:rFonts w:hint="eastAsia" w:ascii="宋体" w:hAnsi="宋体" w:cs="宋体"/>
                <w:color w:val="000000" w:themeColor="text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spacing w:line="440" w:lineRule="exact"/>
              <w:ind w:left="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8.技术要求偏离表（格式后附）；（</w:t>
            </w:r>
            <w:r>
              <w:rPr>
                <w:rFonts w:hint="eastAsia" w:ascii="宋体" w:hAnsi="宋体" w:cs="宋体"/>
                <w:b/>
                <w:color w:val="000000" w:themeColor="text1"/>
                <w:szCs w:val="21"/>
                <w:highlight w:val="none"/>
                <w14:textFill>
                  <w14:solidFill>
                    <w14:schemeClr w14:val="tx1"/>
                  </w14:solidFill>
                </w14:textFill>
              </w:rPr>
              <w:t>必须提供，否则响应文件按无效处理</w:t>
            </w:r>
            <w:r>
              <w:rPr>
                <w:rFonts w:hint="eastAsia" w:ascii="宋体" w:hAnsi="宋体" w:cs="宋体"/>
                <w:color w:val="000000" w:themeColor="text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spacing w:line="440" w:lineRule="exact"/>
              <w:ind w:left="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9.对应采购需求的技术要求、商务要求提供的其他文件资料（格式自拟）；</w:t>
            </w:r>
          </w:p>
          <w:p>
            <w:pPr>
              <w:keepNext w:val="0"/>
              <w:keepLines w:val="0"/>
              <w:pageBreakBefore w:val="0"/>
              <w:widowControl w:val="0"/>
              <w:kinsoku/>
              <w:wordWrap/>
              <w:overflowPunct/>
              <w:topLinePunct w:val="0"/>
              <w:bidi w:val="0"/>
              <w:adjustRightInd/>
              <w:spacing w:line="440" w:lineRule="exact"/>
              <w:ind w:left="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10.供应商认为需要提供的其他有关资料。</w:t>
            </w:r>
          </w:p>
          <w:p>
            <w:pPr>
              <w:keepNext w:val="0"/>
              <w:keepLines w:val="0"/>
              <w:pageBreakBefore w:val="0"/>
              <w:widowControl w:val="0"/>
              <w:kinsoku/>
              <w:wordWrap/>
              <w:overflowPunct/>
              <w:topLinePunct w:val="0"/>
              <w:bidi w:val="0"/>
              <w:adjustRightInd/>
              <w:snapToGrid w:val="0"/>
              <w:spacing w:line="440" w:lineRule="exact"/>
              <w:ind w:left="0"/>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注：以上标明“必须提供”材料复印件的，必须加盖供应商</w:t>
            </w:r>
            <w:r>
              <w:rPr>
                <w:rFonts w:hint="eastAsia" w:ascii="宋体" w:hAnsi="宋体"/>
                <w:b/>
                <w:bCs/>
                <w:color w:val="000000" w:themeColor="text1"/>
                <w:szCs w:val="21"/>
                <w:highlight w:val="none"/>
                <w14:textFill>
                  <w14:solidFill>
                    <w14:schemeClr w14:val="tx1"/>
                  </w14:solidFill>
                </w14:textFill>
              </w:rPr>
              <w:t>电子签章</w:t>
            </w:r>
            <w:r>
              <w:rPr>
                <w:rFonts w:hint="eastAsia" w:ascii="宋体" w:hAnsi="宋体" w:cs="宋体"/>
                <w:b/>
                <w:color w:val="000000" w:themeColor="text1"/>
                <w:szCs w:val="21"/>
                <w:highlight w:val="none"/>
                <w14:textFill>
                  <w14:solidFill>
                    <w14:schemeClr w14:val="tx1"/>
                  </w14:solidFill>
                </w14:textFill>
              </w:rPr>
              <w:t>，否则响应文件按无效处理。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keepNext w:val="0"/>
              <w:keepLines w:val="0"/>
              <w:pageBreakBefore w:val="0"/>
              <w:widowControl w:val="0"/>
              <w:kinsoku/>
              <w:wordWrap/>
              <w:overflowPunct/>
              <w:topLinePunct w:val="0"/>
              <w:bidi w:val="0"/>
              <w:adjustRightInd/>
              <w:spacing w:line="440" w:lineRule="exact"/>
              <w:ind w:left="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15.2</w:t>
            </w:r>
          </w:p>
        </w:tc>
        <w:tc>
          <w:tcPr>
            <w:tcW w:w="7912" w:type="dxa"/>
            <w:vAlign w:val="center"/>
          </w:tcPr>
          <w:p>
            <w:pPr>
              <w:keepNext w:val="0"/>
              <w:keepLines w:val="0"/>
              <w:pageBreakBefore w:val="0"/>
              <w:widowControl w:val="0"/>
              <w:kinsoku/>
              <w:wordWrap/>
              <w:overflowPunct/>
              <w:topLinePunct w:val="0"/>
              <w:autoSpaceDE/>
              <w:autoSpaceDN/>
              <w:bidi w:val="0"/>
              <w:adjustRightInd/>
              <w:spacing w:line="440" w:lineRule="exact"/>
              <w:ind w:left="0" w:right="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报价必须含以下部分，包括：</w:t>
            </w:r>
          </w:p>
          <w:p>
            <w:pPr>
              <w:keepNext w:val="0"/>
              <w:keepLines w:val="0"/>
              <w:pageBreakBefore w:val="0"/>
              <w:widowControl w:val="0"/>
              <w:kinsoku/>
              <w:wordWrap/>
              <w:overflowPunct/>
              <w:topLinePunct w:val="0"/>
              <w:autoSpaceDE/>
              <w:autoSpaceDN/>
              <w:bidi w:val="0"/>
              <w:adjustRightInd/>
              <w:spacing w:line="440" w:lineRule="exact"/>
              <w:ind w:left="0" w:right="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（1）货物的价格；</w:t>
            </w:r>
          </w:p>
          <w:p>
            <w:pPr>
              <w:keepNext w:val="0"/>
              <w:keepLines w:val="0"/>
              <w:pageBreakBefore w:val="0"/>
              <w:widowControl w:val="0"/>
              <w:kinsoku/>
              <w:wordWrap/>
              <w:overflowPunct/>
              <w:topLinePunct w:val="0"/>
              <w:autoSpaceDE/>
              <w:autoSpaceDN/>
              <w:bidi w:val="0"/>
              <w:adjustRightInd/>
              <w:spacing w:line="440" w:lineRule="exact"/>
              <w:ind w:left="0" w:right="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（2）必要的保险费用和各项税金；</w:t>
            </w:r>
          </w:p>
          <w:p>
            <w:pPr>
              <w:keepNext w:val="0"/>
              <w:keepLines w:val="0"/>
              <w:pageBreakBefore w:val="0"/>
              <w:widowControl w:val="0"/>
              <w:kinsoku/>
              <w:wordWrap/>
              <w:overflowPunct/>
              <w:topLinePunct w:val="0"/>
              <w:bidi w:val="0"/>
              <w:adjustRightInd/>
              <w:snapToGrid w:val="0"/>
              <w:spacing w:line="440" w:lineRule="exact"/>
              <w:ind w:left="0"/>
              <w:jc w:val="left"/>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（3）其他（如运输、装卸、安装、调试、培训、技术支持、售后货物、更新升级等费用，根据项目具体情况填写）： 包括货款、随配附件、备品备件、专用工具、包装、运输、装卸、保险、运抵指定交货地点、送货上门服务、现场安装调试、保修等各种费用和售后服务、培训、税金</w:t>
            </w:r>
            <w:r>
              <w:rPr>
                <w:rFonts w:hint="eastAsia" w:ascii="宋体" w:hAnsi="宋体" w:cs="宋体"/>
                <w:color w:val="000000" w:themeColor="text1"/>
                <w:sz w:val="21"/>
                <w:szCs w:val="21"/>
                <w:highlight w:val="none"/>
                <w:lang w:eastAsia="zh-CN"/>
                <w14:textFill>
                  <w14:solidFill>
                    <w14:schemeClr w14:val="tx1"/>
                  </w14:solidFill>
                </w14:textFill>
              </w:rPr>
              <w:t>、招标代理服务费</w:t>
            </w:r>
            <w:r>
              <w:rPr>
                <w:rFonts w:hint="eastAsia" w:ascii="宋体" w:hAnsi="宋体" w:eastAsia="宋体" w:cs="宋体"/>
                <w:color w:val="000000" w:themeColor="text1"/>
                <w:sz w:val="21"/>
                <w:szCs w:val="21"/>
                <w:highlight w:val="none"/>
                <w14:textFill>
                  <w14:solidFill>
                    <w14:schemeClr w14:val="tx1"/>
                  </w14:solidFill>
                </w14:textFill>
              </w:rPr>
              <w:t xml:space="preserve">及其他所有成本费用的总和。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keepNext w:val="0"/>
              <w:keepLines w:val="0"/>
              <w:pageBreakBefore w:val="0"/>
              <w:widowControl w:val="0"/>
              <w:kinsoku/>
              <w:wordWrap/>
              <w:overflowPunct/>
              <w:topLinePunct w:val="0"/>
              <w:bidi w:val="0"/>
              <w:adjustRightInd/>
              <w:spacing w:line="440" w:lineRule="exact"/>
              <w:ind w:left="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w:t>
            </w:r>
            <w:r>
              <w:rPr>
                <w:rFonts w:ascii="宋体" w:hAnsi="宋体" w:cs="宋体"/>
                <w:color w:val="000000" w:themeColor="text1"/>
                <w:szCs w:val="21"/>
                <w:highlight w:val="none"/>
                <w14:textFill>
                  <w14:solidFill>
                    <w14:schemeClr w14:val="tx1"/>
                  </w14:solidFill>
                </w14:textFill>
              </w:rPr>
              <w:t>2</w:t>
            </w:r>
          </w:p>
        </w:tc>
        <w:tc>
          <w:tcPr>
            <w:tcW w:w="7912" w:type="dxa"/>
            <w:vAlign w:val="center"/>
          </w:tcPr>
          <w:p>
            <w:pPr>
              <w:pStyle w:val="8"/>
              <w:keepNext w:val="0"/>
              <w:keepLines w:val="0"/>
              <w:pageBreakBefore w:val="0"/>
              <w:widowControl w:val="0"/>
              <w:tabs>
                <w:tab w:val="clear" w:pos="454"/>
              </w:tabs>
              <w:kinsoku/>
              <w:wordWrap/>
              <w:overflowPunct/>
              <w:topLinePunct w:val="0"/>
              <w:bidi w:val="0"/>
              <w:adjustRightInd/>
              <w:snapToGrid w:val="0"/>
              <w:spacing w:afterLines="0" w:line="440" w:lineRule="exact"/>
              <w:ind w:left="0" w:hanging="283" w:hangingChars="135"/>
              <w:rPr>
                <w:rFonts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竞标有效期：自首次响应文件提交截止之日起</w:t>
            </w:r>
            <w:r>
              <w:rPr>
                <w:rFonts w:ascii="宋体" w:hAnsi="宋体" w:cs="宋体"/>
                <w:color w:val="000000" w:themeColor="text1"/>
                <w:kern w:val="2"/>
                <w:sz w:val="21"/>
                <w:szCs w:val="21"/>
                <w:highlight w:val="none"/>
                <w:u w:val="single"/>
                <w14:textFill>
                  <w14:solidFill>
                    <w14:schemeClr w14:val="tx1"/>
                  </w14:solidFill>
                </w14:textFill>
              </w:rPr>
              <w:t>120</w:t>
            </w:r>
            <w:r>
              <w:rPr>
                <w:rFonts w:hint="eastAsia" w:ascii="宋体" w:hAnsi="宋体" w:cs="宋体"/>
                <w:color w:val="000000" w:themeColor="text1"/>
                <w:kern w:val="2"/>
                <w:sz w:val="21"/>
                <w:szCs w:val="21"/>
                <w:highlight w:val="none"/>
                <w14:textFill>
                  <w14:solidFill>
                    <w14:schemeClr w14:val="tx1"/>
                  </w14:solidFill>
                </w14:textFill>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keepNext w:val="0"/>
              <w:keepLines w:val="0"/>
              <w:pageBreakBefore w:val="0"/>
              <w:widowControl w:val="0"/>
              <w:kinsoku/>
              <w:wordWrap/>
              <w:overflowPunct/>
              <w:topLinePunct w:val="0"/>
              <w:bidi w:val="0"/>
              <w:adjustRightInd/>
              <w:spacing w:line="440" w:lineRule="exact"/>
              <w:ind w:left="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17.1</w:t>
            </w:r>
          </w:p>
        </w:tc>
        <w:tc>
          <w:tcPr>
            <w:tcW w:w="7912" w:type="dxa"/>
            <w:vAlign w:val="center"/>
          </w:tcPr>
          <w:p>
            <w:pPr>
              <w:keepNext w:val="0"/>
              <w:keepLines w:val="0"/>
              <w:pageBreakBefore w:val="0"/>
              <w:widowControl w:val="0"/>
              <w:kinsoku/>
              <w:wordWrap/>
              <w:overflowPunct/>
              <w:topLinePunct w:val="0"/>
              <w:autoSpaceDE w:val="0"/>
              <w:autoSpaceDN w:val="0"/>
              <w:bidi w:val="0"/>
              <w:adjustRightInd/>
              <w:snapToGrid w:val="0"/>
              <w:spacing w:line="440" w:lineRule="exact"/>
              <w:ind w:left="0"/>
              <w:textAlignment w:val="bottom"/>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□本项目不收取竞标保证金。</w:t>
            </w:r>
          </w:p>
          <w:p>
            <w:pPr>
              <w:keepNext w:val="0"/>
              <w:keepLines w:val="0"/>
              <w:pageBreakBefore w:val="0"/>
              <w:widowControl w:val="0"/>
              <w:kinsoku/>
              <w:wordWrap/>
              <w:overflowPunct/>
              <w:topLinePunct w:val="0"/>
              <w:bidi w:val="0"/>
              <w:adjustRightInd/>
              <w:snapToGrid w:val="0"/>
              <w:spacing w:line="440" w:lineRule="exact"/>
              <w:ind w:left="0"/>
              <w:rPr>
                <w:rFonts w:ascii="宋体" w:hAnsi="宋体"/>
                <w:color w:val="000000" w:themeColor="text1"/>
                <w:szCs w:val="21"/>
                <w:highlight w:val="none"/>
                <w14:textFill>
                  <w14:solidFill>
                    <w14:schemeClr w14:val="tx1"/>
                  </w14:solidFill>
                </w14:textFill>
              </w:rPr>
            </w:pPr>
            <w:r>
              <w:rPr>
                <w:rFonts w:hint="eastAsia" w:ascii="MS Mincho" w:hAnsi="MS Mincho" w:eastAsia="MS Mincho" w:cs="MS Mincho"/>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本项目收取竞标保证金，具体规定如下：</w:t>
            </w:r>
          </w:p>
          <w:p>
            <w:pPr>
              <w:keepNext w:val="0"/>
              <w:keepLines w:val="0"/>
              <w:pageBreakBefore w:val="0"/>
              <w:widowControl w:val="0"/>
              <w:kinsoku/>
              <w:wordWrap/>
              <w:overflowPunct/>
              <w:topLinePunct w:val="0"/>
              <w:bidi w:val="0"/>
              <w:adjustRightInd/>
              <w:snapToGrid w:val="0"/>
              <w:spacing w:line="440" w:lineRule="exact"/>
              <w:ind w:left="0"/>
              <w:rPr>
                <w:rFonts w:hint="default" w:ascii="宋体" w:hAnsi="宋体" w:cs="宋体"/>
                <w:color w:val="000000" w:themeColor="text1"/>
                <w:kern w:val="0"/>
                <w:szCs w:val="21"/>
                <w:highlight w:val="none"/>
                <w:lang w:val="en-US"/>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竞标保证金人民币</w:t>
            </w:r>
            <w:r>
              <w:rPr>
                <w:rFonts w:hint="eastAsia" w:ascii="宋体" w:hAnsi="宋体" w:cs="宋体"/>
                <w:b/>
                <w:bCs/>
                <w:color w:val="000000" w:themeColor="text1"/>
                <w:kern w:val="0"/>
                <w:szCs w:val="21"/>
                <w:highlight w:val="none"/>
                <w:u w:val="none"/>
                <w:lang w:eastAsia="zh-CN"/>
                <w14:textFill>
                  <w14:solidFill>
                    <w14:schemeClr w14:val="tx1"/>
                  </w14:solidFill>
                </w14:textFill>
              </w:rPr>
              <w:t>：</w:t>
            </w:r>
            <w:r>
              <w:rPr>
                <w:rFonts w:hint="eastAsia" w:ascii="宋体" w:hAnsi="宋体" w:cs="宋体"/>
                <w:b/>
                <w:bCs/>
                <w:color w:val="000000" w:themeColor="text1"/>
                <w:kern w:val="0"/>
                <w:szCs w:val="21"/>
                <w:highlight w:val="none"/>
                <w:u w:val="single"/>
                <w:lang w:val="en-US" w:eastAsia="zh-CN"/>
                <w14:textFill>
                  <w14:solidFill>
                    <w14:schemeClr w14:val="tx1"/>
                  </w14:solidFill>
                </w14:textFill>
              </w:rPr>
              <w:t>1分包：9800.00元；2分包：2400.00</w:t>
            </w:r>
          </w:p>
          <w:p>
            <w:pPr>
              <w:keepNext w:val="0"/>
              <w:keepLines w:val="0"/>
              <w:pageBreakBefore w:val="0"/>
              <w:widowControl w:val="0"/>
              <w:kinsoku/>
              <w:wordWrap/>
              <w:overflowPunct/>
              <w:topLinePunct w:val="0"/>
              <w:bidi w:val="0"/>
              <w:adjustRightInd/>
              <w:snapToGrid w:val="0"/>
              <w:spacing w:line="440" w:lineRule="exact"/>
              <w:ind w:left="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竞标保证金的交纳方式：银行转账、支票、汇票、本票或者银行、</w:t>
            </w:r>
            <w:r>
              <w:rPr>
                <w:rFonts w:hint="eastAsia" w:ascii="宋体" w:hAnsi="宋体" w:cs="宋体"/>
                <w:color w:val="000000" w:themeColor="text1"/>
                <w:kern w:val="0"/>
                <w:szCs w:val="21"/>
                <w:highlight w:val="none"/>
                <w:lang w:val="en-US" w:eastAsia="zh-CN"/>
                <w14:textFill>
                  <w14:solidFill>
                    <w14:schemeClr w14:val="tx1"/>
                  </w14:solidFill>
                </w14:textFill>
              </w:rPr>
              <w:t>担保、</w:t>
            </w:r>
            <w:r>
              <w:rPr>
                <w:rFonts w:hint="eastAsia" w:ascii="宋体" w:hAnsi="宋体" w:cs="宋体"/>
                <w:color w:val="000000" w:themeColor="text1"/>
                <w:kern w:val="0"/>
                <w:szCs w:val="21"/>
                <w:highlight w:val="none"/>
                <w14:textFill>
                  <w14:solidFill>
                    <w14:schemeClr w14:val="tx1"/>
                  </w14:solidFill>
                </w14:textFill>
              </w:rPr>
              <w:t>保险机构出具的保函</w:t>
            </w:r>
            <w:r>
              <w:rPr>
                <w:color w:val="000000" w:themeColor="text1"/>
                <w:highlight w:val="none"/>
                <w14:textFill>
                  <w14:solidFill>
                    <w14:schemeClr w14:val="tx1"/>
                  </w14:solidFill>
                </w14:textFill>
              </w:rPr>
              <w:t>（包含电子保函）</w:t>
            </w:r>
            <w:r>
              <w:rPr>
                <w:rFonts w:hint="eastAsia" w:ascii="宋体" w:hAnsi="宋体" w:cs="宋体"/>
                <w:color w:val="000000" w:themeColor="text1"/>
                <w:kern w:val="0"/>
                <w:szCs w:val="21"/>
                <w:highlight w:val="none"/>
                <w14:textFill>
                  <w14:solidFill>
                    <w14:schemeClr w14:val="tx1"/>
                  </w14:solidFill>
                </w14:textFill>
              </w:rPr>
              <w:t>，禁止采用现钞方式。采用银行转账方式的，在响应文件提交截止时间前交至指定账户并且到账[</w:t>
            </w:r>
            <w:r>
              <w:rPr>
                <w:rFonts w:hint="eastAsia" w:ascii="宋体" w:hAnsi="宋体" w:cs="宋体"/>
                <w:b/>
                <w:bCs/>
                <w:color w:val="000000" w:themeColor="text1"/>
                <w:szCs w:val="21"/>
                <w:highlight w:val="none"/>
                <w14:textFill>
                  <w14:solidFill>
                    <w14:schemeClr w14:val="tx1"/>
                  </w14:solidFill>
                </w14:textFill>
              </w:rPr>
              <w:t>开户名称：广西正海招标有限公司，开户银行：广西北部湾银行南宁市兴宁支行，银行账号：800105504300012</w:t>
            </w:r>
            <w:r>
              <w:rPr>
                <w:rFonts w:hint="eastAsia" w:ascii="宋体" w:hAnsi="宋体" w:cs="宋体"/>
                <w:b/>
                <w:bCs/>
                <w:color w:val="000000" w:themeColor="text1"/>
                <w:szCs w:val="21"/>
                <w:highlight w:val="none"/>
                <w:lang w:eastAsia="zh-CN"/>
                <w14:textFill>
                  <w14:solidFill>
                    <w14:schemeClr w14:val="tx1"/>
                  </w14:solidFill>
                </w14:textFill>
              </w:rPr>
              <w:t>，北部湾行号：313611014014</w:t>
            </w:r>
            <w:r>
              <w:rPr>
                <w:rFonts w:hint="eastAsia" w:ascii="宋体" w:hAnsi="宋体" w:cs="宋体"/>
                <w:color w:val="000000" w:themeColor="text1"/>
                <w:kern w:val="0"/>
                <w:szCs w:val="21"/>
                <w:highlight w:val="none"/>
                <w14:textFill>
                  <w14:solidFill>
                    <w14:schemeClr w14:val="tx1"/>
                  </w14:solidFill>
                </w14:textFill>
              </w:rPr>
              <w:t>]；采用支票、汇票、本票或者保函等方式的，在响应文件提交截止时间前，供应商必须提交单独密封的支票、汇票、本票或者保函原件。否则视为无效竞标保证金</w:t>
            </w:r>
            <w:r>
              <w:rPr>
                <w:rFonts w:hint="eastAsia" w:ascii="宋体" w:hAnsi="宋体" w:cs="宋体"/>
                <w:color w:val="000000" w:themeColor="text1"/>
                <w:kern w:val="0"/>
                <w:szCs w:val="21"/>
                <w:highlight w:val="none"/>
                <w:lang w:eastAsia="zh-CN"/>
                <w14:textFill>
                  <w14:solidFill>
                    <w14:schemeClr w14:val="tx1"/>
                  </w14:solidFill>
                </w14:textFill>
              </w:rPr>
              <w:t>（转账时请备注项目编号</w:t>
            </w:r>
            <w:r>
              <w:rPr>
                <w:rFonts w:hint="eastAsia" w:ascii="宋体" w:hAnsi="宋体" w:cs="宋体"/>
                <w:color w:val="000000" w:themeColor="text1"/>
                <w:kern w:val="0"/>
                <w:szCs w:val="21"/>
                <w:highlight w:val="none"/>
                <w:lang w:val="en-US" w:eastAsia="zh-CN"/>
                <w14:textFill>
                  <w14:solidFill>
                    <w14:schemeClr w14:val="tx1"/>
                  </w14:solidFill>
                </w14:textFill>
              </w:rPr>
              <w:t>+分包号</w:t>
            </w:r>
            <w:r>
              <w:rPr>
                <w:rFonts w:hint="eastAsia" w:ascii="宋体" w:hAnsi="宋体" w:cs="宋体"/>
                <w:color w:val="000000" w:themeColor="text1"/>
                <w:kern w:val="0"/>
                <w:szCs w:val="21"/>
                <w:highlight w:val="none"/>
                <w:lang w:eastAsia="zh-CN"/>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snapToGrid w:val="0"/>
              <w:spacing w:line="440" w:lineRule="exact"/>
              <w:ind w:left="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相关要求：</w:t>
            </w:r>
          </w:p>
          <w:p>
            <w:pPr>
              <w:keepNext w:val="0"/>
              <w:keepLines w:val="0"/>
              <w:pageBreakBefore w:val="0"/>
              <w:widowControl w:val="0"/>
              <w:kinsoku/>
              <w:wordWrap/>
              <w:overflowPunct/>
              <w:topLinePunct w:val="0"/>
              <w:bidi w:val="0"/>
              <w:adjustRightInd/>
              <w:snapToGrid w:val="0"/>
              <w:spacing w:line="440" w:lineRule="exact"/>
              <w:ind w:left="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lang w:eastAsia="zh-CN"/>
                <w14:textFill>
                  <w14:solidFill>
                    <w14:schemeClr w14:val="tx1"/>
                  </w14:solidFill>
                </w14:textFill>
              </w:rPr>
              <w:t>竞标保证金</w:t>
            </w:r>
            <w:r>
              <w:rPr>
                <w:rFonts w:hint="eastAsia" w:ascii="宋体" w:hAnsi="宋体" w:cs="宋体"/>
                <w:color w:val="000000" w:themeColor="text1"/>
                <w:szCs w:val="21"/>
                <w:highlight w:val="none"/>
                <w14:textFill>
                  <w14:solidFill>
                    <w14:schemeClr w14:val="tx1"/>
                  </w14:solidFill>
                </w14:textFill>
              </w:rPr>
              <w:t>采用银行转账交纳方式的，在</w:t>
            </w:r>
            <w:r>
              <w:rPr>
                <w:rFonts w:hint="eastAsia" w:ascii="宋体" w:hAnsi="宋体" w:cs="宋体"/>
                <w:color w:val="000000" w:themeColor="text1"/>
                <w:szCs w:val="21"/>
                <w:highlight w:val="none"/>
                <w:lang w:eastAsia="zh-CN"/>
                <w14:textFill>
                  <w14:solidFill>
                    <w14:schemeClr w14:val="tx1"/>
                  </w14:solidFill>
                </w14:textFill>
              </w:rPr>
              <w:t>竞标</w:t>
            </w:r>
            <w:r>
              <w:rPr>
                <w:rFonts w:hint="eastAsia" w:ascii="宋体" w:hAnsi="宋体" w:cs="宋体"/>
                <w:color w:val="000000" w:themeColor="text1"/>
                <w:szCs w:val="21"/>
                <w:highlight w:val="none"/>
                <w14:textFill>
                  <w14:solidFill>
                    <w14:schemeClr w14:val="tx1"/>
                  </w14:solidFill>
                </w14:textFill>
              </w:rPr>
              <w:t>截止时间前交至指定账户并且到账，</w:t>
            </w:r>
            <w:r>
              <w:rPr>
                <w:rFonts w:hint="eastAsia" w:ascii="宋体" w:hAnsi="宋体" w:cs="宋体"/>
                <w:color w:val="000000" w:themeColor="text1"/>
                <w:szCs w:val="21"/>
                <w:highlight w:val="none"/>
                <w:lang w:eastAsia="zh-CN"/>
                <w14:textFill>
                  <w14:solidFill>
                    <w14:schemeClr w14:val="tx1"/>
                  </w14:solidFill>
                </w14:textFill>
              </w:rPr>
              <w:t>供应商</w:t>
            </w:r>
            <w:r>
              <w:rPr>
                <w:rFonts w:hint="eastAsia" w:ascii="宋体" w:hAnsi="宋体" w:cs="宋体"/>
                <w:color w:val="000000" w:themeColor="text1"/>
                <w:szCs w:val="21"/>
                <w:highlight w:val="none"/>
                <w14:textFill>
                  <w14:solidFill>
                    <w14:schemeClr w14:val="tx1"/>
                  </w14:solidFill>
                </w14:textFill>
              </w:rPr>
              <w:t>应将银行转账底单的复印件作为</w:t>
            </w:r>
            <w:r>
              <w:rPr>
                <w:rFonts w:hint="eastAsia" w:ascii="宋体" w:hAnsi="宋体" w:cs="宋体"/>
                <w:color w:val="000000" w:themeColor="text1"/>
                <w:szCs w:val="21"/>
                <w:highlight w:val="none"/>
                <w:lang w:eastAsia="zh-CN"/>
                <w14:textFill>
                  <w14:solidFill>
                    <w14:schemeClr w14:val="tx1"/>
                  </w14:solidFill>
                </w14:textFill>
              </w:rPr>
              <w:t>竞标保证金</w:t>
            </w:r>
            <w:r>
              <w:rPr>
                <w:rFonts w:hint="eastAsia" w:ascii="宋体" w:hAnsi="宋体" w:cs="宋体"/>
                <w:color w:val="000000" w:themeColor="text1"/>
                <w:szCs w:val="21"/>
                <w:highlight w:val="none"/>
                <w14:textFill>
                  <w14:solidFill>
                    <w14:schemeClr w14:val="tx1"/>
                  </w14:solidFill>
                </w14:textFill>
              </w:rPr>
              <w:t>提交凭证，放置于商务文件中，否则</w:t>
            </w:r>
            <w:r>
              <w:rPr>
                <w:rFonts w:hint="eastAsia" w:ascii="宋体" w:hAnsi="宋体" w:cs="宋体"/>
                <w:color w:val="000000" w:themeColor="text1"/>
                <w:szCs w:val="21"/>
                <w:highlight w:val="none"/>
                <w:lang w:eastAsia="zh-CN"/>
                <w14:textFill>
                  <w14:solidFill>
                    <w14:schemeClr w14:val="tx1"/>
                  </w14:solidFill>
                </w14:textFill>
              </w:rPr>
              <w:t>竞标</w:t>
            </w:r>
            <w:r>
              <w:rPr>
                <w:rFonts w:hint="eastAsia" w:ascii="宋体" w:hAnsi="宋体" w:cs="宋体"/>
                <w:color w:val="000000" w:themeColor="text1"/>
                <w:szCs w:val="21"/>
                <w:highlight w:val="none"/>
                <w14:textFill>
                  <w14:solidFill>
                    <w14:schemeClr w14:val="tx1"/>
                  </w14:solidFill>
                </w14:textFill>
              </w:rPr>
              <w:t>无效。</w:t>
            </w:r>
          </w:p>
          <w:p>
            <w:pPr>
              <w:keepNext w:val="0"/>
              <w:keepLines w:val="0"/>
              <w:pageBreakBefore w:val="0"/>
              <w:widowControl w:val="0"/>
              <w:kinsoku/>
              <w:wordWrap/>
              <w:overflowPunct/>
              <w:topLinePunct w:val="0"/>
              <w:bidi w:val="0"/>
              <w:adjustRightInd/>
              <w:snapToGrid w:val="0"/>
              <w:spacing w:line="440" w:lineRule="exact"/>
              <w:ind w:left="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lang w:eastAsia="zh-CN"/>
                <w14:textFill>
                  <w14:solidFill>
                    <w14:schemeClr w14:val="tx1"/>
                  </w14:solidFill>
                </w14:textFill>
              </w:rPr>
              <w:t>竞标保证金</w:t>
            </w:r>
            <w:r>
              <w:rPr>
                <w:rFonts w:hint="eastAsia" w:ascii="宋体" w:hAnsi="宋体" w:cs="宋体"/>
                <w:color w:val="000000" w:themeColor="text1"/>
                <w:szCs w:val="21"/>
                <w:highlight w:val="none"/>
                <w14:textFill>
                  <w14:solidFill>
                    <w14:schemeClr w14:val="tx1"/>
                  </w14:solidFill>
                </w14:textFill>
              </w:rPr>
              <w:t>采用支票、汇票、本票或者银行、</w:t>
            </w:r>
            <w:r>
              <w:rPr>
                <w:rFonts w:hint="eastAsia" w:ascii="宋体" w:hAnsi="宋体" w:cs="宋体"/>
                <w:color w:val="000000" w:themeColor="text1"/>
                <w:kern w:val="0"/>
                <w:szCs w:val="21"/>
                <w:highlight w:val="none"/>
                <w:lang w:val="en-US" w:eastAsia="zh-CN"/>
                <w14:textFill>
                  <w14:solidFill>
                    <w14:schemeClr w14:val="tx1"/>
                  </w14:solidFill>
                </w14:textFill>
              </w:rPr>
              <w:t>担保、</w:t>
            </w:r>
            <w:r>
              <w:rPr>
                <w:rFonts w:hint="eastAsia" w:ascii="宋体" w:hAnsi="宋体" w:cs="宋体"/>
                <w:color w:val="000000" w:themeColor="text1"/>
                <w:szCs w:val="21"/>
                <w:highlight w:val="none"/>
                <w14:textFill>
                  <w14:solidFill>
                    <w14:schemeClr w14:val="tx1"/>
                  </w14:solidFill>
                </w14:textFill>
              </w:rPr>
              <w:t>保险机构出具的保函</w:t>
            </w:r>
            <w:r>
              <w:rPr>
                <w:color w:val="000000" w:themeColor="text1"/>
                <w:highlight w:val="none"/>
                <w14:textFill>
                  <w14:solidFill>
                    <w14:schemeClr w14:val="tx1"/>
                  </w14:solidFill>
                </w14:textFill>
              </w:rPr>
              <w:t>（包含电子保函）</w:t>
            </w:r>
            <w:r>
              <w:rPr>
                <w:rFonts w:hint="eastAsia" w:ascii="宋体" w:hAnsi="宋体" w:cs="宋体"/>
                <w:color w:val="000000" w:themeColor="text1"/>
                <w:szCs w:val="21"/>
                <w:highlight w:val="none"/>
                <w14:textFill>
                  <w14:solidFill>
                    <w14:schemeClr w14:val="tx1"/>
                  </w14:solidFill>
                </w14:textFill>
              </w:rPr>
              <w:t>交纳方式的，</w:t>
            </w:r>
            <w:r>
              <w:rPr>
                <w:rFonts w:hint="eastAsia" w:ascii="宋体" w:hAnsi="宋体" w:cs="宋体"/>
                <w:color w:val="000000" w:themeColor="text1"/>
                <w:szCs w:val="21"/>
                <w:highlight w:val="none"/>
                <w:lang w:eastAsia="zh-CN"/>
                <w14:textFill>
                  <w14:solidFill>
                    <w14:schemeClr w14:val="tx1"/>
                  </w14:solidFill>
                </w14:textFill>
              </w:rPr>
              <w:t>供应商</w:t>
            </w:r>
            <w:r>
              <w:rPr>
                <w:rFonts w:hint="eastAsia" w:ascii="宋体" w:hAnsi="宋体" w:cs="宋体"/>
                <w:color w:val="000000" w:themeColor="text1"/>
                <w:szCs w:val="21"/>
                <w:highlight w:val="none"/>
                <w14:textFill>
                  <w14:solidFill>
                    <w14:schemeClr w14:val="tx1"/>
                  </w14:solidFill>
                </w14:textFill>
              </w:rPr>
              <w:t>应在</w:t>
            </w:r>
            <w:r>
              <w:rPr>
                <w:rFonts w:hint="eastAsia" w:ascii="宋体" w:hAnsi="宋体" w:cs="宋体"/>
                <w:color w:val="000000" w:themeColor="text1"/>
                <w:szCs w:val="21"/>
                <w:highlight w:val="none"/>
                <w:lang w:eastAsia="zh-CN"/>
                <w14:textFill>
                  <w14:solidFill>
                    <w14:schemeClr w14:val="tx1"/>
                  </w14:solidFill>
                </w14:textFill>
              </w:rPr>
              <w:t>竞标</w:t>
            </w:r>
            <w:r>
              <w:rPr>
                <w:rFonts w:hint="eastAsia" w:ascii="宋体" w:hAnsi="宋体" w:cs="宋体"/>
                <w:color w:val="000000" w:themeColor="text1"/>
                <w:szCs w:val="21"/>
                <w:highlight w:val="none"/>
                <w14:textFill>
                  <w14:solidFill>
                    <w14:schemeClr w14:val="tx1"/>
                  </w14:solidFill>
                </w14:textFill>
              </w:rPr>
              <w:t>截止时间前采用现场或邮寄方式（现场提交地址：广西正海招标有限公司（</w:t>
            </w:r>
            <w:r>
              <w:rPr>
                <w:rFonts w:hint="eastAsia" w:ascii="宋体" w:hAnsi="宋体" w:cs="宋体"/>
                <w:color w:val="000000" w:themeColor="text1"/>
                <w:szCs w:val="21"/>
                <w:highlight w:val="none"/>
                <w:lang w:eastAsia="zh-CN"/>
                <w14:textFill>
                  <w14:solidFill>
                    <w14:schemeClr w14:val="tx1"/>
                  </w14:solidFill>
                </w14:textFill>
              </w:rPr>
              <w:t>南宁市青秀区茅桥路2号习艺基地A栋1号电梯3楼</w:t>
            </w:r>
            <w:r>
              <w:rPr>
                <w:rFonts w:hint="eastAsia" w:ascii="宋体" w:hAnsi="宋体" w:cs="宋体"/>
                <w:color w:val="000000" w:themeColor="text1"/>
                <w:szCs w:val="21"/>
                <w:highlight w:val="none"/>
                <w14:textFill>
                  <w14:solidFill>
                    <w14:schemeClr w14:val="tx1"/>
                  </w14:solidFill>
                </w14:textFill>
              </w:rPr>
              <w:t>）；邮寄地址：广西正海招标有限公司（</w:t>
            </w:r>
            <w:r>
              <w:rPr>
                <w:rFonts w:hint="eastAsia" w:ascii="宋体" w:hAnsi="宋体" w:cs="宋体"/>
                <w:color w:val="000000" w:themeColor="text1"/>
                <w:szCs w:val="21"/>
                <w:highlight w:val="none"/>
                <w:lang w:eastAsia="zh-CN"/>
                <w14:textFill>
                  <w14:solidFill>
                    <w14:schemeClr w14:val="tx1"/>
                  </w14:solidFill>
                </w14:textFill>
              </w:rPr>
              <w:t>南宁市青秀区茅桥路2号习艺基地A栋1号电梯3楼</w:t>
            </w:r>
            <w:r>
              <w:rPr>
                <w:rFonts w:hint="eastAsia" w:ascii="宋体" w:hAnsi="宋体" w:cs="宋体"/>
                <w:color w:val="000000" w:themeColor="text1"/>
                <w:szCs w:val="21"/>
                <w:highlight w:val="none"/>
                <w14:textFill>
                  <w14:solidFill>
                    <w14:schemeClr w14:val="tx1"/>
                  </w14:solidFill>
                </w14:textFill>
              </w:rPr>
              <w:t>，收件人：</w:t>
            </w:r>
            <w:r>
              <w:rPr>
                <w:rFonts w:hint="eastAsia" w:ascii="宋体" w:hAnsi="宋体" w:cs="宋体"/>
                <w:color w:val="000000" w:themeColor="text1"/>
                <w:szCs w:val="21"/>
                <w:highlight w:val="none"/>
                <w:lang w:eastAsia="zh-CN"/>
                <w14:textFill>
                  <w14:solidFill>
                    <w14:schemeClr w14:val="tx1"/>
                  </w14:solidFill>
                </w14:textFill>
              </w:rPr>
              <w:t>覃旭理</w:t>
            </w:r>
            <w:r>
              <w:rPr>
                <w:rFonts w:hint="eastAsia" w:ascii="宋体" w:hAnsi="宋体" w:cs="宋体"/>
                <w:color w:val="000000" w:themeColor="text1"/>
                <w:szCs w:val="21"/>
                <w:highlight w:val="none"/>
                <w14:textFill>
                  <w14:solidFill>
                    <w14:schemeClr w14:val="tx1"/>
                  </w14:solidFill>
                </w14:textFill>
              </w:rPr>
              <w:t>，联系方式：0771-2865989）将单独密封的支票、汇票、本票或者银行、保险机构出具的保函</w:t>
            </w:r>
            <w:r>
              <w:rPr>
                <w:color w:val="000000" w:themeColor="text1"/>
                <w:highlight w:val="none"/>
                <w14:textFill>
                  <w14:solidFill>
                    <w14:schemeClr w14:val="tx1"/>
                  </w14:solidFill>
                </w14:textFill>
              </w:rPr>
              <w:t>（包含电子保函）</w:t>
            </w:r>
            <w:r>
              <w:rPr>
                <w:rFonts w:hint="eastAsia" w:ascii="宋体" w:hAnsi="宋体" w:cs="宋体"/>
                <w:color w:val="000000" w:themeColor="text1"/>
                <w:szCs w:val="21"/>
                <w:highlight w:val="none"/>
                <w14:textFill>
                  <w14:solidFill>
                    <w14:schemeClr w14:val="tx1"/>
                  </w14:solidFill>
                </w14:textFill>
              </w:rPr>
              <w:t>原件提交给采购人或者采购代理机构，由采购人或者采购代理机构向</w:t>
            </w:r>
            <w:r>
              <w:rPr>
                <w:rFonts w:hint="eastAsia" w:ascii="宋体" w:hAnsi="宋体" w:cs="宋体"/>
                <w:color w:val="000000" w:themeColor="text1"/>
                <w:szCs w:val="21"/>
                <w:highlight w:val="none"/>
                <w:lang w:eastAsia="zh-CN"/>
                <w14:textFill>
                  <w14:solidFill>
                    <w14:schemeClr w14:val="tx1"/>
                  </w14:solidFill>
                </w14:textFill>
              </w:rPr>
              <w:t>供应商</w:t>
            </w:r>
            <w:r>
              <w:rPr>
                <w:rFonts w:hint="eastAsia" w:ascii="宋体" w:hAnsi="宋体" w:cs="宋体"/>
                <w:color w:val="000000" w:themeColor="text1"/>
                <w:szCs w:val="21"/>
                <w:highlight w:val="none"/>
                <w14:textFill>
                  <w14:solidFill>
                    <w14:schemeClr w14:val="tx1"/>
                  </w14:solidFill>
                </w14:textFill>
              </w:rPr>
              <w:t>出具回执（邮寄方式的除外），并妥善保管。</w:t>
            </w:r>
          </w:p>
          <w:p>
            <w:pPr>
              <w:keepNext w:val="0"/>
              <w:keepLines w:val="0"/>
              <w:pageBreakBefore w:val="0"/>
              <w:widowControl w:val="0"/>
              <w:kinsoku/>
              <w:wordWrap/>
              <w:overflowPunct/>
              <w:topLinePunct w:val="0"/>
              <w:bidi w:val="0"/>
              <w:adjustRightInd/>
              <w:snapToGrid w:val="0"/>
              <w:spacing w:line="440" w:lineRule="exact"/>
              <w:ind w:left="0"/>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3.供应商为联合体的，可以由联合体中的一方或者多方共同交纳</w:t>
            </w:r>
            <w:r>
              <w:rPr>
                <w:rFonts w:hint="eastAsia" w:ascii="宋体" w:hAnsi="宋体" w:cs="宋体"/>
                <w:color w:val="000000" w:themeColor="text1"/>
                <w:szCs w:val="21"/>
                <w:highlight w:val="none"/>
                <w:lang w:eastAsia="zh-CN"/>
                <w14:textFill>
                  <w14:solidFill>
                    <w14:schemeClr w14:val="tx1"/>
                  </w14:solidFill>
                </w14:textFill>
              </w:rPr>
              <w:t>竞标保证金</w:t>
            </w:r>
            <w:r>
              <w:rPr>
                <w:rFonts w:hint="eastAsia" w:ascii="宋体" w:hAnsi="宋体" w:cs="宋体"/>
                <w:color w:val="000000" w:themeColor="text1"/>
                <w:szCs w:val="21"/>
                <w:highlight w:val="none"/>
                <w14:textFill>
                  <w14:solidFill>
                    <w14:schemeClr w14:val="tx1"/>
                  </w14:solidFill>
                </w14:textFill>
              </w:rPr>
              <w:t>，其交纳的保证金对联合体各方均具有约束力。</w:t>
            </w:r>
          </w:p>
          <w:p>
            <w:pPr>
              <w:keepNext w:val="0"/>
              <w:keepLines w:val="0"/>
              <w:pageBreakBefore w:val="0"/>
              <w:widowControl w:val="0"/>
              <w:kinsoku/>
              <w:wordWrap/>
              <w:overflowPunct/>
              <w:topLinePunct w:val="0"/>
              <w:bidi w:val="0"/>
              <w:adjustRightInd/>
              <w:snapToGrid w:val="0"/>
              <w:spacing w:line="440" w:lineRule="exact"/>
              <w:ind w:left="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 xml:space="preserve">备注： </w:t>
            </w:r>
          </w:p>
          <w:p>
            <w:pPr>
              <w:keepNext w:val="0"/>
              <w:keepLines w:val="0"/>
              <w:pageBreakBefore w:val="0"/>
              <w:widowControl w:val="0"/>
              <w:kinsoku/>
              <w:wordWrap/>
              <w:overflowPunct/>
              <w:topLinePunct w:val="0"/>
              <w:bidi w:val="0"/>
              <w:adjustRightInd/>
              <w:snapToGrid w:val="0"/>
              <w:spacing w:line="440" w:lineRule="exact"/>
              <w:ind w:left="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1.竞标保证金在响应文件提交截止时间后提交的，或者不按规定交纳方式交纳的，或者未足额交纳的（包含保函额度不足的），视为无效竞标保证金。</w:t>
            </w:r>
          </w:p>
          <w:p>
            <w:pPr>
              <w:keepNext w:val="0"/>
              <w:keepLines w:val="0"/>
              <w:pageBreakBefore w:val="0"/>
              <w:widowControl w:val="0"/>
              <w:kinsoku/>
              <w:wordWrap/>
              <w:overflowPunct/>
              <w:topLinePunct w:val="0"/>
              <w:bidi w:val="0"/>
              <w:adjustRightInd/>
              <w:snapToGrid w:val="0"/>
              <w:spacing w:line="440" w:lineRule="exact"/>
              <w:ind w:left="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2.供应商采用现钞方式或者从个人账户（自然人竞标除外）转出的竞标保证金，视为无效竞标保证金。</w:t>
            </w:r>
          </w:p>
          <w:p>
            <w:pPr>
              <w:keepNext w:val="0"/>
              <w:keepLines w:val="0"/>
              <w:pageBreakBefore w:val="0"/>
              <w:widowControl w:val="0"/>
              <w:kinsoku/>
              <w:wordWrap/>
              <w:overflowPunct/>
              <w:topLinePunct w:val="0"/>
              <w:bidi w:val="0"/>
              <w:adjustRightInd/>
              <w:snapToGrid w:val="0"/>
              <w:spacing w:line="440" w:lineRule="exact"/>
              <w:ind w:left="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3.支票、汇票或者本票出现无效或者背书情形的，视为无效竞标保证金。</w:t>
            </w:r>
          </w:p>
          <w:p>
            <w:pPr>
              <w:keepNext w:val="0"/>
              <w:keepLines w:val="0"/>
              <w:pageBreakBefore w:val="0"/>
              <w:widowControl w:val="0"/>
              <w:kinsoku/>
              <w:wordWrap/>
              <w:overflowPunct/>
              <w:topLinePunct w:val="0"/>
              <w:bidi w:val="0"/>
              <w:adjustRightInd/>
              <w:snapToGrid w:val="0"/>
              <w:spacing w:line="440" w:lineRule="exact"/>
              <w:ind w:left="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4.保函有效期低于竞标有效期的，视为无效竞标保证金。</w:t>
            </w:r>
          </w:p>
          <w:p>
            <w:pPr>
              <w:keepNext w:val="0"/>
              <w:keepLines w:val="0"/>
              <w:pageBreakBefore w:val="0"/>
              <w:widowControl w:val="0"/>
              <w:kinsoku/>
              <w:wordWrap/>
              <w:overflowPunct/>
              <w:topLinePunct w:val="0"/>
              <w:bidi w:val="0"/>
              <w:adjustRightInd/>
              <w:snapToGrid w:val="0"/>
              <w:spacing w:line="440" w:lineRule="exact"/>
              <w:ind w:left="0"/>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5.竞标保证金采用银行、保险机构出具的保函为有条件保函的，视为无效竞标保证金。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keepNext w:val="0"/>
              <w:keepLines w:val="0"/>
              <w:pageBreakBefore w:val="0"/>
              <w:widowControl w:val="0"/>
              <w:kinsoku/>
              <w:wordWrap/>
              <w:overflowPunct/>
              <w:topLinePunct w:val="0"/>
              <w:bidi w:val="0"/>
              <w:adjustRightInd/>
              <w:spacing w:line="440" w:lineRule="exact"/>
              <w:ind w:left="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19</w:t>
            </w:r>
          </w:p>
        </w:tc>
        <w:tc>
          <w:tcPr>
            <w:tcW w:w="7912" w:type="dxa"/>
            <w:vAlign w:val="center"/>
          </w:tcPr>
          <w:p>
            <w:pPr>
              <w:keepNext w:val="0"/>
              <w:keepLines w:val="0"/>
              <w:pageBreakBefore w:val="0"/>
              <w:widowControl w:val="0"/>
              <w:kinsoku/>
              <w:wordWrap/>
              <w:overflowPunct/>
              <w:topLinePunct w:val="0"/>
              <w:autoSpaceDE w:val="0"/>
              <w:autoSpaceDN w:val="0"/>
              <w:bidi w:val="0"/>
              <w:adjustRightInd/>
              <w:snapToGrid w:val="0"/>
              <w:spacing w:line="440" w:lineRule="exact"/>
              <w:ind w:left="0"/>
              <w:textAlignment w:val="bottom"/>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本项目不接受</w:t>
            </w:r>
            <w:r>
              <w:rPr>
                <w:rFonts w:hint="eastAsia"/>
                <w:color w:val="000000" w:themeColor="text1"/>
                <w:highlight w:val="none"/>
                <w14:textFill>
                  <w14:solidFill>
                    <w14:schemeClr w14:val="tx1"/>
                  </w14:solidFill>
                </w14:textFill>
              </w:rPr>
              <w:t>电子</w:t>
            </w:r>
            <w:r>
              <w:rPr>
                <w:rFonts w:hint="eastAsia" w:ascii="宋体" w:hAnsi="宋体"/>
                <w:color w:val="000000" w:themeColor="text1"/>
                <w:szCs w:val="21"/>
                <w:highlight w:val="none"/>
                <w14:textFill>
                  <w14:solidFill>
                    <w14:schemeClr w14:val="tx1"/>
                  </w14:solidFill>
                </w14:textFill>
              </w:rPr>
              <w:t>备份响应文件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keepNext w:val="0"/>
              <w:keepLines w:val="0"/>
              <w:pageBreakBefore w:val="0"/>
              <w:widowControl w:val="0"/>
              <w:kinsoku/>
              <w:wordWrap/>
              <w:overflowPunct/>
              <w:topLinePunct w:val="0"/>
              <w:bidi w:val="0"/>
              <w:adjustRightInd/>
              <w:spacing w:line="440" w:lineRule="exact"/>
              <w:ind w:left="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20.1</w:t>
            </w:r>
          </w:p>
        </w:tc>
        <w:tc>
          <w:tcPr>
            <w:tcW w:w="7912" w:type="dxa"/>
            <w:vAlign w:val="center"/>
          </w:tcPr>
          <w:p>
            <w:pPr>
              <w:keepNext w:val="0"/>
              <w:keepLines w:val="0"/>
              <w:pageBreakBefore w:val="0"/>
              <w:widowControl w:val="0"/>
              <w:kinsoku/>
              <w:wordWrap/>
              <w:overflowPunct/>
              <w:topLinePunct w:val="0"/>
              <w:bidi w:val="0"/>
              <w:adjustRightInd/>
              <w:spacing w:line="440" w:lineRule="exact"/>
              <w:ind w:left="0"/>
              <w:contextualSpacing/>
              <w:jc w:val="left"/>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响应文件提交截止时间：详见竞争性谈判公告或者竞标邀请函。</w:t>
            </w:r>
          </w:p>
          <w:p>
            <w:pPr>
              <w:keepNext w:val="0"/>
              <w:keepLines w:val="0"/>
              <w:pageBreakBefore w:val="0"/>
              <w:widowControl w:val="0"/>
              <w:kinsoku/>
              <w:wordWrap/>
              <w:overflowPunct/>
              <w:topLinePunct w:val="0"/>
              <w:bidi w:val="0"/>
              <w:adjustRightInd/>
              <w:spacing w:line="440" w:lineRule="exact"/>
              <w:ind w:left="0"/>
              <w:contextualSpacing/>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响应文件提交地点：详见竞争性谈判公告或者竞标邀请函。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keepNext w:val="0"/>
              <w:keepLines w:val="0"/>
              <w:pageBreakBefore w:val="0"/>
              <w:widowControl w:val="0"/>
              <w:kinsoku/>
              <w:wordWrap/>
              <w:overflowPunct/>
              <w:topLinePunct w:val="0"/>
              <w:bidi w:val="0"/>
              <w:adjustRightInd/>
              <w:spacing w:line="440" w:lineRule="exact"/>
              <w:ind w:left="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24.1</w:t>
            </w:r>
          </w:p>
        </w:tc>
        <w:tc>
          <w:tcPr>
            <w:tcW w:w="7912" w:type="dxa"/>
            <w:vAlign w:val="center"/>
          </w:tcPr>
          <w:p>
            <w:pPr>
              <w:keepNext w:val="0"/>
              <w:keepLines w:val="0"/>
              <w:pageBreakBefore w:val="0"/>
              <w:widowControl w:val="0"/>
              <w:kinsoku/>
              <w:wordWrap/>
              <w:overflowPunct/>
              <w:topLinePunct w:val="0"/>
              <w:bidi w:val="0"/>
              <w:adjustRightInd/>
              <w:snapToGrid w:val="0"/>
              <w:spacing w:line="440" w:lineRule="exact"/>
              <w:ind w:left="0"/>
              <w:jc w:val="left"/>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谈判小组的人数：</w:t>
            </w:r>
            <w:r>
              <w:rPr>
                <w:rFonts w:hint="eastAsia" w:ascii="宋体" w:hAnsi="宋体" w:cs="宋体"/>
                <w:color w:val="000000" w:themeColor="text1"/>
                <w:szCs w:val="21"/>
                <w:highlight w:val="none"/>
                <w:u w:val="singl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keepNext w:val="0"/>
              <w:keepLines w:val="0"/>
              <w:pageBreakBefore w:val="0"/>
              <w:widowControl w:val="0"/>
              <w:kinsoku/>
              <w:wordWrap/>
              <w:overflowPunct/>
              <w:topLinePunct w:val="0"/>
              <w:bidi w:val="0"/>
              <w:adjustRightInd/>
              <w:spacing w:line="440" w:lineRule="exact"/>
              <w:ind w:left="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5</w:t>
            </w:r>
          </w:p>
        </w:tc>
        <w:tc>
          <w:tcPr>
            <w:tcW w:w="7912" w:type="dxa"/>
            <w:vAlign w:val="center"/>
          </w:tcPr>
          <w:p>
            <w:pPr>
              <w:keepNext w:val="0"/>
              <w:keepLines w:val="0"/>
              <w:pageBreakBefore w:val="0"/>
              <w:widowControl w:val="0"/>
              <w:kinsoku/>
              <w:wordWrap/>
              <w:overflowPunct/>
              <w:topLinePunct w:val="0"/>
              <w:bidi w:val="0"/>
              <w:adjustRightInd/>
              <w:snapToGrid w:val="0"/>
              <w:spacing w:line="440" w:lineRule="exact"/>
              <w:ind w:left="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首次响应文件开启时间详见“竞争性谈判公告”或者“竞标邀请函”</w:t>
            </w:r>
          </w:p>
          <w:p>
            <w:pPr>
              <w:keepNext w:val="0"/>
              <w:keepLines w:val="0"/>
              <w:pageBreakBefore w:val="0"/>
              <w:widowControl w:val="0"/>
              <w:kinsoku/>
              <w:wordWrap/>
              <w:overflowPunct/>
              <w:topLinePunct w:val="0"/>
              <w:bidi w:val="0"/>
              <w:adjustRightInd/>
              <w:snapToGrid w:val="0"/>
              <w:spacing w:line="440" w:lineRule="exact"/>
              <w:ind w:left="0"/>
              <w:jc w:val="left"/>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首次响应文件解密时间：</w:t>
            </w:r>
            <w:r>
              <w:rPr>
                <w:rFonts w:hint="eastAsia" w:ascii="宋体" w:hAnsi="宋体" w:eastAsia="宋体" w:cs="宋体"/>
                <w:color w:val="000000" w:themeColor="text1"/>
                <w:highlight w:val="none"/>
                <w:u w:val="single"/>
                <w14:textFill>
                  <w14:solidFill>
                    <w14:schemeClr w14:val="tx1"/>
                  </w14:solidFill>
                </w14:textFill>
              </w:rPr>
              <w:t>30</w:t>
            </w:r>
            <w:r>
              <w:rPr>
                <w:rFonts w:hint="eastAsia" w:ascii="宋体" w:hAnsi="宋体" w:eastAsia="宋体" w:cs="宋体"/>
                <w:color w:val="000000" w:themeColor="text1"/>
                <w:highlight w:val="none"/>
                <w14:textFill>
                  <w14:solidFill>
                    <w14:schemeClr w14:val="tx1"/>
                  </w14:solidFill>
                </w14:textFill>
              </w:rPr>
              <w:t>分钟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Merge w:val="restart"/>
            <w:vAlign w:val="center"/>
          </w:tcPr>
          <w:p>
            <w:pPr>
              <w:keepNext w:val="0"/>
              <w:keepLines w:val="0"/>
              <w:pageBreakBefore w:val="0"/>
              <w:widowControl w:val="0"/>
              <w:kinsoku/>
              <w:wordWrap/>
              <w:overflowPunct/>
              <w:topLinePunct w:val="0"/>
              <w:bidi w:val="0"/>
              <w:adjustRightInd/>
              <w:spacing w:line="440" w:lineRule="exact"/>
              <w:ind w:left="0"/>
              <w:jc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26</w:t>
            </w:r>
          </w:p>
        </w:tc>
        <w:tc>
          <w:tcPr>
            <w:tcW w:w="7912" w:type="dxa"/>
            <w:vAlign w:val="center"/>
          </w:tcPr>
          <w:p>
            <w:pPr>
              <w:keepNext w:val="0"/>
              <w:keepLines w:val="0"/>
              <w:pageBreakBefore w:val="0"/>
              <w:widowControl w:val="0"/>
              <w:kinsoku/>
              <w:wordWrap/>
              <w:overflowPunct/>
              <w:topLinePunct w:val="0"/>
              <w:bidi w:val="0"/>
              <w:adjustRightInd/>
              <w:spacing w:line="440" w:lineRule="exact"/>
              <w:ind w:left="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评审价相同时，按照最后报价由低到高顺序依次推荐；最后报价相同时，按节能、环保产品累计金额由高到低顺序依次推荐；节能、环保产品累计金额也相同时，按以下原则确定成交候选人的顺序：</w:t>
            </w:r>
          </w:p>
          <w:p>
            <w:pPr>
              <w:keepNext w:val="0"/>
              <w:keepLines w:val="0"/>
              <w:pageBreakBefore w:val="0"/>
              <w:widowControl w:val="0"/>
              <w:kinsoku/>
              <w:wordWrap/>
              <w:overflowPunct/>
              <w:topLinePunct w:val="0"/>
              <w:bidi w:val="0"/>
              <w:adjustRightInd/>
              <w:spacing w:line="440" w:lineRule="exact"/>
              <w:ind w:left="0"/>
              <w:contextualSpacing/>
              <w:rPr>
                <w:rFonts w:ascii="宋体" w:hAnsi="宋体" w:cs="宋体"/>
                <w:color w:val="000000" w:themeColor="text1"/>
                <w:szCs w:val="21"/>
                <w:highlight w:val="none"/>
                <w14:textFill>
                  <w14:solidFill>
                    <w14:schemeClr w14:val="tx1"/>
                  </w14:solidFill>
                </w14:textFill>
              </w:rPr>
            </w:pPr>
            <w:r>
              <w:rPr>
                <w:rFonts w:hint="eastAsia" w:ascii="MS Mincho" w:hAnsi="MS Mincho" w:eastAsia="MS Mincho" w:cs="MS Mincho"/>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带“▲”的实质性要求正偏离项数多的优先、均无正偏离或者正偏离项数一致时负偏离项数少的优先、保修期长优先、</w:t>
            </w:r>
            <w:r>
              <w:rPr>
                <w:rFonts w:hint="eastAsia" w:ascii="宋体" w:hAnsi="宋体" w:cs="宋体"/>
                <w:color w:val="000000" w:themeColor="text1"/>
                <w:szCs w:val="21"/>
                <w:highlight w:val="none"/>
                <w:lang w:eastAsia="zh-CN"/>
                <w14:textFill>
                  <w14:solidFill>
                    <w14:schemeClr w14:val="tx1"/>
                  </w14:solidFill>
                </w14:textFill>
              </w:rPr>
              <w:t>交货时间</w:t>
            </w:r>
            <w:r>
              <w:rPr>
                <w:rFonts w:hint="eastAsia" w:ascii="宋体" w:hAnsi="宋体" w:cs="宋体"/>
                <w:color w:val="000000" w:themeColor="text1"/>
                <w:szCs w:val="21"/>
                <w:highlight w:val="none"/>
                <w14:textFill>
                  <w14:solidFill>
                    <w14:schemeClr w14:val="tx1"/>
                  </w14:solidFill>
                </w14:textFill>
              </w:rPr>
              <w:t>短优先的顺序推荐。</w:t>
            </w:r>
          </w:p>
          <w:p>
            <w:pPr>
              <w:keepNext w:val="0"/>
              <w:keepLines w:val="0"/>
              <w:pageBreakBefore w:val="0"/>
              <w:widowControl w:val="0"/>
              <w:kinsoku/>
              <w:wordWrap/>
              <w:overflowPunct/>
              <w:topLinePunct w:val="0"/>
              <w:bidi w:val="0"/>
              <w:adjustRightInd/>
              <w:snapToGrid w:val="0"/>
              <w:spacing w:line="440" w:lineRule="exact"/>
              <w:ind w:left="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□由谈判小组推荐代表随机抽取。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pPr>
              <w:keepNext w:val="0"/>
              <w:keepLines w:val="0"/>
              <w:pageBreakBefore w:val="0"/>
              <w:widowControl w:val="0"/>
              <w:kinsoku/>
              <w:wordWrap/>
              <w:overflowPunct/>
              <w:topLinePunct w:val="0"/>
              <w:bidi w:val="0"/>
              <w:adjustRightInd/>
              <w:spacing w:line="440" w:lineRule="exact"/>
              <w:ind w:left="0"/>
              <w:jc w:val="center"/>
              <w:rPr>
                <w:rFonts w:ascii="宋体" w:hAnsi="宋体" w:cs="宋体"/>
                <w:color w:val="000000" w:themeColor="text1"/>
                <w:szCs w:val="21"/>
                <w:highlight w:val="none"/>
                <w14:textFill>
                  <w14:solidFill>
                    <w14:schemeClr w14:val="tx1"/>
                  </w14:solidFill>
                </w14:textFill>
              </w:rPr>
            </w:pPr>
          </w:p>
        </w:tc>
        <w:tc>
          <w:tcPr>
            <w:tcW w:w="7912" w:type="dxa"/>
            <w:vAlign w:val="center"/>
          </w:tcPr>
          <w:p>
            <w:pPr>
              <w:keepNext w:val="0"/>
              <w:keepLines w:val="0"/>
              <w:pageBreakBefore w:val="0"/>
              <w:widowControl w:val="0"/>
              <w:kinsoku/>
              <w:wordWrap/>
              <w:overflowPunct/>
              <w:topLinePunct w:val="0"/>
              <w:bidi w:val="0"/>
              <w:adjustRightInd/>
              <w:snapToGrid w:val="0"/>
              <w:spacing w:line="440" w:lineRule="exact"/>
              <w:ind w:left="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商务要求评审中允许负偏离的条款数为</w:t>
            </w:r>
            <w:r>
              <w:rPr>
                <w:rFonts w:hint="eastAsia" w:ascii="宋体" w:hAnsi="宋体" w:cs="宋体"/>
                <w:b/>
                <w:bCs/>
                <w:color w:val="000000" w:themeColor="text1"/>
                <w:szCs w:val="21"/>
                <w:highlight w:val="none"/>
                <w:u w:val="single"/>
                <w14:textFill>
                  <w14:solidFill>
                    <w14:schemeClr w14:val="tx1"/>
                  </w14:solidFill>
                </w14:textFill>
              </w:rPr>
              <w:t xml:space="preserve"> 0 </w:t>
            </w:r>
            <w:r>
              <w:rPr>
                <w:rFonts w:hint="eastAsia" w:ascii="宋体" w:hAnsi="宋体" w:cs="宋体"/>
                <w:b/>
                <w:bCs/>
                <w:color w:val="000000" w:themeColor="text1"/>
                <w:szCs w:val="21"/>
                <w:highlight w:val="none"/>
                <w14:textFill>
                  <w14:solidFill>
                    <w14:schemeClr w14:val="tx1"/>
                  </w14:solidFill>
                </w14:textFill>
              </w:rPr>
              <w:t>项</w:t>
            </w:r>
            <w:r>
              <w:rPr>
                <w:rFonts w:hint="eastAsia" w:ascii="宋体" w:hAnsi="宋体" w:cs="宋体"/>
                <w:b/>
                <w:bCs/>
                <w:color w:val="000000" w:themeColor="text1"/>
                <w:szCs w:val="21"/>
                <w:highlight w:val="none"/>
                <w:lang w:eastAsia="zh-CN"/>
                <w14:textFill>
                  <w14:solidFill>
                    <w14:schemeClr w14:val="tx1"/>
                  </w14:solidFill>
                </w14:textFill>
              </w:rPr>
              <w:t>（负偏离达到</w:t>
            </w:r>
            <w:r>
              <w:rPr>
                <w:rFonts w:hint="eastAsia" w:ascii="宋体" w:hAnsi="宋体" w:cs="宋体"/>
                <w:b/>
                <w:bCs/>
                <w:color w:val="000000" w:themeColor="text1"/>
                <w:szCs w:val="21"/>
                <w:highlight w:val="none"/>
                <w:lang w:val="en-US" w:eastAsia="zh-CN"/>
                <w14:textFill>
                  <w14:solidFill>
                    <w14:schemeClr w14:val="tx1"/>
                  </w14:solidFill>
                </w14:textFill>
              </w:rPr>
              <w:t>1项及以上的响应无效</w:t>
            </w:r>
            <w:r>
              <w:rPr>
                <w:rFonts w:hint="eastAsia" w:ascii="宋体" w:hAnsi="宋体" w:cs="宋体"/>
                <w:b/>
                <w:bCs/>
                <w:color w:val="000000" w:themeColor="text1"/>
                <w:szCs w:val="21"/>
                <w:highlight w:val="none"/>
                <w:lang w:eastAsia="zh-CN"/>
                <w14:textFill>
                  <w14:solidFill>
                    <w14:schemeClr w14:val="tx1"/>
                  </w14:solidFill>
                </w14:textFill>
              </w:rPr>
              <w:t>）</w:t>
            </w:r>
            <w:r>
              <w:rPr>
                <w:rFonts w:hint="eastAsia" w:ascii="宋体" w:hAnsi="宋体" w:cs="宋体"/>
                <w:b/>
                <w:bCs/>
                <w:color w:val="000000" w:themeColor="text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snapToGrid w:val="0"/>
              <w:spacing w:line="440" w:lineRule="exact"/>
              <w:ind w:left="0"/>
              <w:rPr>
                <w:rFonts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技术要求评审中允许负偏离的条款数为</w:t>
            </w:r>
            <w:r>
              <w:rPr>
                <w:rFonts w:hint="eastAsia" w:ascii="宋体" w:hAnsi="宋体" w:cs="宋体"/>
                <w:b/>
                <w:bCs/>
                <w:color w:val="000000" w:themeColor="text1"/>
                <w:szCs w:val="21"/>
                <w:highlight w:val="none"/>
                <w:u w:val="single"/>
                <w14:textFill>
                  <w14:solidFill>
                    <w14:schemeClr w14:val="tx1"/>
                  </w14:solidFill>
                </w14:textFill>
              </w:rPr>
              <w:t xml:space="preserve"> </w:t>
            </w:r>
            <w:r>
              <w:rPr>
                <w:rFonts w:hint="eastAsia" w:ascii="宋体" w:hAnsi="宋体" w:cs="宋体"/>
                <w:b/>
                <w:bCs/>
                <w:color w:val="000000" w:themeColor="text1"/>
                <w:szCs w:val="21"/>
                <w:highlight w:val="none"/>
                <w:u w:val="single"/>
                <w:lang w:val="en-US" w:eastAsia="zh-CN"/>
                <w14:textFill>
                  <w14:solidFill>
                    <w14:schemeClr w14:val="tx1"/>
                  </w14:solidFill>
                </w14:textFill>
              </w:rPr>
              <w:t>0</w:t>
            </w:r>
            <w:r>
              <w:rPr>
                <w:rFonts w:hint="eastAsia" w:ascii="宋体" w:hAnsi="宋体" w:cs="宋体"/>
                <w:b/>
                <w:bCs/>
                <w:color w:val="000000" w:themeColor="text1"/>
                <w:szCs w:val="21"/>
                <w:highlight w:val="none"/>
                <w:u w:val="single"/>
                <w14:textFill>
                  <w14:solidFill>
                    <w14:schemeClr w14:val="tx1"/>
                  </w14:solidFill>
                </w14:textFill>
              </w:rPr>
              <w:t xml:space="preserve"> </w:t>
            </w:r>
            <w:r>
              <w:rPr>
                <w:rFonts w:hint="eastAsia" w:ascii="宋体" w:hAnsi="宋体" w:cs="宋体"/>
                <w:b/>
                <w:bCs/>
                <w:color w:val="000000" w:themeColor="text1"/>
                <w:szCs w:val="21"/>
                <w:highlight w:val="none"/>
                <w14:textFill>
                  <w14:solidFill>
                    <w14:schemeClr w14:val="tx1"/>
                  </w14:solidFill>
                </w14:textFill>
              </w:rPr>
              <w:t>项</w:t>
            </w:r>
            <w:r>
              <w:rPr>
                <w:rFonts w:hint="eastAsia" w:ascii="宋体" w:hAnsi="宋体" w:cs="宋体"/>
                <w:b/>
                <w:bCs/>
                <w:color w:val="000000" w:themeColor="text1"/>
                <w:szCs w:val="21"/>
                <w:highlight w:val="none"/>
                <w:lang w:eastAsia="zh-CN"/>
                <w14:textFill>
                  <w14:solidFill>
                    <w14:schemeClr w14:val="tx1"/>
                  </w14:solidFill>
                </w14:textFill>
              </w:rPr>
              <w:t>（负偏离达到</w:t>
            </w:r>
            <w:r>
              <w:rPr>
                <w:rFonts w:hint="eastAsia" w:ascii="宋体" w:hAnsi="宋体" w:cs="宋体"/>
                <w:b/>
                <w:bCs/>
                <w:color w:val="000000" w:themeColor="text1"/>
                <w:szCs w:val="21"/>
                <w:highlight w:val="none"/>
                <w:lang w:val="en-US" w:eastAsia="zh-CN"/>
                <w14:textFill>
                  <w14:solidFill>
                    <w14:schemeClr w14:val="tx1"/>
                  </w14:solidFill>
                </w14:textFill>
              </w:rPr>
              <w:t>1项及以上的响应无效</w:t>
            </w:r>
            <w:r>
              <w:rPr>
                <w:rFonts w:hint="eastAsia" w:ascii="宋体" w:hAnsi="宋体" w:cs="宋体"/>
                <w:b/>
                <w:bCs/>
                <w:color w:val="000000" w:themeColor="text1"/>
                <w:szCs w:val="21"/>
                <w:highlight w:val="none"/>
                <w:lang w:eastAsia="zh-CN"/>
                <w14:textFill>
                  <w14:solidFill>
                    <w14:schemeClr w14:val="tx1"/>
                  </w14:solidFill>
                </w14:textFill>
              </w:rPr>
              <w:t>）</w:t>
            </w:r>
            <w:r>
              <w:rPr>
                <w:rFonts w:hint="eastAsia" w:ascii="宋体" w:hAnsi="宋体" w:cs="宋体"/>
                <w:b/>
                <w:bCs/>
                <w:color w:val="000000" w:themeColor="text1"/>
                <w:szCs w:val="21"/>
                <w:highlight w:val="non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keepNext w:val="0"/>
              <w:keepLines w:val="0"/>
              <w:pageBreakBefore w:val="0"/>
              <w:widowControl w:val="0"/>
              <w:kinsoku/>
              <w:wordWrap/>
              <w:overflowPunct/>
              <w:topLinePunct w:val="0"/>
              <w:bidi w:val="0"/>
              <w:adjustRightInd/>
              <w:spacing w:line="440" w:lineRule="exact"/>
              <w:ind w:left="0"/>
              <w:jc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28.1</w:t>
            </w:r>
          </w:p>
        </w:tc>
        <w:tc>
          <w:tcPr>
            <w:tcW w:w="7912" w:type="dxa"/>
            <w:vAlign w:val="center"/>
          </w:tcPr>
          <w:p>
            <w:pPr>
              <w:keepNext w:val="0"/>
              <w:keepLines w:val="0"/>
              <w:pageBreakBefore w:val="0"/>
              <w:widowControl w:val="0"/>
              <w:kinsoku/>
              <w:wordWrap/>
              <w:overflowPunct/>
              <w:topLinePunct w:val="0"/>
              <w:autoSpaceDE w:val="0"/>
              <w:autoSpaceDN w:val="0"/>
              <w:bidi w:val="0"/>
              <w:adjustRightInd/>
              <w:snapToGrid w:val="0"/>
              <w:spacing w:line="440" w:lineRule="exact"/>
              <w:ind w:left="0"/>
              <w:textAlignment w:val="bottom"/>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本项目不收取履约保证金。</w:t>
            </w:r>
          </w:p>
          <w:p>
            <w:pPr>
              <w:keepNext w:val="0"/>
              <w:keepLines w:val="0"/>
              <w:pageBreakBefore w:val="0"/>
              <w:widowControl w:val="0"/>
              <w:kinsoku/>
              <w:wordWrap/>
              <w:overflowPunct/>
              <w:topLinePunct w:val="0"/>
              <w:autoSpaceDE w:val="0"/>
              <w:autoSpaceDN w:val="0"/>
              <w:bidi w:val="0"/>
              <w:adjustRightInd/>
              <w:snapToGrid w:val="0"/>
              <w:spacing w:line="440" w:lineRule="exact"/>
              <w:ind w:left="0"/>
              <w:textAlignment w:val="bottom"/>
              <w:rPr>
                <w:rFonts w:ascii="宋体" w:hAnsi="宋体"/>
                <w:color w:val="000000" w:themeColor="text1"/>
                <w:szCs w:val="21"/>
                <w:highlight w:val="none"/>
                <w14:textFill>
                  <w14:solidFill>
                    <w14:schemeClr w14:val="tx1"/>
                  </w14:solidFill>
                </w14:textFill>
              </w:rPr>
            </w:pPr>
            <w:r>
              <w:rPr>
                <w:rFonts w:hint="eastAsia" w:ascii="Segoe UI Symbol" w:hAnsi="Segoe UI Symbol" w:cs="Segoe UI Symbol"/>
                <w:b/>
                <w:bCs/>
                <w:color w:val="000000" w:themeColor="text1"/>
                <w:szCs w:val="21"/>
                <w:highlight w:val="none"/>
                <w:lang w:eastAsia="zh-CN"/>
                <w14:textFill>
                  <w14:solidFill>
                    <w14:schemeClr w14:val="tx1"/>
                  </w14:solidFill>
                </w14:textFill>
              </w:rPr>
              <w:t>☑</w:t>
            </w:r>
            <w:r>
              <w:rPr>
                <w:rFonts w:hint="eastAsia" w:ascii="宋体" w:hAnsi="宋体"/>
                <w:b/>
                <w:bCs/>
                <w:color w:val="000000" w:themeColor="text1"/>
                <w:szCs w:val="21"/>
                <w:highlight w:val="none"/>
                <w14:textFill>
                  <w14:solidFill>
                    <w14:schemeClr w14:val="tx1"/>
                  </w14:solidFill>
                </w14:textFill>
              </w:rPr>
              <w:t>本项目收取履约保证金</w:t>
            </w:r>
            <w:r>
              <w:rPr>
                <w:rFonts w:hint="eastAsia" w:ascii="宋体" w:hAnsi="宋体"/>
                <w:color w:val="000000" w:themeColor="text1"/>
                <w:szCs w:val="21"/>
                <w:highlight w:val="none"/>
                <w14:textFill>
                  <w14:solidFill>
                    <w14:schemeClr w14:val="tx1"/>
                  </w14:solidFill>
                </w14:textFill>
              </w:rPr>
              <w:t>，具体规定如下：</w:t>
            </w:r>
          </w:p>
          <w:p>
            <w:pPr>
              <w:keepNext w:val="0"/>
              <w:keepLines w:val="0"/>
              <w:pageBreakBefore w:val="0"/>
              <w:widowControl w:val="0"/>
              <w:kinsoku/>
              <w:wordWrap/>
              <w:overflowPunct/>
              <w:topLinePunct w:val="0"/>
              <w:autoSpaceDE/>
              <w:autoSpaceDN/>
              <w:bidi w:val="0"/>
              <w:adjustRightInd/>
              <w:spacing w:line="440" w:lineRule="exact"/>
              <w:ind w:left="0"/>
              <w:contextualSpacing/>
              <w:textAlignment w:val="auto"/>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lang w:val="en-US" w:eastAsia="zh-CN"/>
                <w14:textFill>
                  <w14:solidFill>
                    <w14:schemeClr w14:val="tx1"/>
                  </w14:solidFill>
                </w14:textFill>
              </w:rPr>
              <w:t>1/2分包</w:t>
            </w:r>
            <w:r>
              <w:rPr>
                <w:rFonts w:hint="eastAsia" w:ascii="宋体" w:hAnsi="宋体" w:cs="宋体"/>
                <w:b/>
                <w:bCs/>
                <w:color w:val="000000" w:themeColor="text1"/>
                <w:szCs w:val="21"/>
                <w:highlight w:val="none"/>
                <w14:textFill>
                  <w14:solidFill>
                    <w14:schemeClr w14:val="tx1"/>
                  </w14:solidFill>
                </w14:textFill>
              </w:rPr>
              <w:t>履约保证金金额：</w:t>
            </w:r>
            <w:r>
              <w:rPr>
                <w:rFonts w:hint="eastAsia" w:ascii="宋体" w:hAnsi="宋体" w:cs="宋体"/>
                <w:b/>
                <w:bCs/>
                <w:color w:val="000000" w:themeColor="text1"/>
                <w:szCs w:val="21"/>
                <w:highlight w:val="none"/>
                <w:lang w:val="en-US" w:eastAsia="zh-CN"/>
                <w14:textFill>
                  <w14:solidFill>
                    <w14:schemeClr w14:val="tx1"/>
                  </w14:solidFill>
                </w14:textFill>
              </w:rPr>
              <w:t>各分包的</w:t>
            </w:r>
            <w:r>
              <w:rPr>
                <w:rFonts w:hint="eastAsia" w:ascii="宋体" w:hAnsi="宋体" w:cs="宋体"/>
                <w:b/>
                <w:bCs/>
                <w:color w:val="000000" w:themeColor="text1"/>
                <w:szCs w:val="21"/>
                <w:highlight w:val="none"/>
                <w:lang w:eastAsia="zh-CN"/>
                <w14:textFill>
                  <w14:solidFill>
                    <w14:schemeClr w14:val="tx1"/>
                  </w14:solidFill>
                </w14:textFill>
              </w:rPr>
              <w:t>预算金额</w:t>
            </w:r>
            <w:r>
              <w:rPr>
                <w:rFonts w:hint="eastAsia" w:ascii="宋体" w:hAnsi="宋体" w:cs="宋体"/>
                <w:b/>
                <w:bCs/>
                <w:color w:val="000000" w:themeColor="text1"/>
                <w:szCs w:val="21"/>
                <w:highlight w:val="none"/>
                <w:lang w:val="en-US" w:eastAsia="zh-CN"/>
                <w14:textFill>
                  <w14:solidFill>
                    <w14:schemeClr w14:val="tx1"/>
                  </w14:solidFill>
                </w14:textFill>
              </w:rPr>
              <w:t>2</w:t>
            </w:r>
            <w:r>
              <w:rPr>
                <w:rFonts w:hint="eastAsia" w:ascii="宋体" w:hAnsi="宋体" w:cs="宋体"/>
                <w:b/>
                <w:bCs/>
                <w:color w:val="000000" w:themeColor="text1"/>
                <w:szCs w:val="21"/>
                <w:highlight w:val="none"/>
                <w14:textFill>
                  <w14:solidFill>
                    <w14:schemeClr w14:val="tx1"/>
                  </w14:solidFill>
                </w14:textFill>
              </w:rPr>
              <w:t>%（若成交供应商被认定为中小企业的，履约保证金数额将按</w:t>
            </w:r>
            <w:r>
              <w:rPr>
                <w:rFonts w:hint="eastAsia" w:ascii="宋体" w:hAnsi="宋体" w:cs="宋体"/>
                <w:b/>
                <w:bCs/>
                <w:color w:val="000000" w:themeColor="text1"/>
                <w:szCs w:val="21"/>
                <w:highlight w:val="none"/>
                <w:lang w:eastAsia="zh-CN"/>
                <w14:textFill>
                  <w14:solidFill>
                    <w14:schemeClr w14:val="tx1"/>
                  </w14:solidFill>
                </w14:textFill>
              </w:rPr>
              <w:t>预算金额</w:t>
            </w:r>
            <w:r>
              <w:rPr>
                <w:rFonts w:hint="eastAsia" w:ascii="宋体" w:hAnsi="宋体" w:cs="宋体"/>
                <w:b/>
                <w:bCs/>
                <w:color w:val="000000" w:themeColor="text1"/>
                <w:szCs w:val="21"/>
                <w:highlight w:val="none"/>
                <w14:textFill>
                  <w14:solidFill>
                    <w14:schemeClr w14:val="tx1"/>
                  </w14:solidFill>
                </w14:textFill>
              </w:rPr>
              <w:t>2%收取）</w:t>
            </w:r>
          </w:p>
          <w:p>
            <w:pPr>
              <w:keepNext w:val="0"/>
              <w:keepLines w:val="0"/>
              <w:pageBreakBefore w:val="0"/>
              <w:widowControl w:val="0"/>
              <w:kinsoku/>
              <w:wordWrap/>
              <w:overflowPunct/>
              <w:topLinePunct w:val="0"/>
              <w:autoSpaceDE/>
              <w:autoSpaceDN/>
              <w:bidi w:val="0"/>
              <w:adjustRightInd/>
              <w:spacing w:line="440" w:lineRule="exact"/>
              <w:ind w:left="0"/>
              <w:contextualSpacing/>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履约保证金递交方式：转账、支票、汇票、本票或者金融、担保机构出具的保函等非现金方式。</w:t>
            </w:r>
          </w:p>
          <w:p>
            <w:pPr>
              <w:keepNext w:val="0"/>
              <w:keepLines w:val="0"/>
              <w:pageBreakBefore w:val="0"/>
              <w:widowControl w:val="0"/>
              <w:kinsoku/>
              <w:wordWrap/>
              <w:overflowPunct/>
              <w:topLinePunct w:val="0"/>
              <w:autoSpaceDE/>
              <w:autoSpaceDN/>
              <w:bidi w:val="0"/>
              <w:adjustRightInd/>
              <w:spacing w:line="440" w:lineRule="exact"/>
              <w:ind w:left="0"/>
              <w:contextualSpacing/>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履约保证金递交时间：签订合同</w:t>
            </w:r>
            <w:r>
              <w:rPr>
                <w:rFonts w:hint="eastAsia" w:ascii="宋体" w:hAnsi="宋体" w:cs="宋体"/>
                <w:color w:val="000000" w:themeColor="text1"/>
                <w:szCs w:val="21"/>
                <w:highlight w:val="none"/>
                <w:lang w:val="en-US" w:eastAsia="zh-CN"/>
                <w14:textFill>
                  <w14:solidFill>
                    <w14:schemeClr w14:val="tx1"/>
                  </w14:solidFill>
                </w14:textFill>
              </w:rPr>
              <w:t>后3</w:t>
            </w:r>
            <w:r>
              <w:rPr>
                <w:rFonts w:hint="eastAsia" w:ascii="宋体" w:hAnsi="宋体" w:cs="宋体"/>
                <w:color w:val="000000" w:themeColor="text1"/>
                <w:szCs w:val="21"/>
                <w:highlight w:val="none"/>
                <w14:textFill>
                  <w14:solidFill>
                    <w14:schemeClr w14:val="tx1"/>
                  </w14:solidFill>
                </w14:textFill>
              </w:rPr>
              <w:t>个工作日内由成交供应商转入采购人指定保证金账户。</w:t>
            </w:r>
          </w:p>
          <w:p>
            <w:pPr>
              <w:keepNext w:val="0"/>
              <w:keepLines w:val="0"/>
              <w:pageBreakBefore w:val="0"/>
              <w:widowControl w:val="0"/>
              <w:kinsoku/>
              <w:wordWrap/>
              <w:overflowPunct/>
              <w:topLinePunct w:val="0"/>
              <w:autoSpaceDE/>
              <w:autoSpaceDN/>
              <w:bidi w:val="0"/>
              <w:adjustRightInd/>
              <w:spacing w:line="440" w:lineRule="exact"/>
              <w:ind w:left="0"/>
              <w:contextualSpacing/>
              <w:textAlignment w:val="auto"/>
              <w:rPr>
                <w:rFonts w:hint="eastAsia"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履约保证金退还：</w:t>
            </w:r>
            <w:r>
              <w:rPr>
                <w:rFonts w:hint="eastAsia" w:ascii="宋体" w:hAnsi="宋体" w:cs="宋体"/>
                <w:color w:val="000000" w:themeColor="text1"/>
                <w:szCs w:val="21"/>
                <w:highlight w:val="none"/>
                <w:lang w:val="en-US" w:eastAsia="zh-CN"/>
                <w14:textFill>
                  <w14:solidFill>
                    <w14:schemeClr w14:val="tx1"/>
                  </w14:solidFill>
                </w14:textFill>
              </w:rPr>
              <w:t>验收通过后</w:t>
            </w:r>
            <w:r>
              <w:rPr>
                <w:rFonts w:hint="eastAsia" w:ascii="宋体" w:hAnsi="宋体" w:cs="宋体"/>
                <w:color w:val="000000" w:themeColor="text1"/>
                <w:szCs w:val="21"/>
                <w:highlight w:val="none"/>
                <w14:textFill>
                  <w14:solidFill>
                    <w14:schemeClr w14:val="tx1"/>
                  </w14:solidFill>
                </w14:textFill>
              </w:rPr>
              <w:t>无质量问题，由</w:t>
            </w:r>
            <w:r>
              <w:rPr>
                <w:rFonts w:hint="eastAsia" w:ascii="宋体" w:hAnsi="宋体" w:cs="宋体"/>
                <w:color w:val="000000" w:themeColor="text1"/>
                <w:szCs w:val="21"/>
                <w:highlight w:val="none"/>
                <w:lang w:val="en-US" w:eastAsia="zh-CN"/>
                <w14:textFill>
                  <w14:solidFill>
                    <w14:schemeClr w14:val="tx1"/>
                  </w14:solidFill>
                </w14:textFill>
              </w:rPr>
              <w:t>成交供应商</w:t>
            </w:r>
            <w:r>
              <w:rPr>
                <w:rFonts w:hint="eastAsia" w:ascii="宋体" w:hAnsi="宋体" w:cs="宋体"/>
                <w:color w:val="000000" w:themeColor="text1"/>
                <w:szCs w:val="21"/>
                <w:highlight w:val="none"/>
                <w14:textFill>
                  <w14:solidFill>
                    <w14:schemeClr w14:val="tx1"/>
                  </w14:solidFill>
                </w14:textFill>
              </w:rPr>
              <w:t>向</w:t>
            </w:r>
            <w:r>
              <w:rPr>
                <w:rFonts w:hint="eastAsia" w:ascii="宋体" w:hAnsi="宋体" w:cs="宋体"/>
                <w:color w:val="000000" w:themeColor="text1"/>
                <w:szCs w:val="21"/>
                <w:highlight w:val="none"/>
                <w:lang w:val="en-US" w:eastAsia="zh-CN"/>
                <w14:textFill>
                  <w14:solidFill>
                    <w14:schemeClr w14:val="tx1"/>
                  </w14:solidFill>
                </w14:textFill>
              </w:rPr>
              <w:t>采购人</w:t>
            </w:r>
            <w:r>
              <w:rPr>
                <w:rFonts w:hint="eastAsia" w:ascii="宋体" w:hAnsi="宋体" w:cs="宋体"/>
                <w:color w:val="000000" w:themeColor="text1"/>
                <w:szCs w:val="21"/>
                <w:highlight w:val="none"/>
                <w14:textFill>
                  <w14:solidFill>
                    <w14:schemeClr w14:val="tx1"/>
                  </w14:solidFill>
                </w14:textFill>
              </w:rPr>
              <w:t>提供《广西壮族自治区政府采购项目合同验收书》及《政府采购项目履约保证金退付意见书》，</w:t>
            </w:r>
            <w:r>
              <w:rPr>
                <w:rFonts w:hint="eastAsia" w:ascii="宋体" w:hAnsi="宋体" w:cs="宋体"/>
                <w:color w:val="000000" w:themeColor="text1"/>
                <w:szCs w:val="21"/>
                <w:highlight w:val="none"/>
                <w:lang w:val="en-US" w:eastAsia="zh-CN"/>
                <w14:textFill>
                  <w14:solidFill>
                    <w14:schemeClr w14:val="tx1"/>
                  </w14:solidFill>
                </w14:textFill>
              </w:rPr>
              <w:t>采购人</w:t>
            </w:r>
            <w:r>
              <w:rPr>
                <w:rFonts w:hint="eastAsia" w:ascii="宋体" w:hAnsi="宋体" w:cs="宋体"/>
                <w:color w:val="000000" w:themeColor="text1"/>
                <w:szCs w:val="21"/>
                <w:highlight w:val="none"/>
                <w14:textFill>
                  <w14:solidFill>
                    <w14:schemeClr w14:val="tx1"/>
                  </w14:solidFill>
                </w14:textFill>
              </w:rPr>
              <w:t>在收到合格材料后五个工作日内办理退还手续（不计利息）。</w:t>
            </w:r>
          </w:p>
          <w:p>
            <w:pPr>
              <w:keepNext w:val="0"/>
              <w:keepLines w:val="0"/>
              <w:pageBreakBefore w:val="0"/>
              <w:widowControl w:val="0"/>
              <w:kinsoku/>
              <w:wordWrap/>
              <w:overflowPunct/>
              <w:topLinePunct w:val="0"/>
              <w:autoSpaceDE/>
              <w:autoSpaceDN/>
              <w:bidi w:val="0"/>
              <w:adjustRightInd/>
              <w:spacing w:line="440" w:lineRule="exact"/>
              <w:ind w:left="0"/>
              <w:contextualSpacing/>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保证金指定账户：</w:t>
            </w:r>
          </w:p>
          <w:p>
            <w:pPr>
              <w:keepNext w:val="0"/>
              <w:keepLines w:val="0"/>
              <w:pageBreakBefore w:val="0"/>
              <w:widowControl w:val="0"/>
              <w:kinsoku/>
              <w:wordWrap/>
              <w:overflowPunct/>
              <w:topLinePunct w:val="0"/>
              <w:autoSpaceDE/>
              <w:autoSpaceDN/>
              <w:bidi w:val="0"/>
              <w:adjustRightInd/>
              <w:spacing w:line="440" w:lineRule="exact"/>
              <w:ind w:left="0"/>
              <w:contextualSpacing/>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开户名：</w:t>
            </w:r>
            <w:r>
              <w:rPr>
                <w:rFonts w:hint="eastAsia" w:ascii="宋体" w:hAnsi="宋体" w:cs="宋体"/>
                <w:color w:val="000000" w:themeColor="text1"/>
                <w:szCs w:val="21"/>
                <w:highlight w:val="none"/>
                <w:lang w:eastAsia="zh-CN"/>
                <w14:textFill>
                  <w14:solidFill>
                    <w14:schemeClr w14:val="tx1"/>
                  </w14:solidFill>
                </w14:textFill>
              </w:rPr>
              <w:t>广西壮族自治区南宁生态环境监测中心</w:t>
            </w:r>
          </w:p>
          <w:p>
            <w:pPr>
              <w:keepNext w:val="0"/>
              <w:keepLines w:val="0"/>
              <w:pageBreakBefore w:val="0"/>
              <w:widowControl w:val="0"/>
              <w:kinsoku/>
              <w:wordWrap/>
              <w:overflowPunct/>
              <w:topLinePunct w:val="0"/>
              <w:autoSpaceDE/>
              <w:autoSpaceDN/>
              <w:bidi w:val="0"/>
              <w:adjustRightInd/>
              <w:spacing w:line="440" w:lineRule="exact"/>
              <w:ind w:left="0"/>
              <w:contextualSpacing/>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开户行：</w:t>
            </w:r>
            <w:r>
              <w:rPr>
                <w:rFonts w:hint="eastAsia" w:ascii="宋体" w:hAnsi="宋体" w:cs="宋体"/>
                <w:color w:val="000000" w:themeColor="text1"/>
                <w:szCs w:val="21"/>
                <w:highlight w:val="none"/>
                <w:lang w:val="en-US" w:eastAsia="zh-CN"/>
                <w14:textFill>
                  <w14:solidFill>
                    <w14:schemeClr w14:val="tx1"/>
                  </w14:solidFill>
                </w14:textFill>
              </w:rPr>
              <w:t xml:space="preserve"> 交通银行南宁朝阳支行</w:t>
            </w:r>
          </w:p>
          <w:p>
            <w:pPr>
              <w:keepNext w:val="0"/>
              <w:keepLines w:val="0"/>
              <w:pageBreakBefore w:val="0"/>
              <w:widowControl w:val="0"/>
              <w:kinsoku/>
              <w:wordWrap/>
              <w:overflowPunct/>
              <w:topLinePunct w:val="0"/>
              <w:autoSpaceDE/>
              <w:autoSpaceDN/>
              <w:bidi w:val="0"/>
              <w:adjustRightInd/>
              <w:spacing w:line="440" w:lineRule="exact"/>
              <w:ind w:left="0"/>
              <w:contextualSpacing/>
              <w:textAlignment w:val="auto"/>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账  号： 4510 6020 0013 0002 4635 4</w:t>
            </w:r>
          </w:p>
          <w:p>
            <w:pPr>
              <w:keepNext w:val="0"/>
              <w:keepLines w:val="0"/>
              <w:pageBreakBefore w:val="0"/>
              <w:widowControl w:val="0"/>
              <w:kinsoku/>
              <w:wordWrap/>
              <w:overflowPunct/>
              <w:topLinePunct w:val="0"/>
              <w:autoSpaceDE/>
              <w:autoSpaceDN/>
              <w:bidi w:val="0"/>
              <w:adjustRightInd/>
              <w:spacing w:line="440" w:lineRule="exact"/>
              <w:ind w:left="0"/>
              <w:contextualSpacing/>
              <w:textAlignment w:val="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w:t>
            </w:r>
            <w:r>
              <w:rPr>
                <w:rFonts w:ascii="宋体" w:hAnsi="宋体" w:cs="宋体"/>
                <w:b/>
                <w:color w:val="000000" w:themeColor="text1"/>
                <w:szCs w:val="21"/>
                <w:highlight w:val="none"/>
                <w14:textFill>
                  <w14:solidFill>
                    <w14:schemeClr w14:val="tx1"/>
                  </w14:solidFill>
                </w14:textFill>
              </w:rPr>
              <w:t>.</w:t>
            </w:r>
            <w:bookmarkStart w:id="58" w:name="_Hlk54170335"/>
            <w:r>
              <w:rPr>
                <w:rFonts w:hint="eastAsia" w:ascii="宋体" w:hAnsi="宋体"/>
                <w:b/>
                <w:color w:val="000000" w:themeColor="text1"/>
                <w:szCs w:val="21"/>
                <w:highlight w:val="none"/>
                <w14:textFill>
                  <w14:solidFill>
                    <w14:schemeClr w14:val="tx1"/>
                  </w14:solidFill>
                </w14:textFill>
              </w:rPr>
              <w:t>根据</w:t>
            </w:r>
            <w:r>
              <w:rPr>
                <w:rFonts w:hint="eastAsia" w:ascii="宋体" w:hAnsi="宋体" w:cs="宋体"/>
                <w:b/>
                <w:color w:val="000000" w:themeColor="text1"/>
                <w:szCs w:val="21"/>
                <w:highlight w:val="none"/>
                <w14:textFill>
                  <w14:solidFill>
                    <w14:schemeClr w14:val="tx1"/>
                  </w14:solidFill>
                </w14:textFill>
              </w:rPr>
              <w:t>《广西壮族自治区财政厅关于规范政府采购货物和服务项目保证金管理的通知》（桂财规〔2022〕8号）</w:t>
            </w:r>
            <w:r>
              <w:rPr>
                <w:rFonts w:hint="eastAsia" w:ascii="宋体" w:hAnsi="宋体"/>
                <w:b/>
                <w:color w:val="000000" w:themeColor="text1"/>
                <w:szCs w:val="21"/>
                <w:highlight w:val="none"/>
                <w14:textFill>
                  <w14:solidFill>
                    <w14:schemeClr w14:val="tx1"/>
                  </w14:solidFill>
                </w14:textFill>
              </w:rPr>
              <w:t>规定，采购人在采购文件中要求提交履约保证金的，履约保证金数额不得超过政府采购合同金额的5%；政府采购要加大对中小企业发展的扶持力度，对中小企业收取的履约保证金数额不得超过政府采购合同金额的2%。</w:t>
            </w:r>
            <w:bookmarkEnd w:id="58"/>
          </w:p>
          <w:p>
            <w:pPr>
              <w:keepNext w:val="0"/>
              <w:keepLines w:val="0"/>
              <w:pageBreakBefore w:val="0"/>
              <w:widowControl w:val="0"/>
              <w:kinsoku/>
              <w:wordWrap/>
              <w:overflowPunct/>
              <w:topLinePunct w:val="0"/>
              <w:autoSpaceDE/>
              <w:autoSpaceDN/>
              <w:bidi w:val="0"/>
              <w:adjustRightInd/>
              <w:spacing w:line="440" w:lineRule="exact"/>
              <w:ind w:left="0"/>
              <w:contextualSpacing/>
              <w:textAlignment w:val="auto"/>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w:t>
            </w:r>
            <w:r>
              <w:rPr>
                <w:rFonts w:ascii="宋体" w:hAnsi="宋体" w:cs="宋体"/>
                <w:b/>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履约保证金不足额缴纳的，或者银行、保险机构出具的保函额度不足的或者保函有效期低于合同履行期限（即签订采购合同之日起至履行完合同约定的权利及义务之日止）的，不予签订合同。</w:t>
            </w:r>
          </w:p>
          <w:p>
            <w:pPr>
              <w:keepNext w:val="0"/>
              <w:keepLines w:val="0"/>
              <w:pageBreakBefore w:val="0"/>
              <w:widowControl w:val="0"/>
              <w:kinsoku/>
              <w:wordWrap/>
              <w:overflowPunct/>
              <w:topLinePunct w:val="0"/>
              <w:autoSpaceDE/>
              <w:autoSpaceDN/>
              <w:bidi w:val="0"/>
              <w:adjustRightInd/>
              <w:spacing w:line="440" w:lineRule="exact"/>
              <w:ind w:left="0"/>
              <w:contextualSpacing/>
              <w:textAlignment w:val="auto"/>
              <w:rPr>
                <w:rFonts w:hint="eastAsia" w:ascii="宋体" w:hAnsi="宋体" w:cs="宋体"/>
                <w:b/>
                <w:color w:val="000000" w:themeColor="text1"/>
                <w:szCs w:val="21"/>
                <w:highlight w:val="none"/>
                <w14:textFill>
                  <w14:solidFill>
                    <w14:schemeClr w14:val="tx1"/>
                  </w14:solidFill>
                </w14:textFill>
              </w:rPr>
            </w:pPr>
            <w:r>
              <w:rPr>
                <w:rFonts w:ascii="宋体" w:hAnsi="宋体" w:cs="宋体"/>
                <w:b/>
                <w:color w:val="000000" w:themeColor="text1"/>
                <w:szCs w:val="21"/>
                <w:highlight w:val="none"/>
                <w14:textFill>
                  <w14:solidFill>
                    <w14:schemeClr w14:val="tx1"/>
                  </w14:solidFill>
                </w14:textFill>
              </w:rPr>
              <w:t>3.</w:t>
            </w:r>
            <w:r>
              <w:rPr>
                <w:rFonts w:hint="eastAsia" w:ascii="宋体" w:hAnsi="宋体" w:cs="宋体"/>
                <w:b/>
                <w:color w:val="000000" w:themeColor="text1"/>
                <w:szCs w:val="21"/>
                <w:highlight w:val="none"/>
                <w14:textFill>
                  <w14:solidFill>
                    <w14:schemeClr w14:val="tx1"/>
                  </w14:solidFill>
                </w14:textFill>
              </w:rPr>
              <w:t>采用银行、保险机构出具的保函的，必须为无条件保函，否则不予签订合同。</w:t>
            </w:r>
          </w:p>
          <w:p>
            <w:pPr>
              <w:keepNext w:val="0"/>
              <w:keepLines w:val="0"/>
              <w:pageBreakBefore w:val="0"/>
              <w:widowControl w:val="0"/>
              <w:kinsoku/>
              <w:wordWrap/>
              <w:overflowPunct/>
              <w:topLinePunct w:val="0"/>
              <w:autoSpaceDE/>
              <w:autoSpaceDN/>
              <w:bidi w:val="0"/>
              <w:adjustRightInd/>
              <w:snapToGrid w:val="0"/>
              <w:spacing w:line="440" w:lineRule="exact"/>
              <w:ind w:left="0"/>
              <w:textAlignment w:val="auto"/>
              <w:rPr>
                <w:rFonts w:ascii="宋体" w:hAnsi="宋体" w:cs="宋体"/>
                <w:color w:val="000000" w:themeColor="text1"/>
                <w:szCs w:val="21"/>
                <w:highlight w:val="none"/>
                <w14:textFill>
                  <w14:solidFill>
                    <w14:schemeClr w14:val="tx1"/>
                  </w14:solidFill>
                </w14:textFill>
              </w:rPr>
            </w:pPr>
            <w:r>
              <w:rPr>
                <w:rFonts w:ascii="宋体" w:hAnsi="宋体" w:cs="宋体"/>
                <w:b/>
                <w:color w:val="000000" w:themeColor="text1"/>
                <w:szCs w:val="21"/>
                <w:highlight w:val="none"/>
                <w14:textFill>
                  <w14:solidFill>
                    <w14:schemeClr w14:val="tx1"/>
                  </w14:solidFill>
                </w14:textFill>
              </w:rPr>
              <w:t>4.</w:t>
            </w:r>
            <w:r>
              <w:rPr>
                <w:rFonts w:hint="eastAsia" w:ascii="宋体" w:hAnsi="宋体" w:cs="宋体"/>
                <w:b/>
                <w:color w:val="000000" w:themeColor="text1"/>
                <w:szCs w:val="21"/>
                <w:highlight w:val="none"/>
                <w14:textFill>
                  <w14:solidFill>
                    <w14:schemeClr w14:val="tx1"/>
                  </w14:solidFill>
                </w14:textFill>
              </w:rPr>
              <w:t>供应商为联合体的，由联合体任意一方按规定提交的履约保证金，视为有效履约保证金。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keepNext w:val="0"/>
              <w:keepLines w:val="0"/>
              <w:pageBreakBefore w:val="0"/>
              <w:widowControl w:val="0"/>
              <w:kinsoku/>
              <w:wordWrap/>
              <w:overflowPunct/>
              <w:topLinePunct w:val="0"/>
              <w:bidi w:val="0"/>
              <w:adjustRightInd/>
              <w:spacing w:line="440" w:lineRule="exact"/>
              <w:ind w:left="0"/>
              <w:jc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29</w:t>
            </w:r>
            <w:r>
              <w:rPr>
                <w:rFonts w:hint="eastAsia" w:ascii="宋体" w:hAnsi="宋体" w:cs="宋体"/>
                <w:color w:val="000000" w:themeColor="text1"/>
                <w:szCs w:val="21"/>
                <w:highlight w:val="none"/>
                <w14:textFill>
                  <w14:solidFill>
                    <w14:schemeClr w14:val="tx1"/>
                  </w14:solidFill>
                </w14:textFill>
              </w:rPr>
              <w:t>.1</w:t>
            </w:r>
          </w:p>
        </w:tc>
        <w:tc>
          <w:tcPr>
            <w:tcW w:w="7912" w:type="dxa"/>
            <w:vAlign w:val="center"/>
          </w:tcPr>
          <w:p>
            <w:pPr>
              <w:keepNext w:val="0"/>
              <w:keepLines w:val="0"/>
              <w:pageBreakBefore w:val="0"/>
              <w:widowControl w:val="0"/>
              <w:kinsoku/>
              <w:wordWrap/>
              <w:overflowPunct/>
              <w:topLinePunct w:val="0"/>
              <w:autoSpaceDE w:val="0"/>
              <w:autoSpaceDN w:val="0"/>
              <w:bidi w:val="0"/>
              <w:adjustRightInd/>
              <w:snapToGrid w:val="0"/>
              <w:spacing w:line="440" w:lineRule="exact"/>
              <w:ind w:left="0"/>
              <w:textAlignment w:val="bottom"/>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签订合同携带的证明材料： </w:t>
            </w:r>
          </w:p>
          <w:p>
            <w:pPr>
              <w:keepNext w:val="0"/>
              <w:keepLines w:val="0"/>
              <w:pageBreakBefore w:val="0"/>
              <w:widowControl w:val="0"/>
              <w:kinsoku/>
              <w:wordWrap/>
              <w:overflowPunct/>
              <w:topLinePunct w:val="0"/>
              <w:autoSpaceDE w:val="0"/>
              <w:autoSpaceDN w:val="0"/>
              <w:bidi w:val="0"/>
              <w:adjustRightInd/>
              <w:snapToGrid w:val="0"/>
              <w:spacing w:line="440" w:lineRule="exact"/>
              <w:ind w:left="0"/>
              <w:textAlignment w:val="bottom"/>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委托代理人负责签订合同的，须携带授权委托书及委托代理人身份证原件等其他资格证件。</w:t>
            </w:r>
          </w:p>
          <w:p>
            <w:pPr>
              <w:keepNext w:val="0"/>
              <w:keepLines w:val="0"/>
              <w:pageBreakBefore w:val="0"/>
              <w:widowControl w:val="0"/>
              <w:kinsoku/>
              <w:wordWrap/>
              <w:overflowPunct/>
              <w:topLinePunct w:val="0"/>
              <w:bidi w:val="0"/>
              <w:adjustRightInd/>
              <w:snapToGrid w:val="0"/>
              <w:spacing w:line="440" w:lineRule="exact"/>
              <w:ind w:left="0"/>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法定代表人负责签订合同的，须携带法定代表人</w:t>
            </w:r>
            <w:r>
              <w:rPr>
                <w:rFonts w:ascii="宋体" w:hAnsi="宋体"/>
                <w:color w:val="000000" w:themeColor="text1"/>
                <w:szCs w:val="21"/>
                <w:highlight w:val="none"/>
                <w14:textFill>
                  <w14:solidFill>
                    <w14:schemeClr w14:val="tx1"/>
                  </w14:solidFill>
                </w14:textFill>
              </w:rPr>
              <w:t>身份证明原件</w:t>
            </w:r>
            <w:r>
              <w:rPr>
                <w:rFonts w:hint="eastAsia" w:ascii="宋体" w:hAnsi="宋体"/>
                <w:color w:val="000000" w:themeColor="text1"/>
                <w:szCs w:val="21"/>
                <w:highlight w:val="none"/>
                <w14:textFill>
                  <w14:solidFill>
                    <w14:schemeClr w14:val="tx1"/>
                  </w14:solidFill>
                </w14:textFill>
              </w:rPr>
              <w:t>及</w:t>
            </w:r>
            <w:r>
              <w:rPr>
                <w:rFonts w:ascii="宋体" w:hAnsi="宋体"/>
                <w:color w:val="000000" w:themeColor="text1"/>
                <w:szCs w:val="21"/>
                <w:highlight w:val="none"/>
                <w14:textFill>
                  <w14:solidFill>
                    <w14:schemeClr w14:val="tx1"/>
                  </w14:solidFill>
                </w14:textFill>
              </w:rPr>
              <w:t>身份证原件</w:t>
            </w:r>
            <w:r>
              <w:rPr>
                <w:rFonts w:hint="eastAsia" w:ascii="宋体" w:hAnsi="宋体"/>
                <w:color w:val="000000" w:themeColor="text1"/>
                <w:szCs w:val="21"/>
                <w:highlight w:val="none"/>
                <w14:textFill>
                  <w14:solidFill>
                    <w14:schemeClr w14:val="tx1"/>
                  </w14:solidFill>
                </w14:textFill>
              </w:rPr>
              <w:t>等其他证明材料。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keepNext w:val="0"/>
              <w:keepLines w:val="0"/>
              <w:pageBreakBefore w:val="0"/>
              <w:widowControl w:val="0"/>
              <w:kinsoku/>
              <w:wordWrap/>
              <w:overflowPunct/>
              <w:topLinePunct w:val="0"/>
              <w:bidi w:val="0"/>
              <w:adjustRightInd/>
              <w:spacing w:line="440" w:lineRule="exact"/>
              <w:ind w:left="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ascii="宋体" w:hAnsi="宋体" w:cs="宋体"/>
                <w:color w:val="000000" w:themeColor="text1"/>
                <w:szCs w:val="21"/>
                <w:highlight w:val="none"/>
                <w14:textFill>
                  <w14:solidFill>
                    <w14:schemeClr w14:val="tx1"/>
                  </w14:solidFill>
                </w14:textFill>
              </w:rPr>
              <w:t>1.2</w:t>
            </w:r>
          </w:p>
        </w:tc>
        <w:tc>
          <w:tcPr>
            <w:tcW w:w="7912" w:type="dxa"/>
            <w:vAlign w:val="center"/>
          </w:tcPr>
          <w:p>
            <w:pPr>
              <w:keepNext w:val="0"/>
              <w:keepLines w:val="0"/>
              <w:pageBreakBefore w:val="0"/>
              <w:widowControl w:val="0"/>
              <w:kinsoku/>
              <w:wordWrap/>
              <w:overflowPunct/>
              <w:topLinePunct w:val="0"/>
              <w:autoSpaceDE/>
              <w:autoSpaceDN/>
              <w:bidi w:val="0"/>
              <w:adjustRightInd/>
              <w:snapToGrid w:val="0"/>
              <w:spacing w:line="440" w:lineRule="exact"/>
              <w:ind w:left="0"/>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接收质疑函方式：以书面形式。</w:t>
            </w:r>
          </w:p>
          <w:p>
            <w:pPr>
              <w:keepNext w:val="0"/>
              <w:keepLines w:val="0"/>
              <w:pageBreakBefore w:val="0"/>
              <w:widowControl w:val="0"/>
              <w:kinsoku/>
              <w:wordWrap/>
              <w:overflowPunct/>
              <w:topLinePunct w:val="0"/>
              <w:autoSpaceDE/>
              <w:autoSpaceDN/>
              <w:bidi w:val="0"/>
              <w:adjustRightInd/>
              <w:snapToGrid w:val="0"/>
              <w:spacing w:line="440" w:lineRule="exact"/>
              <w:ind w:left="0"/>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质疑联系部门及联系方式：</w:t>
            </w:r>
            <w:r>
              <w:rPr>
                <w:rFonts w:hint="eastAsia" w:ascii="宋体" w:hAnsi="宋体"/>
                <w:color w:val="000000" w:themeColor="text1"/>
                <w:szCs w:val="21"/>
                <w:highlight w:val="none"/>
                <w:u w:val="single"/>
                <w14:textFill>
                  <w14:solidFill>
                    <w14:schemeClr w14:val="tx1"/>
                  </w14:solidFill>
                </w14:textFill>
              </w:rPr>
              <w:t>广西正海招标有限公司</w:t>
            </w:r>
            <w:r>
              <w:rPr>
                <w:rFonts w:hint="eastAsia" w:ascii="宋体" w:hAnsi="宋体"/>
                <w:color w:val="000000" w:themeColor="text1"/>
                <w:szCs w:val="21"/>
                <w:highlight w:val="none"/>
                <w14:textFill>
                  <w14:solidFill>
                    <w14:schemeClr w14:val="tx1"/>
                  </w14:solidFill>
                </w14:textFill>
              </w:rPr>
              <w:t>，联系电话：</w:t>
            </w:r>
            <w:r>
              <w:rPr>
                <w:rFonts w:hint="eastAsia" w:ascii="宋体" w:hAnsi="宋体"/>
                <w:color w:val="000000" w:themeColor="text1"/>
                <w:szCs w:val="21"/>
                <w:highlight w:val="none"/>
                <w:u w:val="single"/>
                <w14:textFill>
                  <w14:solidFill>
                    <w14:schemeClr w14:val="tx1"/>
                  </w14:solidFill>
                </w14:textFill>
              </w:rPr>
              <w:t>0771-2865989</w:t>
            </w:r>
            <w:r>
              <w:rPr>
                <w:rFonts w:hint="eastAsia" w:ascii="宋体" w:hAnsi="宋体"/>
                <w:color w:val="000000" w:themeColor="text1"/>
                <w:szCs w:val="21"/>
                <w:highlight w:val="none"/>
                <w14:textFill>
                  <w14:solidFill>
                    <w14:schemeClr w14:val="tx1"/>
                  </w14:solidFill>
                </w14:textFill>
              </w:rPr>
              <w:t>，通讯地址</w:t>
            </w:r>
            <w:r>
              <w:rPr>
                <w:rFonts w:hint="eastAsia" w:ascii="宋体" w:hAnsi="宋体" w:cs="Helvetica"/>
                <w:color w:val="000000" w:themeColor="text1"/>
                <w:szCs w:val="21"/>
                <w:highlight w:val="none"/>
                <w14:textFill>
                  <w14:solidFill>
                    <w14:schemeClr w14:val="tx1"/>
                  </w14:solidFill>
                </w14:textFill>
              </w:rPr>
              <w:t>：</w:t>
            </w:r>
            <w:r>
              <w:rPr>
                <w:rFonts w:hint="eastAsia" w:ascii="宋体" w:hAnsi="宋体" w:cs="仿宋"/>
                <w:color w:val="000000" w:themeColor="text1"/>
                <w:szCs w:val="21"/>
                <w:highlight w:val="none"/>
                <w:u w:val="single"/>
                <w14:textFill>
                  <w14:solidFill>
                    <w14:schemeClr w14:val="tx1"/>
                  </w14:solidFill>
                </w14:textFill>
              </w:rPr>
              <w:t>广西正海招标有限公司（</w:t>
            </w:r>
            <w:r>
              <w:rPr>
                <w:rFonts w:hint="eastAsia" w:ascii="宋体" w:hAnsi="宋体" w:cs="仿宋"/>
                <w:color w:val="000000" w:themeColor="text1"/>
                <w:szCs w:val="21"/>
                <w:highlight w:val="none"/>
                <w:u w:val="single"/>
                <w:lang w:eastAsia="zh-CN"/>
                <w14:textFill>
                  <w14:solidFill>
                    <w14:schemeClr w14:val="tx1"/>
                  </w14:solidFill>
                </w14:textFill>
              </w:rPr>
              <w:t>南宁市青秀区茅桥路2号习艺基地A栋1号电梯3楼</w:t>
            </w:r>
            <w:r>
              <w:rPr>
                <w:rFonts w:hint="eastAsia" w:ascii="宋体" w:hAnsi="宋体" w:cs="仿宋"/>
                <w:color w:val="000000" w:themeColor="text1"/>
                <w:szCs w:val="21"/>
                <w:highlight w:val="none"/>
                <w:u w:val="single"/>
                <w14:textFill>
                  <w14:solidFill>
                    <w14:schemeClr w14:val="tx1"/>
                  </w14:solidFill>
                </w14:textFill>
              </w:rPr>
              <w:t>）</w:t>
            </w:r>
          </w:p>
          <w:p>
            <w:pPr>
              <w:pStyle w:val="14"/>
              <w:keepNext w:val="0"/>
              <w:keepLines w:val="0"/>
              <w:pageBreakBefore w:val="0"/>
              <w:widowControl w:val="0"/>
              <w:kinsoku/>
              <w:wordWrap/>
              <w:overflowPunct/>
              <w:topLinePunct w:val="0"/>
              <w:autoSpaceDE/>
              <w:autoSpaceDN/>
              <w:bidi w:val="0"/>
              <w:adjustRightInd/>
              <w:snapToGrid w:val="0"/>
              <w:spacing w:line="440" w:lineRule="exact"/>
              <w:ind w:left="0"/>
              <w:textAlignment w:val="auto"/>
              <w:rPr>
                <w:rFonts w:hAnsi="宋体" w:cs="宋体"/>
                <w:color w:val="000000" w:themeColor="text1"/>
                <w:kern w:val="2"/>
                <w:sz w:val="21"/>
                <w:highlight w:val="none"/>
                <w14:textFill>
                  <w14:solidFill>
                    <w14:schemeClr w14:val="tx1"/>
                  </w14:solidFill>
                </w14:textFill>
              </w:rPr>
            </w:pPr>
            <w:r>
              <w:rPr>
                <w:rFonts w:hint="eastAsia" w:hAnsi="宋体"/>
                <w:color w:val="000000" w:themeColor="text1"/>
                <w:kern w:val="2"/>
                <w:sz w:val="21"/>
                <w:highlight w:val="none"/>
                <w14:textFill>
                  <w14:solidFill>
                    <w14:schemeClr w14:val="tx1"/>
                  </w14:solidFill>
                </w14:textFill>
              </w:rPr>
              <w:t>业务时间：工作日每天8时00分到12时00分，</w:t>
            </w:r>
            <w:r>
              <w:rPr>
                <w:rFonts w:hint="eastAsia" w:hAnsi="宋体"/>
                <w:color w:val="000000" w:themeColor="text1"/>
                <w:kern w:val="2"/>
                <w:sz w:val="21"/>
                <w:highlight w:val="none"/>
                <w:lang w:val="en-US" w:eastAsia="zh-CN"/>
                <w14:textFill>
                  <w14:solidFill>
                    <w14:schemeClr w14:val="tx1"/>
                  </w14:solidFill>
                </w14:textFill>
              </w:rPr>
              <w:t>15</w:t>
            </w:r>
            <w:r>
              <w:rPr>
                <w:rFonts w:hint="eastAsia" w:hAnsi="宋体"/>
                <w:color w:val="000000" w:themeColor="text1"/>
                <w:kern w:val="2"/>
                <w:sz w:val="21"/>
                <w:highlight w:val="none"/>
                <w14:textFill>
                  <w14:solidFill>
                    <w14:schemeClr w14:val="tx1"/>
                  </w14:solidFill>
                </w14:textFill>
              </w:rPr>
              <w:t>时00分到</w:t>
            </w:r>
            <w:r>
              <w:rPr>
                <w:rFonts w:hint="eastAsia" w:hAnsi="宋体"/>
                <w:color w:val="000000" w:themeColor="text1"/>
                <w:kern w:val="2"/>
                <w:sz w:val="21"/>
                <w:highlight w:val="none"/>
                <w:lang w:val="en-US" w:eastAsia="zh-CN"/>
                <w14:textFill>
                  <w14:solidFill>
                    <w14:schemeClr w14:val="tx1"/>
                  </w14:solidFill>
                </w14:textFill>
              </w:rPr>
              <w:t>18</w:t>
            </w:r>
            <w:r>
              <w:rPr>
                <w:rFonts w:hint="eastAsia" w:hAnsi="宋体"/>
                <w:color w:val="000000" w:themeColor="text1"/>
                <w:kern w:val="2"/>
                <w:sz w:val="21"/>
                <w:highlight w:val="none"/>
                <w14:textFill>
                  <w14:solidFill>
                    <w14:schemeClr w14:val="tx1"/>
                  </w14:solidFill>
                </w14:textFill>
              </w:rPr>
              <w:t>时00分。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keepNext w:val="0"/>
              <w:keepLines w:val="0"/>
              <w:pageBreakBefore w:val="0"/>
              <w:widowControl w:val="0"/>
              <w:kinsoku/>
              <w:wordWrap/>
              <w:overflowPunct/>
              <w:topLinePunct w:val="0"/>
              <w:bidi w:val="0"/>
              <w:adjustRightInd/>
              <w:spacing w:line="440" w:lineRule="exact"/>
              <w:ind w:left="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.1</w:t>
            </w:r>
          </w:p>
        </w:tc>
        <w:tc>
          <w:tcPr>
            <w:tcW w:w="7912" w:type="dxa"/>
            <w:vAlign w:val="center"/>
          </w:tcPr>
          <w:p>
            <w:pPr>
              <w:pStyle w:val="14"/>
              <w:keepNext w:val="0"/>
              <w:keepLines w:val="0"/>
              <w:pageBreakBefore w:val="0"/>
              <w:widowControl w:val="0"/>
              <w:kinsoku/>
              <w:wordWrap/>
              <w:overflowPunct/>
              <w:topLinePunct w:val="0"/>
              <w:bidi w:val="0"/>
              <w:adjustRightInd/>
              <w:snapToGrid w:val="0"/>
              <w:spacing w:line="440" w:lineRule="exact"/>
              <w:ind w:left="0"/>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1.采购代理费支付方式：</w:t>
            </w:r>
          </w:p>
          <w:p>
            <w:pPr>
              <w:pStyle w:val="14"/>
              <w:keepNext w:val="0"/>
              <w:keepLines w:val="0"/>
              <w:pageBreakBefore w:val="0"/>
              <w:widowControl w:val="0"/>
              <w:kinsoku/>
              <w:wordWrap/>
              <w:overflowPunct/>
              <w:topLinePunct w:val="0"/>
              <w:bidi w:val="0"/>
              <w:adjustRightInd/>
              <w:snapToGrid w:val="0"/>
              <w:spacing w:line="440" w:lineRule="exact"/>
              <w:ind w:left="0"/>
              <w:rPr>
                <w:rFonts w:hint="eastAsia" w:hAnsi="宋体" w:cs="宋体"/>
                <w:b/>
                <w:bCs/>
                <w:color w:val="000000" w:themeColor="text1"/>
                <w:sz w:val="21"/>
                <w:highlight w:val="none"/>
                <w14:textFill>
                  <w14:solidFill>
                    <w14:schemeClr w14:val="tx1"/>
                  </w14:solidFill>
                </w14:textFill>
              </w:rPr>
            </w:pPr>
            <w:r>
              <w:rPr>
                <w:rFonts w:hint="eastAsia" w:hAnsi="宋体" w:cs="宋体"/>
                <w:b/>
                <w:bCs/>
                <w:color w:val="000000" w:themeColor="text1"/>
                <w:sz w:val="21"/>
                <w:highlight w:val="none"/>
                <w14:textFill>
                  <w14:solidFill>
                    <w14:schemeClr w14:val="tx1"/>
                  </w14:solidFill>
                </w14:textFill>
              </w:rPr>
              <w:sym w:font="Wingdings 2" w:char="0052"/>
            </w:r>
            <w:r>
              <w:rPr>
                <w:rFonts w:hint="eastAsia" w:hAnsi="宋体" w:cs="宋体"/>
                <w:b/>
                <w:bCs/>
                <w:color w:val="000000" w:themeColor="text1"/>
                <w:sz w:val="21"/>
                <w:highlight w:val="none"/>
                <w14:textFill>
                  <w14:solidFill>
                    <w14:schemeClr w14:val="tx1"/>
                  </w14:solidFill>
                </w14:textFill>
              </w:rPr>
              <w:t>本项目代理服务费按如下规定由</w:t>
            </w:r>
            <w:r>
              <w:rPr>
                <w:rFonts w:hint="eastAsia" w:hAnsi="宋体" w:cs="宋体"/>
                <w:b/>
                <w:bCs/>
                <w:color w:val="000000" w:themeColor="text1"/>
                <w:sz w:val="21"/>
                <w:highlight w:val="none"/>
                <w:u w:val="single"/>
                <w14:textFill>
                  <w14:solidFill>
                    <w14:schemeClr w14:val="tx1"/>
                  </w14:solidFill>
                </w14:textFill>
              </w:rPr>
              <w:t>成交供应商</w:t>
            </w:r>
            <w:r>
              <w:rPr>
                <w:rFonts w:hint="eastAsia" w:hAnsi="宋体" w:cs="宋体"/>
                <w:b/>
                <w:bCs/>
                <w:color w:val="000000" w:themeColor="text1"/>
                <w:sz w:val="21"/>
                <w:highlight w:val="none"/>
                <w14:textFill>
                  <w14:solidFill>
                    <w14:schemeClr w14:val="tx1"/>
                  </w14:solidFill>
                </w14:textFill>
              </w:rPr>
              <w:t>在领取成交通知书前，一次性向采购代理机构支付。</w:t>
            </w:r>
          </w:p>
          <w:p>
            <w:pPr>
              <w:pStyle w:val="14"/>
              <w:keepNext w:val="0"/>
              <w:keepLines w:val="0"/>
              <w:pageBreakBefore w:val="0"/>
              <w:widowControl w:val="0"/>
              <w:kinsoku/>
              <w:wordWrap/>
              <w:overflowPunct/>
              <w:topLinePunct w:val="0"/>
              <w:bidi w:val="0"/>
              <w:adjustRightInd/>
              <w:snapToGrid w:val="0"/>
              <w:spacing w:line="440" w:lineRule="exact"/>
              <w:ind w:left="0"/>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□采购人支付。</w:t>
            </w:r>
          </w:p>
          <w:p>
            <w:pPr>
              <w:pStyle w:val="14"/>
              <w:keepNext w:val="0"/>
              <w:keepLines w:val="0"/>
              <w:pageBreakBefore w:val="0"/>
              <w:widowControl w:val="0"/>
              <w:kinsoku/>
              <w:wordWrap/>
              <w:overflowPunct/>
              <w:topLinePunct w:val="0"/>
              <w:bidi w:val="0"/>
              <w:adjustRightInd/>
              <w:snapToGrid w:val="0"/>
              <w:spacing w:line="440" w:lineRule="exact"/>
              <w:ind w:left="0"/>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2.采购代理费收取标准：</w:t>
            </w:r>
          </w:p>
          <w:p>
            <w:pPr>
              <w:pStyle w:val="14"/>
              <w:keepNext w:val="0"/>
              <w:keepLines w:val="0"/>
              <w:pageBreakBefore w:val="0"/>
              <w:widowControl w:val="0"/>
              <w:kinsoku/>
              <w:wordWrap/>
              <w:overflowPunct/>
              <w:topLinePunct w:val="0"/>
              <w:bidi w:val="0"/>
              <w:adjustRightInd/>
              <w:snapToGrid w:val="0"/>
              <w:spacing w:line="440" w:lineRule="exact"/>
              <w:ind w:left="0"/>
              <w:rPr>
                <w:rFonts w:hint="eastAsia" w:hAnsi="宋体" w:cs="宋体"/>
                <w:b/>
                <w:bCs/>
                <w:color w:val="000000" w:themeColor="text1"/>
                <w:sz w:val="21"/>
                <w:highlight w:val="none"/>
                <w14:textFill>
                  <w14:solidFill>
                    <w14:schemeClr w14:val="tx1"/>
                  </w14:solidFill>
                </w14:textFill>
              </w:rPr>
            </w:pPr>
            <w:r>
              <w:rPr>
                <w:rFonts w:hint="eastAsia" w:ascii="MS Mincho" w:hAnsi="MS Mincho" w:cs="MS Mincho"/>
                <w:b/>
                <w:bCs/>
                <w:color w:val="000000" w:themeColor="text1"/>
                <w:highlight w:val="none"/>
                <w14:textFill>
                  <w14:solidFill>
                    <w14:schemeClr w14:val="tx1"/>
                  </w14:solidFill>
                </w14:textFill>
              </w:rPr>
              <w:sym w:font="Wingdings 2" w:char="0052"/>
            </w:r>
            <w:r>
              <w:rPr>
                <w:rFonts w:hint="eastAsia" w:hAnsi="宋体" w:cs="宋体"/>
                <w:b/>
                <w:bCs/>
                <w:color w:val="000000" w:themeColor="text1"/>
                <w:sz w:val="21"/>
                <w:highlight w:val="none"/>
                <w14:textFill>
                  <w14:solidFill>
                    <w14:schemeClr w14:val="tx1"/>
                  </w14:solidFill>
                </w14:textFill>
              </w:rPr>
              <w:t>以</w:t>
            </w:r>
            <w:r>
              <w:rPr>
                <w:rFonts w:hint="eastAsia" w:hAnsi="宋体" w:cs="宋体"/>
                <w:b/>
                <w:bCs/>
                <w:color w:val="000000" w:themeColor="text1"/>
                <w:sz w:val="21"/>
                <w:highlight w:val="none"/>
                <w:lang w:eastAsia="zh-CN"/>
                <w14:textFill>
                  <w14:solidFill>
                    <w14:schemeClr w14:val="tx1"/>
                  </w14:solidFill>
                </w14:textFill>
              </w:rPr>
              <w:t>分标</w:t>
            </w:r>
            <w:r>
              <w:rPr>
                <w:rFonts w:hint="eastAsia" w:hAnsi="宋体" w:cs="宋体"/>
                <w:b/>
                <w:bCs/>
                <w:color w:val="000000" w:themeColor="text1"/>
                <w:sz w:val="21"/>
                <w:highlight w:val="none"/>
                <w14:textFill>
                  <w14:solidFill>
                    <w14:schemeClr w14:val="tx1"/>
                  </w14:solidFill>
                </w14:textFill>
              </w:rPr>
              <w:t>（</w:t>
            </w:r>
            <w:r>
              <w:rPr>
                <w:rFonts w:hint="eastAsia" w:hAnsi="宋体"/>
                <w:b/>
                <w:bCs/>
                <w:color w:val="000000" w:themeColor="text1"/>
                <w:highlight w:val="none"/>
                <w14:textFill>
                  <w14:solidFill>
                    <w14:schemeClr w14:val="tx1"/>
                  </w14:solidFill>
                </w14:textFill>
              </w:rPr>
              <w:sym w:font="Wingdings 2" w:char="0052"/>
            </w:r>
            <w:r>
              <w:rPr>
                <w:rFonts w:hint="eastAsia" w:hAnsi="宋体" w:cs="宋体"/>
                <w:b/>
                <w:bCs/>
                <w:color w:val="000000" w:themeColor="text1"/>
                <w:sz w:val="21"/>
                <w:highlight w:val="none"/>
                <w14:textFill>
                  <w14:solidFill>
                    <w14:schemeClr w14:val="tx1"/>
                  </w14:solidFill>
                </w14:textFill>
              </w:rPr>
              <w:t>成交金额/</w:t>
            </w:r>
            <w:r>
              <w:rPr>
                <w:rFonts w:hint="eastAsia" w:ascii="MS Mincho" w:hAnsi="MS Mincho" w:cs="MS Mincho"/>
                <w:b/>
                <w:bCs/>
                <w:color w:val="000000" w:themeColor="text1"/>
                <w:highlight w:val="none"/>
                <w14:textFill>
                  <w14:solidFill>
                    <w14:schemeClr w14:val="tx1"/>
                  </w14:solidFill>
                </w14:textFill>
              </w:rPr>
              <w:t>□</w:t>
            </w:r>
            <w:r>
              <w:rPr>
                <w:rFonts w:hint="eastAsia" w:hAnsi="宋体" w:cs="宋体"/>
                <w:b/>
                <w:bCs/>
                <w:color w:val="000000" w:themeColor="text1"/>
                <w:sz w:val="21"/>
                <w:highlight w:val="none"/>
                <w14:textFill>
                  <w14:solidFill>
                    <w14:schemeClr w14:val="tx1"/>
                  </w14:solidFill>
                </w14:textFill>
              </w:rPr>
              <w:t>采购预算/□暂定成交金额/□其他</w:t>
            </w:r>
            <w:r>
              <w:rPr>
                <w:rFonts w:hint="eastAsia" w:hAnsi="宋体" w:cs="宋体"/>
                <w:b/>
                <w:bCs/>
                <w:color w:val="000000" w:themeColor="text1"/>
                <w:sz w:val="21"/>
                <w:highlight w:val="none"/>
                <w:u w:val="single"/>
                <w14:textFill>
                  <w14:solidFill>
                    <w14:schemeClr w14:val="tx1"/>
                  </w14:solidFill>
                </w14:textFill>
              </w:rPr>
              <w:t xml:space="preserve">   </w:t>
            </w:r>
            <w:r>
              <w:rPr>
                <w:rFonts w:hint="eastAsia" w:hAnsi="宋体" w:cs="宋体"/>
                <w:b/>
                <w:bCs/>
                <w:color w:val="000000" w:themeColor="text1"/>
                <w:sz w:val="21"/>
                <w:highlight w:val="none"/>
                <w14:textFill>
                  <w14:solidFill>
                    <w14:schemeClr w14:val="tx1"/>
                  </w14:solidFill>
                </w14:textFill>
              </w:rPr>
              <w:t>）为计费额，按本须知正文第35.1条规定的（</w:t>
            </w:r>
            <w:r>
              <w:rPr>
                <w:rFonts w:hint="eastAsia" w:hAnsi="宋体" w:cs="宋体"/>
                <w:b/>
                <w:bCs/>
                <w:color w:val="000000" w:themeColor="text1"/>
                <w:sz w:val="21"/>
                <w:highlight w:val="none"/>
                <w14:textFill>
                  <w14:solidFill>
                    <w14:schemeClr w14:val="tx1"/>
                  </w14:solidFill>
                </w14:textFill>
              </w:rPr>
              <w:sym w:font="Wingdings 2" w:char="0052"/>
            </w:r>
            <w:r>
              <w:rPr>
                <w:rFonts w:hint="eastAsia" w:hAnsi="宋体" w:cs="宋体"/>
                <w:b/>
                <w:bCs/>
                <w:color w:val="000000" w:themeColor="text1"/>
                <w:sz w:val="21"/>
                <w:highlight w:val="none"/>
                <w14:textFill>
                  <w14:solidFill>
                    <w14:schemeClr w14:val="tx1"/>
                  </w14:solidFill>
                </w14:textFill>
              </w:rPr>
              <w:t>货物类/</w:t>
            </w:r>
            <w:r>
              <w:rPr>
                <w:rFonts w:hint="eastAsia" w:ascii="MS Mincho" w:hAnsi="MS Mincho" w:eastAsia="宋体" w:cs="MS Mincho"/>
                <w:b/>
                <w:bCs/>
                <w:color w:val="000000" w:themeColor="text1"/>
                <w:highlight w:val="none"/>
                <w:lang w:eastAsia="zh-CN"/>
                <w14:textFill>
                  <w14:solidFill>
                    <w14:schemeClr w14:val="tx1"/>
                  </w14:solidFill>
                </w14:textFill>
              </w:rPr>
              <w:t>□</w:t>
            </w:r>
            <w:r>
              <w:rPr>
                <w:rFonts w:hint="eastAsia" w:hAnsi="宋体" w:cs="宋体"/>
                <w:b/>
                <w:bCs/>
                <w:color w:val="000000" w:themeColor="text1"/>
                <w:sz w:val="21"/>
                <w:highlight w:val="none"/>
                <w14:textFill>
                  <w14:solidFill>
                    <w14:schemeClr w14:val="tx1"/>
                  </w14:solidFill>
                </w14:textFill>
              </w:rPr>
              <w:t>服务类/□工程类）标准采用差额定率累进法计算出收费基准价格，采购代理收费以（</w:t>
            </w:r>
            <w:r>
              <w:rPr>
                <w:rFonts w:hint="eastAsia" w:ascii="MS Mincho" w:hAnsi="MS Mincho" w:eastAsia="MS Mincho" w:cs="MS Mincho"/>
                <w:b/>
                <w:bCs/>
                <w:color w:val="000000" w:themeColor="text1"/>
                <w:sz w:val="21"/>
                <w:highlight w:val="none"/>
                <w14:textFill>
                  <w14:solidFill>
                    <w14:schemeClr w14:val="tx1"/>
                  </w14:solidFill>
                </w14:textFill>
              </w:rPr>
              <w:t>☑</w:t>
            </w:r>
            <w:r>
              <w:rPr>
                <w:rFonts w:hint="eastAsia" w:hAnsi="宋体" w:cs="宋体"/>
                <w:b/>
                <w:bCs/>
                <w:color w:val="000000" w:themeColor="text1"/>
                <w:sz w:val="21"/>
                <w:highlight w:val="none"/>
                <w14:textFill>
                  <w14:solidFill>
                    <w14:schemeClr w14:val="tx1"/>
                  </w14:solidFill>
                </w14:textFill>
              </w:rPr>
              <w:t>收费基准价格/□收费基准价格下浮</w:t>
            </w:r>
            <w:r>
              <w:rPr>
                <w:rFonts w:hint="eastAsia" w:hAnsi="宋体" w:cs="宋体"/>
                <w:b/>
                <w:bCs/>
                <w:color w:val="000000" w:themeColor="text1"/>
                <w:sz w:val="21"/>
                <w:highlight w:val="none"/>
                <w:u w:val="single"/>
                <w14:textFill>
                  <w14:solidFill>
                    <w14:schemeClr w14:val="tx1"/>
                  </w14:solidFill>
                </w14:textFill>
              </w:rPr>
              <w:t xml:space="preserve"> %</w:t>
            </w:r>
            <w:r>
              <w:rPr>
                <w:rFonts w:hint="eastAsia" w:hAnsi="宋体" w:cs="宋体"/>
                <w:b/>
                <w:bCs/>
                <w:color w:val="000000" w:themeColor="text1"/>
                <w:sz w:val="21"/>
                <w:highlight w:val="none"/>
                <w14:textFill>
                  <w14:solidFill>
                    <w14:schemeClr w14:val="tx1"/>
                  </w14:solidFill>
                </w14:textFill>
              </w:rPr>
              <w:t>/□收费基准价格上浮</w:t>
            </w:r>
            <w:r>
              <w:rPr>
                <w:rFonts w:hint="eastAsia" w:hAnsi="宋体" w:cs="宋体"/>
                <w:b/>
                <w:bCs/>
                <w:color w:val="000000" w:themeColor="text1"/>
                <w:sz w:val="21"/>
                <w:highlight w:val="none"/>
                <w:u w:val="single"/>
                <w14:textFill>
                  <w14:solidFill>
                    <w14:schemeClr w14:val="tx1"/>
                  </w14:solidFill>
                </w14:textFill>
              </w:rPr>
              <w:t xml:space="preserve">   %</w:t>
            </w:r>
            <w:r>
              <w:rPr>
                <w:rFonts w:hint="eastAsia" w:hAnsi="宋体" w:cs="宋体"/>
                <w:b/>
                <w:bCs/>
                <w:color w:val="000000" w:themeColor="text1"/>
                <w:sz w:val="21"/>
                <w:highlight w:val="none"/>
                <w14:textFill>
                  <w14:solidFill>
                    <w14:schemeClr w14:val="tx1"/>
                  </w14:solidFill>
                </w14:textFill>
              </w:rPr>
              <w:t>）收取，</w:t>
            </w:r>
            <w:r>
              <w:rPr>
                <w:rFonts w:hint="eastAsia" w:hAnsi="宋体" w:cs="宋体"/>
                <w:b/>
                <w:bCs/>
                <w:color w:val="000000" w:themeColor="text1"/>
                <w:sz w:val="21"/>
                <w:highlight w:val="none"/>
                <w:lang w:val="en-US" w:eastAsia="zh-CN"/>
                <w14:textFill>
                  <w14:solidFill>
                    <w14:schemeClr w14:val="tx1"/>
                  </w14:solidFill>
                </w14:textFill>
              </w:rPr>
              <w:t>如不足人民币伍仟元的按伍仟元收取</w:t>
            </w:r>
            <w:r>
              <w:rPr>
                <w:rFonts w:hint="eastAsia" w:hAnsi="宋体" w:cs="宋体"/>
                <w:b/>
                <w:bCs/>
                <w:color w:val="000000" w:themeColor="text1"/>
                <w:sz w:val="21"/>
                <w:highlight w:val="none"/>
                <w14:textFill>
                  <w14:solidFill>
                    <w14:schemeClr w14:val="tx1"/>
                  </w14:solidFill>
                </w14:textFill>
              </w:rPr>
              <w:t>。</w:t>
            </w:r>
          </w:p>
          <w:p>
            <w:pPr>
              <w:pStyle w:val="14"/>
              <w:keepNext w:val="0"/>
              <w:keepLines w:val="0"/>
              <w:pageBreakBefore w:val="0"/>
              <w:widowControl w:val="0"/>
              <w:kinsoku/>
              <w:wordWrap/>
              <w:overflowPunct/>
              <w:topLinePunct w:val="0"/>
              <w:bidi w:val="0"/>
              <w:adjustRightInd/>
              <w:snapToGrid w:val="0"/>
              <w:spacing w:line="440" w:lineRule="exact"/>
              <w:ind w:left="0"/>
              <w:rPr>
                <w:rFonts w:hint="eastAsia" w:hAnsi="宋体" w:cs="宋体"/>
                <w:color w:val="000000" w:themeColor="text1"/>
                <w:sz w:val="21"/>
                <w:highlight w:val="none"/>
                <w:u w:val="singl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□固定采购代理收费</w:t>
            </w:r>
            <w:r>
              <w:rPr>
                <w:rFonts w:hint="eastAsia" w:hAnsi="宋体" w:cs="宋体"/>
                <w:color w:val="000000" w:themeColor="text1"/>
                <w:sz w:val="21"/>
                <w:highlight w:val="none"/>
                <w:u w:val="single"/>
                <w14:textFill>
                  <w14:solidFill>
                    <w14:schemeClr w14:val="tx1"/>
                  </w14:solidFill>
                </w14:textFill>
              </w:rPr>
              <w:t xml:space="preserve"> </w:t>
            </w:r>
            <w:r>
              <w:rPr>
                <w:rFonts w:hint="eastAsia" w:hAnsi="宋体" w:cs="宋体"/>
                <w:color w:val="000000" w:themeColor="text1"/>
                <w:sz w:val="21"/>
                <w:highlight w:val="none"/>
                <w:u w:val="single"/>
                <w:lang w:val="en-US" w:eastAsia="zh-CN"/>
                <w14:textFill>
                  <w14:solidFill>
                    <w14:schemeClr w14:val="tx1"/>
                  </w14:solidFill>
                </w14:textFill>
              </w:rPr>
              <w:t>/</w:t>
            </w:r>
            <w:r>
              <w:rPr>
                <w:rFonts w:hint="eastAsia" w:hAnsi="宋体" w:cs="宋体"/>
                <w:color w:val="000000" w:themeColor="text1"/>
                <w:sz w:val="21"/>
                <w:highlight w:val="none"/>
                <w:u w:val="single"/>
                <w14:textFill>
                  <w14:solidFill>
                    <w14:schemeClr w14:val="tx1"/>
                  </w14:solidFill>
                </w14:textFill>
              </w:rPr>
              <w:t>。</w:t>
            </w:r>
          </w:p>
          <w:p>
            <w:pPr>
              <w:pStyle w:val="14"/>
              <w:keepNext w:val="0"/>
              <w:keepLines w:val="0"/>
              <w:pageBreakBefore w:val="0"/>
              <w:widowControl w:val="0"/>
              <w:kinsoku/>
              <w:wordWrap/>
              <w:overflowPunct/>
              <w:topLinePunct w:val="0"/>
              <w:bidi w:val="0"/>
              <w:adjustRightInd/>
              <w:snapToGrid w:val="0"/>
              <w:spacing w:line="440" w:lineRule="exact"/>
              <w:ind w:left="0"/>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3.采购代理费收取银行账户</w:t>
            </w:r>
          </w:p>
          <w:p>
            <w:pPr>
              <w:pStyle w:val="14"/>
              <w:keepNext w:val="0"/>
              <w:keepLines w:val="0"/>
              <w:pageBreakBefore w:val="0"/>
              <w:widowControl w:val="0"/>
              <w:kinsoku/>
              <w:wordWrap/>
              <w:overflowPunct/>
              <w:topLinePunct w:val="0"/>
              <w:bidi w:val="0"/>
              <w:adjustRightInd/>
              <w:snapToGrid w:val="0"/>
              <w:spacing w:line="440" w:lineRule="exact"/>
              <w:ind w:left="0"/>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开户名称：广西正海招标有限公司</w:t>
            </w:r>
          </w:p>
          <w:p>
            <w:pPr>
              <w:pStyle w:val="14"/>
              <w:keepNext w:val="0"/>
              <w:keepLines w:val="0"/>
              <w:pageBreakBefore w:val="0"/>
              <w:widowControl w:val="0"/>
              <w:kinsoku/>
              <w:wordWrap/>
              <w:overflowPunct/>
              <w:topLinePunct w:val="0"/>
              <w:bidi w:val="0"/>
              <w:adjustRightInd/>
              <w:snapToGrid w:val="0"/>
              <w:spacing w:line="440" w:lineRule="exact"/>
              <w:ind w:left="0"/>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开户银行：中国光大银行股份有限公司南宁长湖支行</w:t>
            </w:r>
          </w:p>
          <w:p>
            <w:pPr>
              <w:pStyle w:val="14"/>
              <w:keepNext w:val="0"/>
              <w:keepLines w:val="0"/>
              <w:pageBreakBefore w:val="0"/>
              <w:widowControl w:val="0"/>
              <w:kinsoku/>
              <w:wordWrap/>
              <w:overflowPunct/>
              <w:topLinePunct w:val="0"/>
              <w:bidi w:val="0"/>
              <w:adjustRightInd/>
              <w:snapToGrid w:val="0"/>
              <w:spacing w:line="440" w:lineRule="exact"/>
              <w:ind w:left="0"/>
              <w:rPr>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银行账号：7908 0188 0000 35937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keepNext w:val="0"/>
              <w:keepLines w:val="0"/>
              <w:pageBreakBefore w:val="0"/>
              <w:widowControl w:val="0"/>
              <w:kinsoku/>
              <w:wordWrap/>
              <w:overflowPunct/>
              <w:topLinePunct w:val="0"/>
              <w:bidi w:val="0"/>
              <w:adjustRightInd/>
              <w:spacing w:line="440" w:lineRule="exact"/>
              <w:ind w:left="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ascii="宋体" w:hAnsi="宋体" w:cs="宋体"/>
                <w:color w:val="000000" w:themeColor="text1"/>
                <w:szCs w:val="21"/>
                <w:highlight w:val="none"/>
                <w14:textFill>
                  <w14:solidFill>
                    <w14:schemeClr w14:val="tx1"/>
                  </w14:solidFill>
                </w14:textFill>
              </w:rPr>
              <w:t>3.1</w:t>
            </w:r>
          </w:p>
        </w:tc>
        <w:tc>
          <w:tcPr>
            <w:tcW w:w="7912" w:type="dxa"/>
            <w:vAlign w:val="center"/>
          </w:tcPr>
          <w:p>
            <w:pPr>
              <w:pStyle w:val="14"/>
              <w:keepNext w:val="0"/>
              <w:keepLines w:val="0"/>
              <w:pageBreakBefore w:val="0"/>
              <w:widowControl w:val="0"/>
              <w:kinsoku/>
              <w:wordWrap/>
              <w:overflowPunct/>
              <w:topLinePunct w:val="0"/>
              <w:bidi w:val="0"/>
              <w:adjustRightInd/>
              <w:snapToGrid w:val="0"/>
              <w:spacing w:line="440" w:lineRule="exact"/>
              <w:ind w:left="0"/>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解释：</w:t>
            </w:r>
            <w:r>
              <w:rPr>
                <w:rFonts w:hAnsi="宋体" w:cs="宋体"/>
                <w:color w:val="000000" w:themeColor="text1"/>
                <w:sz w:val="21"/>
                <w:highlight w:val="none"/>
                <w14:textFill>
                  <w14:solidFill>
                    <w14:schemeClr w14:val="tx1"/>
                  </w14:solidFill>
                </w14:textFill>
              </w:rPr>
              <w:t>构成本</w:t>
            </w:r>
            <w:r>
              <w:rPr>
                <w:rFonts w:hint="eastAsia" w:hAnsi="宋体" w:cs="宋体"/>
                <w:color w:val="000000" w:themeColor="text1"/>
                <w:sz w:val="21"/>
                <w:highlight w:val="none"/>
                <w14:textFill>
                  <w14:solidFill>
                    <w14:schemeClr w14:val="tx1"/>
                  </w14:solidFill>
                </w14:textFill>
              </w:rPr>
              <w:t>谈判文件</w:t>
            </w:r>
            <w:r>
              <w:rPr>
                <w:rFonts w:hAnsi="宋体" w:cs="宋体"/>
                <w:color w:val="000000" w:themeColor="text1"/>
                <w:sz w:val="21"/>
                <w:highlight w:val="none"/>
                <w14:textFill>
                  <w14:solidFill>
                    <w14:schemeClr w14:val="tx1"/>
                  </w14:solidFill>
                </w14:textFill>
              </w:rPr>
              <w:t>的各个组成文件应互为解释，互为说明；除</w:t>
            </w:r>
            <w:r>
              <w:rPr>
                <w:rFonts w:hint="eastAsia" w:hAnsi="宋体" w:cs="宋体"/>
                <w:color w:val="000000" w:themeColor="text1"/>
                <w:sz w:val="21"/>
                <w:highlight w:val="none"/>
                <w14:textFill>
                  <w14:solidFill>
                    <w14:schemeClr w14:val="tx1"/>
                  </w14:solidFill>
                </w14:textFill>
              </w:rPr>
              <w:t>谈判文件</w:t>
            </w:r>
            <w:r>
              <w:rPr>
                <w:rFonts w:hAnsi="宋体" w:cs="宋体"/>
                <w:color w:val="000000" w:themeColor="text1"/>
                <w:sz w:val="21"/>
                <w:highlight w:val="none"/>
                <w14:textFill>
                  <w14:solidFill>
                    <w14:schemeClr w14:val="tx1"/>
                  </w14:solidFill>
                </w14:textFill>
              </w:rPr>
              <w:t>中有特别规定外，仅适用于</w:t>
            </w:r>
            <w:r>
              <w:rPr>
                <w:rFonts w:hint="eastAsia" w:hAnsi="宋体" w:cs="宋体"/>
                <w:color w:val="000000" w:themeColor="text1"/>
                <w:sz w:val="21"/>
                <w:highlight w:val="none"/>
                <w14:textFill>
                  <w14:solidFill>
                    <w14:schemeClr w14:val="tx1"/>
                  </w14:solidFill>
                </w14:textFill>
              </w:rPr>
              <w:t>竞标</w:t>
            </w:r>
            <w:r>
              <w:rPr>
                <w:rFonts w:hAnsi="宋体" w:cs="宋体"/>
                <w:color w:val="000000" w:themeColor="text1"/>
                <w:sz w:val="21"/>
                <w:highlight w:val="none"/>
                <w14:textFill>
                  <w14:solidFill>
                    <w14:schemeClr w14:val="tx1"/>
                  </w14:solidFill>
                </w14:textFill>
              </w:rPr>
              <w:t>阶段的规定，按</w:t>
            </w:r>
            <w:r>
              <w:rPr>
                <w:rFonts w:hint="eastAsia" w:hAnsi="宋体" w:cs="宋体"/>
                <w:color w:val="000000" w:themeColor="text1"/>
                <w:sz w:val="21"/>
                <w:highlight w:val="none"/>
                <w14:textFill>
                  <w14:solidFill>
                    <w14:schemeClr w14:val="tx1"/>
                  </w14:solidFill>
                </w14:textFill>
              </w:rPr>
              <w:t>更正公告（澄清公告）</w:t>
            </w:r>
            <w:r>
              <w:rPr>
                <w:rFonts w:hAnsi="宋体" w:cs="宋体"/>
                <w:color w:val="000000" w:themeColor="text1"/>
                <w:sz w:val="21"/>
                <w:highlight w:val="none"/>
                <w14:textFill>
                  <w14:solidFill>
                    <w14:schemeClr w14:val="tx1"/>
                  </w14:solidFill>
                </w14:textFill>
              </w:rPr>
              <w:t>、</w:t>
            </w:r>
            <w:r>
              <w:rPr>
                <w:rFonts w:hint="eastAsia" w:hAnsi="宋体" w:cs="宋体"/>
                <w:color w:val="000000" w:themeColor="text1"/>
                <w:sz w:val="21"/>
                <w:highlight w:val="none"/>
                <w14:textFill>
                  <w14:solidFill>
                    <w14:schemeClr w14:val="tx1"/>
                  </w14:solidFill>
                </w14:textFill>
              </w:rPr>
              <w:t>竞争性谈判</w:t>
            </w:r>
            <w:r>
              <w:rPr>
                <w:rFonts w:hAnsi="宋体" w:cs="宋体"/>
                <w:color w:val="000000" w:themeColor="text1"/>
                <w:sz w:val="21"/>
                <w:highlight w:val="none"/>
                <w14:textFill>
                  <w14:solidFill>
                    <w14:schemeClr w14:val="tx1"/>
                  </w14:solidFill>
                </w14:textFill>
              </w:rPr>
              <w:t>公告、</w:t>
            </w:r>
            <w:r>
              <w:rPr>
                <w:rFonts w:hint="eastAsia" w:hAnsi="宋体" w:cs="宋体"/>
                <w:color w:val="000000" w:themeColor="text1"/>
                <w:sz w:val="21"/>
                <w:highlight w:val="none"/>
                <w14:textFill>
                  <w14:solidFill>
                    <w14:schemeClr w14:val="tx1"/>
                  </w14:solidFill>
                </w14:textFill>
              </w:rPr>
              <w:t>供应商</w:t>
            </w:r>
            <w:r>
              <w:rPr>
                <w:rFonts w:hAnsi="宋体" w:cs="宋体"/>
                <w:color w:val="000000" w:themeColor="text1"/>
                <w:sz w:val="21"/>
                <w:highlight w:val="none"/>
                <w14:textFill>
                  <w14:solidFill>
                    <w14:schemeClr w14:val="tx1"/>
                  </w14:solidFill>
                </w14:textFill>
              </w:rPr>
              <w:t>须知</w:t>
            </w:r>
            <w:r>
              <w:rPr>
                <w:rFonts w:hint="eastAsia" w:hAnsi="宋体" w:cs="宋体"/>
                <w:color w:val="000000" w:themeColor="text1"/>
                <w:sz w:val="21"/>
                <w:highlight w:val="none"/>
                <w14:textFill>
                  <w14:solidFill>
                    <w14:schemeClr w14:val="tx1"/>
                  </w14:solidFill>
                </w14:textFill>
              </w:rPr>
              <w:t>、采购需求</w:t>
            </w:r>
            <w:r>
              <w:rPr>
                <w:rFonts w:hAnsi="宋体" w:cs="宋体"/>
                <w:color w:val="000000" w:themeColor="text1"/>
                <w:sz w:val="21"/>
                <w:highlight w:val="none"/>
                <w14:textFill>
                  <w14:solidFill>
                    <w14:schemeClr w14:val="tx1"/>
                  </w14:solidFill>
                </w14:textFill>
              </w:rPr>
              <w:t>、</w:t>
            </w:r>
            <w:r>
              <w:rPr>
                <w:rFonts w:hint="eastAsia" w:hAnsi="宋体" w:cs="宋体"/>
                <w:color w:val="000000" w:themeColor="text1"/>
                <w:sz w:val="21"/>
                <w:highlight w:val="none"/>
                <w14:textFill>
                  <w14:solidFill>
                    <w14:schemeClr w14:val="tx1"/>
                  </w14:solidFill>
                </w14:textFill>
              </w:rPr>
              <w:t>评审程序和评定成交的标准</w:t>
            </w:r>
            <w:r>
              <w:rPr>
                <w:rFonts w:hAnsi="宋体" w:cs="宋体"/>
                <w:color w:val="000000" w:themeColor="text1"/>
                <w:sz w:val="21"/>
                <w:highlight w:val="none"/>
                <w14:textFill>
                  <w14:solidFill>
                    <w14:schemeClr w14:val="tx1"/>
                  </w14:solidFill>
                </w14:textFill>
              </w:rPr>
              <w:t>、</w:t>
            </w:r>
            <w:r>
              <w:rPr>
                <w:rFonts w:hint="eastAsia" w:hAnsi="宋体" w:cs="宋体"/>
                <w:color w:val="000000" w:themeColor="text1"/>
                <w:sz w:val="21"/>
                <w:highlight w:val="none"/>
                <w14:textFill>
                  <w14:solidFill>
                    <w14:schemeClr w14:val="tx1"/>
                  </w14:solidFill>
                </w14:textFill>
              </w:rPr>
              <w:t>响应</w:t>
            </w:r>
            <w:r>
              <w:rPr>
                <w:rFonts w:hAnsi="宋体" w:cs="宋体"/>
                <w:color w:val="000000" w:themeColor="text1"/>
                <w:sz w:val="21"/>
                <w:highlight w:val="none"/>
                <w14:textFill>
                  <w14:solidFill>
                    <w14:schemeClr w14:val="tx1"/>
                  </w14:solidFill>
                </w14:textFill>
              </w:rPr>
              <w:t>文件格式</w:t>
            </w:r>
            <w:r>
              <w:rPr>
                <w:rFonts w:hint="eastAsia" w:hAnsi="宋体" w:cs="宋体"/>
                <w:color w:val="000000" w:themeColor="text1"/>
                <w:sz w:val="21"/>
                <w:highlight w:val="none"/>
                <w14:textFill>
                  <w14:solidFill>
                    <w14:schemeClr w14:val="tx1"/>
                  </w14:solidFill>
                </w14:textFill>
              </w:rPr>
              <w:t>、合同文本</w:t>
            </w:r>
            <w:r>
              <w:rPr>
                <w:rFonts w:hAnsi="宋体" w:cs="宋体"/>
                <w:color w:val="000000" w:themeColor="text1"/>
                <w:sz w:val="21"/>
                <w:highlight w:val="none"/>
                <w14:textFill>
                  <w14:solidFill>
                    <w14:schemeClr w14:val="tx1"/>
                  </w14:solidFill>
                </w14:textFill>
              </w:rPr>
              <w:t>的先后顺序解释；同一组成文件中就同一事项的规定或约定不一致的，以编排顺序在后者为准；同一组成文件不同版本之间有不一致的，以形成时间在后者为准；</w:t>
            </w:r>
            <w:r>
              <w:rPr>
                <w:rFonts w:hint="eastAsia" w:hAnsi="宋体" w:cs="宋体"/>
                <w:color w:val="000000" w:themeColor="text1"/>
                <w:sz w:val="21"/>
                <w:highlight w:val="none"/>
                <w14:textFill>
                  <w14:solidFill>
                    <w14:schemeClr w14:val="tx1"/>
                  </w14:solidFill>
                </w14:textFill>
              </w:rPr>
              <w:t>更正公告（澄清公告）</w:t>
            </w:r>
            <w:r>
              <w:rPr>
                <w:rFonts w:hAnsi="宋体" w:cs="宋体"/>
                <w:color w:val="000000" w:themeColor="text1"/>
                <w:sz w:val="21"/>
                <w:highlight w:val="none"/>
                <w14:textFill>
                  <w14:solidFill>
                    <w14:schemeClr w14:val="tx1"/>
                  </w14:solidFill>
                </w14:textFill>
              </w:rPr>
              <w:t>与同步更新的</w:t>
            </w:r>
            <w:r>
              <w:rPr>
                <w:rFonts w:hint="eastAsia" w:hAnsi="宋体" w:cs="宋体"/>
                <w:color w:val="000000" w:themeColor="text1"/>
                <w:sz w:val="21"/>
                <w:highlight w:val="none"/>
                <w14:textFill>
                  <w14:solidFill>
                    <w14:schemeClr w14:val="tx1"/>
                  </w14:solidFill>
                </w14:textFill>
              </w:rPr>
              <w:t>谈判文件</w:t>
            </w:r>
            <w:r>
              <w:rPr>
                <w:rFonts w:hAnsi="宋体" w:cs="宋体"/>
                <w:color w:val="000000" w:themeColor="text1"/>
                <w:sz w:val="21"/>
                <w:highlight w:val="none"/>
                <w14:textFill>
                  <w14:solidFill>
                    <w14:schemeClr w14:val="tx1"/>
                  </w14:solidFill>
                </w14:textFill>
              </w:rPr>
              <w:t>不一致时以</w:t>
            </w:r>
            <w:r>
              <w:rPr>
                <w:rFonts w:hint="eastAsia" w:hAnsi="宋体" w:cs="宋体"/>
                <w:color w:val="000000" w:themeColor="text1"/>
                <w:sz w:val="21"/>
                <w:highlight w:val="none"/>
                <w14:textFill>
                  <w14:solidFill>
                    <w14:schemeClr w14:val="tx1"/>
                  </w14:solidFill>
                </w14:textFill>
              </w:rPr>
              <w:t>更正公告（澄清公告）</w:t>
            </w:r>
            <w:r>
              <w:rPr>
                <w:rFonts w:hAnsi="宋体" w:cs="宋体"/>
                <w:color w:val="000000" w:themeColor="text1"/>
                <w:sz w:val="21"/>
                <w:highlight w:val="none"/>
                <w14:textFill>
                  <w14:solidFill>
                    <w14:schemeClr w14:val="tx1"/>
                  </w14:solidFill>
                </w14:textFill>
              </w:rPr>
              <w:t>为准。按本款前述规定仍不能形成结论的，由</w:t>
            </w:r>
            <w:r>
              <w:rPr>
                <w:rFonts w:hint="eastAsia" w:hAnsi="宋体" w:cs="宋体"/>
                <w:color w:val="000000" w:themeColor="text1"/>
                <w:sz w:val="21"/>
                <w:highlight w:val="none"/>
                <w14:textFill>
                  <w14:solidFill>
                    <w14:schemeClr w14:val="tx1"/>
                  </w14:solidFill>
                </w14:textFill>
              </w:rPr>
              <w:t>采购</w:t>
            </w:r>
            <w:r>
              <w:rPr>
                <w:rFonts w:hAnsi="宋体" w:cs="宋体"/>
                <w:color w:val="000000" w:themeColor="text1"/>
                <w:sz w:val="21"/>
                <w:highlight w:val="none"/>
                <w14:textFill>
                  <w14:solidFill>
                    <w14:schemeClr w14:val="tx1"/>
                  </w14:solidFill>
                </w14:textFill>
              </w:rPr>
              <w:t>人</w:t>
            </w:r>
            <w:r>
              <w:rPr>
                <w:rFonts w:hint="eastAsia" w:hAnsi="宋体" w:cs="宋体"/>
                <w:color w:val="000000" w:themeColor="text1"/>
                <w:sz w:val="21"/>
                <w:highlight w:val="none"/>
                <w14:textFill>
                  <w14:solidFill>
                    <w14:schemeClr w14:val="tx1"/>
                  </w14:solidFill>
                </w14:textFill>
              </w:rPr>
              <w:t>或者采购代理机构</w:t>
            </w:r>
            <w:r>
              <w:rPr>
                <w:rFonts w:hAnsi="宋体" w:cs="宋体"/>
                <w:color w:val="000000" w:themeColor="text1"/>
                <w:sz w:val="21"/>
                <w:highlight w:val="none"/>
                <w14:textFill>
                  <w14:solidFill>
                    <w14:schemeClr w14:val="tx1"/>
                  </w14:solidFill>
                </w14:textFill>
              </w:rPr>
              <w:t>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keepNext w:val="0"/>
              <w:keepLines w:val="0"/>
              <w:pageBreakBefore w:val="0"/>
              <w:widowControl w:val="0"/>
              <w:kinsoku/>
              <w:wordWrap/>
              <w:overflowPunct/>
              <w:topLinePunct w:val="0"/>
              <w:bidi w:val="0"/>
              <w:adjustRightInd/>
              <w:spacing w:line="440" w:lineRule="exact"/>
              <w:ind w:left="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ascii="宋体" w:hAnsi="宋体" w:cs="宋体"/>
                <w:color w:val="000000" w:themeColor="text1"/>
                <w:szCs w:val="21"/>
                <w:highlight w:val="none"/>
                <w14:textFill>
                  <w14:solidFill>
                    <w14:schemeClr w14:val="tx1"/>
                  </w14:solidFill>
                </w14:textFill>
              </w:rPr>
              <w:t>3.2</w:t>
            </w:r>
          </w:p>
        </w:tc>
        <w:tc>
          <w:tcPr>
            <w:tcW w:w="7912" w:type="dxa"/>
            <w:vAlign w:val="center"/>
          </w:tcPr>
          <w:p>
            <w:pPr>
              <w:pStyle w:val="14"/>
              <w:keepNext w:val="0"/>
              <w:keepLines w:val="0"/>
              <w:pageBreakBefore w:val="0"/>
              <w:widowControl w:val="0"/>
              <w:kinsoku/>
              <w:wordWrap/>
              <w:overflowPunct/>
              <w:topLinePunct w:val="0"/>
              <w:bidi w:val="0"/>
              <w:adjustRightInd/>
              <w:snapToGrid w:val="0"/>
              <w:spacing w:line="440" w:lineRule="exact"/>
              <w:ind w:left="0"/>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1.本谈判文件中描述供应商的“公章”是指根据我国对公章的管理规定，用供应商法定主体行为名称制作的印章，除本谈判文件有特殊规定外，供应商的财务章、部门章、分公司章、工会章、合同章、竞标专用章、业务专用章及银行的转账章、现金收讫章、现金付讫章等其他形式印章均不能代替公章。</w:t>
            </w:r>
          </w:p>
          <w:p>
            <w:pPr>
              <w:pStyle w:val="14"/>
              <w:keepNext w:val="0"/>
              <w:keepLines w:val="0"/>
              <w:pageBreakBefore w:val="0"/>
              <w:widowControl w:val="0"/>
              <w:kinsoku/>
              <w:wordWrap/>
              <w:overflowPunct/>
              <w:topLinePunct w:val="0"/>
              <w:bidi w:val="0"/>
              <w:adjustRightInd/>
              <w:snapToGrid w:val="0"/>
              <w:spacing w:line="440" w:lineRule="exact"/>
              <w:ind w:left="0"/>
              <w:rPr>
                <w:rFonts w:hAnsi="宋体" w:cs="宋体"/>
                <w:bCs/>
                <w:color w:val="000000" w:themeColor="text1"/>
                <w:sz w:val="21"/>
                <w:highlight w:val="none"/>
                <w14:textFill>
                  <w14:solidFill>
                    <w14:schemeClr w14:val="tx1"/>
                  </w14:solidFill>
                </w14:textFill>
              </w:rPr>
            </w:pPr>
            <w:r>
              <w:rPr>
                <w:rFonts w:hint="eastAsia" w:hAnsi="宋体" w:cs="宋体"/>
                <w:bCs/>
                <w:color w:val="000000" w:themeColor="text1"/>
                <w:sz w:val="21"/>
                <w:highlight w:val="none"/>
                <w14:textFill>
                  <w14:solidFill>
                    <w14:schemeClr w14:val="tx1"/>
                  </w14:solidFill>
                </w14:textFill>
              </w:rPr>
              <w:t>2.本谈判文件所称的“</w:t>
            </w:r>
            <w:r>
              <w:rPr>
                <w:rFonts w:hint="eastAsia" w:hAnsi="宋体"/>
                <w:color w:val="000000" w:themeColor="text1"/>
                <w:sz w:val="21"/>
                <w:highlight w:val="none"/>
                <w14:textFill>
                  <w14:solidFill>
                    <w14:schemeClr w14:val="tx1"/>
                  </w14:solidFill>
                </w14:textFill>
              </w:rPr>
              <w:t>电子签章</w:t>
            </w:r>
            <w:r>
              <w:rPr>
                <w:rFonts w:hint="eastAsia" w:hAnsi="宋体" w:cs="宋体"/>
                <w:bCs/>
                <w:color w:val="000000" w:themeColor="text1"/>
                <w:sz w:val="21"/>
                <w:highlight w:val="none"/>
                <w14:textFill>
                  <w14:solidFill>
                    <w14:schemeClr w14:val="tx1"/>
                  </w14:solidFill>
                </w14:textFill>
              </w:rPr>
              <w:t>”、“电子签名”</w:t>
            </w:r>
            <w:r>
              <w:rPr>
                <w:rFonts w:hint="eastAsia" w:hAnsi="宋体"/>
                <w:color w:val="000000" w:themeColor="text1"/>
                <w:sz w:val="21"/>
                <w:highlight w:val="none"/>
                <w14:textFill>
                  <w14:solidFill>
                    <w14:schemeClr w14:val="tx1"/>
                  </w14:solidFill>
                </w14:textFill>
              </w:rPr>
              <w:t>，是指经</w:t>
            </w:r>
            <w:r>
              <w:rPr>
                <w:rFonts w:hint="eastAsia" w:hAnsi="宋体"/>
                <w:color w:val="000000" w:themeColor="text1"/>
                <w:sz w:val="21"/>
                <w:highlight w:val="none"/>
                <w:lang w:eastAsia="zh-CN"/>
                <w14:textFill>
                  <w14:solidFill>
                    <w14:schemeClr w14:val="tx1"/>
                  </w14:solidFill>
                </w14:textFill>
              </w:rPr>
              <w:t>广西政府采购云平台</w:t>
            </w:r>
            <w:r>
              <w:rPr>
                <w:rFonts w:hint="eastAsia" w:hAnsi="宋体"/>
                <w:color w:val="000000" w:themeColor="text1"/>
                <w:sz w:val="21"/>
                <w:highlight w:val="none"/>
                <w14:textFill>
                  <w14:solidFill>
                    <w14:schemeClr w14:val="tx1"/>
                  </w14:solidFill>
                </w14:textFill>
              </w:rPr>
              <w:t>认可的CA认证的电子签名数据为表现形式的印章，可用于签署电子响应文件，电子印章与实物印章具有同等法律效力，不因其采用电子化表现形式而否定其法律效力。</w:t>
            </w:r>
          </w:p>
          <w:p>
            <w:pPr>
              <w:pStyle w:val="14"/>
              <w:keepNext w:val="0"/>
              <w:keepLines w:val="0"/>
              <w:pageBreakBefore w:val="0"/>
              <w:widowControl w:val="0"/>
              <w:kinsoku/>
              <w:wordWrap/>
              <w:overflowPunct/>
              <w:topLinePunct w:val="0"/>
              <w:bidi w:val="0"/>
              <w:adjustRightInd/>
              <w:snapToGrid w:val="0"/>
              <w:spacing w:line="440" w:lineRule="exact"/>
              <w:ind w:left="0"/>
              <w:rPr>
                <w:rFonts w:hAnsi="宋体" w:cs="宋体"/>
                <w:bCs/>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3.供应商为其他组织或者自然人时，本谈判文件规定的法定代表人指负责人或者自然人。本谈判文件所称负责人是指参加竞标的其他组织</w:t>
            </w:r>
            <w:r>
              <w:rPr>
                <w:rFonts w:hint="eastAsia" w:hAnsi="宋体" w:cs="宋体"/>
                <w:bCs/>
                <w:color w:val="000000" w:themeColor="text1"/>
                <w:sz w:val="21"/>
                <w:highlight w:val="none"/>
                <w14:textFill>
                  <w14:solidFill>
                    <w14:schemeClr w14:val="tx1"/>
                  </w14:solidFill>
                </w14:textFill>
              </w:rPr>
              <w:t>营业执照或者执业许可证等证照上</w:t>
            </w:r>
            <w:r>
              <w:rPr>
                <w:rFonts w:hint="eastAsia" w:hAnsi="宋体" w:cs="宋体"/>
                <w:color w:val="000000" w:themeColor="text1"/>
                <w:sz w:val="21"/>
                <w:highlight w:val="none"/>
                <w14:textFill>
                  <w14:solidFill>
                    <w14:schemeClr w14:val="tx1"/>
                  </w14:solidFill>
                </w14:textFill>
              </w:rPr>
              <w:t>的负责人，本谈判文件所称自然人指参与竞标的自然人本人，</w:t>
            </w:r>
            <w:r>
              <w:rPr>
                <w:rFonts w:hint="eastAsia" w:hAnsi="宋体" w:cs="宋体"/>
                <w:bCs/>
                <w:color w:val="000000" w:themeColor="text1"/>
                <w:sz w:val="21"/>
                <w:highlight w:val="none"/>
                <w14:textFill>
                  <w14:solidFill>
                    <w14:schemeClr w14:val="tx1"/>
                  </w14:solidFill>
                </w14:textFill>
              </w:rPr>
              <w:t>且应具备独立承担民事责任能力，自然人应当为年满18岁以上成年人（十六周岁以上的未成年人，以自己的劳动收入为主要生活来源的，视为完全民事行为能力人）。</w:t>
            </w:r>
          </w:p>
          <w:p>
            <w:pPr>
              <w:pStyle w:val="14"/>
              <w:keepNext w:val="0"/>
              <w:keepLines w:val="0"/>
              <w:pageBreakBefore w:val="0"/>
              <w:widowControl w:val="0"/>
              <w:kinsoku/>
              <w:wordWrap/>
              <w:overflowPunct/>
              <w:topLinePunct w:val="0"/>
              <w:bidi w:val="0"/>
              <w:adjustRightInd/>
              <w:snapToGrid w:val="0"/>
              <w:spacing w:line="440" w:lineRule="exact"/>
              <w:ind w:left="0"/>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4.本谈判文件中描述供应商的“签字”是指供应商的法定代表人或者委托代理人亲自在文件规定签署处亲笔写上个人的名字的行为，私章、签字章、印鉴、影印等其他形式均不能代替亲笔签字。</w:t>
            </w:r>
          </w:p>
          <w:p>
            <w:pPr>
              <w:pStyle w:val="14"/>
              <w:keepNext w:val="0"/>
              <w:keepLines w:val="0"/>
              <w:pageBreakBefore w:val="0"/>
              <w:widowControl w:val="0"/>
              <w:kinsoku/>
              <w:wordWrap/>
              <w:overflowPunct/>
              <w:topLinePunct w:val="0"/>
              <w:bidi w:val="0"/>
              <w:adjustRightInd/>
              <w:snapToGrid w:val="0"/>
              <w:spacing w:line="440" w:lineRule="exact"/>
              <w:ind w:left="0"/>
              <w:rPr>
                <w:rFonts w:hAnsi="宋体" w:cs="宋体"/>
                <w:color w:val="000000" w:themeColor="text1"/>
                <w:sz w:val="21"/>
                <w:highlight w:val="none"/>
                <w14:textFill>
                  <w14:solidFill>
                    <w14:schemeClr w14:val="tx1"/>
                  </w14:solidFill>
                </w14:textFill>
              </w:rPr>
            </w:pPr>
            <w:r>
              <w:rPr>
                <w:rFonts w:hAnsi="宋体" w:cs="宋体"/>
                <w:color w:val="000000" w:themeColor="text1"/>
                <w:sz w:val="21"/>
                <w:highlight w:val="none"/>
                <w14:textFill>
                  <w14:solidFill>
                    <w14:schemeClr w14:val="tx1"/>
                  </w14:solidFill>
                </w14:textFill>
              </w:rPr>
              <w:t>5.</w:t>
            </w:r>
            <w:r>
              <w:rPr>
                <w:rFonts w:hint="eastAsia" w:hAnsi="宋体" w:cs="宋体"/>
                <w:color w:val="000000" w:themeColor="text1"/>
                <w:sz w:val="21"/>
                <w:highlight w:val="none"/>
                <w14:textFill>
                  <w14:solidFill>
                    <w14:schemeClr w14:val="tx1"/>
                  </w14:solidFill>
                </w14:textFill>
              </w:rPr>
              <w:t>本谈判文件所称的“以上”“以下”“以内”“届满”，包括本数；所称的“不满”“超过”“以外”，不包括本数。</w:t>
            </w:r>
          </w:p>
        </w:tc>
      </w:tr>
    </w:tbl>
    <w:p>
      <w:pPr>
        <w:spacing w:line="400" w:lineRule="exact"/>
        <w:jc w:val="center"/>
        <w:rPr>
          <w:rFonts w:ascii="宋体" w:hAnsi="宋体" w:cs="宋体"/>
          <w:b/>
          <w:color w:val="000000" w:themeColor="text1"/>
          <w:sz w:val="32"/>
          <w:szCs w:val="32"/>
          <w:highlight w:val="none"/>
          <w14:textFill>
            <w14:solidFill>
              <w14:schemeClr w14:val="tx1"/>
            </w14:solidFill>
          </w14:textFill>
        </w:rPr>
      </w:pPr>
      <w:r>
        <w:rPr>
          <w:rFonts w:ascii="宋体" w:hAnsi="宋体"/>
          <w:b/>
          <w:color w:val="000000" w:themeColor="text1"/>
          <w:sz w:val="32"/>
          <w:szCs w:val="32"/>
          <w:highlight w:val="none"/>
          <w14:textFill>
            <w14:solidFill>
              <w14:schemeClr w14:val="tx1"/>
            </w14:solidFill>
          </w14:textFill>
        </w:rPr>
        <w:br w:type="page"/>
      </w:r>
      <w:r>
        <w:rPr>
          <w:rFonts w:hint="eastAsia" w:ascii="宋体" w:hAnsi="宋体" w:cs="宋体"/>
          <w:b/>
          <w:color w:val="000000" w:themeColor="text1"/>
          <w:sz w:val="32"/>
          <w:szCs w:val="32"/>
          <w:highlight w:val="none"/>
          <w14:textFill>
            <w14:solidFill>
              <w14:schemeClr w14:val="tx1"/>
            </w14:solidFill>
          </w14:textFill>
        </w:rPr>
        <w:t>供应商须知正文</w:t>
      </w:r>
    </w:p>
    <w:p>
      <w:pPr>
        <w:spacing w:line="400" w:lineRule="exact"/>
        <w:jc w:val="center"/>
        <w:rPr>
          <w:rFonts w:ascii="宋体" w:hAnsi="宋体" w:cs="宋体"/>
          <w:b/>
          <w:color w:val="000000" w:themeColor="text1"/>
          <w:sz w:val="32"/>
          <w:szCs w:val="32"/>
          <w:highlight w:val="none"/>
          <w14:textFill>
            <w14:solidFill>
              <w14:schemeClr w14:val="tx1"/>
            </w14:solidFill>
          </w14:textFill>
        </w:rPr>
      </w:pPr>
    </w:p>
    <w:p>
      <w:pPr>
        <w:spacing w:line="400" w:lineRule="exact"/>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一、总则</w:t>
      </w:r>
    </w:p>
    <w:p>
      <w:pPr>
        <w:spacing w:line="400" w:lineRule="exact"/>
        <w:rPr>
          <w:rFonts w:ascii="宋体" w:hAnsi="宋体" w:cs="宋体"/>
          <w:color w:val="000000" w:themeColor="text1"/>
          <w:szCs w:val="21"/>
          <w:highlight w:val="none"/>
          <w14:textFill>
            <w14:solidFill>
              <w14:schemeClr w14:val="tx1"/>
            </w14:solidFill>
          </w14:textFill>
        </w:rPr>
      </w:pP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 适用范围</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w:t>
      </w:r>
      <w:r>
        <w:rPr>
          <w:rFonts w:hint="eastAsia" w:ascii="宋体" w:hAnsi="宋体" w:cs="宋体"/>
          <w:color w:val="000000" w:themeColor="text1"/>
          <w:spacing w:val="-6"/>
          <w:szCs w:val="21"/>
          <w:highlight w:val="none"/>
          <w14:textFill>
            <w14:solidFill>
              <w14:schemeClr w14:val="tx1"/>
            </w14:solidFill>
          </w14:textFill>
        </w:rPr>
        <w:t>本竞争性谈判文件（以下简称谈判文件）适用于本项目的所有采购程序和环节（法律、法规另有规定的，从其规定）。</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 定义</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2.1“采购人”是指依法进行采购的国家机关、事业单位、团体组织。</w:t>
      </w:r>
    </w:p>
    <w:p>
      <w:pPr>
        <w:spacing w:line="360" w:lineRule="auto"/>
        <w:ind w:firstLine="420"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2.2“采购代理机构”</w:t>
      </w:r>
      <w:r>
        <w:rPr>
          <w:rFonts w:hint="eastAsia" w:ascii="宋体" w:hAnsi="宋体" w:cs="宋体"/>
          <w:b/>
          <w:color w:val="000000" w:themeColor="text1"/>
          <w:szCs w:val="21"/>
          <w:highlight w:val="none"/>
          <w14:textFill>
            <w14:solidFill>
              <w14:schemeClr w14:val="tx1"/>
            </w14:solidFill>
          </w14:textFill>
        </w:rPr>
        <w:t>是指政府采购集中采购机构和集中采购机构以外的采购代理机构。</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2.3“供应商”是指向采购人提供货物、工程或者服务的法人、其他组织或者自然人。</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2.4“货物”是指各种形态和种类的物品，包括原材料、燃料、设备、产品等。</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2.5“竞标”是指按照本项目竞争性谈判公告或者邀请函规定的方式供应商获取谈判文件、提交响应文件并希望获得标的的行为。</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2.6“售后服务” 是指包含但不限于供应商须承担的备品备件、包装、运输、装卸、保险、货到就位以及安装、调试、培训、保修和其他类似的义务。</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2.7“书面形式”是指合同书、信件和数据电文（包括电报、电传、传真、电子数据交换和电子邮件）等可以有形地表现所载内容的形式。</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2.8“响应文件”</w:t>
      </w:r>
      <w:r>
        <w:rPr>
          <w:rFonts w:hint="eastAsia" w:ascii="宋体" w:hAnsi="宋体" w:cs="宋体"/>
          <w:color w:val="000000" w:themeColor="text1"/>
          <w:spacing w:val="-6"/>
          <w:szCs w:val="21"/>
          <w:highlight w:val="none"/>
          <w14:textFill>
            <w14:solidFill>
              <w14:schemeClr w14:val="tx1"/>
            </w14:solidFill>
          </w14:textFill>
        </w:rPr>
        <w:t>是指：供应商根据本谈判文件要求，编制包含资格证明、报价、商务技术等所有内容的文件。</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2.9“实质性要求”是指采购需求中带“</w:t>
      </w:r>
      <w:r>
        <w:rPr>
          <w:rFonts w:hint="eastAsia" w:ascii="宋体" w:hAnsi="宋体" w:cs="宋体"/>
          <w:b/>
          <w:bCs/>
          <w:color w:val="000000" w:themeColor="text1"/>
          <w:kern w:val="0"/>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”的条款或者不能负偏离的条款或者已经指明不满足按响应文件按无效处理的条款。</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2.10“正偏离”，是指响应文件对谈判文件“采购需求”中有关条款作出优于条款要求并有利于采购人的响应情形；</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2.11“负偏离”，是指响应文件对谈判文件“采购需求”中有关条款作出的响应不满足条款要求，导致采购人要求不能得到满足的情形。</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2.12“允许负偏离的条款”是指采购需求中的不属于“实质性要求”的条款。</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2.13“首次报价”是指供应商提交的首次响应文件中的竞标报价。</w:t>
      </w:r>
    </w:p>
    <w:p>
      <w:pPr>
        <w:spacing w:line="360" w:lineRule="auto"/>
        <w:ind w:firstLine="482" w:firstLineChars="200"/>
        <w:contextualSpacing/>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 供应商的资格条件</w:t>
      </w:r>
    </w:p>
    <w:p>
      <w:pPr>
        <w:spacing w:line="360" w:lineRule="auto"/>
        <w:ind w:firstLine="420" w:firstLineChars="20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供应商的资格条件详见“供应商须知前附表”。</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 竞标费用</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竞标费用：供应商应承担参与本次采购活动有关的所有费用，包括但不限于获取谈判文件、勘查现场、编制和提交响应文件、参加谈判与应答、签订合同等，不论竞标结果如何，均应自行承担。</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5.联合体竞标</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5.1本项目是否接受联合体竞标，详见“供应商须知前附表”。</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5.2</w:t>
      </w:r>
      <w:r>
        <w:rPr>
          <w:rFonts w:hint="eastAsia" w:ascii="宋体" w:hAnsi="宋体" w:cs="宋体"/>
          <w:bCs/>
          <w:color w:val="000000" w:themeColor="text1"/>
          <w:szCs w:val="21"/>
          <w:highlight w:val="none"/>
          <w14:textFill>
            <w14:solidFill>
              <w14:schemeClr w14:val="tx1"/>
            </w14:solidFill>
          </w14:textFill>
        </w:rPr>
        <w:t>如接受联合体竞标，</w:t>
      </w:r>
      <w:r>
        <w:rPr>
          <w:rFonts w:hint="eastAsia" w:ascii="宋体" w:hAnsi="宋体" w:cs="宋体"/>
          <w:color w:val="000000" w:themeColor="text1"/>
          <w:szCs w:val="21"/>
          <w:highlight w:val="none"/>
          <w14:textFill>
            <w14:solidFill>
              <w14:schemeClr w14:val="tx1"/>
            </w14:solidFill>
          </w14:textFill>
        </w:rPr>
        <w:t>联合体竞标要求详见“供应商须知前附表”。</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5.3</w:t>
      </w:r>
      <w:bookmarkStart w:id="59" w:name="_Hlk65857072"/>
      <w:r>
        <w:rPr>
          <w:rFonts w:hint="eastAsia" w:ascii="宋体" w:hAnsi="宋体" w:cs="宋体"/>
          <w:color w:val="000000" w:themeColor="text1"/>
          <w:szCs w:val="21"/>
          <w:highlight w:val="none"/>
          <w14:textFill>
            <w14:solidFill>
              <w14:schemeClr w14:val="tx1"/>
            </w14:solidFill>
          </w14:textFill>
        </w:rPr>
        <w:t>根据《政府采购促进中小企业发展管理办法》（财库〔2020〕46号）及</w:t>
      </w:r>
      <w:r>
        <w:rPr>
          <w:rFonts w:hint="eastAsia" w:ascii="宋体" w:hAnsi="宋体" w:cs="宋体"/>
          <w:bCs/>
          <w:color w:val="000000" w:themeColor="text1"/>
          <w:sz w:val="21"/>
          <w:szCs w:val="21"/>
          <w:highlight w:val="none"/>
          <w:lang w:eastAsia="zh-CN"/>
          <w14:textFill>
            <w14:solidFill>
              <w14:schemeClr w14:val="tx1"/>
            </w14:solidFill>
          </w14:textFill>
        </w:rPr>
        <w:t>《广西壮族自治区财政厅关于持续优化政府采购营商环境推动高质量发展的通知》（桂财采〔2024〕55号）</w:t>
      </w:r>
      <w:r>
        <w:rPr>
          <w:rFonts w:hint="eastAsia" w:ascii="宋体" w:hAnsi="宋体" w:cs="宋体"/>
          <w:color w:val="000000" w:themeColor="text1"/>
          <w:szCs w:val="21"/>
          <w:highlight w:val="none"/>
          <w14:textFill>
            <w14:solidFill>
              <w14:schemeClr w14:val="tx1"/>
            </w14:solidFill>
          </w14:textFill>
        </w:rPr>
        <w:t>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具体详见《评审程序和评定成交的标准》。</w:t>
      </w:r>
      <w:bookmarkEnd w:id="59"/>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 xml:space="preserve">6.转包与分包             </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bookmarkStart w:id="60" w:name="_Toc254970673"/>
      <w:bookmarkStart w:id="61" w:name="_Toc254970532"/>
      <w:r>
        <w:rPr>
          <w:rFonts w:hint="eastAsia" w:ascii="宋体" w:hAnsi="宋体" w:eastAsia="宋体" w:cs="宋体"/>
          <w:color w:val="000000" w:themeColor="text1"/>
          <w:szCs w:val="21"/>
          <w:highlight w:val="none"/>
          <w14:textFill>
            <w14:solidFill>
              <w14:schemeClr w14:val="tx1"/>
            </w14:solidFill>
          </w14:textFill>
        </w:rPr>
        <w:t>6.1本项目不允许转包。</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6.3供应商根据谈判文件的规定和采购项目的实际情况，拟在成交后将成交项目的非主体、非关键性工作分包的，应当在响应文件中载明分包承担主体，分包承担主体应当具备相应资质条件且不得再次分包。</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7.特别说明</w:t>
      </w:r>
      <w:bookmarkEnd w:id="60"/>
      <w:bookmarkEnd w:id="61"/>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bookmarkStart w:id="62" w:name="_8.1提供相同品牌产品且通过资格审查、符合性审查的不同投标人参加同一合"/>
      <w:bookmarkEnd w:id="62"/>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"_8.1"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cs="宋体"/>
          <w:color w:val="000000" w:themeColor="text1"/>
          <w:szCs w:val="21"/>
          <w:highlight w:val="none"/>
          <w14:textFill>
            <w14:solidFill>
              <w14:schemeClr w14:val="tx1"/>
            </w14:solidFill>
          </w14:textFill>
        </w:rPr>
        <w:t>7.1</w: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t>提供相同品牌产品的不同供应商参加同一合同项下竞标的，以其中通过资格审查、符合性审查、谈判且最后报价最低的参加报价评审；最后报价相同的，由采购人或者采购人委托谈判小组按照“供应商须知前附表”规定的方式确定一个供应商获得成交供应商推荐资格，其他响应文件按无效处理。</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非单一产品采购项目，多家供应商提供的核心产品品牌相同的，按前款规定处理。</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7.2如果本谈判文件要求提供供应商或制造商的资格、信誉、荣誉、业绩与企业认证等材料的，资格、信誉、荣誉、业绩与企业认证等必须为供应商或者制造商所拥有或自身获得 。</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7.3供应商应仔细阅读谈判文件的所有内容，按照谈判文件的要求提交响应文件，并对所提供的全部资料的真实性承担法律责任。</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7.4供应商在竞标活动中提供任何虚假材料，其响应文件按无效处理，并报监管部门查处；签订合同后发现的，成交供应商须依照《中华人民共和国消费者权益保护法》规定赔偿采购人，且民事赔偿并不免除违法供应商的行政与刑事责任。</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7.5在政府采购活动中，采购人员及相关人员与供应商有下列利害关系之一的，应当回避：</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（1）参加采购活动前3年内与供应商存在劳动关系；</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（2）参加采购活动前3年内担任供应商的董事、监事；</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（3）参加采购活动前3年内是供应商的控股股东或者实际控制人；</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（4）与供应商的法定代表人或者负责人有夫妻、直系血亲、三代以内旁系血亲或者近姻亲关系；</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（5）与供应商有其他可能影响政府采购活动公平、公正进行的关系。</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7.6有下列情形之一的视为供应商相互串通竞标，响应文件将被视为无效：</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（1）不同供应商的响应文件由同一单位或者个人编制；</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（2）不同供应商委托同一单位或者个人办理竞标事宜；</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（3）不同的供应商的响应文件载明的项目管理员为同一个人；</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（4）不同供应商的响应文件异常一致或者报价呈规律性差异；</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（5）不同供应商的响应文件相互混装；</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（6）不同供应商的竞标保证金从同一单位或者个人账户转出。</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7.7供应商有下列情形之一的，属于恶意串通行为</w:t>
      </w:r>
      <w:bookmarkStart w:id="63" w:name="_Hlk54682620"/>
      <w:r>
        <w:rPr>
          <w:rFonts w:hint="eastAsia" w:ascii="宋体" w:hAnsi="宋体" w:cs="宋体"/>
          <w:color w:val="000000" w:themeColor="text1"/>
          <w:szCs w:val="21"/>
          <w:highlight w:val="none"/>
          <w14:textFill>
            <w14:solidFill>
              <w14:schemeClr w14:val="tx1"/>
            </w14:solidFill>
          </w14:textFill>
        </w:rPr>
        <w:t>，将报同级监督管理部门</w:t>
      </w:r>
      <w:bookmarkEnd w:id="63"/>
      <w:r>
        <w:rPr>
          <w:rFonts w:hint="eastAsia" w:ascii="宋体" w:hAnsi="宋体" w:cs="宋体"/>
          <w:color w:val="000000" w:themeColor="text1"/>
          <w:szCs w:val="21"/>
          <w:highlight w:val="none"/>
          <w14:textFill>
            <w14:solidFill>
              <w14:schemeClr w14:val="tx1"/>
            </w14:solidFill>
          </w14:textFill>
        </w:rPr>
        <w:t>：</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（1）供应商直接或者间接从采购人或者采购代理机构处获得其他供应商的相关信息并修改其响应文件；</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（2）供应商按照采购人或者采购代理机构的授意撤换、修改响应文件；</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（3）供应商之间协商报价、技术方案等响应文件或者响应文件的实质性内容；</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（4）属于同一集团、协会、商会等组织成员的供应商按照该组织要求协同参加政府采购活动；</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（5）供应商之间事先约定一致抬高或者压低报价，或者在政府采购活动中事先约定轮流以高价位或者低价位成交，或者事先约定由某一特定供应商成交，然后再参加竞标；</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（6）供应商之间商定部分供应商放弃参加政府采购活动或者放弃成交；</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（7）供应商与采购人或者采购代理机构之间、供应商相互之间，为谋求特定供应商成交或者排斥其他供应商的其他串通行为。</w:t>
      </w:r>
    </w:p>
    <w:p>
      <w:pPr>
        <w:spacing w:line="360" w:lineRule="auto"/>
        <w:ind w:left="1" w:firstLine="417" w:firstLineChars="199"/>
        <w:jc w:val="center"/>
        <w:rPr>
          <w:rFonts w:ascii="宋体" w:hAnsi="宋体" w:cs="宋体"/>
          <w:color w:val="000000" w:themeColor="text1"/>
          <w:highlight w:val="none"/>
          <w14:textFill>
            <w14:solidFill>
              <w14:schemeClr w14:val="tx1"/>
            </w14:solidFill>
          </w14:textFill>
        </w:rPr>
      </w:pPr>
      <w:bookmarkStart w:id="64" w:name="_Toc254970675"/>
      <w:bookmarkStart w:id="65" w:name="_Toc254970534"/>
    </w:p>
    <w:p>
      <w:pPr>
        <w:spacing w:line="36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二、谈判文件</w:t>
      </w:r>
      <w:bookmarkEnd w:id="64"/>
      <w:bookmarkEnd w:id="65"/>
    </w:p>
    <w:p>
      <w:pPr>
        <w:spacing w:line="360" w:lineRule="auto"/>
        <w:jc w:val="center"/>
        <w:rPr>
          <w:rFonts w:ascii="宋体" w:hAnsi="宋体" w:cs="宋体"/>
          <w:color w:val="000000" w:themeColor="text1"/>
          <w:szCs w:val="21"/>
          <w:highlight w:val="none"/>
          <w14:textFill>
            <w14:solidFill>
              <w14:schemeClr w14:val="tx1"/>
            </w14:solidFill>
          </w14:textFill>
        </w:rPr>
      </w:pP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8.谈判文件的构成</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（1）竞争性谈判公告/竞标邀请函；</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（2）供应商须知； </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（3）采购需求；</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（4）响应文件格式</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（5）合同文本；</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（6）评审程序和评定成交的标准；</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9.供应商的询问</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供应商应认真阅读谈判文件的采购需求，如供应商对谈判文件有疑问的，如要求采购人作出澄清或者修改的，供应商尽可能在提交首次响应文件截止之日前，以书面形式向采购人、采购代理机构提出。</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10.谈判文件的澄清和修改</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3个工作日前，以书面形式通知所有接收谈判文件的供应商，不足3个工作日的，应当顺延提交首次响应文件截止之日。</w:t>
      </w:r>
    </w:p>
    <w:p>
      <w:pPr>
        <w:spacing w:line="360" w:lineRule="auto"/>
        <w:rPr>
          <w:rFonts w:ascii="宋体" w:hAnsi="宋体" w:cs="宋体"/>
          <w:color w:val="000000" w:themeColor="text1"/>
          <w:szCs w:val="21"/>
          <w:highlight w:val="none"/>
          <w14:textFill>
            <w14:solidFill>
              <w14:schemeClr w14:val="tx1"/>
            </w14:solidFill>
          </w14:textFill>
        </w:rPr>
      </w:pPr>
    </w:p>
    <w:p>
      <w:pPr>
        <w:spacing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三、响应文件的编制</w:t>
      </w:r>
    </w:p>
    <w:p>
      <w:pPr>
        <w:spacing w:line="360" w:lineRule="auto"/>
        <w:rPr>
          <w:rFonts w:ascii="宋体" w:hAnsi="宋体" w:cs="宋体"/>
          <w:color w:val="000000" w:themeColor="text1"/>
          <w:szCs w:val="21"/>
          <w:highlight w:val="none"/>
          <w14:textFill>
            <w14:solidFill>
              <w14:schemeClr w14:val="tx1"/>
            </w14:solidFill>
          </w14:textFill>
        </w:rPr>
      </w:pP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11.响应文件的编制原则</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供应商必须按照谈判文件的要求编制响应文件，并对其提交的响应文件的真实性、合法性承担法律责任。响应文件必须对谈判文件作出实质性响应。</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12.响应文件的组成</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12.1响应文件由资格证明文件、报价文件、商务技术文件三部分组成。</w:t>
      </w:r>
    </w:p>
    <w:p>
      <w:pPr>
        <w:spacing w:line="360" w:lineRule="auto"/>
        <w:ind w:left="840" w:leftChars="200" w:hanging="420" w:hanging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12.1.1资格证明文件：详见“供应商须知前附表”</w:t>
      </w:r>
    </w:p>
    <w:p>
      <w:pPr>
        <w:spacing w:line="360" w:lineRule="auto"/>
        <w:ind w:left="840" w:leftChars="200" w:hanging="420" w:hanging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12.1.2报价文件：详见“供应商须知前附表”</w:t>
      </w:r>
    </w:p>
    <w:p>
      <w:pPr>
        <w:spacing w:line="360" w:lineRule="auto"/>
        <w:ind w:left="840" w:leftChars="200" w:hanging="420" w:hanging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12.1.3商务技术文件：详见“供应商须知前附表”</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13.计量单位</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谈判文件已有明确规定的，使用谈判文件规定的计量单位；谈判文件没有规定的，应采用中华人民共和国法定计量单位，货币种类为人民币，否则视同未响应。</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14.竞标的风险</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供应商没有按照谈判文件要求提供全部资料，或者供应商没有对谈判文件在各方面作出实质性响应可能导致其响应文件按无效处理，是供应商应当考虑的风险。</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15.竞标报价</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15.1竞标报价应按谈判文件中“竞标报价表”格式填写。</w:t>
      </w:r>
    </w:p>
    <w:p>
      <w:pPr>
        <w:tabs>
          <w:tab w:val="left" w:pos="2492"/>
        </w:tabs>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15.2竞标报价的内容详见“供应商须知前附表”。</w:t>
      </w:r>
    </w:p>
    <w:p>
      <w:pPr>
        <w:spacing w:line="360" w:lineRule="auto"/>
        <w:ind w:left="426" w:leftChars="20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15.3竞标报价要求</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15.3.1供应商的竞标报价应符合以下要求，否则响应文件按无效响应处理：</w:t>
      </w:r>
    </w:p>
    <w:p>
      <w:pPr>
        <w:spacing w:line="360" w:lineRule="auto"/>
        <w:ind w:left="420" w:left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（1）供应商必须就“采购需求”中所竞标的每个分标的全部内容分别作完整唯一总价报价，</w:t>
      </w:r>
    </w:p>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不得存在漏项报价；</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（2）供应商必须就所竞标的分标的单项内容作唯一报价。</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15.3.2竞标报价（包含首次报价、最后报价）超过所竞标分标规定的采购预算金额或者最高限价的，其响应文件将按无效处理。</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15.3.3竞标报价（包含首次报价、最后报价）超过分项采购预算金额或者最高限价的，其响应文件将按无效处理。</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16.竞标有效期</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16.1竞标有效期是指为保证采购人有足够的时间在提交响应文件后完成评审、确定成交供应商、合同签订等工作而要求供应商提交的响应文件在一定时间内保持有效的期限。</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16.2 竞标有效期应由供应商按“供应商须知前附表”规定的期限作出响应。</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16.3供应商的响应文件在竞标有效期内均保持有效。</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17.竞标保证金</w:t>
      </w:r>
    </w:p>
    <w:p>
      <w:pPr>
        <w:spacing w:line="360" w:lineRule="auto"/>
        <w:ind w:left="420" w:left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17.1供应商须按“供应商须知前附表”的规定提交竞标保证金。</w:t>
      </w:r>
    </w:p>
    <w:p>
      <w:pPr>
        <w:spacing w:line="360" w:lineRule="auto"/>
        <w:ind w:left="420" w:left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17.2竞标保证金的退还</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未</w:t>
      </w:r>
      <w:r>
        <w:rPr>
          <w:rFonts w:hint="eastAsia" w:ascii="宋体" w:hAnsi="宋体" w:cs="宋体"/>
          <w:color w:val="000000" w:themeColor="text1"/>
          <w:spacing w:val="-6"/>
          <w:szCs w:val="21"/>
          <w:highlight w:val="none"/>
          <w14:textFill>
            <w14:solidFill>
              <w14:schemeClr w14:val="tx1"/>
            </w14:solidFill>
          </w14:textFill>
        </w:rPr>
        <w:t>成交供应商的竞标保证金自成交通知书发出之日起</w:t>
      </w:r>
      <w:r>
        <w:rPr>
          <w:rFonts w:hint="eastAsia" w:ascii="宋体" w:hAnsi="宋体" w:cs="宋体"/>
          <w:color w:val="000000" w:themeColor="text1"/>
          <w:spacing w:val="-6"/>
          <w:szCs w:val="21"/>
          <w:highlight w:val="none"/>
          <w:lang w:val="en-US" w:eastAsia="zh-CN"/>
          <w14:textFill>
            <w14:solidFill>
              <w14:schemeClr w14:val="tx1"/>
            </w14:solidFill>
          </w14:textFill>
        </w:rPr>
        <w:t>5</w:t>
      </w:r>
      <w:r>
        <w:rPr>
          <w:rFonts w:hint="eastAsia" w:ascii="宋体" w:hAnsi="宋体" w:cs="宋体"/>
          <w:color w:val="000000" w:themeColor="text1"/>
          <w:spacing w:val="-6"/>
          <w:szCs w:val="21"/>
          <w:highlight w:val="none"/>
          <w14:textFill>
            <w14:solidFill>
              <w14:schemeClr w14:val="tx1"/>
            </w14:solidFill>
          </w14:textFill>
        </w:rPr>
        <w:t>个工作日内退还</w:t>
      </w:r>
      <w:r>
        <w:rPr>
          <w:rFonts w:hint="eastAsia" w:ascii="宋体" w:hAnsi="宋体" w:cs="宋体"/>
          <w:color w:val="000000" w:themeColor="text1"/>
          <w:szCs w:val="21"/>
          <w:highlight w:val="none"/>
          <w14:textFill>
            <w14:solidFill>
              <w14:schemeClr w14:val="tx1"/>
            </w14:solidFill>
          </w14:textFill>
        </w:rPr>
        <w:t>；成交供应商的竞标保证金自签订合同之日起</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 xml:space="preserve">个工作日内退还。 </w:t>
      </w:r>
    </w:p>
    <w:p>
      <w:pPr>
        <w:spacing w:line="360" w:lineRule="auto"/>
        <w:ind w:left="420" w:left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17.3竞标保证金不计息。</w:t>
      </w:r>
    </w:p>
    <w:p>
      <w:pPr>
        <w:spacing w:line="360" w:lineRule="auto"/>
        <w:ind w:left="420" w:left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17.4供应商有下列情形之一的，竞标保证金将不予退还： </w:t>
      </w:r>
    </w:p>
    <w:p>
      <w:pPr>
        <w:spacing w:line="360" w:lineRule="auto"/>
        <w:ind w:left="420" w:left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（1）供应商在提交响应文件截止时间后撤回响应文件的；</w:t>
      </w:r>
    </w:p>
    <w:p>
      <w:pPr>
        <w:spacing w:line="360" w:lineRule="auto"/>
        <w:ind w:left="420" w:left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（2）未按规定提交履约保证金的；</w:t>
      </w:r>
    </w:p>
    <w:p>
      <w:pPr>
        <w:spacing w:line="360" w:lineRule="auto"/>
        <w:ind w:left="420" w:left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（3）供应商在响应文件中提供虚假材料的；</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（4）除因不可抗力或者谈判文件认可的情形以外，成交供应商不与采购人签订合同的；</w:t>
      </w:r>
    </w:p>
    <w:p>
      <w:pPr>
        <w:spacing w:line="360" w:lineRule="auto"/>
        <w:ind w:left="420" w:left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（5）供应商与采购人、其他供应商或者采购代理机构恶意串通的；</w:t>
      </w:r>
    </w:p>
    <w:p>
      <w:pPr>
        <w:spacing w:line="360" w:lineRule="auto"/>
        <w:ind w:left="420" w:left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（6）法律法规规定的其他情形。</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18. 响应文件编制的要求</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18.1供应商应先安装“</w:t>
      </w:r>
      <w:r>
        <w:rPr>
          <w:rFonts w:hint="eastAsia"/>
          <w:color w:val="000000" w:themeColor="text1"/>
          <w:highlight w:val="none"/>
          <w14:textFill>
            <w14:solidFill>
              <w14:schemeClr w14:val="tx1"/>
            </w14:solidFill>
          </w14:textFill>
        </w:rPr>
        <w:t>广西政府采购客户端</w:t>
      </w:r>
      <w:r>
        <w:rPr>
          <w:rFonts w:hint="eastAsia" w:ascii="宋体" w:hAnsi="宋体" w:cs="宋体"/>
          <w:color w:val="000000" w:themeColor="text1"/>
          <w:szCs w:val="21"/>
          <w:highlight w:val="none"/>
          <w14:textFill>
            <w14:solidFill>
              <w14:schemeClr w14:val="tx1"/>
            </w14:solidFill>
          </w14:textFill>
        </w:rPr>
        <w:t>”（请自行前往</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cs="宋体"/>
          <w:color w:val="000000" w:themeColor="text1"/>
          <w:szCs w:val="21"/>
          <w:highlight w:val="none"/>
          <w14:textFill>
            <w14:solidFill>
              <w14:schemeClr w14:val="tx1"/>
            </w14:solidFill>
          </w14:textFill>
        </w:rPr>
        <w:t>进行下载），并按照本项目谈判文件规定的格式和顺序和</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cs="宋体"/>
          <w:color w:val="000000" w:themeColor="text1"/>
          <w:szCs w:val="21"/>
          <w:highlight w:val="none"/>
          <w14:textFill>
            <w14:solidFill>
              <w14:schemeClr w14:val="tx1"/>
            </w14:solidFill>
          </w14:textFill>
        </w:rPr>
        <w:t>的要求编制并加密。响应文件内容不完整、编排混乱导致响应文件被误读、漏读或者查找不到相关内容的，由此引发的后果由供应商承担。</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18.2为确保网上操作合法、有效和安全，供应商应当在提交响应文件截止时间前完成在</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cs="宋体"/>
          <w:color w:val="000000" w:themeColor="text1"/>
          <w:szCs w:val="21"/>
          <w:highlight w:val="none"/>
          <w14:textFill>
            <w14:solidFill>
              <w14:schemeClr w14:val="tx1"/>
            </w14:solidFill>
          </w14:textFill>
        </w:rPr>
        <w:t>的身份认证，确保在电子竞标过程中能够对相关数据电文进行加密和使用电子签章。</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18.3响应文件须由供应商在规定位置签字、盖章（具体以供应商须知前附表或响应文件格式规定为准），否则按无效响应处理。</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18.4响应文件中标注的供应商名称应与主体资格证明（如营业执照或者事业单位法人证书或者执业许可证或者登记证书等）及公章一致，供应商为自然人的，标注的供应商名称应与身份证姓名及签名一致，否则其响应文件按无效响应处理。</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19.电子</w:t>
      </w:r>
      <w:r>
        <w:rPr>
          <w:rFonts w:hint="eastAsia" w:ascii="宋体" w:hAnsi="宋体" w:cs="宋体"/>
          <w:b/>
          <w:color w:val="000000" w:themeColor="text1"/>
          <w:sz w:val="24"/>
          <w:highlight w:val="none"/>
          <w14:textFill>
            <w14:solidFill>
              <w14:schemeClr w14:val="tx1"/>
            </w14:solidFill>
          </w14:textFill>
        </w:rPr>
        <w:t>备份响应文件</w:t>
      </w:r>
    </w:p>
    <w:p>
      <w:pPr>
        <w:spacing w:line="360" w:lineRule="auto"/>
        <w:ind w:firstLine="42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电子备份响应文件是指通过“广西政府采购客户端”在线编制生成且后缀名为“bfbs”的文件，是否接受电子备份响应文件</w:t>
      </w:r>
      <w:r>
        <w:rPr>
          <w:rFonts w:hint="eastAsia" w:ascii="宋体" w:hAnsi="宋体" w:cs="宋体"/>
          <w:bCs/>
          <w:color w:val="000000" w:themeColor="text1"/>
          <w:szCs w:val="21"/>
          <w:highlight w:val="none"/>
          <w14:textFill>
            <w14:solidFill>
              <w14:schemeClr w14:val="tx1"/>
            </w14:solidFill>
          </w14:textFill>
        </w:rPr>
        <w:t>详见在“供应商须知前附表”。</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20.响应文件的提交</w:t>
      </w:r>
    </w:p>
    <w:p>
      <w:pPr>
        <w:spacing w:line="360" w:lineRule="auto"/>
        <w:ind w:firstLine="420" w:firstLineChars="200"/>
        <w:rPr>
          <w:rFonts w:ascii="宋体" w:hAnsi="宋体" w:cs="宋体"/>
          <w:b/>
          <w:color w:val="000000" w:themeColor="text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20.1供应商必须按“供应商须知前附表”规定的</w:t>
      </w:r>
      <w:r>
        <w:rPr>
          <w:rFonts w:hint="eastAsia" w:ascii="宋体" w:hAnsi="宋体" w:cs="宋体"/>
          <w:color w:val="000000" w:themeColor="text1"/>
          <w:szCs w:val="21"/>
          <w:highlight w:val="none"/>
          <w14:textFill>
            <w14:solidFill>
              <w14:schemeClr w14:val="tx1"/>
            </w14:solidFill>
          </w14:textFill>
        </w:rPr>
        <w:t>时间及</w:t>
      </w:r>
      <w:r>
        <w:rPr>
          <w:rFonts w:hint="eastAsia" w:ascii="宋体" w:hAnsi="宋体" w:cs="宋体"/>
          <w:bCs/>
          <w:color w:val="000000" w:themeColor="text1"/>
          <w:szCs w:val="21"/>
          <w:highlight w:val="none"/>
          <w14:textFill>
            <w14:solidFill>
              <w14:schemeClr w14:val="tx1"/>
            </w14:solidFill>
          </w14:textFill>
        </w:rPr>
        <w:t>地点提交响应文件。电子响应文件应在制作完成后，在提交响应文件截止时间前通过有效数字证书（CA认证锁）进行电子签章、加密，然后通过网络将加密的电子响应文件提交至</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cs="宋体"/>
          <w:bCs/>
          <w:color w:val="000000" w:themeColor="text1"/>
          <w:szCs w:val="21"/>
          <w:highlight w:val="none"/>
          <w14:textFill>
            <w14:solidFill>
              <w14:schemeClr w14:val="tx1"/>
            </w14:solidFill>
          </w14:textFill>
        </w:rPr>
        <w:t xml:space="preserve">。 </w:t>
      </w:r>
      <w:r>
        <w:rPr>
          <w:rFonts w:hint="eastAsia" w:ascii="宋体" w:hAnsi="宋体" w:cs="宋体"/>
          <w:b/>
          <w:color w:val="000000" w:themeColor="text1"/>
          <w:highlight w:val="none"/>
          <w14:textFill>
            <w14:solidFill>
              <w14:schemeClr w14:val="tx1"/>
            </w14:solidFill>
          </w14:textFill>
        </w:rPr>
        <w:t xml:space="preserve"> </w:t>
      </w:r>
    </w:p>
    <w:p>
      <w:pPr>
        <w:spacing w:line="360" w:lineRule="auto"/>
        <w:ind w:firstLine="422" w:firstLineChars="200"/>
        <w:rPr>
          <w:rFonts w:ascii="宋体" w:hAnsi="宋体" w:cs="宋体"/>
          <w:b/>
          <w:color w:val="000000" w:themeColor="text1"/>
          <w:szCs w:val="20"/>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20.2未在规定时间内提交或者未按照谈判文件要求加密的电子响应文件，</w:t>
      </w:r>
      <w:r>
        <w:rPr>
          <w:rFonts w:hint="eastAsia" w:ascii="宋体" w:hAnsi="宋体" w:cs="宋体"/>
          <w:b/>
          <w:color w:val="000000" w:themeColor="text1"/>
          <w:szCs w:val="21"/>
          <w:highlight w:val="none"/>
          <w:lang w:eastAsia="zh-CN"/>
          <w14:textFill>
            <w14:solidFill>
              <w14:schemeClr w14:val="tx1"/>
            </w14:solidFill>
          </w14:textFill>
        </w:rPr>
        <w:t>广西政府采购云平台</w:t>
      </w:r>
      <w:r>
        <w:rPr>
          <w:rFonts w:hint="eastAsia" w:ascii="宋体" w:hAnsi="宋体" w:cs="宋体"/>
          <w:b/>
          <w:color w:val="000000" w:themeColor="text1"/>
          <w:szCs w:val="21"/>
          <w:highlight w:val="none"/>
          <w14:textFill>
            <w14:solidFill>
              <w14:schemeClr w14:val="tx1"/>
            </w14:solidFill>
          </w14:textFill>
        </w:rPr>
        <w:t>将拒收。</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21.首次响应文件的补充、修改与撤回</w:t>
      </w:r>
    </w:p>
    <w:p>
      <w:pPr>
        <w:snapToGrid w:val="0"/>
        <w:spacing w:line="360" w:lineRule="auto"/>
        <w:ind w:firstLine="420"/>
        <w:jc w:val="left"/>
        <w:rPr>
          <w:rFonts w:ascii="宋体" w:hAnsi="宋体" w:cs="宋体"/>
          <w:color w:val="000000" w:themeColor="text1"/>
          <w:szCs w:val="21"/>
          <w:highlight w:val="none"/>
          <w14:textFill>
            <w14:solidFill>
              <w14:schemeClr w14:val="tx1"/>
            </w14:solidFill>
          </w14:textFill>
        </w:rPr>
      </w:pPr>
      <w:bookmarkStart w:id="66" w:name="_Toc254970543"/>
      <w:bookmarkStart w:id="67" w:name="_Toc254970684"/>
      <w:r>
        <w:rPr>
          <w:rFonts w:hint="eastAsia" w:ascii="宋体" w:hAnsi="宋体" w:cs="宋体"/>
          <w:color w:val="000000" w:themeColor="text1"/>
          <w:szCs w:val="21"/>
          <w:highlight w:val="none"/>
          <w14:textFill>
            <w14:solidFill>
              <w14:schemeClr w14:val="tx1"/>
            </w14:solidFill>
          </w14:textFill>
        </w:rPr>
        <w:t>21.1</w:t>
      </w:r>
      <w:r>
        <w:rPr>
          <w:rFonts w:hint="eastAsia" w:ascii="宋体" w:hAnsi="宋体" w:cs="宋体"/>
          <w:bCs/>
          <w:color w:val="000000" w:themeColor="text1"/>
          <w:szCs w:val="21"/>
          <w:highlight w:val="none"/>
          <w14:textFill>
            <w14:solidFill>
              <w14:schemeClr w14:val="tx1"/>
            </w14:solidFill>
          </w14:textFill>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w:t>
      </w:r>
      <w:r>
        <w:rPr>
          <w:rFonts w:hint="eastAsia" w:ascii="宋体" w:hAnsi="宋体" w:cs="宋体"/>
          <w:bCs/>
          <w:color w:val="000000" w:themeColor="text1"/>
          <w:szCs w:val="21"/>
          <w:highlight w:val="none"/>
          <w:lang w:eastAsia="zh-CN"/>
          <w14:textFill>
            <w14:solidFill>
              <w14:schemeClr w14:val="tx1"/>
            </w14:solidFill>
          </w14:textFill>
        </w:rPr>
        <w:t>广西政府采购云平台</w:t>
      </w:r>
      <w:r>
        <w:rPr>
          <w:rFonts w:hint="eastAsia" w:ascii="宋体" w:hAnsi="宋体" w:cs="宋体"/>
          <w:bCs/>
          <w:color w:val="000000" w:themeColor="text1"/>
          <w:szCs w:val="21"/>
          <w:highlight w:val="none"/>
          <w14:textFill>
            <w14:solidFill>
              <w14:schemeClr w14:val="tx1"/>
            </w14:solidFill>
          </w14:textFill>
        </w:rPr>
        <w:t>将予以拒收。</w:t>
      </w:r>
      <w:r>
        <w:rPr>
          <w:rFonts w:hint="eastAsia" w:ascii="宋体" w:hAnsi="宋体" w:cs="宋体"/>
          <w:color w:val="000000" w:themeColor="text1"/>
          <w:szCs w:val="21"/>
          <w:highlight w:val="none"/>
          <w14:textFill>
            <w14:solidFill>
              <w14:schemeClr w14:val="tx1"/>
            </w14:solidFill>
          </w14:textFill>
        </w:rPr>
        <w:t>（补充、修改或者撤回方式可登陆</w:t>
      </w:r>
      <w:r>
        <w:rPr>
          <w:rFonts w:hint="eastAsia" w:ascii="宋体" w:hAnsi="宋体" w:cs="宋体"/>
          <w:color w:val="000000" w:themeColor="text1"/>
          <w:kern w:val="0"/>
          <w:szCs w:val="21"/>
          <w:highlight w:val="none"/>
          <w:lang w:eastAsia="zh-CN"/>
          <w14:textFill>
            <w14:solidFill>
              <w14:schemeClr w14:val="tx1"/>
            </w14:solidFill>
          </w14:textFill>
        </w:rPr>
        <w:t>广西政府采购云平台</w:t>
      </w: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进入“服务中心”中查看 “电子</w:t>
      </w:r>
      <w:r>
        <w:rPr>
          <w:rFonts w:hint="eastAsia" w:ascii="宋体" w:hAnsi="宋体" w:cs="宋体"/>
          <w:color w:val="000000" w:themeColor="text1"/>
          <w:szCs w:val="21"/>
          <w:highlight w:val="none"/>
          <w:lang w:eastAsia="zh-CN"/>
          <w14:textFill>
            <w14:solidFill>
              <w14:schemeClr w14:val="tx1"/>
            </w14:solidFill>
          </w14:textFill>
        </w:rPr>
        <w:t>响应文件</w:t>
      </w:r>
      <w:r>
        <w:rPr>
          <w:rFonts w:hint="eastAsia" w:ascii="宋体" w:hAnsi="宋体" w:cs="宋体"/>
          <w:color w:val="000000" w:themeColor="text1"/>
          <w:szCs w:val="21"/>
          <w:highlight w:val="none"/>
          <w14:textFill>
            <w14:solidFill>
              <w14:schemeClr w14:val="tx1"/>
            </w14:solidFill>
          </w14:textFill>
        </w:rPr>
        <w:t>制作与投送教程”）</w:t>
      </w:r>
    </w:p>
    <w:bookmarkEnd w:id="66"/>
    <w:bookmarkEnd w:id="67"/>
    <w:p>
      <w:pPr>
        <w:adjustRightIn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21.2在提交响应文件截止时间前，除供应商补充、修改或者撤回响应文件外，任何单位和个人不得解密或提取响应文件。</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22.响应文件的退回</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采购人和采购代理机构对已提交的响应文件概不退回。</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23.截止时间后的撤回</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供应商在响应文件提交截止时间后向采购人、采购代理机构书面申请撤回响应文件的，将根据本须知正文第17.4条的规定不予退还其竞标保证金。</w:t>
      </w:r>
    </w:p>
    <w:p>
      <w:pPr>
        <w:spacing w:line="36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四、评审及谈判</w:t>
      </w:r>
    </w:p>
    <w:p>
      <w:pPr>
        <w:spacing w:line="360" w:lineRule="auto"/>
        <w:ind w:left="0" w:firstLine="0"/>
        <w:rPr>
          <w:rFonts w:ascii="宋体" w:hAnsi="宋体" w:cs="宋体"/>
          <w:color w:val="000000" w:themeColor="text1"/>
          <w:szCs w:val="21"/>
          <w:highlight w:val="none"/>
          <w14:textFill>
            <w14:solidFill>
              <w14:schemeClr w14:val="tx1"/>
            </w14:solidFill>
          </w14:textFill>
        </w:rPr>
      </w:pP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24.谈判小组成立</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24.1谈判小组由采购人代表和评审专家共3人以上单数组成，具体人数详见“供应商须知前附表”，其中评审专家人数不得少于竞争性谈判小组成员总数的2/3。采购人不得以评审专家身份参加本部门或者本单位采购项目的评审。采购代理机构人员不得参加本机构代理的采购项目的评审。达到公开招标数额标准的货物或者服务采购项目，或者达到招标规模标准的政府采购工程，竞争性谈判小组应当由5人以上单数组成。</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24.2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24.3</w:t>
      </w:r>
      <w:r>
        <w:rPr>
          <w:rFonts w:hint="eastAsia" w:ascii="宋体" w:hAnsi="宋体" w:cs="宋体"/>
          <w:bCs/>
          <w:color w:val="000000" w:themeColor="text1"/>
          <w:szCs w:val="21"/>
          <w:highlight w:val="none"/>
          <w14:textFill>
            <w14:solidFill>
              <w14:schemeClr w14:val="tx1"/>
            </w14:solidFill>
          </w14:textFill>
        </w:rPr>
        <w:t>采购代理机构</w:t>
      </w:r>
      <w:r>
        <w:rPr>
          <w:rFonts w:hint="eastAsia" w:ascii="宋体" w:hAnsi="宋体" w:cs="宋体"/>
          <w:bCs/>
          <w:color w:val="000000" w:themeColor="text1"/>
          <w:highlight w:val="none"/>
          <w14:textFill>
            <w14:solidFill>
              <w14:schemeClr w14:val="tx1"/>
            </w14:solidFill>
          </w14:textFill>
        </w:rPr>
        <w:t>应当</w:t>
      </w:r>
      <w:r>
        <w:rPr>
          <w:rFonts w:hint="eastAsia" w:ascii="宋体" w:hAnsi="宋体" w:cs="宋体"/>
          <w:bCs/>
          <w:color w:val="000000" w:themeColor="text1"/>
          <w:szCs w:val="21"/>
          <w:highlight w:val="none"/>
          <w14:textFill>
            <w14:solidFill>
              <w14:schemeClr w14:val="tx1"/>
            </w14:solidFill>
          </w14:textFill>
        </w:rPr>
        <w:t>基于</w:t>
      </w:r>
      <w:r>
        <w:rPr>
          <w:rFonts w:hint="eastAsia" w:ascii="宋体" w:hAnsi="宋体" w:cs="宋体"/>
          <w:bCs/>
          <w:color w:val="000000" w:themeColor="text1"/>
          <w:szCs w:val="21"/>
          <w:highlight w:val="none"/>
          <w:lang w:eastAsia="zh-CN"/>
          <w14:textFill>
            <w14:solidFill>
              <w14:schemeClr w14:val="tx1"/>
            </w14:solidFill>
          </w14:textFill>
        </w:rPr>
        <w:t>广西政府采购云平台</w:t>
      </w:r>
      <w:r>
        <w:rPr>
          <w:rFonts w:hint="eastAsia" w:ascii="宋体" w:hAnsi="宋体" w:cs="宋体"/>
          <w:bCs/>
          <w:color w:val="000000" w:themeColor="text1"/>
          <w:highlight w:val="none"/>
          <w14:textFill>
            <w14:solidFill>
              <w14:schemeClr w14:val="tx1"/>
            </w14:solidFill>
          </w14:textFill>
        </w:rPr>
        <w:t>抽（选）取</w:t>
      </w:r>
      <w:r>
        <w:rPr>
          <w:rFonts w:hint="eastAsia" w:ascii="宋体" w:hAnsi="宋体" w:cs="宋体"/>
          <w:bCs/>
          <w:color w:val="000000" w:themeColor="text1"/>
          <w:szCs w:val="21"/>
          <w:highlight w:val="none"/>
          <w14:textFill>
            <w14:solidFill>
              <w14:schemeClr w14:val="tx1"/>
            </w14:solidFill>
          </w14:textFill>
        </w:rPr>
        <w:t>评审专家。</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25. 首次响应文件的开启和解密</w:t>
      </w:r>
    </w:p>
    <w:p>
      <w:pPr>
        <w:spacing w:line="360" w:lineRule="auto"/>
        <w:ind w:firstLine="420"/>
        <w:rPr>
          <w:rFonts w:ascii="宋体" w:hAnsi="宋体" w:cs="宋体"/>
          <w:b/>
          <w:bCs/>
          <w:color w:val="000000" w:themeColor="text1"/>
          <w:sz w:val="24"/>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采购代理机构将在“供应商须知前附表”规定的时</w:t>
      </w:r>
      <w:r>
        <w:rPr>
          <w:rFonts w:hint="eastAsia" w:ascii="宋体" w:hAnsi="宋体" w:cs="宋体"/>
          <w:color w:val="000000" w:themeColor="text1"/>
          <w:highlight w:val="none"/>
          <w14:textFill>
            <w14:solidFill>
              <w14:schemeClr w14:val="tx1"/>
            </w14:solidFill>
          </w14:textFill>
        </w:rPr>
        <w:t>间通过电子交易平台组织响应文件开启，供应商的法定代表人或其委托代理人须携带加密时所用的CA锁，按平台提示和谈判文件的规定登录到</w:t>
      </w:r>
      <w:r>
        <w:rPr>
          <w:rFonts w:hint="eastAsia" w:ascii="宋体" w:hAnsi="宋体" w:cs="宋体"/>
          <w:color w:val="000000" w:themeColor="text1"/>
          <w:highlight w:val="none"/>
          <w:lang w:eastAsia="zh-CN"/>
          <w14:textFill>
            <w14:solidFill>
              <w14:schemeClr w14:val="tx1"/>
            </w14:solidFill>
          </w14:textFill>
        </w:rPr>
        <w:t>广西政府采购云平台</w:t>
      </w:r>
      <w:r>
        <w:rPr>
          <w:rFonts w:hint="eastAsia" w:ascii="宋体" w:hAnsi="宋体" w:cs="宋体"/>
          <w:color w:val="000000" w:themeColor="text1"/>
          <w:highlight w:val="none"/>
          <w14:textFill>
            <w14:solidFill>
              <w14:schemeClr w14:val="tx1"/>
            </w14:solidFill>
          </w14:textFill>
        </w:rPr>
        <w:t>电子开标大厅签到，采购代理机构依托</w:t>
      </w:r>
      <w:r>
        <w:rPr>
          <w:rFonts w:hint="eastAsia" w:ascii="宋体" w:hAnsi="宋体" w:cs="宋体"/>
          <w:color w:val="000000" w:themeColor="text1"/>
          <w:highlight w:val="none"/>
          <w:lang w:eastAsia="zh-CN"/>
          <w14:textFill>
            <w14:solidFill>
              <w14:schemeClr w14:val="tx1"/>
            </w14:solidFill>
          </w14:textFill>
        </w:rPr>
        <w:t>广西政府采购云平台</w:t>
      </w:r>
      <w:r>
        <w:rPr>
          <w:rFonts w:hint="eastAsia" w:ascii="宋体" w:hAnsi="宋体" w:cs="宋体"/>
          <w:color w:val="000000" w:themeColor="text1"/>
          <w:highlight w:val="none"/>
          <w14:textFill>
            <w14:solidFill>
              <w14:schemeClr w14:val="tx1"/>
            </w14:solidFill>
          </w14:textFill>
        </w:rPr>
        <w:t>向各供应商发出电子加密响应文件【开始解密】通知，由供应商按</w:t>
      </w:r>
      <w:r>
        <w:rPr>
          <w:rFonts w:hint="eastAsia" w:ascii="宋体" w:hAnsi="宋体" w:cs="宋体"/>
          <w:bCs/>
          <w:color w:val="000000" w:themeColor="text1"/>
          <w:szCs w:val="21"/>
          <w:highlight w:val="none"/>
          <w14:textFill>
            <w14:solidFill>
              <w14:schemeClr w14:val="tx1"/>
            </w14:solidFill>
          </w14:textFill>
        </w:rPr>
        <w:t>“供应商须知前附表”</w:t>
      </w:r>
      <w:r>
        <w:rPr>
          <w:rFonts w:hint="eastAsia" w:ascii="宋体" w:hAnsi="宋体" w:cs="宋体"/>
          <w:color w:val="000000" w:themeColor="text1"/>
          <w:highlight w:val="none"/>
          <w14:textFill>
            <w14:solidFill>
              <w14:schemeClr w14:val="tx1"/>
            </w14:solidFill>
          </w14:textFill>
        </w:rPr>
        <w:t>规定的时间内自行进行响应文件解密。</w:t>
      </w:r>
      <w:r>
        <w:rPr>
          <w:rFonts w:hint="eastAsia" w:ascii="宋体" w:hAnsi="宋体" w:cs="宋体"/>
          <w:b/>
          <w:color w:val="000000" w:themeColor="text1"/>
          <w:highlight w:val="none"/>
          <w14:textFill>
            <w14:solidFill>
              <w14:schemeClr w14:val="tx1"/>
            </w14:solidFill>
          </w14:textFill>
        </w:rPr>
        <w:t>供应商未在规定的时间内解密响应文件或者解密失败的，供应商</w:t>
      </w:r>
      <w:r>
        <w:rPr>
          <w:rFonts w:hint="eastAsia" w:ascii="宋体" w:hAnsi="宋体" w:cs="宋体"/>
          <w:b/>
          <w:color w:val="000000" w:themeColor="text1"/>
          <w:szCs w:val="21"/>
          <w:highlight w:val="none"/>
          <w14:textFill>
            <w14:solidFill>
              <w14:schemeClr w14:val="tx1"/>
            </w14:solidFill>
          </w14:textFill>
        </w:rPr>
        <w:t>的响应文件作无效处理</w:t>
      </w:r>
      <w:r>
        <w:rPr>
          <w:rFonts w:hint="eastAsia" w:ascii="宋体" w:hAnsi="宋体" w:cs="宋体"/>
          <w:b/>
          <w:color w:val="000000" w:themeColor="text1"/>
          <w:highlight w:val="none"/>
          <w14:textFill>
            <w14:solidFill>
              <w14:schemeClr w14:val="tx1"/>
            </w14:solidFill>
          </w14:textFill>
        </w:rPr>
        <w:t>。</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26. 评审程序和评定成交的标准</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26.1谈判小组按照“第四章  评审程序和评定成交的标准”规定的评审程序对响应文件进行评审，并按照评定成交的标准推荐成交候选供应商。评审价相同时，成交候选供应商推荐顺序见</w:t>
      </w:r>
      <w:r>
        <w:rPr>
          <w:rFonts w:hint="eastAsia" w:ascii="宋体" w:hAnsi="宋体" w:cs="宋体"/>
          <w:color w:val="000000" w:themeColor="text1"/>
          <w:szCs w:val="21"/>
          <w:highlight w:val="none"/>
          <w14:textFill>
            <w14:solidFill>
              <w14:schemeClr w14:val="tx1"/>
            </w14:solidFill>
          </w14:textFill>
        </w:rPr>
        <w:t>“供应商须知前附表”。</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26.2 商务/技术要求允许负偏离的条款数详见“供应商须知前附表”。</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26.3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26.4电子交易活动的中止。采购过程中出现以下情形，导致电子交易平台无法正常运行，或者无法保证电子交易的公平、公正和安全时，采购机构可中止电子交易活动：</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（1）电子交易平台发生故障而无法登录访问的； </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（2）电子交易平台应用或数据库出现错误，不能进行正常操作的；</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（3）电子交易平台发现严重安全漏洞，有潜在泄密危险的；</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（4）病毒发作导致不能进行正常操作的； </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（5）其他无法保证电子交易的公平、公正和安全的情况。</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26.5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27.确定成交供应商及结果公告</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27.1</w:t>
      </w:r>
      <w:r>
        <w:rPr>
          <w:rFonts w:hint="eastAsia" w:ascii="宋体" w:hAnsi="宋体" w:cs="宋体"/>
          <w:color w:val="000000" w:themeColor="text1"/>
          <w:kern w:val="0"/>
          <w:szCs w:val="21"/>
          <w:highlight w:val="none"/>
          <w14:textFill>
            <w14:solidFill>
              <w14:schemeClr w14:val="tx1"/>
            </w14:solidFill>
          </w14:textFill>
        </w:rPr>
        <w:t xml:space="preserve"> 采购</w:t>
      </w:r>
      <w:r>
        <w:rPr>
          <w:rFonts w:hint="eastAsia" w:ascii="宋体" w:hAnsi="宋体" w:cs="宋体"/>
          <w:color w:val="000000" w:themeColor="text1"/>
          <w:szCs w:val="21"/>
          <w:highlight w:val="none"/>
          <w14:textFill>
            <w14:solidFill>
              <w14:schemeClr w14:val="tx1"/>
            </w14:solidFill>
          </w14:textFill>
        </w:rPr>
        <w:t>代理</w:t>
      </w:r>
      <w:r>
        <w:rPr>
          <w:rFonts w:hint="eastAsia" w:ascii="宋体" w:hAnsi="宋体" w:cs="宋体"/>
          <w:color w:val="000000" w:themeColor="text1"/>
          <w:kern w:val="0"/>
          <w:szCs w:val="21"/>
          <w:highlight w:val="none"/>
          <w14:textFill>
            <w14:solidFill>
              <w14:schemeClr w14:val="tx1"/>
            </w14:solidFill>
          </w14:textFill>
        </w:rPr>
        <w:t>机构应当在评审结束后2个工作日内将评审报告送采购人确认。采购人应当在收到评审报告后5个工作日内，将评审报告提出的排名第一的成交候选人确定为成交供应商，也可以书面授权谈判小组直接确定成交供应商。采购人逾期未确定成交供应商且不提出异议的，视为确定评审报告提出的排名第一的成交候选人为成交供应商。</w:t>
      </w:r>
    </w:p>
    <w:p>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27.2采购代理机构应当在成交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上信息查询记录及相关证据与谈判文件一并保存。</w:t>
      </w:r>
      <w:r>
        <w:rPr>
          <w:rFonts w:hint="eastAsia" w:ascii="宋体" w:hAnsi="宋体" w:cs="宋体"/>
          <w:color w:val="000000" w:themeColor="text1"/>
          <w:szCs w:val="21"/>
          <w:highlight w:val="none"/>
          <w14:textFill>
            <w14:solidFill>
              <w14:schemeClr w14:val="tx1"/>
            </w14:solidFill>
          </w14:textFill>
        </w:rPr>
        <w:t>成交供应商享受《政府采购促进中小企业发展管理办法》（财库〔2020〕46号）规定的中小企业扶持政策的，采购人、采购代理机构应当随成交结果公开成交供应商的《中小企业声明函》。</w:t>
      </w:r>
    </w:p>
    <w:p>
      <w:pPr>
        <w:spacing w:line="360" w:lineRule="auto"/>
        <w:ind w:firstLine="420" w:firstLineChars="200"/>
        <w:jc w:val="left"/>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27.3出现下列情形之一的，采购人或者采购代理机构应当终止竞争性谈判采购活动，发布项目终止公告并说明原因，重新开展采购活动：</w:t>
      </w:r>
    </w:p>
    <w:p>
      <w:pPr>
        <w:spacing w:line="360" w:lineRule="auto"/>
        <w:ind w:firstLine="420" w:firstLineChars="200"/>
        <w:jc w:val="left"/>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（1）因情况变化，不再符合规定的竞争性谈判采购方式适用情形的；</w:t>
      </w:r>
    </w:p>
    <w:p>
      <w:pPr>
        <w:spacing w:line="360" w:lineRule="auto"/>
        <w:ind w:firstLine="420" w:firstLineChars="200"/>
        <w:jc w:val="left"/>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（2）出现影响采购公正的违法、违规行为的；</w:t>
      </w:r>
    </w:p>
    <w:p>
      <w:pPr>
        <w:spacing w:line="360" w:lineRule="auto"/>
        <w:ind w:firstLine="420" w:firstLineChars="200"/>
        <w:jc w:val="left"/>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（3）在采购过程中符合竞争要求的供应商或者报价未超过采购预算的供应商不足3家的，但“第四章 评审程序和评定成交的标准”第3.7条规定的情形除外。</w:t>
      </w:r>
    </w:p>
    <w:p>
      <w:pPr>
        <w:spacing w:line="360" w:lineRule="auto"/>
        <w:ind w:firstLine="420" w:firstLineChars="200"/>
        <w:jc w:val="left"/>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27.4在采购活动中因重大变故，采购任务取消的，采购人或者采购代理机构应当终止采购活动，通知所有参加采购活动的供应商，并将项目实施情况和采购任务取消原因报送本级财政部门。</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28.履约保证金</w:t>
      </w:r>
    </w:p>
    <w:p>
      <w:pPr>
        <w:spacing w:line="360" w:lineRule="auto"/>
        <w:ind w:firstLine="420" w:firstLineChars="20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28.1履约保证金的金额、提交方式、退付的时间和条件详见 “供应商须知前附表”。成交供应商未按规定提交履约保证金的，视为拒绝</w:t>
      </w:r>
      <w:r>
        <w:rPr>
          <w:rFonts w:hint="eastAsia" w:ascii="宋体" w:hAnsi="宋体" w:cs="宋体"/>
          <w:color w:val="000000" w:themeColor="text1"/>
          <w:highlight w:val="none"/>
          <w14:textFill>
            <w14:solidFill>
              <w14:schemeClr w14:val="tx1"/>
            </w14:solidFill>
          </w14:textFill>
        </w:rPr>
        <w:t>与采购人</w:t>
      </w:r>
      <w:r>
        <w:rPr>
          <w:rFonts w:hint="eastAsia" w:ascii="宋体" w:hAnsi="宋体" w:cs="宋体"/>
          <w:color w:val="000000" w:themeColor="text1"/>
          <w:szCs w:val="21"/>
          <w:highlight w:val="none"/>
          <w14:textFill>
            <w14:solidFill>
              <w14:schemeClr w14:val="tx1"/>
            </w14:solidFill>
          </w14:textFill>
        </w:rPr>
        <w:t>签订合同。</w:t>
      </w:r>
    </w:p>
    <w:p>
      <w:pPr>
        <w:spacing w:line="360" w:lineRule="auto"/>
        <w:ind w:firstLine="424" w:firstLineChars="20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28.2在履约保证金退还日期前，若成交供应商的开户名称、开户银行、</w:t>
      </w:r>
      <w:r>
        <w:rPr>
          <w:rFonts w:hint="eastAsia" w:ascii="宋体" w:hAnsi="宋体" w:cs="宋体"/>
          <w:color w:val="000000" w:themeColor="text1"/>
          <w:szCs w:val="21"/>
          <w:highlight w:val="none"/>
          <w:lang w:eastAsia="zh-CN"/>
          <w14:textFill>
            <w14:solidFill>
              <w14:schemeClr w14:val="tx1"/>
            </w14:solidFill>
          </w14:textFill>
        </w:rPr>
        <w:t>账</w:t>
      </w:r>
      <w:r>
        <w:rPr>
          <w:rFonts w:hint="eastAsia" w:ascii="宋体" w:hAnsi="宋体" w:cs="宋体"/>
          <w:color w:val="000000" w:themeColor="text1"/>
          <w:szCs w:val="21"/>
          <w:highlight w:val="none"/>
          <w14:textFill>
            <w14:solidFill>
              <w14:schemeClr w14:val="tx1"/>
            </w14:solidFill>
          </w14:textFill>
        </w:rPr>
        <w:t>号有变动的，请以书面形式通知履约保证金收取单位，否则由此产生的后果由成交供应商自负。</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29.签订合同</w:t>
      </w:r>
    </w:p>
    <w:p>
      <w:pPr>
        <w:spacing w:line="360" w:lineRule="auto"/>
        <w:ind w:firstLine="424" w:firstLineChars="20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29.1签订电子采购合同：成交供应商领取电子成交通知书后，在</w:t>
      </w:r>
      <w:r>
        <w:rPr>
          <w:rFonts w:hint="eastAsia" w:ascii="宋体" w:hAnsi="宋体" w:cs="宋体"/>
          <w:color w:val="000000" w:themeColor="text1"/>
          <w:szCs w:val="21"/>
          <w:highlight w:val="none"/>
          <w:lang w:val="zh-CN"/>
          <w14:textFill>
            <w14:solidFill>
              <w14:schemeClr w14:val="tx1"/>
            </w14:solidFill>
          </w14:textFill>
        </w:rPr>
        <w:t>规定的日期、时间、地点，由法定代表人或其授权代表与采购人代表签订电子采购合同。如成交供应商为联合体的，由联合体成员各方法定代表人或其授权代表与采购人代表签订合同。</w:t>
      </w:r>
    </w:p>
    <w:p>
      <w:pPr>
        <w:spacing w:line="360" w:lineRule="auto"/>
        <w:ind w:firstLine="424" w:firstLineChars="20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线下签订纸质合同：供应商领取成交通知书后，按“供应商须知前附表”规定向采购人出示相关证明材料，经采购人核验合格后方可签订合同。</w:t>
      </w:r>
    </w:p>
    <w:p>
      <w:pPr>
        <w:spacing w:line="360" w:lineRule="auto"/>
        <w:ind w:firstLine="424" w:firstLineChars="20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29.2签订合同时间：按成交通知书规定的时间与采购人签订合同。</w:t>
      </w:r>
    </w:p>
    <w:p>
      <w:pPr>
        <w:spacing w:line="360" w:lineRule="auto"/>
        <w:ind w:firstLine="424" w:firstLineChars="20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29.3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pPr>
        <w:spacing w:line="360" w:lineRule="auto"/>
        <w:ind w:firstLine="424" w:firstLineChars="20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spacing w:line="360" w:lineRule="auto"/>
        <w:ind w:firstLine="424" w:firstLineChars="20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29.5采购人或成交供应商不得单方面向合同另一方提出任何谈判文件没有约定的条件或不合理的要求，作为签订合同的条件；也不得协商另行订立背离谈判文件和合同实质性内容的协议。</w:t>
      </w:r>
    </w:p>
    <w:p>
      <w:pPr>
        <w:spacing w:line="360" w:lineRule="auto"/>
        <w:ind w:firstLine="424" w:firstLineChars="20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29.6如签订合同并生效后，供应商无故拒绝或延期，除按照合同条款处理外，将承担相应的法律责任。</w:t>
      </w:r>
    </w:p>
    <w:p>
      <w:pPr>
        <w:spacing w:line="360" w:lineRule="auto"/>
        <w:ind w:firstLine="424" w:firstLineChars="20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29.7政府采购合同履行中，采购人需追加与合同标的相同的货物、工程或者服务的，在不改变合同其他条款的前提下，可以与供应商协商签订补充合同，但所有补充合同的采购金额不得超过原合同采购金额的10%。</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30.政府采购合同公告</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31. 询问、质疑和投诉</w:t>
      </w:r>
    </w:p>
    <w:p>
      <w:pPr>
        <w:spacing w:after="120"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w:t>31.1供应商对政府采购活动事项有疑问的，可以向采购人、采购代理机构提出询问，采购人或者采购代理机构应当在3个工作日内对供应商依法提出的询问作出答复，</w:t>
      </w:r>
      <w:r>
        <w:rPr>
          <w:rFonts w:hint="eastAsia" w:ascii="宋体" w:hAnsi="宋体" w:cs="宋体"/>
          <w:color w:val="000000" w:themeColor="text1"/>
          <w:szCs w:val="21"/>
          <w:highlight w:val="none"/>
          <w14:textFill>
            <w14:solidFill>
              <w14:schemeClr w14:val="tx1"/>
            </w14:solidFill>
          </w14:textFill>
        </w:rPr>
        <w:t>但答复的内容不得涉及商业秘密。</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31.2供应商认为谈判文件、采购过程或者成交结果使自己的合法权益受到损害的，应当在知道或者应知其权益受到损害之日起7个工作日内，以书面形式向采购人、采购代理机构提出质疑，</w:t>
      </w:r>
      <w:r>
        <w:rPr>
          <w:rFonts w:hint="eastAsia" w:ascii="宋体" w:hAnsi="宋体" w:cs="宋体"/>
          <w:color w:val="000000" w:themeColor="text1"/>
          <w:highlight w:val="none"/>
          <w:shd w:val="clear" w:color="auto" w:fill="FFFFFF"/>
          <w14:textFill>
            <w14:solidFill>
              <w14:schemeClr w14:val="tx1"/>
            </w14:solidFill>
          </w14:textFill>
        </w:rPr>
        <w:t>接收质疑函的方式、联系部门、联系电话和通讯地址等信息</w:t>
      </w:r>
      <w:r>
        <w:rPr>
          <w:rFonts w:hint="eastAsia" w:ascii="宋体" w:hAnsi="宋体" w:cs="宋体"/>
          <w:color w:val="000000" w:themeColor="text1"/>
          <w:szCs w:val="21"/>
          <w:highlight w:val="none"/>
          <w14:textFill>
            <w14:solidFill>
              <w14:schemeClr w14:val="tx1"/>
            </w14:solidFill>
          </w14:textFill>
        </w:rPr>
        <w:t>详见“供应商须知前附表”</w:t>
      </w:r>
      <w:r>
        <w:rPr>
          <w:rFonts w:hint="eastAsia" w:ascii="宋体" w:hAnsi="宋体" w:cs="宋体"/>
          <w:color w:val="000000" w:themeColor="text1"/>
          <w:highlight w:val="none"/>
          <w14:textFill>
            <w14:solidFill>
              <w14:schemeClr w14:val="tx1"/>
            </w14:solidFill>
          </w14:textFill>
        </w:rPr>
        <w:t>。具体质疑起算时间如下：</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（1）对可以质疑的谈判文件提出质疑的，为获取谈判文件之日；</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（2）对采购过程提出质疑的，为各采购程序环节结束之日；</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（3）对成交结果提出质疑的，为成交结果公告期限届满之日。</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31.3供应商提出的询问或者质疑超出采购人对采购代理机构委托授权范围的，采购代理机构应当告知供应商向采购人提出。政府采购评审专家应当配合采购人或者采购代理机构答复供应商的询问和质疑。</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31.4供应商提出质疑应当提交质疑函和必要的证明材料，针对同一采购程序环节的质疑必须在法定质疑期内一次性提出。质疑函应当包括下列内容</w:t>
      </w:r>
      <w:r>
        <w:rPr>
          <w:rFonts w:hint="eastAsia" w:ascii="宋体" w:hAnsi="宋体" w:cs="宋体"/>
          <w:bCs/>
          <w:color w:val="000000" w:themeColor="text1"/>
          <w:highlight w:val="none"/>
          <w14:textFill>
            <w14:solidFill>
              <w14:schemeClr w14:val="tx1"/>
            </w14:solidFill>
          </w14:textFill>
        </w:rPr>
        <w:t>（质疑函格式后附）</w:t>
      </w:r>
      <w:r>
        <w:rPr>
          <w:rFonts w:hint="eastAsia" w:ascii="宋体" w:hAnsi="宋体" w:cs="宋体"/>
          <w:color w:val="000000" w:themeColor="text1"/>
          <w:highlight w:val="none"/>
          <w14:textFill>
            <w14:solidFill>
              <w14:schemeClr w14:val="tx1"/>
            </w14:solidFill>
          </w14:textFill>
        </w:rPr>
        <w:t>：</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（1）供应商的姓名或者名称、地址、邮编、联系人及联系电话；</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（2）质疑项目的名称、编号；</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（3）具体、明确的质疑事项和与质疑事项相关的请求；</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（4）事实依据；</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（5）必要的法律依据；</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（6）提出质疑的日期。</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供应商为自然人的，应当由本人签字；供应商为法人或者其他组织的，应当由法定代表人、主要负责人，或者其委托代理人签字或者盖章，并加盖公章。</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31.5采购人、采购代理机构认为供应商质疑不成立，或者成立但未对成交结果构成影响的，继续开展采购活动；认为供应商质疑成立且影响或者可能影响成交结果的，按照下列情况处理：</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（一）对采购文件提出的质疑，依法通过澄清或者修改可以继续开展采购活动的，澄清或者修改采购文件后继续开展采购活动；否则应当修改采购文件后重新开展采购活动。</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（二）对采购过程或者成交结果提出的质疑，合格供应商符合法定数量时，可以从合格的成交候选人中另行确定成交供应商的，应当依法另行确定成交供应商；否则应当重新开展采购活动。</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质疑答复导致成交结果改变的，采购人或者采购代理机构应当将有关情况书面报告本级财政部门。</w:t>
      </w:r>
    </w:p>
    <w:p>
      <w:pPr>
        <w:spacing w:line="360" w:lineRule="auto"/>
        <w:ind w:firstLine="420"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31.6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32.其他内容</w:t>
      </w:r>
    </w:p>
    <w:p>
      <w:pPr>
        <w:tabs>
          <w:tab w:val="left" w:pos="2835"/>
        </w:tabs>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32.1代理服务收取标准详见“供应商须知前附表”，供应商为联合体的，可以由联合体中的一方或者多方共同交纳代理服务费：</w:t>
      </w:r>
    </w:p>
    <w:tbl>
      <w:tblPr>
        <w:tblStyle w:val="28"/>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8"/>
        <w:gridCol w:w="1991"/>
        <w:gridCol w:w="1839"/>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8" w:type="dxa"/>
            <w:tcBorders>
              <w:tl2br w:val="single" w:color="auto" w:sz="4" w:space="0"/>
            </w:tcBorders>
          </w:tcPr>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费率</w:t>
            </w:r>
          </w:p>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金额</w:t>
            </w:r>
          </w:p>
        </w:tc>
        <w:tc>
          <w:tcPr>
            <w:tcW w:w="1991" w:type="dxa"/>
            <w:vAlign w:val="center"/>
          </w:tcPr>
          <w:p>
            <w:pPr>
              <w:spacing w:line="360" w:lineRule="auto"/>
              <w:ind w:firstLine="105" w:firstLineChars="5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货物类</w:t>
            </w:r>
          </w:p>
        </w:tc>
        <w:tc>
          <w:tcPr>
            <w:tcW w:w="1839" w:type="dxa"/>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服务类</w:t>
            </w:r>
          </w:p>
        </w:tc>
        <w:tc>
          <w:tcPr>
            <w:tcW w:w="1856" w:type="dxa"/>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8" w:type="dxa"/>
          </w:tcPr>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100万元以下</w:t>
            </w:r>
          </w:p>
        </w:tc>
        <w:tc>
          <w:tcPr>
            <w:tcW w:w="1991" w:type="dxa"/>
          </w:tcPr>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  1.5%                </w:t>
            </w:r>
          </w:p>
        </w:tc>
        <w:tc>
          <w:tcPr>
            <w:tcW w:w="1839" w:type="dxa"/>
          </w:tcPr>
          <w:p>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1.5%</w:t>
            </w:r>
          </w:p>
        </w:tc>
        <w:tc>
          <w:tcPr>
            <w:tcW w:w="1856" w:type="dxa"/>
          </w:tcPr>
          <w:p>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8" w:type="dxa"/>
          </w:tcPr>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100～500万元</w:t>
            </w:r>
          </w:p>
        </w:tc>
        <w:tc>
          <w:tcPr>
            <w:tcW w:w="1991" w:type="dxa"/>
          </w:tcPr>
          <w:p>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1.1%                 </w:t>
            </w:r>
          </w:p>
        </w:tc>
        <w:tc>
          <w:tcPr>
            <w:tcW w:w="1839" w:type="dxa"/>
          </w:tcPr>
          <w:p>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0.8%</w:t>
            </w:r>
          </w:p>
        </w:tc>
        <w:tc>
          <w:tcPr>
            <w:tcW w:w="1856" w:type="dxa"/>
          </w:tcPr>
          <w:p>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8" w:type="dxa"/>
          </w:tcPr>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500～1000万元</w:t>
            </w:r>
          </w:p>
        </w:tc>
        <w:tc>
          <w:tcPr>
            <w:tcW w:w="1991" w:type="dxa"/>
          </w:tcPr>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  0.8%                </w:t>
            </w:r>
          </w:p>
        </w:tc>
        <w:tc>
          <w:tcPr>
            <w:tcW w:w="1839" w:type="dxa"/>
          </w:tcPr>
          <w:p>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0.45%</w:t>
            </w:r>
          </w:p>
        </w:tc>
        <w:tc>
          <w:tcPr>
            <w:tcW w:w="1856" w:type="dxa"/>
          </w:tcPr>
          <w:p>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8" w:type="dxa"/>
          </w:tcPr>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1000～5000万元</w:t>
            </w:r>
          </w:p>
        </w:tc>
        <w:tc>
          <w:tcPr>
            <w:tcW w:w="1991" w:type="dxa"/>
          </w:tcPr>
          <w:p>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0.5%                </w:t>
            </w:r>
          </w:p>
        </w:tc>
        <w:tc>
          <w:tcPr>
            <w:tcW w:w="1839" w:type="dxa"/>
          </w:tcPr>
          <w:p>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0.25%</w:t>
            </w:r>
          </w:p>
        </w:tc>
        <w:tc>
          <w:tcPr>
            <w:tcW w:w="1856" w:type="dxa"/>
          </w:tcPr>
          <w:p>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8" w:type="dxa"/>
          </w:tcPr>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5000万元～1亿元</w:t>
            </w:r>
          </w:p>
        </w:tc>
        <w:tc>
          <w:tcPr>
            <w:tcW w:w="1991" w:type="dxa"/>
          </w:tcPr>
          <w:p>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0.25%                 </w:t>
            </w:r>
          </w:p>
        </w:tc>
        <w:tc>
          <w:tcPr>
            <w:tcW w:w="1839" w:type="dxa"/>
          </w:tcPr>
          <w:p>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0.1%</w:t>
            </w:r>
          </w:p>
        </w:tc>
        <w:tc>
          <w:tcPr>
            <w:tcW w:w="1856" w:type="dxa"/>
          </w:tcPr>
          <w:p>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8" w:type="dxa"/>
          </w:tcPr>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1～5亿元</w:t>
            </w:r>
          </w:p>
        </w:tc>
        <w:tc>
          <w:tcPr>
            <w:tcW w:w="1991" w:type="dxa"/>
          </w:tcPr>
          <w:p>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0.05%</w:t>
            </w:r>
          </w:p>
        </w:tc>
        <w:tc>
          <w:tcPr>
            <w:tcW w:w="1839" w:type="dxa"/>
          </w:tcPr>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0.05%</w:t>
            </w:r>
          </w:p>
        </w:tc>
        <w:tc>
          <w:tcPr>
            <w:tcW w:w="1856" w:type="dxa"/>
          </w:tcPr>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8" w:type="dxa"/>
          </w:tcPr>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5～10亿元</w:t>
            </w:r>
          </w:p>
        </w:tc>
        <w:tc>
          <w:tcPr>
            <w:tcW w:w="1991" w:type="dxa"/>
          </w:tcPr>
          <w:p>
            <w:pPr>
              <w:spacing w:line="360" w:lineRule="auto"/>
              <w:ind w:firstLine="105" w:firstLineChar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0.035%</w:t>
            </w:r>
          </w:p>
        </w:tc>
        <w:tc>
          <w:tcPr>
            <w:tcW w:w="1839" w:type="dxa"/>
          </w:tcPr>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0.035%</w:t>
            </w:r>
          </w:p>
        </w:tc>
        <w:tc>
          <w:tcPr>
            <w:tcW w:w="1856" w:type="dxa"/>
          </w:tcPr>
          <w:p>
            <w:pPr>
              <w:spacing w:line="360" w:lineRule="auto"/>
              <w:ind w:firstLine="105" w:firstLineChar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8" w:type="dxa"/>
          </w:tcPr>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10～50亿元</w:t>
            </w:r>
          </w:p>
        </w:tc>
        <w:tc>
          <w:tcPr>
            <w:tcW w:w="1991" w:type="dxa"/>
          </w:tcPr>
          <w:p>
            <w:pPr>
              <w:spacing w:line="360" w:lineRule="auto"/>
              <w:ind w:firstLine="105" w:firstLineChar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0.008%</w:t>
            </w:r>
          </w:p>
        </w:tc>
        <w:tc>
          <w:tcPr>
            <w:tcW w:w="1839" w:type="dxa"/>
          </w:tcPr>
          <w:p>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0.008%</w:t>
            </w:r>
          </w:p>
        </w:tc>
        <w:tc>
          <w:tcPr>
            <w:tcW w:w="1856" w:type="dxa"/>
          </w:tcPr>
          <w:p>
            <w:pPr>
              <w:spacing w:line="360" w:lineRule="auto"/>
              <w:ind w:firstLine="105" w:firstLineChar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8" w:type="dxa"/>
          </w:tcPr>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50～100亿元</w:t>
            </w:r>
          </w:p>
        </w:tc>
        <w:tc>
          <w:tcPr>
            <w:tcW w:w="1991" w:type="dxa"/>
          </w:tcPr>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0.006%</w:t>
            </w:r>
          </w:p>
        </w:tc>
        <w:tc>
          <w:tcPr>
            <w:tcW w:w="1839" w:type="dxa"/>
          </w:tcPr>
          <w:p>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0.006%</w:t>
            </w:r>
          </w:p>
        </w:tc>
        <w:tc>
          <w:tcPr>
            <w:tcW w:w="1856" w:type="dxa"/>
          </w:tcPr>
          <w:p>
            <w:pPr>
              <w:spacing w:line="360" w:lineRule="auto"/>
              <w:ind w:firstLine="105" w:firstLineChar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8" w:type="dxa"/>
          </w:tcPr>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100亿以上</w:t>
            </w:r>
          </w:p>
        </w:tc>
        <w:tc>
          <w:tcPr>
            <w:tcW w:w="1991" w:type="dxa"/>
          </w:tcPr>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0.004%</w:t>
            </w:r>
          </w:p>
        </w:tc>
        <w:tc>
          <w:tcPr>
            <w:tcW w:w="1839" w:type="dxa"/>
          </w:tcPr>
          <w:p>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0.004%</w:t>
            </w:r>
          </w:p>
        </w:tc>
        <w:tc>
          <w:tcPr>
            <w:tcW w:w="1856" w:type="dxa"/>
          </w:tcPr>
          <w:p>
            <w:pPr>
              <w:spacing w:line="360" w:lineRule="auto"/>
              <w:ind w:firstLine="105" w:firstLineChar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0.004%</w:t>
            </w:r>
          </w:p>
        </w:tc>
      </w:tr>
    </w:tbl>
    <w:p>
      <w:pPr>
        <w:spacing w:line="360" w:lineRule="auto"/>
        <w:ind w:firstLine="420" w:firstLineChars="200"/>
        <w:contextualSpacing/>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注： </w:t>
      </w:r>
    </w:p>
    <w:p>
      <w:pPr>
        <w:spacing w:line="360" w:lineRule="auto"/>
        <w:ind w:firstLine="420" w:firstLineChars="200"/>
        <w:contextualSpacing/>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（1）按本表费率计算的收费为采购代理的收费基准价格；</w:t>
      </w:r>
    </w:p>
    <w:p>
      <w:pPr>
        <w:spacing w:line="360" w:lineRule="auto"/>
        <w:ind w:firstLine="420" w:firstLineChars="200"/>
        <w:contextualSpacing/>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（2）采购代理收费按差额定率累进法计算。</w:t>
      </w:r>
    </w:p>
    <w:p>
      <w:pPr>
        <w:spacing w:line="360" w:lineRule="auto"/>
        <w:ind w:firstLine="420" w:firstLineChars="200"/>
        <w:contextualSpacing/>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例如：某货物采购代理业务成交金额或者暂定价为150万元，计算采购代理收费额如下：</w:t>
      </w:r>
    </w:p>
    <w:p>
      <w:pPr>
        <w:spacing w:line="360" w:lineRule="auto"/>
        <w:ind w:firstLine="420" w:firstLineChars="200"/>
        <w:contextualSpacing/>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100 万元 ×l.5 %＝ 1.5 万元</w:t>
      </w:r>
    </w:p>
    <w:p>
      <w:pPr>
        <w:spacing w:line="360" w:lineRule="auto"/>
        <w:ind w:firstLine="420" w:firstLineChars="200"/>
        <w:contextualSpacing/>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150 － 100 ）万元 ×1.1%＝ 0.55 万元</w:t>
      </w:r>
    </w:p>
    <w:p>
      <w:pPr>
        <w:spacing w:line="360" w:lineRule="auto"/>
        <w:ind w:firstLine="420" w:firstLineChars="200"/>
        <w:contextualSpacing/>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合计收费＝ 1.5 ＋ 0.55＝ 2.05 （万元）</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contextualSpacing/>
        <w:textAlignment w:val="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33. 需要补充的其他内容</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contextualSpacing/>
        <w:textAlignment w:val="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33.1本谈判文件解释规则详见“供应商须知前附表”。</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contextualSpacing/>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33.2 其他事</w:t>
      </w:r>
      <w:r>
        <w:rPr>
          <w:rFonts w:hint="eastAsia" w:ascii="宋体" w:hAnsi="宋体" w:cs="宋体"/>
          <w:color w:val="000000" w:themeColor="text1"/>
          <w:highlight w:val="none"/>
          <w14:textFill>
            <w14:solidFill>
              <w14:schemeClr w14:val="tx1"/>
            </w14:solidFill>
          </w14:textFill>
        </w:rPr>
        <w:t>项详见“供应商须知前附表”。</w:t>
      </w:r>
    </w:p>
    <w:p>
      <w:pPr>
        <w:keepNext w:val="0"/>
        <w:keepLines w:val="0"/>
        <w:pageBreakBefore w:val="0"/>
        <w:widowControl w:val="0"/>
        <w:kinsoku/>
        <w:wordWrap/>
        <w:overflowPunct/>
        <w:topLinePunct w:val="0"/>
        <w:autoSpaceDE/>
        <w:autoSpaceDN/>
        <w:bidi w:val="0"/>
        <w:adjustRightInd/>
        <w:snapToGrid/>
        <w:spacing w:line="420" w:lineRule="exact"/>
        <w:ind w:firstLine="400" w:firstLineChars="200"/>
        <w:contextualSpacing/>
        <w:textAlignment w:val="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0"/>
          <w:szCs w:val="21"/>
          <w:highlight w:val="none"/>
          <w14:textFill>
            <w14:solidFill>
              <w14:schemeClr w14:val="tx1"/>
            </w14:solidFill>
          </w14:textFill>
        </w:rPr>
        <w:t>33.3</w:t>
      </w:r>
      <w:bookmarkStart w:id="68" w:name="_Hlk65857140"/>
      <w:r>
        <w:rPr>
          <w:rFonts w:hint="eastAsia" w:ascii="宋体" w:hAnsi="宋体" w:cs="宋体"/>
          <w:color w:val="000000" w:themeColor="text1"/>
          <w:kern w:val="0"/>
          <w:szCs w:val="21"/>
          <w:highlight w:val="none"/>
          <w14:textFill>
            <w14:solidFill>
              <w14:schemeClr w14:val="tx1"/>
            </w14:solidFill>
          </w14:textFill>
        </w:rPr>
        <w:t>本谈判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谈判文件规定的中小企业扶持政策：</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contextualSpacing/>
        <w:textAlignment w:val="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（1）在货物采购项目中，货物由中小企业制造，即货物由中小企业生产且使用该中小企业商号或者注册商标，不对其中涉及的工程承建商和服务的承接商作出要求；</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contextualSpacing/>
        <w:textAlignment w:val="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（2）在工程采购项目中，工程由中小企业承建，即工程施工单位为中小企业，不对其中涉及的货物的制造商和服务的承接商作出要求；</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contextualSpacing/>
        <w:textAlignment w:val="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（3）在服务采购项目中，服务由中小企业承接，即提供服务的人员为中小企业依照《中华人民共和国劳动合同法》订立劳动合同的从业人员，不对其中涉及的货物的制造商和工程承建商作出要求。</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contextualSpacing/>
        <w:textAlignment w:val="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在货物采购项目中，供应商提供的货物既有中小企业制造货物，也有大型企业制造货物的，不享受本谈判文件规定的中小企业扶持政策。以联合体形式参加政府采购活动，联合体各方均为中小企业的，联合体视同中小企业。其中，联合体各方均为小微企业的，联合体视同小微企业。</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contextualSpacing/>
        <w:textAlignment w:val="auto"/>
        <w:rPr>
          <w:rFonts w:hint="eastAsia" w:ascii="宋体" w:hAnsi="宋体" w:cs="宋体"/>
          <w:color w:val="000000" w:themeColor="text1"/>
          <w:highlight w:val="none"/>
          <w14:textFill>
            <w14:solidFill>
              <w14:schemeClr w14:val="tx1"/>
            </w14:solidFill>
          </w14:textFill>
        </w:rPr>
        <w:sectPr>
          <w:pgSz w:w="11906" w:h="16838"/>
          <w:pgMar w:top="1134" w:right="1134" w:bottom="1134" w:left="1134" w:header="720" w:footer="720" w:gutter="0"/>
          <w:cols w:space="720" w:num="1"/>
          <w:docGrid w:type="lines" w:linePitch="331" w:charSpace="0"/>
        </w:sectPr>
      </w:pPr>
      <w:r>
        <w:rPr>
          <w:rFonts w:hint="eastAsia" w:ascii="宋体" w:hAnsi="宋体" w:cs="宋体"/>
          <w:color w:val="000000" w:themeColor="text1"/>
          <w:highlight w:val="none"/>
          <w14:textFill>
            <w14:solidFill>
              <w14:schemeClr w14:val="tx1"/>
            </w14:solidFill>
          </w14:textFill>
        </w:rPr>
        <w:t>依据本谈判文件规定享受扶持政策获得政府采购合同的，小微企业不得将合同分包给大中型企业，中型企业不得将合同分包给大型企业。</w:t>
      </w:r>
      <w:bookmarkEnd w:id="68"/>
    </w:p>
    <w:p>
      <w:pPr>
        <w:snapToGrid w:val="0"/>
        <w:rPr>
          <w:rFonts w:hint="eastAsia" w:ascii="宋体" w:hAnsi="宋体" w:eastAsia="宋体" w:cs="宋体"/>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kern w:val="0"/>
          <w:sz w:val="32"/>
          <w:szCs w:val="32"/>
          <w:highlight w:val="none"/>
          <w14:textFill>
            <w14:solidFill>
              <w14:schemeClr w14:val="tx1"/>
            </w14:solidFill>
          </w14:textFill>
        </w:rPr>
        <w:t>附件1：</w:t>
      </w:r>
    </w:p>
    <w:p>
      <w:pPr>
        <w:jc w:val="center"/>
        <w:rPr>
          <w:rFonts w:hint="eastAsia"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采购项目合同验收书（格式）</w:t>
      </w:r>
    </w:p>
    <w:p>
      <w:pPr>
        <w:widowControl/>
        <w:shd w:val="clear" w:color="auto" w:fill="FFFFFF"/>
        <w:snapToGrid w:val="0"/>
        <w:spacing w:line="320" w:lineRule="atLeast"/>
        <w:ind w:firstLine="480"/>
        <w:jc w:val="left"/>
        <w:rPr>
          <w:rFonts w:ascii="宋体" w:hAnsi="宋体" w:cs="宋体"/>
          <w:color w:val="000000" w:themeColor="text1"/>
          <w:kern w:val="0"/>
          <w:szCs w:val="21"/>
          <w:highlight w:val="none"/>
          <w14:textFill>
            <w14:solidFill>
              <w14:schemeClr w14:val="tx1"/>
            </w14:solidFill>
          </w14:textFill>
        </w:rPr>
      </w:pPr>
    </w:p>
    <w:p>
      <w:pPr>
        <w:widowControl/>
        <w:shd w:val="clear" w:color="auto" w:fill="FFFFFF"/>
        <w:snapToGrid w:val="0"/>
        <w:spacing w:line="320" w:lineRule="atLeast"/>
        <w:ind w:firstLine="48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根据采购项目（</w:t>
      </w:r>
      <w:r>
        <w:rPr>
          <w:rFonts w:hint="eastAsia" w:ascii="宋体" w:hAnsi="宋体" w:cs="宋体"/>
          <w:color w:val="000000" w:themeColor="text1"/>
          <w:kern w:val="0"/>
          <w:szCs w:val="21"/>
          <w:highlight w:val="none"/>
          <w:u w:val="single"/>
          <w14:textFill>
            <w14:solidFill>
              <w14:schemeClr w14:val="tx1"/>
            </w14:solidFill>
          </w14:textFill>
        </w:rPr>
        <w:t>采购合同编号：</w:t>
      </w:r>
      <w:r>
        <w:rPr>
          <w:rFonts w:hint="eastAsia" w:ascii="宋体" w:hAnsi="宋体" w:cs="宋体"/>
          <w:color w:val="000000" w:themeColor="text1"/>
          <w:kern w:val="0"/>
          <w:szCs w:val="21"/>
          <w:highlight w:val="none"/>
          <w:u w:val="single"/>
          <w14:textFill>
            <w14:solidFill>
              <w14:schemeClr w14:val="tx1"/>
            </w14:solidFill>
          </w14:textFill>
        </w:rPr>
        <w:softHyphen/>
      </w:r>
      <w:r>
        <w:rPr>
          <w:rFonts w:hint="eastAsia" w:ascii="宋体" w:hAnsi="宋体" w:cs="宋体"/>
          <w:color w:val="000000" w:themeColor="text1"/>
          <w:kern w:val="0"/>
          <w:szCs w:val="21"/>
          <w:highlight w:val="none"/>
          <w:u w:val="single"/>
          <w14:textFill>
            <w14:solidFill>
              <w14:schemeClr w14:val="tx1"/>
            </w14:solidFill>
          </w14:textFill>
        </w:rPr>
        <w:t>   </w:t>
      </w:r>
      <w:r>
        <w:rPr>
          <w:rFonts w:hint="eastAsia" w:ascii="宋体" w:hAnsi="宋体" w:cs="宋体"/>
          <w:color w:val="000000" w:themeColor="text1"/>
          <w:kern w:val="0"/>
          <w:szCs w:val="21"/>
          <w:highlight w:val="none"/>
          <w14:textFill>
            <w14:solidFill>
              <w14:schemeClr w14:val="tx1"/>
            </w14:solidFill>
          </w14:textFill>
        </w:rPr>
        <w:t>）的约定，我单位对（</w:t>
      </w:r>
      <w:r>
        <w:rPr>
          <w:rFonts w:hint="eastAsia" w:ascii="宋体" w:hAnsi="宋体" w:cs="宋体"/>
          <w:color w:val="000000" w:themeColor="text1"/>
          <w:kern w:val="0"/>
          <w:szCs w:val="21"/>
          <w:highlight w:val="none"/>
          <w:u w:val="single"/>
          <w14:textFill>
            <w14:solidFill>
              <w14:schemeClr w14:val="tx1"/>
            </w14:solidFill>
          </w14:textFill>
        </w:rPr>
        <w:t xml:space="preserve"> 项目名称   </w:t>
      </w:r>
      <w:r>
        <w:rPr>
          <w:rFonts w:hint="eastAsia" w:ascii="宋体" w:hAnsi="宋体" w:cs="宋体"/>
          <w:color w:val="000000" w:themeColor="text1"/>
          <w:kern w:val="0"/>
          <w:szCs w:val="21"/>
          <w:highlight w:val="none"/>
          <w14:textFill>
            <w14:solidFill>
              <w14:schemeClr w14:val="tx1"/>
            </w14:solidFill>
          </w14:textFill>
        </w:rPr>
        <w:t>）采购项目中标（或成交）供应商（</w:t>
      </w:r>
      <w:r>
        <w:rPr>
          <w:rFonts w:hint="eastAsia" w:ascii="宋体" w:hAnsi="宋体" w:cs="宋体"/>
          <w:color w:val="000000" w:themeColor="text1"/>
          <w:kern w:val="0"/>
          <w:szCs w:val="21"/>
          <w:highlight w:val="none"/>
          <w:u w:val="single"/>
          <w14:textFill>
            <w14:solidFill>
              <w14:schemeClr w14:val="tx1"/>
            </w14:solidFill>
          </w14:textFill>
        </w:rPr>
        <w:t xml:space="preserve">            公司名称              </w:t>
      </w:r>
      <w:r>
        <w:rPr>
          <w:rFonts w:hint="eastAsia" w:ascii="宋体" w:hAnsi="宋体" w:cs="宋体"/>
          <w:color w:val="000000" w:themeColor="text1"/>
          <w:kern w:val="0"/>
          <w:szCs w:val="21"/>
          <w:highlight w:val="none"/>
          <w14:textFill>
            <w14:solidFill>
              <w14:schemeClr w14:val="tx1"/>
            </w14:solidFill>
          </w14:textFill>
        </w:rPr>
        <w:t>）提供的货物（或工程、服务）进行了验收，验收情况如下：</w:t>
      </w:r>
    </w:p>
    <w:tbl>
      <w:tblPr>
        <w:tblStyle w:val="28"/>
        <w:tblW w:w="8642" w:type="dxa"/>
        <w:jc w:val="center"/>
        <w:tblLayout w:type="fixed"/>
        <w:tblCellMar>
          <w:top w:w="0" w:type="dxa"/>
          <w:left w:w="0" w:type="dxa"/>
          <w:bottom w:w="0" w:type="dxa"/>
          <w:right w:w="0" w:type="dxa"/>
        </w:tblCellMar>
      </w:tblPr>
      <w:tblGrid>
        <w:gridCol w:w="1578"/>
        <w:gridCol w:w="1681"/>
        <w:gridCol w:w="664"/>
        <w:gridCol w:w="2017"/>
        <w:gridCol w:w="186"/>
        <w:gridCol w:w="720"/>
        <w:gridCol w:w="1796"/>
      </w:tblGrid>
      <w:tr>
        <w:tblPrEx>
          <w:tblCellMar>
            <w:top w:w="0" w:type="dxa"/>
            <w:left w:w="0" w:type="dxa"/>
            <w:bottom w:w="0" w:type="dxa"/>
            <w:right w:w="0" w:type="dxa"/>
          </w:tblCellMar>
        </w:tblPrEx>
        <w:trPr>
          <w:trHeight w:val="497" w:hRule="atLeast"/>
          <w:jc w:val="center"/>
        </w:trPr>
        <w:tc>
          <w:tcPr>
            <w:tcW w:w="3259"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5"/>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验收方式：</w:t>
            </w:r>
          </w:p>
        </w:tc>
        <w:tc>
          <w:tcPr>
            <w:tcW w:w="5383" w:type="dxa"/>
            <w:gridSpan w:val="5"/>
            <w:tcBorders>
              <w:top w:val="single" w:color="auto" w:sz="8" w:space="0"/>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□自行验收        □委托验收</w:t>
            </w:r>
          </w:p>
        </w:tc>
      </w:tr>
      <w:tr>
        <w:tblPrEx>
          <w:tblCellMar>
            <w:top w:w="0" w:type="dxa"/>
            <w:left w:w="0" w:type="dxa"/>
            <w:bottom w:w="0" w:type="dxa"/>
            <w:right w:w="0" w:type="dxa"/>
          </w:tblCellMar>
        </w:tblPrEx>
        <w:trPr>
          <w:trHeight w:val="622" w:hRule="atLeast"/>
          <w:jc w:val="center"/>
        </w:trPr>
        <w:tc>
          <w:tcPr>
            <w:tcW w:w="1578"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序号</w:t>
            </w:r>
          </w:p>
        </w:tc>
        <w:tc>
          <w:tcPr>
            <w:tcW w:w="1681"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名 称</w:t>
            </w:r>
          </w:p>
        </w:tc>
        <w:tc>
          <w:tcPr>
            <w:tcW w:w="2681"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货物型号规格、标准及配置等（或服务内容、标准）</w:t>
            </w:r>
          </w:p>
        </w:tc>
        <w:tc>
          <w:tcPr>
            <w:tcW w:w="906"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数量</w:t>
            </w:r>
          </w:p>
        </w:tc>
        <w:tc>
          <w:tcPr>
            <w:tcW w:w="1796"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金 额</w:t>
            </w:r>
          </w:p>
        </w:tc>
      </w:tr>
      <w:tr>
        <w:tblPrEx>
          <w:tblCellMar>
            <w:top w:w="0" w:type="dxa"/>
            <w:left w:w="0" w:type="dxa"/>
            <w:bottom w:w="0" w:type="dxa"/>
            <w:right w:w="0" w:type="dxa"/>
          </w:tblCellMar>
        </w:tblPrEx>
        <w:trPr>
          <w:trHeight w:val="487" w:hRule="atLeast"/>
          <w:jc w:val="center"/>
        </w:trPr>
        <w:tc>
          <w:tcPr>
            <w:tcW w:w="1578"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5"/>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c>
          <w:tcPr>
            <w:tcW w:w="1681"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c>
          <w:tcPr>
            <w:tcW w:w="2681"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c>
          <w:tcPr>
            <w:tcW w:w="906"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c>
          <w:tcPr>
            <w:tcW w:w="1796"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tblPrEx>
          <w:tblCellMar>
            <w:top w:w="0" w:type="dxa"/>
            <w:left w:w="0" w:type="dxa"/>
            <w:bottom w:w="0" w:type="dxa"/>
            <w:right w:w="0" w:type="dxa"/>
          </w:tblCellMar>
        </w:tblPrEx>
        <w:trPr>
          <w:trHeight w:val="487" w:hRule="atLeast"/>
          <w:jc w:val="center"/>
        </w:trPr>
        <w:tc>
          <w:tcPr>
            <w:tcW w:w="1578"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c>
          <w:tcPr>
            <w:tcW w:w="1681"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c>
          <w:tcPr>
            <w:tcW w:w="2681"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c>
          <w:tcPr>
            <w:tcW w:w="906"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c>
          <w:tcPr>
            <w:tcW w:w="1796"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tblPrEx>
          <w:tblCellMar>
            <w:top w:w="0" w:type="dxa"/>
            <w:left w:w="0" w:type="dxa"/>
            <w:bottom w:w="0" w:type="dxa"/>
            <w:right w:w="0" w:type="dxa"/>
          </w:tblCellMar>
        </w:tblPrEx>
        <w:trPr>
          <w:trHeight w:val="487" w:hRule="atLeast"/>
          <w:jc w:val="center"/>
        </w:trPr>
        <w:tc>
          <w:tcPr>
            <w:tcW w:w="1578"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c>
          <w:tcPr>
            <w:tcW w:w="1681"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c>
          <w:tcPr>
            <w:tcW w:w="2681"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c>
          <w:tcPr>
            <w:tcW w:w="906"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c>
          <w:tcPr>
            <w:tcW w:w="1796"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tblPrEx>
          <w:tblCellMar>
            <w:top w:w="0" w:type="dxa"/>
            <w:left w:w="0" w:type="dxa"/>
            <w:bottom w:w="0" w:type="dxa"/>
            <w:right w:w="0" w:type="dxa"/>
          </w:tblCellMar>
        </w:tblPrEx>
        <w:trPr>
          <w:trHeight w:val="487" w:hRule="atLeast"/>
          <w:jc w:val="center"/>
        </w:trPr>
        <w:tc>
          <w:tcPr>
            <w:tcW w:w="5940" w:type="dxa"/>
            <w:gridSpan w:val="4"/>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5"/>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合       计</w:t>
            </w:r>
          </w:p>
        </w:tc>
        <w:tc>
          <w:tcPr>
            <w:tcW w:w="906"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c>
          <w:tcPr>
            <w:tcW w:w="1796"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tblPrEx>
          <w:tblCellMar>
            <w:top w:w="0" w:type="dxa"/>
            <w:left w:w="0" w:type="dxa"/>
            <w:bottom w:w="0" w:type="dxa"/>
            <w:right w:w="0" w:type="dxa"/>
          </w:tblCellMar>
        </w:tblPrEx>
        <w:trPr>
          <w:trHeight w:val="641" w:hRule="atLeast"/>
          <w:jc w:val="center"/>
        </w:trPr>
        <w:tc>
          <w:tcPr>
            <w:tcW w:w="8642" w:type="dxa"/>
            <w:gridSpan w:val="7"/>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合计大写金额：  仟   佰   拾   万   仟   佰   拾   元</w:t>
            </w:r>
          </w:p>
        </w:tc>
      </w:tr>
      <w:tr>
        <w:tblPrEx>
          <w:tblCellMar>
            <w:top w:w="0" w:type="dxa"/>
            <w:left w:w="0" w:type="dxa"/>
            <w:bottom w:w="0" w:type="dxa"/>
            <w:right w:w="0" w:type="dxa"/>
          </w:tblCellMar>
        </w:tblPrEx>
        <w:trPr>
          <w:trHeight w:val="641" w:hRule="atLeast"/>
          <w:jc w:val="center"/>
        </w:trPr>
        <w:tc>
          <w:tcPr>
            <w:tcW w:w="1578"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实际供货日期</w:t>
            </w:r>
          </w:p>
        </w:tc>
        <w:tc>
          <w:tcPr>
            <w:tcW w:w="2345"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c>
          <w:tcPr>
            <w:tcW w:w="2203"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6"/>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合同交货验收日期</w:t>
            </w:r>
          </w:p>
        </w:tc>
        <w:tc>
          <w:tcPr>
            <w:tcW w:w="2516"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tblPrEx>
          <w:tblCellMar>
            <w:top w:w="0" w:type="dxa"/>
            <w:left w:w="0" w:type="dxa"/>
            <w:bottom w:w="0" w:type="dxa"/>
            <w:right w:w="0" w:type="dxa"/>
          </w:tblCellMar>
        </w:tblPrEx>
        <w:trPr>
          <w:trHeight w:val="394" w:hRule="atLeast"/>
          <w:jc w:val="center"/>
        </w:trPr>
        <w:tc>
          <w:tcPr>
            <w:tcW w:w="1578"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c>
          <w:tcPr>
            <w:tcW w:w="2345"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c>
          <w:tcPr>
            <w:tcW w:w="2203"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c>
          <w:tcPr>
            <w:tcW w:w="2516"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tblPrEx>
          <w:tblCellMar>
            <w:top w:w="0" w:type="dxa"/>
            <w:left w:w="0" w:type="dxa"/>
            <w:bottom w:w="0" w:type="dxa"/>
            <w:right w:w="0" w:type="dxa"/>
          </w:tblCellMar>
        </w:tblPrEx>
        <w:trPr>
          <w:trHeight w:val="693" w:hRule="atLeast"/>
          <w:jc w:val="center"/>
        </w:trPr>
        <w:tc>
          <w:tcPr>
            <w:tcW w:w="15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验收具体内容</w:t>
            </w:r>
          </w:p>
        </w:tc>
        <w:tc>
          <w:tcPr>
            <w:tcW w:w="7064" w:type="dxa"/>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应按采购合同、采购文件、响应文件及验收方案等进行验收；并核对中标或者成交供应商在安装调试等方面是否违反合同约定或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1281" w:hRule="atLeast"/>
          <w:jc w:val="center"/>
        </w:trPr>
        <w:tc>
          <w:tcPr>
            <w:tcW w:w="1578"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验收小组意见</w:t>
            </w:r>
          </w:p>
        </w:tc>
        <w:tc>
          <w:tcPr>
            <w:tcW w:w="7064" w:type="dxa"/>
            <w:gridSpan w:val="6"/>
            <w:tcBorders>
              <w:top w:val="nil"/>
              <w:left w:val="nil"/>
              <w:bottom w:val="single" w:color="auto" w:sz="8" w:space="0"/>
              <w:right w:val="single" w:color="auto" w:sz="8" w:space="0"/>
            </w:tcBorders>
            <w:vAlign w:val="center"/>
          </w:tcPr>
          <w:p>
            <w:pPr>
              <w:widowControl/>
              <w:spacing w:before="100" w:beforeAutospacing="1" w:after="100" w:afterAutospacing="1" w:line="320" w:lineRule="atLeas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验收结论性意见：</w:t>
            </w:r>
          </w:p>
          <w:p>
            <w:pPr>
              <w:widowControl/>
              <w:spacing w:before="100" w:beforeAutospacing="1" w:after="100" w:afterAutospacing="1" w:line="320" w:lineRule="atLeas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tblPrEx>
          <w:tblCellMar>
            <w:top w:w="0" w:type="dxa"/>
            <w:left w:w="0" w:type="dxa"/>
            <w:bottom w:w="0" w:type="dxa"/>
            <w:right w:w="0" w:type="dxa"/>
          </w:tblCellMar>
        </w:tblPrEx>
        <w:trPr>
          <w:trHeight w:val="607" w:hRule="atLeast"/>
          <w:jc w:val="center"/>
        </w:trPr>
        <w:tc>
          <w:tcPr>
            <w:tcW w:w="1578"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000000" w:themeColor="text1"/>
                <w:kern w:val="0"/>
                <w:szCs w:val="21"/>
                <w:highlight w:val="none"/>
                <w14:textFill>
                  <w14:solidFill>
                    <w14:schemeClr w14:val="tx1"/>
                  </w14:solidFill>
                </w14:textFill>
              </w:rPr>
            </w:pPr>
          </w:p>
        </w:tc>
        <w:tc>
          <w:tcPr>
            <w:tcW w:w="7064" w:type="dxa"/>
            <w:gridSpan w:val="6"/>
            <w:tcBorders>
              <w:top w:val="nil"/>
              <w:left w:val="nil"/>
              <w:bottom w:val="single" w:color="auto" w:sz="8" w:space="0"/>
              <w:right w:val="single" w:color="auto" w:sz="8" w:space="0"/>
            </w:tcBorders>
            <w:vAlign w:val="center"/>
          </w:tcPr>
          <w:p>
            <w:pPr>
              <w:widowControl/>
              <w:spacing w:before="100" w:beforeAutospacing="1" w:after="100" w:afterAutospacing="1" w:line="320" w:lineRule="atLeast"/>
              <w:ind w:firstLine="96"/>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有异议的意见和说明理由：</w:t>
            </w:r>
          </w:p>
          <w:p>
            <w:pPr>
              <w:widowControl/>
              <w:spacing w:before="100" w:beforeAutospacing="1" w:after="100" w:afterAutospacing="1" w:line="320" w:lineRule="atLeas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签字：</w:t>
            </w:r>
          </w:p>
        </w:tc>
      </w:tr>
      <w:tr>
        <w:tblPrEx>
          <w:tblCellMar>
            <w:top w:w="0" w:type="dxa"/>
            <w:left w:w="0" w:type="dxa"/>
            <w:bottom w:w="0" w:type="dxa"/>
            <w:right w:w="0" w:type="dxa"/>
          </w:tblCellMar>
        </w:tblPrEx>
        <w:trPr>
          <w:trHeight w:val="507" w:hRule="atLeast"/>
          <w:jc w:val="center"/>
        </w:trPr>
        <w:tc>
          <w:tcPr>
            <w:tcW w:w="8642" w:type="dxa"/>
            <w:gridSpan w:val="7"/>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验收小组成员签字：</w:t>
            </w:r>
          </w:p>
        </w:tc>
      </w:tr>
      <w:tr>
        <w:tblPrEx>
          <w:tblCellMar>
            <w:top w:w="0" w:type="dxa"/>
            <w:left w:w="0" w:type="dxa"/>
            <w:bottom w:w="0" w:type="dxa"/>
            <w:right w:w="0" w:type="dxa"/>
          </w:tblCellMar>
        </w:tblPrEx>
        <w:trPr>
          <w:trHeight w:val="736" w:hRule="atLeast"/>
          <w:jc w:val="center"/>
        </w:trPr>
        <w:tc>
          <w:tcPr>
            <w:tcW w:w="8642" w:type="dxa"/>
            <w:gridSpan w:val="7"/>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监督人员或其他相关人员签字：</w:t>
            </w:r>
          </w:p>
          <w:p>
            <w:pPr>
              <w:widowControl/>
              <w:spacing w:before="100" w:beforeAutospacing="1" w:after="100" w:afterAutospacing="1" w:line="320" w:lineRule="atLeast"/>
              <w:ind w:firstLine="74"/>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或受邀机构的意见（盖章）：</w:t>
            </w:r>
          </w:p>
        </w:tc>
      </w:tr>
      <w:tr>
        <w:tblPrEx>
          <w:tblCellMar>
            <w:top w:w="0" w:type="dxa"/>
            <w:left w:w="0" w:type="dxa"/>
            <w:bottom w:w="0" w:type="dxa"/>
            <w:right w:w="0" w:type="dxa"/>
          </w:tblCellMar>
        </w:tblPrEx>
        <w:trPr>
          <w:trHeight w:val="758" w:hRule="atLeast"/>
          <w:jc w:val="center"/>
        </w:trPr>
        <w:tc>
          <w:tcPr>
            <w:tcW w:w="3923" w:type="dxa"/>
            <w:gridSpan w:val="3"/>
            <w:tcBorders>
              <w:top w:val="nil"/>
              <w:left w:val="single" w:color="auto" w:sz="8" w:space="0"/>
              <w:bottom w:val="single" w:color="auto" w:sz="8" w:space="0"/>
              <w:right w:val="nil"/>
            </w:tcBorders>
            <w:tcMar>
              <w:top w:w="0" w:type="dxa"/>
              <w:left w:w="108" w:type="dxa"/>
              <w:bottom w:w="0" w:type="dxa"/>
              <w:right w:w="108" w:type="dxa"/>
            </w:tcMar>
            <w:vAlign w:val="center"/>
          </w:tcPr>
          <w:p>
            <w:pPr>
              <w:widowControl/>
              <w:spacing w:before="100" w:beforeAutospacing="1" w:after="100" w:afterAutospacing="1" w:line="320" w:lineRule="atLeast"/>
              <w:ind w:right="-223" w:rightChars="-106" w:firstLine="74"/>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中标或者成交供应商负责人签字或盖章：</w:t>
            </w:r>
          </w:p>
          <w:p>
            <w:pPr>
              <w:widowControl/>
              <w:spacing w:before="100" w:beforeAutospacing="1" w:after="100" w:afterAutospacing="1" w:line="320" w:lineRule="atLeas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联系电话：        年 月 日</w:t>
            </w:r>
          </w:p>
        </w:tc>
        <w:tc>
          <w:tcPr>
            <w:tcW w:w="4719" w:type="dxa"/>
            <w:gridSpan w:val="4"/>
            <w:tcBorders>
              <w:top w:val="nil"/>
              <w:left w:val="nil"/>
              <w:bottom w:val="single" w:color="auto" w:sz="8" w:space="0"/>
              <w:right w:val="single" w:color="auto" w:sz="8" w:space="0"/>
            </w:tcBorders>
            <w:vAlign w:val="center"/>
          </w:tcPr>
          <w:p>
            <w:pPr>
              <w:widowControl/>
              <w:spacing w:before="100" w:beforeAutospacing="1" w:after="100" w:afterAutospacing="1" w:line="320" w:lineRule="atLeas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采购人或受托机构的意见（盖章）：</w:t>
            </w:r>
          </w:p>
          <w:p>
            <w:pPr>
              <w:widowControl/>
              <w:spacing w:before="100" w:beforeAutospacing="1" w:after="100" w:afterAutospacing="1" w:line="320" w:lineRule="atLeast"/>
              <w:ind w:left="399" w:leftChars="19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联系电话：        年  月  日</w:t>
            </w:r>
          </w:p>
        </w:tc>
      </w:tr>
    </w:tbl>
    <w:p>
      <w:pPr>
        <w:spacing w:line="360" w:lineRule="auto"/>
        <w:ind w:firstLine="420" w:firstLineChars="200"/>
        <w:contextualSpacing/>
        <w:rPr>
          <w:rFonts w:ascii="宋体" w:hAnsi="宋体" w:cs="宋体"/>
          <w:color w:val="000000" w:themeColor="text1"/>
          <w:highlight w:val="none"/>
          <w14:textFill>
            <w14:solidFill>
              <w14:schemeClr w14:val="tx1"/>
            </w14:solidFill>
          </w14:textFill>
        </w:rPr>
      </w:pPr>
    </w:p>
    <w:p>
      <w:pPr>
        <w:snapToGrid w:val="0"/>
        <w:rPr>
          <w:rFonts w:hint="eastAsia" w:ascii="宋体" w:hAnsi="宋体" w:eastAsia="宋体" w:cs="宋体"/>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kern w:val="0"/>
          <w:sz w:val="32"/>
          <w:szCs w:val="32"/>
          <w:highlight w:val="none"/>
          <w14:textFill>
            <w14:solidFill>
              <w14:schemeClr w14:val="tx1"/>
            </w14:solidFill>
          </w14:textFill>
        </w:rPr>
        <w:t>附件2：</w:t>
      </w:r>
    </w:p>
    <w:p>
      <w:pPr>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采购项目履约保证金退付意见书</w:t>
      </w:r>
    </w:p>
    <w:p>
      <w:pPr>
        <w:jc w:val="center"/>
        <w:rPr>
          <w:rFonts w:ascii="黑体" w:hAnsi="黑体" w:eastAsia="黑体"/>
          <w:color w:val="000000" w:themeColor="text1"/>
          <w:sz w:val="36"/>
          <w:szCs w:val="36"/>
          <w:highlight w:val="none"/>
          <w14:textFill>
            <w14:solidFill>
              <w14:schemeClr w14:val="tx1"/>
            </w14:solidFill>
          </w14:textFill>
        </w:rPr>
      </w:pPr>
    </w:p>
    <w:tbl>
      <w:tblPr>
        <w:tblStyle w:val="28"/>
        <w:tblW w:w="8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17" w:type="dxa"/>
            <w:vMerge w:val="restart"/>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w:t>
            </w:r>
          </w:p>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应</w:t>
            </w:r>
          </w:p>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商</w:t>
            </w:r>
          </w:p>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申</w:t>
            </w:r>
          </w:p>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请</w:t>
            </w:r>
          </w:p>
        </w:tc>
        <w:tc>
          <w:tcPr>
            <w:tcW w:w="8009" w:type="dxa"/>
            <w:vAlign w:val="center"/>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17" w:type="dxa"/>
            <w:vMerge w:val="continue"/>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8009" w:type="dxa"/>
            <w:vAlign w:val="center"/>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Merge w:val="continue"/>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8009" w:type="dxa"/>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p>
          <w:p>
            <w:pPr>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该项目已于</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年</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月</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日验收并交付使用。根据合同规定，该项目的履约保证金期限于</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年</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月</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日已满，请将履约保证金</w:t>
            </w:r>
          </w:p>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（大写）¥</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（小写）退付到达以下</w:t>
            </w:r>
            <w:r>
              <w:rPr>
                <w:rFonts w:hint="eastAsia" w:ascii="宋体" w:hAnsi="宋体" w:cs="宋体"/>
                <w:color w:val="000000" w:themeColor="text1"/>
                <w:sz w:val="21"/>
                <w:szCs w:val="21"/>
                <w:highlight w:val="none"/>
                <w:lang w:eastAsia="zh-CN"/>
                <w14:textFill>
                  <w14:solidFill>
                    <w14:schemeClr w14:val="tx1"/>
                  </w14:solidFill>
                </w14:textFill>
              </w:rPr>
              <w:t>账</w:t>
            </w:r>
            <w:r>
              <w:rPr>
                <w:rFonts w:hint="eastAsia" w:ascii="宋体" w:hAnsi="宋体" w:eastAsia="宋体" w:cs="宋体"/>
                <w:color w:val="000000" w:themeColor="text1"/>
                <w:sz w:val="21"/>
                <w:szCs w:val="21"/>
                <w:highlight w:val="none"/>
                <w14:textFill>
                  <w14:solidFill>
                    <w14:schemeClr w14:val="tx1"/>
                  </w14:solidFill>
                </w14:textFill>
              </w:rPr>
              <w:t>户。</w:t>
            </w:r>
          </w:p>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单位名称：</w:t>
            </w:r>
          </w:p>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开户银行：</w:t>
            </w:r>
          </w:p>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账</w:t>
            </w:r>
            <w:r>
              <w:rPr>
                <w:rFonts w:hint="eastAsia" w:ascii="宋体" w:hAnsi="宋体" w:eastAsia="宋体" w:cs="宋体"/>
                <w:color w:val="000000" w:themeColor="text1"/>
                <w:sz w:val="21"/>
                <w:szCs w:val="21"/>
                <w:highlight w:val="none"/>
                <w14:textFill>
                  <w14:solidFill>
                    <w14:schemeClr w14:val="tx1"/>
                  </w14:solidFill>
                </w14:textFill>
              </w:rPr>
              <w:t xml:space="preserve">    号：</w:t>
            </w:r>
          </w:p>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联系人及电话：</w:t>
            </w:r>
          </w:p>
          <w:p>
            <w:pPr>
              <w:rPr>
                <w:rFonts w:hint="eastAsia" w:ascii="宋体" w:hAnsi="宋体" w:eastAsia="宋体" w:cs="宋体"/>
                <w:color w:val="000000" w:themeColor="text1"/>
                <w:sz w:val="21"/>
                <w:szCs w:val="21"/>
                <w:highlight w:val="none"/>
                <w14:textFill>
                  <w14:solidFill>
                    <w14:schemeClr w14:val="tx1"/>
                  </w14:solidFill>
                </w14:textFill>
              </w:rPr>
            </w:pPr>
          </w:p>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供应商签章：</w:t>
            </w:r>
          </w:p>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817" w:type="dxa"/>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w:t>
            </w:r>
          </w:p>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购</w:t>
            </w:r>
          </w:p>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单</w:t>
            </w:r>
          </w:p>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位</w:t>
            </w:r>
          </w:p>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意</w:t>
            </w:r>
          </w:p>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见</w:t>
            </w:r>
          </w:p>
        </w:tc>
        <w:tc>
          <w:tcPr>
            <w:tcW w:w="8009" w:type="dxa"/>
          </w:tcPr>
          <w:p>
            <w:pPr>
              <w:rPr>
                <w:rFonts w:hint="eastAsia" w:ascii="宋体" w:hAnsi="宋体" w:eastAsia="宋体" w:cs="宋体"/>
                <w:color w:val="000000" w:themeColor="text1"/>
                <w:sz w:val="21"/>
                <w:szCs w:val="21"/>
                <w:highlight w:val="none"/>
                <w14:textFill>
                  <w14:solidFill>
                    <w14:schemeClr w14:val="tx1"/>
                  </w14:solidFill>
                </w14:textFill>
              </w:rPr>
            </w:pPr>
          </w:p>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退付意见：是否同意退付履约保证金及退付金额：</w:t>
            </w:r>
          </w:p>
          <w:p>
            <w:pPr>
              <w:rPr>
                <w:rFonts w:hint="eastAsia" w:ascii="宋体" w:hAnsi="宋体" w:eastAsia="宋体" w:cs="宋体"/>
                <w:color w:val="000000" w:themeColor="text1"/>
                <w:sz w:val="21"/>
                <w:szCs w:val="21"/>
                <w:highlight w:val="none"/>
                <w14:textFill>
                  <w14:solidFill>
                    <w14:schemeClr w14:val="tx1"/>
                  </w14:solidFill>
                </w14:textFill>
              </w:rPr>
            </w:pPr>
          </w:p>
          <w:p>
            <w:pPr>
              <w:rPr>
                <w:rFonts w:hint="eastAsia" w:ascii="宋体" w:hAnsi="宋体" w:eastAsia="宋体" w:cs="宋体"/>
                <w:color w:val="000000" w:themeColor="text1"/>
                <w:sz w:val="21"/>
                <w:szCs w:val="21"/>
                <w:highlight w:val="none"/>
                <w14:textFill>
                  <w14:solidFill>
                    <w14:schemeClr w14:val="tx1"/>
                  </w14:solidFill>
                </w14:textFill>
              </w:rPr>
            </w:pPr>
          </w:p>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联系人及电话：                                </w:t>
            </w:r>
          </w:p>
          <w:p>
            <w:pPr>
              <w:rPr>
                <w:rFonts w:hint="eastAsia" w:ascii="宋体" w:hAnsi="宋体" w:eastAsia="宋体" w:cs="宋体"/>
                <w:color w:val="000000" w:themeColor="text1"/>
                <w:sz w:val="21"/>
                <w:szCs w:val="21"/>
                <w:highlight w:val="none"/>
                <w14:textFill>
                  <w14:solidFill>
                    <w14:schemeClr w14:val="tx1"/>
                  </w14:solidFill>
                </w14:textFill>
              </w:rPr>
            </w:pPr>
          </w:p>
          <w:p>
            <w:pPr>
              <w:ind w:firstLine="3990" w:firstLineChars="19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采购人签章：</w:t>
            </w:r>
          </w:p>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817" w:type="dxa"/>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w:t>
            </w:r>
          </w:p>
        </w:tc>
        <w:tc>
          <w:tcPr>
            <w:tcW w:w="8009" w:type="dxa"/>
          </w:tcPr>
          <w:p>
            <w:pPr>
              <w:rPr>
                <w:rFonts w:hint="eastAsia" w:ascii="宋体" w:hAnsi="宋体" w:eastAsia="宋体" w:cs="宋体"/>
                <w:color w:val="000000" w:themeColor="text1"/>
                <w:sz w:val="21"/>
                <w:szCs w:val="21"/>
                <w:highlight w:val="none"/>
                <w14:textFill>
                  <w14:solidFill>
                    <w14:schemeClr w14:val="tx1"/>
                  </w14:solidFill>
                </w14:textFill>
              </w:rPr>
            </w:pPr>
          </w:p>
        </w:tc>
      </w:tr>
    </w:tbl>
    <w:p>
      <w:pPr>
        <w:spacing w:after="120"/>
        <w:ind w:left="1" w:firstLine="2" w:firstLineChars="1"/>
        <w:rPr>
          <w:rFonts w:ascii="宋体"/>
          <w:b/>
          <w:bCs/>
          <w:color w:val="000000" w:themeColor="text1"/>
          <w:sz w:val="18"/>
          <w:szCs w:val="18"/>
          <w:highlight w:val="none"/>
          <w14:textFill>
            <w14:solidFill>
              <w14:schemeClr w14:val="tx1"/>
            </w14:solidFill>
          </w14:textFill>
        </w:rPr>
      </w:pPr>
      <w:r>
        <w:rPr>
          <w:rFonts w:hint="eastAsia" w:ascii="宋体"/>
          <w:b/>
          <w:bCs/>
          <w:color w:val="000000" w:themeColor="text1"/>
          <w:sz w:val="18"/>
          <w:szCs w:val="18"/>
          <w:highlight w:val="none"/>
          <w14:textFill>
            <w14:solidFill>
              <w14:schemeClr w14:val="tx1"/>
            </w14:solidFill>
          </w14:textFill>
        </w:rPr>
        <w:t>注：供应商凭经采购人审批的退付意见书到履约保证金收取单位财务部门办理履约保证金退付事宜。</w:t>
      </w:r>
    </w:p>
    <w:p>
      <w:pPr>
        <w:spacing w:line="400" w:lineRule="exact"/>
        <w:jc w:val="center"/>
        <w:rPr>
          <w:rFonts w:ascii="黑体" w:hAnsi="黑体" w:eastAsia="黑体" w:cs="黑体"/>
          <w:bCs/>
          <w:color w:val="000000" w:themeColor="text1"/>
          <w:sz w:val="32"/>
          <w:szCs w:val="32"/>
          <w:highlight w:val="none"/>
          <w14:textFill>
            <w14:solidFill>
              <w14:schemeClr w14:val="tx1"/>
            </w14:solidFill>
          </w14:textFill>
        </w:rPr>
      </w:pPr>
      <w:r>
        <w:rPr>
          <w:rFonts w:ascii="黑体" w:hAnsi="黑体" w:eastAsia="黑体" w:cs="黑体"/>
          <w:bCs/>
          <w:color w:val="000000" w:themeColor="text1"/>
          <w:sz w:val="32"/>
          <w:szCs w:val="32"/>
          <w:highlight w:val="none"/>
          <w14:textFill>
            <w14:solidFill>
              <w14:schemeClr w14:val="tx1"/>
            </w14:solidFill>
          </w14:textFill>
        </w:rPr>
        <w:t xml:space="preserve"> </w:t>
      </w:r>
    </w:p>
    <w:p>
      <w:pPr>
        <w:spacing w:line="360" w:lineRule="auto"/>
        <w:ind w:firstLine="640" w:firstLineChars="200"/>
        <w:contextualSpacing/>
        <w:rPr>
          <w:rFonts w:ascii="宋体"/>
          <w:b/>
          <w:bCs/>
          <w:color w:val="000000" w:themeColor="text1"/>
          <w:sz w:val="18"/>
          <w:szCs w:val="18"/>
          <w:highlight w:val="none"/>
          <w14:textFill>
            <w14:solidFill>
              <w14:schemeClr w14:val="tx1"/>
            </w14:solidFill>
          </w14:textFill>
        </w:rPr>
      </w:pPr>
      <w:r>
        <w:rPr>
          <w:rFonts w:ascii="黑体" w:hAnsi="黑体" w:eastAsia="黑体" w:cs="黑体"/>
          <w:bCs/>
          <w:color w:val="000000" w:themeColor="text1"/>
          <w:sz w:val="32"/>
          <w:szCs w:val="32"/>
          <w:highlight w:val="none"/>
          <w14:textFill>
            <w14:solidFill>
              <w14:schemeClr w14:val="tx1"/>
            </w14:solidFill>
          </w14:textFill>
        </w:rPr>
        <w:br w:type="page"/>
      </w:r>
    </w:p>
    <w:p>
      <w:pPr>
        <w:pStyle w:val="2"/>
        <w:jc w:val="center"/>
        <w:rPr>
          <w:color w:val="000000" w:themeColor="text1"/>
          <w:highlight w:val="none"/>
          <w14:textFill>
            <w14:solidFill>
              <w14:schemeClr w14:val="tx1"/>
            </w14:solidFill>
          </w14:textFill>
        </w:rPr>
      </w:pPr>
      <w:bookmarkStart w:id="69" w:name="_Toc129703550"/>
      <w:r>
        <w:rPr>
          <w:rFonts w:hint="eastAsia"/>
          <w:color w:val="000000" w:themeColor="text1"/>
          <w:highlight w:val="none"/>
          <w14:textFill>
            <w14:solidFill>
              <w14:schemeClr w14:val="tx1"/>
            </w14:solidFill>
          </w14:textFill>
        </w:rPr>
        <w:t>第三章 采购需求</w:t>
      </w:r>
      <w:bookmarkEnd w:id="69"/>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说明：</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left"/>
        <w:textAlignment w:val="auto"/>
        <w:rPr>
          <w:rFonts w:hint="eastAsia" w:ascii="宋体" w:hAnsi="宋体" w:cs="宋体"/>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 为落实政府采购政策需满足的要求（根据项目实际情况填写内容）</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left"/>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（1）本竞争性谈判采购文件所称中小企业必须符合《政府采购促进中小企业发展管理办法》（财库〔2020〕46号）的规定。</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left"/>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 评审程序和评定成交的标准”。</w:t>
      </w:r>
    </w:p>
    <w:p>
      <w:pPr>
        <w:keepNext w:val="0"/>
        <w:keepLines w:val="0"/>
        <w:pageBreakBefore w:val="0"/>
        <w:widowControl w:val="0"/>
        <w:kinsoku/>
        <w:wordWrap/>
        <w:overflowPunct/>
        <w:topLinePunct w:val="0"/>
        <w:autoSpaceDE/>
        <w:autoSpaceDN/>
        <w:bidi w:val="0"/>
        <w:adjustRightInd/>
        <w:snapToGrid/>
        <w:spacing w:line="520" w:lineRule="exact"/>
        <w:ind w:firstLine="422" w:firstLineChars="200"/>
        <w:jc w:val="left"/>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（3）根据《关于调整网络安全专用产品安全管理有关事项的公告》（2023年1号）规定，本项目采购需求中的产品如果包括《网络关键设备和网络安全专用产品目录》的网络安全专用产品，供应商在</w:t>
      </w:r>
      <w:r>
        <w:rPr>
          <w:rFonts w:hint="eastAsia" w:ascii="宋体" w:hAnsi="宋体" w:cs="宋体"/>
          <w:b/>
          <w:color w:val="000000" w:themeColor="text1"/>
          <w:highlight w:val="none"/>
          <w:lang w:eastAsia="zh-CN"/>
          <w14:textFill>
            <w14:solidFill>
              <w14:schemeClr w14:val="tx1"/>
            </w14:solidFill>
          </w14:textFill>
        </w:rPr>
        <w:t>响应文件</w:t>
      </w:r>
      <w:r>
        <w:rPr>
          <w:rFonts w:hint="eastAsia" w:ascii="宋体" w:hAnsi="宋体" w:cs="宋体"/>
          <w:b/>
          <w:color w:val="000000" w:themeColor="text1"/>
          <w:highlight w:val="none"/>
          <w14:textFill>
            <w14:solidFill>
              <w14:schemeClr w14:val="tx1"/>
            </w14:solidFill>
          </w14:textFill>
        </w:rPr>
        <w:t>中应主动列明供货范围中属于网络安全专用产品的</w:t>
      </w:r>
      <w:r>
        <w:rPr>
          <w:rFonts w:hint="eastAsia" w:ascii="宋体" w:hAnsi="宋体" w:cs="宋体"/>
          <w:b/>
          <w:color w:val="000000" w:themeColor="text1"/>
          <w:highlight w:val="none"/>
          <w:lang w:eastAsia="zh-CN"/>
          <w14:textFill>
            <w14:solidFill>
              <w14:schemeClr w14:val="tx1"/>
            </w14:solidFill>
          </w14:textFill>
        </w:rPr>
        <w:t>竞标</w:t>
      </w:r>
      <w:r>
        <w:rPr>
          <w:rFonts w:hint="eastAsia" w:ascii="宋体" w:hAnsi="宋体" w:cs="宋体"/>
          <w:b/>
          <w:color w:val="000000" w:themeColor="text1"/>
          <w:highlight w:val="none"/>
          <w14:textFill>
            <w14:solidFill>
              <w14:schemeClr w14:val="tx1"/>
            </w14:solidFill>
          </w14:textFill>
        </w:rPr>
        <w:t>产品，并在</w:t>
      </w:r>
      <w:r>
        <w:rPr>
          <w:rFonts w:hint="eastAsia" w:ascii="宋体" w:hAnsi="宋体" w:cs="宋体"/>
          <w:b/>
          <w:color w:val="000000" w:themeColor="text1"/>
          <w:highlight w:val="none"/>
          <w:lang w:eastAsia="zh-CN"/>
          <w14:textFill>
            <w14:solidFill>
              <w14:schemeClr w14:val="tx1"/>
            </w14:solidFill>
          </w14:textFill>
        </w:rPr>
        <w:t>响应</w:t>
      </w:r>
      <w:r>
        <w:rPr>
          <w:rFonts w:hint="eastAsia" w:ascii="宋体" w:hAnsi="宋体" w:cs="宋体"/>
          <w:b/>
          <w:color w:val="000000" w:themeColor="text1"/>
          <w:highlight w:val="none"/>
          <w14:textFill>
            <w14:solidFill>
              <w14:schemeClr w14:val="tx1"/>
            </w14:solidFill>
          </w14:textFill>
        </w:rPr>
        <w:t>文件（商务及技术文件）中提供由中国网信网（http://www.cac.gov.cn/index.htm）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按无效</w:t>
      </w:r>
      <w:r>
        <w:rPr>
          <w:rFonts w:hint="eastAsia" w:ascii="宋体" w:hAnsi="宋体" w:cs="宋体"/>
          <w:b/>
          <w:color w:val="000000" w:themeColor="text1"/>
          <w:highlight w:val="none"/>
          <w:lang w:eastAsia="zh-CN"/>
          <w14:textFill>
            <w14:solidFill>
              <w14:schemeClr w14:val="tx1"/>
            </w14:solidFill>
          </w14:textFill>
        </w:rPr>
        <w:t>响应</w:t>
      </w:r>
      <w:r>
        <w:rPr>
          <w:rFonts w:hint="eastAsia" w:ascii="宋体" w:hAnsi="宋体" w:cs="宋体"/>
          <w:b/>
          <w:color w:val="000000" w:themeColor="text1"/>
          <w:highlight w:val="none"/>
          <w14:textFill>
            <w14:solidFill>
              <w14:schemeClr w14:val="tx1"/>
            </w14:solidFill>
          </w14:textFill>
        </w:rPr>
        <w:t>处理。如属于《网络关键设备和网络安全专用产品目录》中“二、网络安全专用产品”内“产品类别”中的所描述的产品，但不属于所列“产品描述”情形的，应提供相应的说明及证明材料。</w:t>
      </w:r>
    </w:p>
    <w:p>
      <w:pPr>
        <w:keepNext w:val="0"/>
        <w:keepLines w:val="0"/>
        <w:pageBreakBefore w:val="0"/>
        <w:widowControl w:val="0"/>
        <w:kinsoku/>
        <w:wordWrap/>
        <w:overflowPunct/>
        <w:topLinePunct w:val="0"/>
        <w:autoSpaceDE/>
        <w:autoSpaceDN/>
        <w:bidi w:val="0"/>
        <w:adjustRightInd/>
        <w:snapToGrid/>
        <w:spacing w:line="520" w:lineRule="exact"/>
        <w:ind w:firstLine="426" w:firstLineChars="202"/>
        <w:jc w:val="left"/>
        <w:textAlignment w:val="auto"/>
        <w:rPr>
          <w:rFonts w:hint="eastAsia" w:ascii="宋体" w:hAnsi="宋体" w:cs="宋体"/>
          <w:b/>
          <w:bCs/>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2.</w:t>
      </w:r>
      <w:r>
        <w:rPr>
          <w:rFonts w:hint="eastAsia" w:ascii="宋体" w:hAnsi="宋体" w:cs="宋体"/>
          <w:b/>
          <w:bCs/>
          <w:color w:val="000000" w:themeColor="text1"/>
          <w:highlight w:val="none"/>
          <w14:textFill>
            <w14:solidFill>
              <w14:schemeClr w14:val="tx1"/>
            </w14:solidFill>
          </w14:textFill>
        </w:rPr>
        <w:t>“实质性要求”是指采购需求中带“▲”的条款或者不能负偏离的条款或者已经指明不满足按响应文件作无效处理的条款。</w:t>
      </w:r>
    </w:p>
    <w:p>
      <w:pPr>
        <w:keepNext w:val="0"/>
        <w:keepLines w:val="0"/>
        <w:pageBreakBefore w:val="0"/>
        <w:widowControl w:val="0"/>
        <w:kinsoku/>
        <w:wordWrap/>
        <w:overflowPunct/>
        <w:topLinePunct w:val="0"/>
        <w:autoSpaceDE/>
        <w:autoSpaceDN/>
        <w:bidi w:val="0"/>
        <w:adjustRightInd/>
        <w:snapToGrid/>
        <w:spacing w:line="520" w:lineRule="exact"/>
        <w:ind w:firstLine="424" w:firstLineChars="202"/>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 供应商必须自行为其</w:t>
      </w:r>
      <w:r>
        <w:rPr>
          <w:rFonts w:hint="eastAsia" w:ascii="宋体" w:hAnsi="宋体" w:cs="宋体"/>
          <w:color w:val="000000" w:themeColor="text1"/>
          <w:highlight w:val="none"/>
          <w:lang w:eastAsia="zh-CN"/>
          <w14:textFill>
            <w14:solidFill>
              <w14:schemeClr w14:val="tx1"/>
            </w14:solidFill>
          </w14:textFill>
        </w:rPr>
        <w:t>应标</w:t>
      </w:r>
      <w:r>
        <w:rPr>
          <w:rFonts w:hint="eastAsia" w:ascii="宋体" w:hAnsi="宋体" w:cs="宋体"/>
          <w:color w:val="000000" w:themeColor="text1"/>
          <w:highlight w:val="none"/>
          <w14:textFill>
            <w14:solidFill>
              <w14:schemeClr w14:val="tx1"/>
            </w14:solidFill>
          </w14:textFill>
        </w:rPr>
        <w:t>产品侵犯他人的知识产权或者专利成果的行为承担相应法律责任。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426" w:firstLineChars="202"/>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cs="宋体"/>
          <w:b/>
          <w:bCs/>
          <w:color w:val="000000" w:themeColor="text1"/>
          <w:highlight w:val="none"/>
          <w:lang w:val="en-US" w:eastAsia="zh-CN"/>
          <w14:textFill>
            <w14:solidFill>
              <w14:schemeClr w14:val="tx1"/>
            </w14:solidFill>
          </w14:textFill>
        </w:rPr>
        <w:t>4</w:t>
      </w:r>
      <w:r>
        <w:rPr>
          <w:rFonts w:hint="eastAsia" w:ascii="宋体" w:hAnsi="宋体" w:eastAsia="宋体" w:cs="宋体"/>
          <w:b/>
          <w:bCs/>
          <w:color w:val="000000" w:themeColor="text1"/>
          <w:highlight w:val="none"/>
          <w14:textFill>
            <w14:solidFill>
              <w14:schemeClr w14:val="tx1"/>
            </w14:solidFill>
          </w14:textFill>
        </w:rPr>
        <w:t>. 所属行业：</w:t>
      </w:r>
      <w:r>
        <w:rPr>
          <w:rFonts w:hint="eastAsia" w:ascii="宋体" w:hAnsi="宋体" w:eastAsia="宋体" w:cs="宋体"/>
          <w:b/>
          <w:color w:val="000000" w:themeColor="text1"/>
          <w:szCs w:val="21"/>
          <w:highlight w:val="none"/>
          <w:lang w:eastAsia="zh-CN"/>
          <w14:textFill>
            <w14:solidFill>
              <w14:schemeClr w14:val="tx1"/>
            </w14:solidFill>
          </w14:textFill>
        </w:rPr>
        <w:t>工业</w:t>
      </w:r>
      <w:r>
        <w:rPr>
          <w:rFonts w:hint="eastAsia" w:ascii="宋体" w:hAnsi="宋体" w:eastAsia="宋体" w:cs="宋体"/>
          <w:b/>
          <w:color w:val="000000" w:themeColor="text1"/>
          <w:szCs w:val="21"/>
          <w:highlight w:val="none"/>
          <w14:textFill>
            <w14:solidFill>
              <w14:schemeClr w14:val="tx1"/>
            </w14:solidFill>
          </w14:textFill>
        </w:rPr>
        <w:t>。</w:t>
      </w:r>
    </w:p>
    <w:p>
      <w:pPr>
        <w:pStyle w:val="17"/>
        <w:rPr>
          <w:rFonts w:hint="eastAsia" w:ascii="宋体" w:hAnsi="宋体" w:eastAsia="宋体" w:cs="宋体"/>
          <w:b/>
          <w:color w:val="000000" w:themeColor="text1"/>
          <w:szCs w:val="21"/>
          <w:highlight w:val="none"/>
          <w14:textFill>
            <w14:solidFill>
              <w14:schemeClr w14:val="tx1"/>
            </w14:solidFill>
          </w14:textFill>
        </w:rPr>
      </w:pPr>
    </w:p>
    <w:tbl>
      <w:tblPr>
        <w:tblStyle w:val="28"/>
        <w:tblW w:w="97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96"/>
        <w:gridCol w:w="906"/>
        <w:gridCol w:w="655"/>
        <w:gridCol w:w="1334"/>
        <w:gridCol w:w="867"/>
        <w:gridCol w:w="813"/>
        <w:gridCol w:w="46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783"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both"/>
              <w:textAlignment w:val="auto"/>
              <w:rPr>
                <w:rStyle w:val="78"/>
                <w:rFonts w:hint="eastAsia" w:ascii="宋体" w:hAnsi="宋体" w:eastAsia="宋体" w:cs="宋体"/>
                <w:color w:val="000000" w:themeColor="text1"/>
                <w:sz w:val="21"/>
                <w:szCs w:val="21"/>
                <w:highlight w:val="none"/>
                <w:lang w:val="en-US" w:eastAsia="zh-CN" w:bidi="ar"/>
                <w14:textFill>
                  <w14:solidFill>
                    <w14:schemeClr w14:val="tx1"/>
                  </w14:solidFill>
                </w14:textFill>
              </w:rPr>
            </w:pPr>
            <w:r>
              <w:rPr>
                <w:rStyle w:val="78"/>
                <w:rFonts w:hint="eastAsia" w:ascii="宋体" w:hAnsi="宋体" w:eastAsia="宋体" w:cs="宋体"/>
                <w:color w:val="000000" w:themeColor="text1"/>
                <w:sz w:val="21"/>
                <w:szCs w:val="21"/>
                <w:highlight w:val="none"/>
                <w:lang w:val="en-US" w:eastAsia="zh-CN" w:bidi="ar"/>
                <w14:textFill>
                  <w14:solidFill>
                    <w14:schemeClr w14:val="tx1"/>
                  </w14:solidFill>
                </w14:textFill>
              </w:rPr>
              <w:t>一、</w:t>
            </w:r>
            <w:r>
              <w:rPr>
                <w:rFonts w:hint="eastAsia" w:ascii="宋体" w:hAnsi="宋体" w:eastAsia="宋体" w:cs="宋体"/>
                <w:color w:val="000000" w:themeColor="text1"/>
                <w:sz w:val="21"/>
                <w:szCs w:val="21"/>
                <w:highlight w:val="none"/>
                <w14:textFill>
                  <w14:solidFill>
                    <w14:schemeClr w14:val="tx1"/>
                  </w14:solidFill>
                </w14:textFill>
              </w:rPr>
              <w:t>▲</w:t>
            </w:r>
            <w:r>
              <w:rPr>
                <w:rStyle w:val="78"/>
                <w:rFonts w:hint="eastAsia" w:ascii="宋体" w:hAnsi="宋体" w:eastAsia="宋体" w:cs="宋体"/>
                <w:color w:val="000000" w:themeColor="text1"/>
                <w:sz w:val="21"/>
                <w:szCs w:val="21"/>
                <w:highlight w:val="none"/>
                <w:lang w:val="en-US" w:eastAsia="zh-CN" w:bidi="ar"/>
                <w14:textFill>
                  <w14:solidFill>
                    <w14:schemeClr w14:val="tx1"/>
                  </w14:solidFill>
                </w14:textFill>
              </w:rPr>
              <w:t>技术参数要求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783"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both"/>
              <w:textAlignment w:val="auto"/>
              <w:rPr>
                <w:rStyle w:val="78"/>
                <w:rFonts w:hint="eastAsia" w:ascii="宋体" w:hAnsi="宋体" w:eastAsia="宋体" w:cs="宋体"/>
                <w:color w:val="000000" w:themeColor="text1"/>
                <w:sz w:val="21"/>
                <w:szCs w:val="21"/>
                <w:highlight w:val="none"/>
                <w:lang w:val="en-US" w:eastAsia="zh-CN" w:bidi="ar"/>
                <w14:textFill>
                  <w14:solidFill>
                    <w14:schemeClr w14:val="tx1"/>
                  </w14:solidFill>
                </w14:textFill>
              </w:rPr>
            </w:pPr>
            <w:r>
              <w:rPr>
                <w:rFonts w:hint="eastAsia" w:ascii="宋体" w:hAnsi="宋体"/>
                <w:b/>
                <w:bCs/>
                <w:color w:val="000000" w:themeColor="text1"/>
                <w:szCs w:val="21"/>
                <w:highlight w:val="none"/>
                <w:lang w:val="en-US" w:eastAsia="zh-CN"/>
                <w14:textFill>
                  <w14:solidFill>
                    <w14:schemeClr w14:val="tx1"/>
                  </w14:solidFill>
                </w14:textFill>
              </w:rPr>
              <w:t>1分包：试剂、耗材产品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bCs/>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序号</w:t>
            </w:r>
          </w:p>
        </w:tc>
        <w:tc>
          <w:tcPr>
            <w:tcW w:w="9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供货序号</w:t>
            </w:r>
          </w:p>
        </w:tc>
        <w:tc>
          <w:tcPr>
            <w:tcW w:w="19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货物名称</w:t>
            </w:r>
          </w:p>
        </w:tc>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单价预算金额（元）</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单位</w:t>
            </w:r>
          </w:p>
        </w:tc>
        <w:tc>
          <w:tcPr>
            <w:tcW w:w="4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Style w:val="78"/>
                <w:rFonts w:hint="eastAsia" w:ascii="宋体" w:hAnsi="宋体" w:eastAsia="宋体" w:cs="宋体"/>
                <w:color w:val="000000" w:themeColor="text1"/>
                <w:sz w:val="21"/>
                <w:szCs w:val="21"/>
                <w:highlight w:val="none"/>
                <w:lang w:bidi="ar"/>
                <w14:textFill>
                  <w14:solidFill>
                    <w14:schemeClr w14:val="tx1"/>
                  </w14:solidFill>
                </w14:textFill>
              </w:rPr>
            </w:pPr>
            <w:r>
              <w:rPr>
                <w:rStyle w:val="78"/>
                <w:rFonts w:hint="eastAsia" w:ascii="宋体" w:hAnsi="宋体" w:eastAsia="宋体" w:cs="宋体"/>
                <w:color w:val="000000" w:themeColor="text1"/>
                <w:sz w:val="21"/>
                <w:szCs w:val="21"/>
                <w:highlight w:val="none"/>
                <w:lang w:bidi="ar"/>
                <w14:textFill>
                  <w14:solidFill>
                    <w14:schemeClr w14:val="tx1"/>
                  </w14:solidFill>
                </w14:textFill>
              </w:rPr>
              <w:t>技术参数及性能（配置）要求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现1</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活性炭防护口罩</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23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元/盒</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50个/盒，一次性活性炭防护口罩，四层防护。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现2</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多参数水质分析仪线缆</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13500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元/根</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适配 Quatro/YSI，4米通讯线缆。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现3</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 溶解氧电极</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2160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元/根</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适配Proplus多参数水质分析仪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现4</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浊度标准液</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2000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元/套</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1套4瓶（10NTU/20NTU/100NTU/800NTU），适配哈希2100Q便携式浊度仪。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现5</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氨气、氯化氢、硫化氢、二氧化硫、二氧化氮、一氧化碳、二氧化碳定性监测管（NH</w:t>
            </w:r>
            <w:r>
              <w:rPr>
                <w:rFonts w:hint="eastAsia" w:ascii="宋体" w:hAnsi="宋体" w:eastAsia="宋体" w:cs="宋体"/>
                <w:i w:val="0"/>
                <w:iCs w:val="0"/>
                <w:color w:val="000000" w:themeColor="text1"/>
                <w:kern w:val="0"/>
                <w:sz w:val="21"/>
                <w:szCs w:val="21"/>
                <w:highlight w:val="none"/>
                <w:u w:val="none"/>
                <w:vertAlign w:val="subscript"/>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、HCl、H</w:t>
            </w:r>
            <w:r>
              <w:rPr>
                <w:rFonts w:hint="eastAsia" w:ascii="宋体" w:hAnsi="宋体" w:eastAsia="宋体" w:cs="宋体"/>
                <w:i w:val="0"/>
                <w:iCs w:val="0"/>
                <w:color w:val="000000" w:themeColor="text1"/>
                <w:kern w:val="0"/>
                <w:sz w:val="21"/>
                <w:szCs w:val="21"/>
                <w:highlight w:val="none"/>
                <w:u w:val="none"/>
                <w:vertAlign w:val="subscript"/>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S、SO</w:t>
            </w:r>
            <w:r>
              <w:rPr>
                <w:rFonts w:hint="eastAsia" w:ascii="宋体" w:hAnsi="宋体" w:eastAsia="宋体" w:cs="宋体"/>
                <w:i w:val="0"/>
                <w:iCs w:val="0"/>
                <w:color w:val="000000" w:themeColor="text1"/>
                <w:kern w:val="0"/>
                <w:sz w:val="21"/>
                <w:szCs w:val="21"/>
                <w:highlight w:val="none"/>
                <w:u w:val="none"/>
                <w:vertAlign w:val="subscript"/>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、NO</w:t>
            </w:r>
            <w:r>
              <w:rPr>
                <w:rFonts w:hint="eastAsia" w:ascii="宋体" w:hAnsi="宋体" w:eastAsia="宋体" w:cs="宋体"/>
                <w:i w:val="0"/>
                <w:iCs w:val="0"/>
                <w:color w:val="000000" w:themeColor="text1"/>
                <w:kern w:val="0"/>
                <w:sz w:val="21"/>
                <w:szCs w:val="21"/>
                <w:highlight w:val="none"/>
                <w:u w:val="none"/>
                <w:vertAlign w:val="subscript"/>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、CO、CO</w:t>
            </w:r>
            <w:r>
              <w:rPr>
                <w:rFonts w:hint="eastAsia" w:ascii="宋体" w:hAnsi="宋体" w:eastAsia="宋体" w:cs="宋体"/>
                <w:i w:val="0"/>
                <w:iCs w:val="0"/>
                <w:color w:val="000000" w:themeColor="text1"/>
                <w:kern w:val="0"/>
                <w:sz w:val="21"/>
                <w:szCs w:val="21"/>
                <w:highlight w:val="none"/>
                <w:u w:val="none"/>
                <w:vertAlign w:val="subscript"/>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380</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元/盒</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10支/盒，比长式快速检测管，需提供最新生产批次。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现6</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氢气检测管（H</w:t>
            </w:r>
            <w:r>
              <w:rPr>
                <w:rFonts w:hint="eastAsia" w:ascii="宋体" w:hAnsi="宋体" w:eastAsia="宋体" w:cs="宋体"/>
                <w:i w:val="0"/>
                <w:iCs w:val="0"/>
                <w:color w:val="000000" w:themeColor="text1"/>
                <w:kern w:val="0"/>
                <w:sz w:val="21"/>
                <w:szCs w:val="21"/>
                <w:highlight w:val="none"/>
                <w:u w:val="none"/>
                <w:vertAlign w:val="subscript"/>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230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元/盒</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10支/盒，比长式快速检测管，需提供最新生产批次。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现7</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碳氢化合物检测管（CnHm）</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230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元/盒</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10支/盒，比长式快速检测管，需提供最新生产批次。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现8</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甲醇检测管（CH</w:t>
            </w:r>
            <w:r>
              <w:rPr>
                <w:rFonts w:hint="eastAsia" w:ascii="宋体" w:hAnsi="宋体" w:eastAsia="宋体" w:cs="宋体"/>
                <w:i w:val="0"/>
                <w:iCs w:val="0"/>
                <w:color w:val="000000" w:themeColor="text1"/>
                <w:kern w:val="0"/>
                <w:sz w:val="21"/>
                <w:szCs w:val="21"/>
                <w:highlight w:val="none"/>
                <w:u w:val="none"/>
                <w:vertAlign w:val="subscript"/>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OH）</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250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元/盒</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10支/盒，比长式快速检测管，需提供最新生产批次。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现9</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乙醇检测管（C</w:t>
            </w:r>
            <w:r>
              <w:rPr>
                <w:rFonts w:hint="eastAsia" w:ascii="宋体" w:hAnsi="宋体" w:eastAsia="宋体" w:cs="宋体"/>
                <w:i w:val="0"/>
                <w:iCs w:val="0"/>
                <w:color w:val="000000" w:themeColor="text1"/>
                <w:kern w:val="0"/>
                <w:sz w:val="21"/>
                <w:szCs w:val="21"/>
                <w:highlight w:val="none"/>
                <w:u w:val="none"/>
                <w:vertAlign w:val="subscript"/>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H</w:t>
            </w:r>
            <w:r>
              <w:rPr>
                <w:rFonts w:hint="eastAsia" w:ascii="宋体" w:hAnsi="宋体" w:eastAsia="宋体" w:cs="宋体"/>
                <w:i w:val="0"/>
                <w:iCs w:val="0"/>
                <w:color w:val="000000" w:themeColor="text1"/>
                <w:kern w:val="0"/>
                <w:sz w:val="21"/>
                <w:szCs w:val="21"/>
                <w:highlight w:val="none"/>
                <w:u w:val="none"/>
                <w:vertAlign w:val="subscript"/>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OH）</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250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元/盒</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10支/盒，比长式快速检测管，需提供最新生产批次。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现10</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三氯乙烯检测管（Cl</w:t>
            </w:r>
            <w:r>
              <w:rPr>
                <w:rFonts w:hint="eastAsia" w:ascii="宋体" w:hAnsi="宋体" w:eastAsia="宋体" w:cs="宋体"/>
                <w:i w:val="0"/>
                <w:iCs w:val="0"/>
                <w:color w:val="000000" w:themeColor="text1"/>
                <w:kern w:val="0"/>
                <w:sz w:val="21"/>
                <w:szCs w:val="21"/>
                <w:highlight w:val="none"/>
                <w:u w:val="none"/>
                <w:vertAlign w:val="subscript"/>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C:CHCl）</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230</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元/盒</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10支/盒，比长式快速检测管，需提供最新生产批次。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现11</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二氯甲烷检测管（CH</w:t>
            </w:r>
            <w:r>
              <w:rPr>
                <w:rFonts w:hint="eastAsia" w:ascii="宋体" w:hAnsi="宋体" w:eastAsia="宋体" w:cs="宋体"/>
                <w:i w:val="0"/>
                <w:iCs w:val="0"/>
                <w:color w:val="000000" w:themeColor="text1"/>
                <w:kern w:val="0"/>
                <w:sz w:val="21"/>
                <w:szCs w:val="21"/>
                <w:highlight w:val="none"/>
                <w:u w:val="none"/>
                <w:vertAlign w:val="subscript"/>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Cl</w:t>
            </w:r>
            <w:r>
              <w:rPr>
                <w:rFonts w:hint="eastAsia" w:ascii="宋体" w:hAnsi="宋体" w:eastAsia="宋体" w:cs="宋体"/>
                <w:i w:val="0"/>
                <w:iCs w:val="0"/>
                <w:color w:val="000000" w:themeColor="text1"/>
                <w:kern w:val="0"/>
                <w:sz w:val="21"/>
                <w:szCs w:val="21"/>
                <w:highlight w:val="none"/>
                <w:u w:val="none"/>
                <w:vertAlign w:val="subscript"/>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290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元/盒</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10支/盒，比长式快速检测管，需提供最新生产批次。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现12</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丙酮检测管（CH</w:t>
            </w:r>
            <w:r>
              <w:rPr>
                <w:rFonts w:hint="eastAsia" w:ascii="宋体" w:hAnsi="宋体" w:eastAsia="宋体" w:cs="宋体"/>
                <w:i w:val="0"/>
                <w:iCs w:val="0"/>
                <w:color w:val="000000" w:themeColor="text1"/>
                <w:kern w:val="0"/>
                <w:sz w:val="21"/>
                <w:szCs w:val="21"/>
                <w:highlight w:val="none"/>
                <w:u w:val="none"/>
                <w:vertAlign w:val="subscript"/>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COCH</w:t>
            </w:r>
            <w:r>
              <w:rPr>
                <w:rFonts w:hint="eastAsia" w:ascii="宋体" w:hAnsi="宋体" w:eastAsia="宋体" w:cs="宋体"/>
                <w:i w:val="0"/>
                <w:iCs w:val="0"/>
                <w:color w:val="000000" w:themeColor="text1"/>
                <w:kern w:val="0"/>
                <w:sz w:val="21"/>
                <w:szCs w:val="21"/>
                <w:highlight w:val="none"/>
                <w:u w:val="none"/>
                <w:vertAlign w:val="subscript"/>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230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元/盒</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10支/盒，比长式快速检测管，需提供最新生产批次。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现13</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甲基乙基酮检测管（CH</w:t>
            </w:r>
            <w:r>
              <w:rPr>
                <w:rFonts w:hint="eastAsia" w:ascii="宋体" w:hAnsi="宋体" w:eastAsia="宋体" w:cs="宋体"/>
                <w:i w:val="0"/>
                <w:iCs w:val="0"/>
                <w:color w:val="000000" w:themeColor="text1"/>
                <w:kern w:val="0"/>
                <w:sz w:val="21"/>
                <w:szCs w:val="21"/>
                <w:highlight w:val="none"/>
                <w:u w:val="none"/>
                <w:vertAlign w:val="subscript"/>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CO</w:t>
            </w:r>
            <w:r>
              <w:rPr>
                <w:rFonts w:hint="eastAsia" w:ascii="宋体" w:hAnsi="宋体" w:eastAsia="宋体" w:cs="宋体"/>
                <w:i w:val="0"/>
                <w:iCs w:val="0"/>
                <w:color w:val="000000" w:themeColor="text1"/>
                <w:kern w:val="0"/>
                <w:sz w:val="21"/>
                <w:szCs w:val="21"/>
                <w:highlight w:val="none"/>
                <w:u w:val="none"/>
                <w:vertAlign w:val="subscript"/>
                <w:lang w:val="en-US" w:eastAsia="zh-CN" w:bidi="ar"/>
                <w14:textFill>
                  <w14:solidFill>
                    <w14:schemeClr w14:val="tx1"/>
                  </w14:solidFill>
                </w14:textFill>
              </w:rPr>
              <w:t>C2</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H</w:t>
            </w:r>
            <w:r>
              <w:rPr>
                <w:rFonts w:hint="eastAsia" w:ascii="宋体" w:hAnsi="宋体" w:eastAsia="宋体" w:cs="宋体"/>
                <w:i w:val="0"/>
                <w:iCs w:val="0"/>
                <w:color w:val="000000" w:themeColor="text1"/>
                <w:kern w:val="0"/>
                <w:sz w:val="21"/>
                <w:szCs w:val="21"/>
                <w:highlight w:val="none"/>
                <w:u w:val="none"/>
                <w:vertAlign w:val="subscript"/>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230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元/盒</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10支/盒，比长式快速检测管，需提供最新生产批次。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现14</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一次性耐用型丁腈手套</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60</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元/盒</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100只/盒，L型、加厚加长、无粉。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现15</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一次性耐用型丁腈手套</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60</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元/盒</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100只/盒，M型、加厚加长、无粉。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现16</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棉纱手套</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135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元/批</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120双/批，点胶防滑棉纱手套。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现17</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除烃空气</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1000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元/瓶</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总烃含量小于0.40mg/m</w:t>
            </w:r>
            <w:r>
              <w:rPr>
                <w:rFonts w:hint="eastAsia" w:ascii="宋体" w:hAnsi="宋体" w:eastAsia="宋体" w:cs="宋体"/>
                <w:i w:val="0"/>
                <w:iCs w:val="0"/>
                <w:color w:val="000000" w:themeColor="text1"/>
                <w:kern w:val="0"/>
                <w:sz w:val="21"/>
                <w:szCs w:val="21"/>
                <w:highlight w:val="none"/>
                <w:u w:val="none"/>
                <w:vertAlign w:val="superscript"/>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，4L/瓶，一级标气。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现18</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NH</w:t>
            </w:r>
            <w:r>
              <w:rPr>
                <w:rFonts w:hint="eastAsia" w:ascii="宋体" w:hAnsi="宋体" w:eastAsia="宋体" w:cs="宋体"/>
                <w:i w:val="0"/>
                <w:iCs w:val="0"/>
                <w:color w:val="000000" w:themeColor="text1"/>
                <w:kern w:val="0"/>
                <w:sz w:val="21"/>
                <w:szCs w:val="21"/>
                <w:highlight w:val="none"/>
                <w:u w:val="none"/>
                <w:vertAlign w:val="subscript"/>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传感器</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6000</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元/个</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适配青岛明华TY2000-B便携式气体检测仪。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现19</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氟化氢传感器</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6000</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元/个</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适配青岛明华TY2000-B便携式气体检测仪。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现20</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硫化氢传感器</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5500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元/个</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适配青岛明华TY2000-B便携式气体检测仪。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现21</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氯气传感器</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4950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元/个</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适配青岛明华TY2000-B便携式气体检测仪。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现22</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氰化氢传感器</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6100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元/个</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适配青岛明华TY2000-B便携式气体检测仪。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现23</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臭氧传感器</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5400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元/个</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适配青岛明华TY2000-B 便携式气体检测仪。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现24</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甲醛传感器</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5400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元/个</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适配青岛明华TY2000-B 便携式气体检测仪。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现25</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氯化氢传感器</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6100</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元/个</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适配青岛明华TY2000-B 便携式气体检测仪。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现26</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SO</w:t>
            </w:r>
            <w:r>
              <w:rPr>
                <w:rFonts w:hint="eastAsia" w:ascii="宋体" w:hAnsi="宋体" w:eastAsia="宋体" w:cs="宋体"/>
                <w:i w:val="0"/>
                <w:iCs w:val="0"/>
                <w:color w:val="000000" w:themeColor="text1"/>
                <w:kern w:val="0"/>
                <w:sz w:val="21"/>
                <w:szCs w:val="21"/>
                <w:highlight w:val="none"/>
                <w:u w:val="none"/>
                <w:vertAlign w:val="subscript"/>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 传感器</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4000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元/个</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适配德图350型烟气分析仪。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现27</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CO 传感器</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4300</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元/个</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适配德图350型烟气分析仪。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现28</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NO 传感器</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3600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元/个</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适配德图350型烟气分析仪。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现29</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NO</w:t>
            </w:r>
            <w:r>
              <w:rPr>
                <w:rFonts w:hint="eastAsia" w:ascii="宋体" w:hAnsi="宋体" w:eastAsia="宋体" w:cs="宋体"/>
                <w:i w:val="0"/>
                <w:iCs w:val="0"/>
                <w:color w:val="000000" w:themeColor="text1"/>
                <w:kern w:val="0"/>
                <w:sz w:val="21"/>
                <w:szCs w:val="21"/>
                <w:highlight w:val="none"/>
                <w:u w:val="none"/>
                <w:vertAlign w:val="subscript"/>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 传感器</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3800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元/个</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适配德图350型烟气分析仪。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现30</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帕尔贴预处理器</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1600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元/个</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适配德图350型烟气分析仪。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现31</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镀汞膜溶液</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1900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元/套</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（5瓶x25mL）/套，适配澳大利亚 MTI PDV6000plus。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现32</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CLAC电解粉</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1500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元/套</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（5瓶/套，1瓶可配制成500mL），适配澳大利亚 MTI PDV6000plus。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现33</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电解稀释液A</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2300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元/套</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（5瓶x500mL）/套，适配澳大利亚 MTI PDV6000plus。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现34</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工作电极抛光套装</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1480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元/套</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抛光液+打磨工具，适配澳大利亚 MTI PDV6000plus。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现35</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参比电解液</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370</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元/瓶</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25mL/瓶，适配澳大利亚 MTI PDV6000plus。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现36</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电极调节溶液A</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300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元/套</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（5瓶x25mL）/套，适配澳大利亚 MTI PDV6000plus。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现37</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分析杯</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500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元/包</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30mL，50个/包，适配澳大利亚 MTI PDV6000plus。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现38</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汞膜电极组</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33700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元/组</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包含工作电极、对电极、参比电极、参比电极外壳、抛光套件和 10 个分析杯，可用于测量：镉、铜、锰、铅、铊、三价锑、锡、锌共8个项目，适配澳大利亚 MTI PDV6000plus。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现39</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Zn，Cd，Pb，Standard标样</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2100</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元/套</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（5瓶x20mL）/套，5瓶/套（20ppm）适配澳大利亚 MTI PDV6000plus。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现40</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Cd， Pb， Cu，Standard标样</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2100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元/套</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（5瓶x20mL）/套，5瓶/套（20ppm）适配澳大利亚 MTI PDV6000plus。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现41</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高湿低浓度烟尘采样管（皮托管）</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11700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元/套</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适配众瑞ZR-3260烟尘采样器，不锈钢材质，含检定证书。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现42</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pH纯水电极</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ab/>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3100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元/根</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适配德国WTW Multi 9620 IDS 多参数水质测定仪。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现43</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石英滤膜</w:t>
            </w:r>
          </w:p>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（低浓度颗粒物）</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702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元/盒</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φ47mm（100片/盒）。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现44</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铝箔密封圈</w:t>
            </w:r>
          </w:p>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（低浓度颗粒物）</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450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元/盒</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φ47mm（100片/盒）。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现45</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长寿型色带</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11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元/个</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规格：ERC-09。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现46</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碱性电池</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1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元/个</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现47</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快速针式打印机打印纸</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2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元/个</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宽度：约56mm。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现48</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塑料瓶及瓶盖</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76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元/箱</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70个/箱，500ml（底</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部</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瓶</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口的直径尺寸约为60×30mm）。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现49</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塑料瓶及瓶盖</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76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元/箱</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70个/箱，250ml（底</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部</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瓶口</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的直径尺寸约为60×30mm）。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现50</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聚乙烯塑料瓶</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3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元/箱</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1000mL，广口聚乙烯塑料瓶。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现51</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防毒面具过滤单元</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45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元/个</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自吸过滤式防毒面具过滤单元，过滤有机蒸汽有毒酸性气体，符合</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instrText xml:space="preserve"> HYPERLINK "https://www.baidu.com/s?rsv_idx=1&amp;wd=GB2890-2022&amp;fenlei=256&amp;usm=1&amp;ie=utf-8&amp;rsv_pq=f33ec38c00d22fb3&amp;oq=GB2890-2009%E5%BA%9F%E6%AD%A2%E4%BA%86%E5%90%97&amp;rsv_t=41a97yTL9gDqn4M5vnV6ojXn0fhM+hPvbwiVU+5ap2TKoWOL5/9xMOhHrh0&amp;rsv_dl=re_dqa_generate&amp;sa=re_dqa_generate" \t "https://www.baidu.com/_self" </w:instrTex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fldChar w:fldCharType="separate"/>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GB2890-2022</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fldChar w:fldCharType="end"/>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现52</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氰化物快速检测包</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270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元/包</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规格（次/盒）：50，测试范围（mg/L)：.02-0.05-0.1-0.2-0.5-1-2。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现53</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挥发酚快速检测包</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270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元/包</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规格（次/盒）：50，测试范围（mg/L)：0.2-0.5-1-2-5-10。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现54</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金属总量快速检测包（Cu、Zn、Mn、Ni、Cd）</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270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元/包</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规格（次/盒）：50，测试范围（mg/L)：0.5-1-2-5-10-20。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现55</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总镉快速检测包</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270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元/包</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规格（次/盒）：50，测试范围（mg/L)：0-0.1-0.2-0.5-1-2。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现56</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总汞快速检测包</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270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元/包</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规格（次/盒）：50，测试范围（mg/L)：0-0.2-0.5-1.0-2.0-5.0-10。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现57</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总砷快速检测包</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270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元/包</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规格（次/盒）：50，测试范围（mg/L)：0-0.5-1-2-3-5。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现58</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塑料镊子</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2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元/个</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防静电塑料无尘镊子。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现59</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标签打印纸</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16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元/个</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规格70×50mm，适配于精臣B1标签打印机。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现60</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防静电自封袋</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9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元/袋</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每袋100个，18×11cm。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现61</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滤毒罐</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180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元/个</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配合全面罩呼吸器使用，MSA 93AX/St。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现62</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pH试纸</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27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元/卷</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测定范围：pH0.0-14.0，卷式。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现63</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pH试纸</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45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元/卷</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测定范围：pH0.5-5.0，卷式。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现64</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pH试纸</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45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元/卷</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测定范围：pH5.5-9.0，卷式。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现65</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量杯</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9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元/个</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塑料刻度杯，带把手，1000m</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L</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现66</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水质快速检测包</w:t>
            </w:r>
          </w:p>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（总余氯）</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270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元/盒</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50次/盒。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现67</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pH电极</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4410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元/根</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3米，适配哈希40d多参数测定仪。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现68</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电导率电极</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7290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元/根</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3米，适配哈希40d多参数测定仪。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现69</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溶解氧电极</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4500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元/根</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3米，适配哈希40d多参数测定仪。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现70</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氧化还原电位电极</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4500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元/根</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3米，适配哈希40d多参数测定仪。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现71</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pH三复合电极 </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360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元/根</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3米，适配雷磁多参数测定仪。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现72</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电导率电极</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450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元/根</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3米，适配雷磁多参数测定仪。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现73</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溶解氧电极 </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990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元/根</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3米，适配雷磁多参数测定仪。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现74</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一次性垃圾袋</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18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元/把</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100只/把，手提式加厚垃圾袋，38×60cm。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现75</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透明自封袋</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10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元/包</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100个/包，长×宽：12×18cm。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现76</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透明自封袋</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18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元/包</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100个/包，长×宽：20×30cm。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现77</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一次性塑料滴管</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5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元/包</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3ml，长约15cm，100支/包。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现78</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氨气检测管（NH</w:t>
            </w:r>
            <w:r>
              <w:rPr>
                <w:rFonts w:hint="eastAsia" w:ascii="宋体" w:hAnsi="宋体" w:eastAsia="宋体" w:cs="宋体"/>
                <w:i w:val="0"/>
                <w:iCs w:val="0"/>
                <w:color w:val="000000" w:themeColor="text1"/>
                <w:kern w:val="0"/>
                <w:sz w:val="21"/>
                <w:szCs w:val="21"/>
                <w:highlight w:val="none"/>
                <w:u w:val="none"/>
                <w:vertAlign w:val="subscript"/>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234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元/盒</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10支/盒，比长式快速检测管。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现79</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二氧化硫检测管（SO</w:t>
            </w:r>
            <w:r>
              <w:rPr>
                <w:rFonts w:hint="eastAsia" w:ascii="宋体" w:hAnsi="宋体" w:eastAsia="宋体" w:cs="宋体"/>
                <w:i w:val="0"/>
                <w:iCs w:val="0"/>
                <w:color w:val="000000" w:themeColor="text1"/>
                <w:kern w:val="0"/>
                <w:sz w:val="21"/>
                <w:szCs w:val="21"/>
                <w:highlight w:val="none"/>
                <w:u w:val="none"/>
                <w:vertAlign w:val="subscript"/>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234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元/盒</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10支/盒，比长式快速检测管。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现80</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氰化氢检测管（HCN）</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234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元/盒</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10支/盒，比长式快速检测管。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现81</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氟化氢检测管（HF）</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234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元/盒</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10支/盒，比长式快速检测管。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现82</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砷化氢检测管（AsH</w:t>
            </w:r>
            <w:r>
              <w:rPr>
                <w:rFonts w:hint="eastAsia" w:ascii="宋体" w:hAnsi="宋体" w:eastAsia="宋体" w:cs="宋体"/>
                <w:i w:val="0"/>
                <w:iCs w:val="0"/>
                <w:color w:val="000000" w:themeColor="text1"/>
                <w:kern w:val="0"/>
                <w:sz w:val="21"/>
                <w:szCs w:val="21"/>
                <w:highlight w:val="none"/>
                <w:u w:val="none"/>
                <w:vertAlign w:val="subscript"/>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293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元/盒</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10支/盒，比长式快速检测管。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生1</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费希尔狐海洋发光细菌冻干粉</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3200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元/盒</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 支/盒，适配SDI delta tox生物急性毒性分析仪。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生2</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Microtox®稀释液</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3000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元/瓶</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 L/瓶，适配SDI delta tox生物急性毒性分析仪。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生3</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Microtox®渗透压调节液</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1400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元/瓶</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50ml/瓶，适配SDI delta tox生物急性毒性分析仪。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生4</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氮气</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360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元/瓶</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8L/瓶，氮气≥99.999%。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生5</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采泥器</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1000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元/个</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PBS-411（1/16），配绳子（生铁），配6米长绳。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生6</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D型手抄网</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700</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元/个</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DN-512 ，40目尼龙网，25×25cm不锈钢边框架，</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配不锈钢75cm×2可拆装长杆两组。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生7</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索伯网</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600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元/个</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SN-532网衣40目尼龙网，边框为304不锈钢（30×30cm）。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生8</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铲子</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35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元/把</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总长约28.5cm，铲长约15.2cm（不锈钢），配合索伯网使用。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生9</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三角拖网</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2000</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元/个</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TD-542（加重锤3公斤），不锈钢框架，带重锤配10米长绳。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生10</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筛网</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85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元/个</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40目，直径约30cm，边框为304不锈钢。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生11</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不锈钢镊子</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30</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元/把</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长度约120mm。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生12</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浮游生物网</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400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元/个</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PN-219 13号，不锈钢框配尼龙网。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生13</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浮游生物网</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500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元/个</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PN-219 13号，不锈钢约1.3米长杆，不锈钢框配尼龙网。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生14</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浮游生物网</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400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元/个</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PN-219 25号，不锈钢框配尼龙网。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生15</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浮游生物网</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500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元/个</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PN-219 25号，带不锈钢约1.3米长杆，不锈钢框配尼龙网。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生16</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硬质牙刷</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2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元/个</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独立包装，用于水生态采样。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生17</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搪瓷盘</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25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元/个</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20×30cm。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生18</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搪瓷盘</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35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元/个</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30×40cm。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生19</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下水裤</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160</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元/条</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44码，连体雨裤带雨鞋半身防水，塔丝隆松紧带款，绿色。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生20</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下水裤</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160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元/条</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38码，连体雨裤带雨鞋半身防水，塔丝隆松紧带款，绿色。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8"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生21</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自封袋</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30</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元/包</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100个/包，29×40cm，11丝。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生22</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自封袋</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20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元/个</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100个/包，20×30cm，11丝。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生23</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塑料采样瓶</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1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元/个</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容量：100ml/个，广口聚乙烯塑料瓶，口内径约28mm，底直径约49mm，总高约87mm，瓶身高约66mm。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生24</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塑料采样瓶</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1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元/个</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容量：250ml/个，广口聚乙烯塑料瓶，带内盖，口内径约37mm，底直径约63mm，总高约110mm，瓶身高约89mm。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生25</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塑料采样瓶</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2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元/个</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容量：1000ml/个，广口聚乙烯塑料瓶，带内盖，用于采集水生浮游生物。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生26</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直尺</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3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元/把</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15cm，塑料，用于水生态采样。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生27</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一次性吸管（塑料滴管）</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12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元/袋</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5ml/支，带刻度，100支/袋。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生28</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塑料量杯</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12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元/个</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5L/个。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生29</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塑料量杯</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5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元/个</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2L/个。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生30</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Parafilm封口膜</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150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元/卷</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10cm×38m。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生31</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记号笔</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元/盒</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黑色单头，10支/盒，线幅1.8mm。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生32</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放大镜</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16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元/个</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直径约10cm，10倍。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生33</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PVC透明软水管</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6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元/米</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60米左右，外径20mm×内径16mm。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大1</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酒石酸钾钠</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125</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元/瓶</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500克/瓶，分析纯。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大2</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钼酸铵</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300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元/瓶</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500克/瓶，分析纯。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大3</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水杨酸钠</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65</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元/瓶</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500克/瓶，分析纯。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大4</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亚硝基铁氰化钠</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300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元/瓶</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500克/瓶，分析纯。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大5</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氢氧化钠</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22</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元/瓶</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500克/瓶，优级纯。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大6</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二氯异氰尿酸钠</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210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元/瓶</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500克/瓶，分析纯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大7</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过硫酸钾</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60</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元/瓶</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500克/瓶，优级纯。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大8</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酒石酸锑钾</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165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元/瓶</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500克/瓶，分析纯。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大9</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钼酸钠</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360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元/瓶</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500克/瓶，分析纯。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大10</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抗坏血酸</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25</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元/瓶</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25克/瓶，分析纯。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大11</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二苯碳酰二肼</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260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元/瓶</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25克/瓶，分析纯。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大12</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乙醇</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45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元/瓶</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500mL/瓶，分析纯。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大13</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盐酸羟胺</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22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元/瓶</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25克/瓶，优级纯。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大14</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PH缓冲溶液</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4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元/袋</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PH值4.00，每袋可配制至250毫升。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大15</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PH缓冲溶液</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4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元/袋</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PH值6.86，每袋可配制至250毫升。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大16</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PH缓冲溶液</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4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元/袋</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PH值9.18，每袋可配制至250毫升。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大17</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硫酸肼</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160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元/瓶</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100克/瓶，优级纯。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大18</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六亚甲基四胺</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70</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元/瓶</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500克/瓶，分析纯。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大19</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CLAC concentrate</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（CLAC 浓缩电解液粉）</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2380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元/瓶</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适用：澳大利亚OVA7000重金属仪器，规格：每瓶粉末溶解于10L。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大20</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Hg Plating Solution</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（Hg 镀膜溶液）</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1400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元/瓶</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适用：澳大利亚OVA7000重金属仪器，规格1L/瓶。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大21</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As Total and Hg Electrolyte，ready to use （Gold Electrode）</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3170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元/瓶</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适用：澳大利亚OVA7000重金属仪器，规格10L/瓶。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大22</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1ppm 砷标液</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（1ppm As Standard ready to use ）</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1640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元/瓶</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适用：澳大利亚OVA7000重金属仪器，1L/瓶。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8"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大23</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1ppm 铅镉锌混合标液</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（1ppm Zn，Cd，Pb Standard Ready to use）</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1640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元/瓶</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适用：澳大利亚OVA7000重金属仪器，1L/瓶。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大24</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Gallium reagent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（镓试剂-屏蔽剂）</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1270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元/瓶</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适用：澳大利亚OVA7000重金属仪器，规格1L/瓶。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大25</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Reference参比电解液</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280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元/瓶</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适用：澳大利亚OVA7000重金属仪器，规格1L/瓶。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大26</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Digest  Reagent，ready to use  酸消化试剂</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2800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元/桶</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适用：澳大利亚OVA7000重金属仪器，规格10L/桶，可直接使用。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大27</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圆形透明塑料瓶</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7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元/个</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250mL，HDPE材料，需求规格约为：直径约62mm×高度125mm，瓶口内径32mm。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大28</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白色塑料桶</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36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元/个</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10L，HDPE材料，需求规格约为：长250mm×宽166mm×高322mm，瓶口内径58mm，按需供货。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大29</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圆形透明塑料瓶</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11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元/个</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500mL，HDPE材质，需求规格约为：直径68mm×高度191mm，瓶口内径32mm，按需供货。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大30</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圆形透明塑料瓶</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14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元/个</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1L，HDPE材质，需求规格约为：直径90mm×高度219mm，瓶口内径32mm，按需供货。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大31</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方形扁平棕色塑料瓶</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22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元/个</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2L，HDPE材质，需求规格约为：长235mm×宽63mm×高205mm，瓶口内径约32mm，按需供货。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大32</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圆形棕色塑料瓶</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11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元/个</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500mL，HDPE材质，需求规格约为：直径68mm×高度191mm，瓶口内径32mm，按需供货。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大33</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圆形棕色塑料瓶</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14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元/个</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1L，HDPE材质，需求规格约为：直径90mm×高度219mm，瓶口内径32mm，按需供货。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大34</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废液桶</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40</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元/个</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20L，HDPE材质，需求规格约为：长280mm×宽255mm×高395mm，瓶口内径48mm，按需供货。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大35</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废液桶</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50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元/个</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30L，HDPE材质，需求规格约为：长320mm×宽290mm×高430mm，瓶口内径48mm，按需供货。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大36</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蓄电池</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700</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元/个</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12V、100Ah，约需54个，需求规格约为：长×宽×高为335×173×233mm，使用于聚光浮船水质自动站，2025年7月供货。包括运输到相应的水质自动监测站点并安装。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大37</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大张滤纸</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4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元/张</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规格60×60cm，中性滤纸。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大38</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无水亚硫酸钠</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35</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元/瓶</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500克/瓶，分析纯。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大39</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参比液（氯化钾）</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630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元/瓶</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250mL/瓶，适用于HMA-3000（AS）重金属在线分析仪。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大40</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砷I型电解液</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630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元/瓶</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1000mL/瓶，适用于HMA-3000（AS）重金属在线分析仪。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大41</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砷消解液</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630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元/瓶</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1000mL/瓶，适用于HMA-3000（AS）重金属在线分析仪。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大42</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砷I型校正液</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270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元/瓶</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0.1mg/L，1000mL/瓶，适用于HMA-3000（AS）重金属在线分析仪。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大43</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砷校正液</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270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元/瓶</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0.1mg/L，250mL/瓶，适用于HMA-3000（AS）重金属在线分析仪。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大44</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纳氏试剂</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130</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瓶</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100mL/瓶，满足《地表水自动监测技术规范（试行）》（HJ 915-2017）方法要求。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大45</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玻璃棒</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2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根</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直径约5mm，长20cm。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大46</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容量瓶</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100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个</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玻璃带盖，容量2000.0mL，A级透明。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大47</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容量瓶</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90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个</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玻璃带盖，容量1000.0mL，A级透明。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大48</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容量瓶</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70</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个</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玻璃带盖，容量500.0mL，A级透明。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大49</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容量瓶</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60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个</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玻璃带盖，容量250.0mL，A级透明。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大50</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容量瓶</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60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个</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玻璃带盖，容量200.0mL，A级透明。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大51</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烧杯</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12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个</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玻璃带刻度，容量500mL，透明。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大52</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烧杯</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9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个</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玻璃带刻度，容量250mL，透明。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大53</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烧杯</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9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个</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玻璃带刻度，容量200mL，透明。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大54</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烧杯</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7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个</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玻璃带刻度，容量100mL，透明。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大55</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表面皿</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9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个</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玻璃圆形带弧度，直径约100mm，透明。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大56</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量筒</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27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个</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玻璃带刻度，容量100mL，透明。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大56</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汞配套液体试剂</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126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套</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每套含：试剂一：1000ml/瓶，试剂三：1000ml/瓶，试剂四：2500ml/瓶，试剂五：500ml/瓶，吸收液：500ml/瓶，净化液：500ml/瓶，清洗液：5000ml/瓶；</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适配：朗石总汞 PhotoTek6000 在线自动监测仪器。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大57</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总汞母液</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500</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元/瓶</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1mg/L，250mL/瓶，适配：朗石总汞 PhotoTek6000 在线自动监测仪器。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水1</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液氩</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1800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元/瓶</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175L/瓶。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水2</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高纯氮气</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190</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元/瓶</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40L/瓶，99.999%钢瓶气。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水3</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高纯氦气</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2580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元/瓶</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40L/瓶，99.999%钢瓶气。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水4</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P10标准气</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540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元/瓶</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40L/瓶，99.999%钢瓶气。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水5</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高纯氧气</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580</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元/瓶</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40L/瓶，99.999%钢瓶气。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水6</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高纯乙炔</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360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元/瓶</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40L/瓶，99.999%钢瓶气。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水7</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氦/氧混合气</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1500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元/瓶</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tabs>
                <w:tab w:val="left" w:pos="456"/>
                <w:tab w:val="center" w:pos="2916"/>
              </w:tabs>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40L/瓶，O</w:t>
            </w:r>
            <w:r>
              <w:rPr>
                <w:rFonts w:hint="eastAsia" w:ascii="宋体" w:hAnsi="宋体" w:eastAsia="宋体" w:cs="宋体"/>
                <w:i w:val="0"/>
                <w:iCs w:val="0"/>
                <w:color w:val="000000" w:themeColor="text1"/>
                <w:kern w:val="0"/>
                <w:sz w:val="21"/>
                <w:szCs w:val="21"/>
                <w:highlight w:val="none"/>
                <w:u w:val="none"/>
                <w:vertAlign w:val="subscript"/>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：10%，余He，</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供货时</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提供证书（或说明书或质检报告或检测报告）。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水8</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氦/甲烷混合气</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1500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元/瓶</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40L/瓶，CH</w:t>
            </w:r>
            <w:r>
              <w:rPr>
                <w:rFonts w:hint="eastAsia" w:ascii="宋体" w:hAnsi="宋体" w:eastAsia="宋体" w:cs="宋体"/>
                <w:i w:val="0"/>
                <w:iCs w:val="0"/>
                <w:color w:val="000000" w:themeColor="text1"/>
                <w:kern w:val="0"/>
                <w:sz w:val="21"/>
                <w:szCs w:val="21"/>
                <w:highlight w:val="none"/>
                <w:u w:val="none"/>
                <w:vertAlign w:val="subscript"/>
                <w:lang w:val="en-US" w:eastAsia="zh-CN" w:bidi="ar"/>
                <w14:textFill>
                  <w14:solidFill>
                    <w14:schemeClr w14:val="tx1"/>
                  </w14:solidFill>
                </w14:textFill>
              </w:rPr>
              <w:t>4</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：10%，余He，</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供货时</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提供证书（或说明书或质检报告或检测报告）。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水9</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零级空气</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310</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元/瓶</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40L钢瓶气，O</w:t>
            </w:r>
            <w:r>
              <w:rPr>
                <w:rFonts w:hint="eastAsia" w:ascii="宋体" w:hAnsi="宋体" w:eastAsia="宋体" w:cs="宋体"/>
                <w:i w:val="0"/>
                <w:iCs w:val="0"/>
                <w:color w:val="000000" w:themeColor="text1"/>
                <w:kern w:val="0"/>
                <w:sz w:val="21"/>
                <w:szCs w:val="21"/>
                <w:highlight w:val="none"/>
                <w:u w:val="none"/>
                <w:vertAlign w:val="subscript"/>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：21%，余N</w:t>
            </w:r>
            <w:r>
              <w:rPr>
                <w:rFonts w:hint="eastAsia" w:ascii="宋体" w:hAnsi="宋体" w:eastAsia="宋体" w:cs="宋体"/>
                <w:i w:val="0"/>
                <w:iCs w:val="0"/>
                <w:color w:val="000000" w:themeColor="text1"/>
                <w:kern w:val="0"/>
                <w:sz w:val="21"/>
                <w:szCs w:val="21"/>
                <w:highlight w:val="none"/>
                <w:u w:val="none"/>
                <w:vertAlign w:val="subscript"/>
                <w:lang w:val="en-US" w:eastAsia="zh-CN" w:bidi="ar"/>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水10</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95%乙醇</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18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元/瓶</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500mL/瓶，分析纯。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水11</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四氯乙烯</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150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元/瓶</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500mL/瓶，环保专用。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水12</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正己烷</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360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元/瓶</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4L/瓶，95%，透光率大于90%（10mm比色皿）。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水13</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乙酰丙酮</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225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元/瓶</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500mL/瓶，分析纯。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水14</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磷酸二氢钠</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60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元/瓶</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500mL/瓶，分析纯。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水15</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氢氟酸</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1350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元/瓶</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40%浓度，优级纯，2.5L/瓶或1加仑/瓶，实验室空白符合《土壤和沉积物 19种金属元素总量的测定 电感耦合等离子体质谱法》（ HJ 1315-2023）方法检出限要求。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水16</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氨水</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18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元/瓶</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500mL/瓶，分析纯。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水17</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酶底物法试剂</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3600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元/盒</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适用《水质 总大肠菌群、粪大肠菌群和大肠埃希氏菌的测定 酶底物法》（HJ 1001-2018），200个/盒。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水18</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乳糖胆盐培养基</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120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元/瓶</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250g/瓶。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水19</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伊红美蓝培养基</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155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元/瓶</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250g/瓶。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水20</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品红亚硫酸钠培养基</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135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元/瓶</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250g/瓶。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水21</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伊红美蓝琼脂（EMB）</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195</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元/瓶</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250g/瓶。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水22</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乳糖胆盐培养基</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90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元/瓶</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250g/瓶。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水23</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营养琼脂</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195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元/瓶</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250g/瓶。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水24</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EC培养基</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125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元/瓶</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250g/瓶。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水25</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生物指示剂</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18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元/支</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嗜热脂肪芽孢杆菌。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水26</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大豆酪蛋白琼脂培养基（TSA）</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230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元/瓶</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250g/瓶。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水27</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乳糖蛋白胨培养基</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90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元/瓶</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250mL/瓶。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水28</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次氯酸钠消毒液</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9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元/瓶</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500mL/瓶，带消毒喷头。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水29</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纳氏试剂</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100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元/瓶</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100mL/瓶，试剂需达到《水质 氨氮的测定 纳氏试剂分光光度法》（HJ 535-2009）要求。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水30</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调谐液</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2950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元/瓶</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500mL/瓶，配套PE公司NexION 1000G型ICP-MS使用，浓度：1μg/L，含Be、Ce、Fe、In、Li、Mg、Pb、U，仪器调谐满足氧化物＜3.0%、双电荷＜3.0%”要求。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水31</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调谐储备液</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1580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元/瓶</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配套安捷伦7850型 ICP-MS仪器使用，浓度：10ppm，含Li、Y、Ce、Tl、Co，仪器调谐满足氧化物＜3.0%、双电荷＜3.0%”要求。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水32</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硫酸铵</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45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元/瓶</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500g/瓶，优级纯。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水33</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亚硫酸钠</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70</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元/瓶</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500g/瓶，优级纯。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3"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水34</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邻苯二甲酸氢钾试剂包</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70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元/包</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基准级，50g/瓶。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水35</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异烟酸/巴比妥酸显色剂试剂包</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160</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元/包</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适配宝德流动注射分析仪。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水36</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铁氰化钾缓冲溶液试剂包</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80</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元/包</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适配宝德流动注射分析仪。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水37</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4-氨基安替比林试剂包</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60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元/包</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适配宝德流动注射分析仪。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水38</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磷酸二氢钾缓冲溶液试剂包</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40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元/包</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适配宝德流动注射分析仪。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水39</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氯胺T试剂包</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65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元/包</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适配宝德流动注射分析仪。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水40</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硫酸锌</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30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元/瓶</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500g/瓶，分析纯。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水41</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氢氧化钠</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32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元/瓶</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500g/瓶，优级纯。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水42</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1，3-二甲基巴比妥酸</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90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元/瓶</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250g/瓶，优级纯及以上。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水43</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二水合乙酸锌</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27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元/瓶</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500g/瓶，分析纯。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水44</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酒石酸钾钠</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32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元/瓶</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500g/瓶，分析纯。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水45</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二苯碳酰二肼</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90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元/瓶</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25g/瓶，分析纯。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水46</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二盐酸-1-萘乙二胺</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90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元/瓶</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10g/瓶，分析纯。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水47</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盐酸副玫瑰苯胺溶液</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72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元/瓶</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100mL/瓶，0.2%（2.0g/L）。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水48</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氨基磺酸</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45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元/支</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0.60g/支。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水49</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4-氨基安替比林</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90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元/瓶</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25g/瓶，分析纯。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水50</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磷酸</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27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元/瓶</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500mL/瓶，分析纯，玻璃瓶装，500mL/瓶，满足《水质 挥发酚的测定 流动注射-4-氨基安替比林分光光度法》（ HJ 825-2017）方法要求。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水51</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磷酸氢二钠</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27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元/瓶</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500g/瓶，分析纯。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水52</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抗坏血酸</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14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元/瓶</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25克/瓶，分析纯。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水53</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柠檬酸钠</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18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元/瓶</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500g/瓶，分析纯。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水54</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氯化亚锡</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1710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元/瓶</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500克/瓶，优级纯，满足《水质 总汞的测定 冷原子吸收分光光度法》（HJ 597-2011）方法要求。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水55</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酚试剂</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45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元/瓶</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5克/瓶，分析纯。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水56</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亚硝酸钠</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45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元/瓶</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500g/瓶，分析纯。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水57</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尿素</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18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元/瓶</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500g/瓶，分析纯。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水58</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硫酸银</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215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元/瓶</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25g/瓶，分析纯。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水59</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细菌总数酶底物复合试剂（定量盘+试剂）</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630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元/盒</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25支/盒，适用《GB/T 5750.12-2023 生活饮用水标准检验方法 第12部分：微生物指标》。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水60</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革兰氏染色液试剂盒</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63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元/盒</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水61</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压力蒸汽灭菌化学指示卡</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27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元/盒</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200片/盒，121℃灭菌指示卡。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水62</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紫外线强度测试卡</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135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元/盒</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100片/盒。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水63</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广泛pH试纸</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35</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元/盒</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20本/盒，pH1-pH14。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水64</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精密pH试纸</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120</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元/盒</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50本/盒，pH9.5-pH13。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水65</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纯水仪纯化柱组合</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8550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元/套</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配套赛多利斯arium pro UV超纯水仪使用，含预纯化柱1支和精纯化柱1支。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水66</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纯水机紫外灯</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2700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元/个</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适配赛多利斯arium pro UV纯水机。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水67</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纯水机除菌过滤器</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1530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元/个</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适配赛多利斯arium pro UV纯水机。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水68</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纯水仪滤芯</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3900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元/套</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适配越纯YY-TI-10L品牌纯水仪（柱子包含陶瓷滤芯、阴阳离子树脂混合床、反渗透膜）。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水69</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离心管</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45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元/包</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50mL/个，25个/包，尖底，50mL刻度，有泡沫底架包装，实验室空白符合《水质 65种元素的测定 电感耦合等离子体质谱法》（ HJ 700-2014）方法检出限要求。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水70</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离心管</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45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元/包</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15mL/个，50个/包，尖底，15mL刻度，有泡沫底架包装，实验室空白符合《水质 65种元素的测定 电感耦合等离子体质谱法》（ HJ 700-2014）方法检出限要求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水71</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透明聚丙烯（PP）螺纹口自动进样瓶（瓶+盖）</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140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元/盒</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1.5mL，带刻度，100个/盒，预开口，含盖垫，配套赛默飞ICS-6000型双通道离子色谱仪使用，品质符合《 水质 无机阴离子（F</w:t>
            </w:r>
            <w:r>
              <w:rPr>
                <w:rFonts w:hint="eastAsia" w:ascii="宋体" w:hAnsi="宋体" w:eastAsia="宋体" w:cs="宋体"/>
                <w:i w:val="0"/>
                <w:iCs w:val="0"/>
                <w:color w:val="000000" w:themeColor="text1"/>
                <w:kern w:val="0"/>
                <w:sz w:val="21"/>
                <w:szCs w:val="21"/>
                <w:highlight w:val="none"/>
                <w:u w:val="none"/>
                <w:vertAlign w:val="superscript"/>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、CI</w:t>
            </w:r>
            <w:r>
              <w:rPr>
                <w:rFonts w:hint="eastAsia" w:ascii="宋体" w:hAnsi="宋体" w:eastAsia="宋体" w:cs="宋体"/>
                <w:i w:val="0"/>
                <w:iCs w:val="0"/>
                <w:color w:val="000000" w:themeColor="text1"/>
                <w:kern w:val="0"/>
                <w:sz w:val="21"/>
                <w:szCs w:val="21"/>
                <w:highlight w:val="none"/>
                <w:u w:val="none"/>
                <w:vertAlign w:val="superscript"/>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、NO</w:t>
            </w:r>
            <w:r>
              <w:rPr>
                <w:rFonts w:hint="eastAsia" w:ascii="宋体" w:hAnsi="宋体" w:eastAsia="宋体" w:cs="宋体"/>
                <w:i w:val="0"/>
                <w:iCs w:val="0"/>
                <w:color w:val="000000" w:themeColor="text1"/>
                <w:kern w:val="0"/>
                <w:sz w:val="21"/>
                <w:szCs w:val="21"/>
                <w:highlight w:val="none"/>
                <w:u w:val="none"/>
                <w:vertAlign w:val="superscript"/>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、Br</w:t>
            </w:r>
            <w:r>
              <w:rPr>
                <w:rFonts w:hint="eastAsia" w:ascii="宋体" w:hAnsi="宋体" w:eastAsia="宋体" w:cs="宋体"/>
                <w:i w:val="0"/>
                <w:iCs w:val="0"/>
                <w:color w:val="000000" w:themeColor="text1"/>
                <w:kern w:val="0"/>
                <w:sz w:val="21"/>
                <w:szCs w:val="21"/>
                <w:highlight w:val="none"/>
                <w:u w:val="none"/>
                <w:vertAlign w:val="superscript"/>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、NO</w:t>
            </w:r>
            <w:r>
              <w:rPr>
                <w:rFonts w:hint="eastAsia" w:ascii="宋体" w:hAnsi="宋体" w:eastAsia="宋体" w:cs="宋体"/>
                <w:i w:val="0"/>
                <w:iCs w:val="0"/>
                <w:color w:val="000000" w:themeColor="text1"/>
                <w:kern w:val="0"/>
                <w:sz w:val="21"/>
                <w:szCs w:val="21"/>
                <w:highlight w:val="none"/>
                <w:u w:val="none"/>
                <w:vertAlign w:val="superscript"/>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、PO</w:t>
            </w:r>
            <w:r>
              <w:rPr>
                <w:rFonts w:hint="eastAsia" w:ascii="宋体" w:hAnsi="宋体" w:eastAsia="宋体" w:cs="宋体"/>
                <w:i w:val="0"/>
                <w:iCs w:val="0"/>
                <w:color w:val="000000" w:themeColor="text1"/>
                <w:kern w:val="0"/>
                <w:sz w:val="21"/>
                <w:szCs w:val="21"/>
                <w:highlight w:val="none"/>
                <w:u w:val="none"/>
                <w:vertAlign w:val="subscript"/>
                <w:lang w:val="en-US" w:eastAsia="zh-CN" w:bidi="ar"/>
                <w14:textFill>
                  <w14:solidFill>
                    <w14:schemeClr w14:val="tx1"/>
                  </w14:solidFill>
                </w14:textFill>
              </w:rPr>
              <w:t>4</w:t>
            </w:r>
            <w:r>
              <w:rPr>
                <w:rFonts w:hint="eastAsia" w:ascii="宋体" w:hAnsi="宋体" w:eastAsia="宋体" w:cs="宋体"/>
                <w:i w:val="0"/>
                <w:iCs w:val="0"/>
                <w:color w:val="000000" w:themeColor="text1"/>
                <w:kern w:val="0"/>
                <w:sz w:val="21"/>
                <w:szCs w:val="21"/>
                <w:highlight w:val="none"/>
                <w:u w:val="none"/>
                <w:vertAlign w:val="superscript"/>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、SO</w:t>
            </w:r>
            <w:r>
              <w:rPr>
                <w:rFonts w:hint="eastAsia" w:ascii="宋体" w:hAnsi="宋体" w:eastAsia="宋体" w:cs="宋体"/>
                <w:i w:val="0"/>
                <w:iCs w:val="0"/>
                <w:color w:val="000000" w:themeColor="text1"/>
                <w:kern w:val="0"/>
                <w:sz w:val="21"/>
                <w:szCs w:val="21"/>
                <w:highlight w:val="none"/>
                <w:u w:val="none"/>
                <w:vertAlign w:val="subscript"/>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21"/>
                <w:szCs w:val="21"/>
                <w:highlight w:val="none"/>
                <w:u w:val="none"/>
                <w:vertAlign w:val="superscript"/>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、SO</w:t>
            </w:r>
            <w:r>
              <w:rPr>
                <w:rFonts w:hint="eastAsia" w:ascii="宋体" w:hAnsi="宋体" w:eastAsia="宋体" w:cs="宋体"/>
                <w:i w:val="0"/>
                <w:iCs w:val="0"/>
                <w:color w:val="000000" w:themeColor="text1"/>
                <w:kern w:val="0"/>
                <w:sz w:val="21"/>
                <w:szCs w:val="21"/>
                <w:highlight w:val="none"/>
                <w:u w:val="none"/>
                <w:vertAlign w:val="subscript"/>
                <w:lang w:val="en-US" w:eastAsia="zh-CN" w:bidi="ar"/>
                <w14:textFill>
                  <w14:solidFill>
                    <w14:schemeClr w14:val="tx1"/>
                  </w14:solidFill>
                </w14:textFill>
              </w:rPr>
              <w:t>4</w:t>
            </w:r>
            <w:r>
              <w:rPr>
                <w:rFonts w:hint="eastAsia" w:ascii="宋体" w:hAnsi="宋体" w:eastAsia="宋体" w:cs="宋体"/>
                <w:i w:val="0"/>
                <w:iCs w:val="0"/>
                <w:color w:val="000000" w:themeColor="text1"/>
                <w:kern w:val="0"/>
                <w:sz w:val="21"/>
                <w:szCs w:val="21"/>
                <w:highlight w:val="none"/>
                <w:u w:val="none"/>
                <w:vertAlign w:val="superscript"/>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）的测定离子色谱法》（HJ84-2016）和《环境空气 降水中阳离子（Na</w:t>
            </w:r>
            <w:r>
              <w:rPr>
                <w:rFonts w:hint="eastAsia" w:ascii="宋体" w:hAnsi="宋体" w:eastAsia="宋体" w:cs="宋体"/>
                <w:i w:val="0"/>
                <w:iCs w:val="0"/>
                <w:color w:val="000000" w:themeColor="text1"/>
                <w:kern w:val="0"/>
                <w:sz w:val="21"/>
                <w:szCs w:val="21"/>
                <w:highlight w:val="none"/>
                <w:u w:val="none"/>
                <w:vertAlign w:val="superscript"/>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、NH</w:t>
            </w:r>
            <w:r>
              <w:rPr>
                <w:rFonts w:hint="eastAsia" w:ascii="宋体" w:hAnsi="宋体" w:eastAsia="宋体" w:cs="宋体"/>
                <w:i w:val="0"/>
                <w:iCs w:val="0"/>
                <w:color w:val="000000" w:themeColor="text1"/>
                <w:kern w:val="0"/>
                <w:sz w:val="21"/>
                <w:szCs w:val="21"/>
                <w:highlight w:val="none"/>
                <w:u w:val="none"/>
                <w:vertAlign w:val="subscript"/>
                <w:lang w:val="en-US" w:eastAsia="zh-CN" w:bidi="ar"/>
                <w14:textFill>
                  <w14:solidFill>
                    <w14:schemeClr w14:val="tx1"/>
                  </w14:solidFill>
                </w14:textFill>
              </w:rPr>
              <w:t>4</w:t>
            </w:r>
            <w:r>
              <w:rPr>
                <w:rFonts w:hint="eastAsia" w:ascii="宋体" w:hAnsi="宋体" w:eastAsia="宋体" w:cs="宋体"/>
                <w:i w:val="0"/>
                <w:iCs w:val="0"/>
                <w:color w:val="000000" w:themeColor="text1"/>
                <w:kern w:val="0"/>
                <w:sz w:val="21"/>
                <w:szCs w:val="21"/>
                <w:highlight w:val="none"/>
                <w:u w:val="none"/>
                <w:vertAlign w:val="superscript"/>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、K</w:t>
            </w:r>
            <w:r>
              <w:rPr>
                <w:rFonts w:hint="eastAsia" w:ascii="宋体" w:hAnsi="宋体" w:eastAsia="宋体" w:cs="宋体"/>
                <w:i w:val="0"/>
                <w:iCs w:val="0"/>
                <w:color w:val="000000" w:themeColor="text1"/>
                <w:kern w:val="0"/>
                <w:sz w:val="21"/>
                <w:szCs w:val="21"/>
                <w:highlight w:val="none"/>
                <w:u w:val="none"/>
                <w:vertAlign w:val="superscript"/>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、Mg</w:t>
            </w:r>
            <w:r>
              <w:rPr>
                <w:rFonts w:hint="eastAsia" w:ascii="宋体" w:hAnsi="宋体" w:eastAsia="宋体" w:cs="宋体"/>
                <w:i w:val="0"/>
                <w:iCs w:val="0"/>
                <w:color w:val="000000" w:themeColor="text1"/>
                <w:kern w:val="0"/>
                <w:sz w:val="21"/>
                <w:szCs w:val="21"/>
                <w:highlight w:val="none"/>
                <w:u w:val="none"/>
                <w:vertAlign w:val="superscript"/>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、Ca</w:t>
            </w:r>
            <w:r>
              <w:rPr>
                <w:rFonts w:hint="eastAsia" w:ascii="宋体" w:hAnsi="宋体" w:eastAsia="宋体" w:cs="宋体"/>
                <w:i w:val="0"/>
                <w:iCs w:val="0"/>
                <w:color w:val="000000" w:themeColor="text1"/>
                <w:kern w:val="0"/>
                <w:sz w:val="21"/>
                <w:szCs w:val="21"/>
                <w:highlight w:val="none"/>
                <w:u w:val="none"/>
                <w:vertAlign w:val="superscript"/>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）的测定 离子色谱法》</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（HJ1005-2018）要求。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水72</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丁腈医用检查手套 </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70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元/盒</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100只/盒，无粉，加厚加长，耐酸碱，防穿透，M号。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水73</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丁腈医用检查手套 </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70</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元/盒</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100只/盒，无粉，加厚加长，耐酸碱，防穿透，L号。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水74</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定量滤纸</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23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元/盒</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100张/盒，中速，直径约11cm。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水75</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定性滤纸</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14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元/盒</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100张/盒，中速，直径约90mm。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水76</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97孔定量盘（可定量2419MPN/100 mL）</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1530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元/箱</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100个/箱。</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水77</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一次性培养皿</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195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元/箱</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90mm×15mm，500个/箱。</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水78</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滤头</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55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元/包</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100个/包，0.45μm，聚醚砜（pes）直径约13mm，滤头过滤后的纯水中的65种金属浓度必须低于HJ700里检出限要求。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水79</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滤头</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75</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元/包</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100个/包，0.45μm，聚醚砜（pes）直径约25mm，滤头过滤后的纯水中的65种金属浓度必须低于HJ700里检出限要求。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水80</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注射器</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45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元/盒</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10mL/支，100支/盒，不带针头。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水81</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玻璃顶空瓶</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630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元/盒</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100个/盒，20mL，白色透明瓶身，配螺口实心盖。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水82</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移液枪枪头</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72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元/包</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10mL，100个/包，带刻度，适配艾本德移液枪。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水83</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移液枪枪头</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72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元/包</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5mL，100个/包，带刻度，适配艾本德移液枪。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水84</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移液枪枪头</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135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元/包</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5mL，100个/包，带刻度，适配绿色赛默飞移液枪。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水85</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移液枪枪头</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225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元/包</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1mL，1000个/包，适配艾本德移液枪。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水86</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移液枪枪头</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270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元/包</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100μL，1000个/包，适配艾本德移液枪。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水87</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一次性滴管</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25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元/包</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2mL，100个/包，聚乙烯材质。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水88</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双通道离子色谱仪KOH淋洗液发生器</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27000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元/套</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配套赛默飞ICS-6000双通道离子色谱仪，满足《 水质 无机阴离子（F</w:t>
            </w:r>
            <w:r>
              <w:rPr>
                <w:rFonts w:hint="eastAsia" w:ascii="宋体" w:hAnsi="宋体" w:eastAsia="宋体" w:cs="宋体"/>
                <w:i w:val="0"/>
                <w:iCs w:val="0"/>
                <w:color w:val="000000" w:themeColor="text1"/>
                <w:kern w:val="0"/>
                <w:sz w:val="21"/>
                <w:szCs w:val="21"/>
                <w:highlight w:val="none"/>
                <w:u w:val="none"/>
                <w:vertAlign w:val="superscript"/>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、CI</w:t>
            </w:r>
            <w:r>
              <w:rPr>
                <w:rFonts w:hint="eastAsia" w:ascii="宋体" w:hAnsi="宋体" w:eastAsia="宋体" w:cs="宋体"/>
                <w:i w:val="0"/>
                <w:iCs w:val="0"/>
                <w:color w:val="000000" w:themeColor="text1"/>
                <w:kern w:val="0"/>
                <w:sz w:val="21"/>
                <w:szCs w:val="21"/>
                <w:highlight w:val="none"/>
                <w:u w:val="none"/>
                <w:vertAlign w:val="superscript"/>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、NO</w:t>
            </w:r>
            <w:r>
              <w:rPr>
                <w:rFonts w:hint="eastAsia" w:ascii="宋体" w:hAnsi="宋体" w:eastAsia="宋体" w:cs="宋体"/>
                <w:i w:val="0"/>
                <w:iCs w:val="0"/>
                <w:color w:val="000000" w:themeColor="text1"/>
                <w:kern w:val="0"/>
                <w:sz w:val="21"/>
                <w:szCs w:val="21"/>
                <w:highlight w:val="none"/>
                <w:u w:val="none"/>
                <w:vertAlign w:val="superscript"/>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、Br</w:t>
            </w:r>
            <w:r>
              <w:rPr>
                <w:rFonts w:hint="eastAsia" w:ascii="宋体" w:hAnsi="宋体" w:eastAsia="宋体" w:cs="宋体"/>
                <w:i w:val="0"/>
                <w:iCs w:val="0"/>
                <w:color w:val="000000" w:themeColor="text1"/>
                <w:kern w:val="0"/>
                <w:sz w:val="21"/>
                <w:szCs w:val="21"/>
                <w:highlight w:val="none"/>
                <w:u w:val="none"/>
                <w:vertAlign w:val="superscript"/>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、NO</w:t>
            </w:r>
            <w:r>
              <w:rPr>
                <w:rFonts w:hint="eastAsia" w:ascii="宋体" w:hAnsi="宋体" w:eastAsia="宋体" w:cs="宋体"/>
                <w:i w:val="0"/>
                <w:iCs w:val="0"/>
                <w:color w:val="000000" w:themeColor="text1"/>
                <w:kern w:val="0"/>
                <w:sz w:val="21"/>
                <w:szCs w:val="21"/>
                <w:highlight w:val="none"/>
                <w:u w:val="none"/>
                <w:vertAlign w:val="superscript"/>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、PO</w:t>
            </w:r>
            <w:r>
              <w:rPr>
                <w:rFonts w:hint="eastAsia" w:ascii="宋体" w:hAnsi="宋体" w:eastAsia="宋体" w:cs="宋体"/>
                <w:i w:val="0"/>
                <w:iCs w:val="0"/>
                <w:color w:val="000000" w:themeColor="text1"/>
                <w:kern w:val="0"/>
                <w:sz w:val="21"/>
                <w:szCs w:val="21"/>
                <w:highlight w:val="none"/>
                <w:u w:val="none"/>
                <w:vertAlign w:val="subscript"/>
                <w:lang w:val="en-US" w:eastAsia="zh-CN" w:bidi="ar"/>
                <w14:textFill>
                  <w14:solidFill>
                    <w14:schemeClr w14:val="tx1"/>
                  </w14:solidFill>
                </w14:textFill>
              </w:rPr>
              <w:t>4</w:t>
            </w:r>
            <w:r>
              <w:rPr>
                <w:rFonts w:hint="eastAsia" w:ascii="宋体" w:hAnsi="宋体" w:eastAsia="宋体" w:cs="宋体"/>
                <w:i w:val="0"/>
                <w:iCs w:val="0"/>
                <w:color w:val="000000" w:themeColor="text1"/>
                <w:kern w:val="0"/>
                <w:sz w:val="21"/>
                <w:szCs w:val="21"/>
                <w:highlight w:val="none"/>
                <w:u w:val="none"/>
                <w:vertAlign w:val="superscript"/>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、SO</w:t>
            </w:r>
            <w:r>
              <w:rPr>
                <w:rFonts w:hint="eastAsia" w:ascii="宋体" w:hAnsi="宋体" w:eastAsia="宋体" w:cs="宋体"/>
                <w:i w:val="0"/>
                <w:iCs w:val="0"/>
                <w:color w:val="000000" w:themeColor="text1"/>
                <w:kern w:val="0"/>
                <w:sz w:val="21"/>
                <w:szCs w:val="21"/>
                <w:highlight w:val="none"/>
                <w:u w:val="none"/>
                <w:vertAlign w:val="subscript"/>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21"/>
                <w:szCs w:val="21"/>
                <w:highlight w:val="none"/>
                <w:u w:val="none"/>
                <w:vertAlign w:val="superscript"/>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、SO</w:t>
            </w:r>
            <w:r>
              <w:rPr>
                <w:rFonts w:hint="eastAsia" w:ascii="宋体" w:hAnsi="宋体" w:eastAsia="宋体" w:cs="宋体"/>
                <w:i w:val="0"/>
                <w:iCs w:val="0"/>
                <w:color w:val="000000" w:themeColor="text1"/>
                <w:kern w:val="0"/>
                <w:sz w:val="21"/>
                <w:szCs w:val="21"/>
                <w:highlight w:val="none"/>
                <w:u w:val="none"/>
                <w:vertAlign w:val="subscript"/>
                <w:lang w:val="en-US" w:eastAsia="zh-CN" w:bidi="ar"/>
                <w14:textFill>
                  <w14:solidFill>
                    <w14:schemeClr w14:val="tx1"/>
                  </w14:solidFill>
                </w14:textFill>
              </w:rPr>
              <w:t>4</w:t>
            </w:r>
            <w:r>
              <w:rPr>
                <w:rFonts w:hint="eastAsia" w:ascii="宋体" w:hAnsi="宋体" w:eastAsia="宋体" w:cs="宋体"/>
                <w:i w:val="0"/>
                <w:iCs w:val="0"/>
                <w:color w:val="000000" w:themeColor="text1"/>
                <w:kern w:val="0"/>
                <w:sz w:val="21"/>
                <w:szCs w:val="21"/>
                <w:highlight w:val="none"/>
                <w:u w:val="none"/>
                <w:vertAlign w:val="superscript"/>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）的测定离子色谱法》（HJ84-2016）和《环境空气 降水中阳离子（Na</w:t>
            </w:r>
            <w:r>
              <w:rPr>
                <w:rFonts w:hint="eastAsia" w:ascii="宋体" w:hAnsi="宋体" w:eastAsia="宋体" w:cs="宋体"/>
                <w:i w:val="0"/>
                <w:iCs w:val="0"/>
                <w:color w:val="000000" w:themeColor="text1"/>
                <w:kern w:val="0"/>
                <w:sz w:val="21"/>
                <w:szCs w:val="21"/>
                <w:highlight w:val="none"/>
                <w:u w:val="none"/>
                <w:vertAlign w:val="superscript"/>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、NH</w:t>
            </w:r>
            <w:r>
              <w:rPr>
                <w:rFonts w:hint="eastAsia" w:ascii="宋体" w:hAnsi="宋体" w:eastAsia="宋体" w:cs="宋体"/>
                <w:i w:val="0"/>
                <w:iCs w:val="0"/>
                <w:color w:val="000000" w:themeColor="text1"/>
                <w:kern w:val="0"/>
                <w:sz w:val="21"/>
                <w:szCs w:val="21"/>
                <w:highlight w:val="none"/>
                <w:u w:val="none"/>
                <w:vertAlign w:val="subscript"/>
                <w:lang w:val="en-US" w:eastAsia="zh-CN" w:bidi="ar"/>
                <w14:textFill>
                  <w14:solidFill>
                    <w14:schemeClr w14:val="tx1"/>
                  </w14:solidFill>
                </w14:textFill>
              </w:rPr>
              <w:t>4</w:t>
            </w:r>
            <w:r>
              <w:rPr>
                <w:rFonts w:hint="eastAsia" w:ascii="宋体" w:hAnsi="宋体" w:eastAsia="宋体" w:cs="宋体"/>
                <w:i w:val="0"/>
                <w:iCs w:val="0"/>
                <w:color w:val="000000" w:themeColor="text1"/>
                <w:kern w:val="0"/>
                <w:sz w:val="21"/>
                <w:szCs w:val="21"/>
                <w:highlight w:val="none"/>
                <w:u w:val="none"/>
                <w:vertAlign w:val="superscript"/>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、K</w:t>
            </w:r>
            <w:r>
              <w:rPr>
                <w:rFonts w:hint="eastAsia" w:ascii="宋体" w:hAnsi="宋体" w:eastAsia="宋体" w:cs="宋体"/>
                <w:i w:val="0"/>
                <w:iCs w:val="0"/>
                <w:color w:val="000000" w:themeColor="text1"/>
                <w:kern w:val="0"/>
                <w:sz w:val="21"/>
                <w:szCs w:val="21"/>
                <w:highlight w:val="none"/>
                <w:u w:val="none"/>
                <w:vertAlign w:val="superscript"/>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、Mg</w:t>
            </w:r>
            <w:r>
              <w:rPr>
                <w:rFonts w:hint="eastAsia" w:ascii="宋体" w:hAnsi="宋体" w:eastAsia="宋体" w:cs="宋体"/>
                <w:i w:val="0"/>
                <w:iCs w:val="0"/>
                <w:color w:val="000000" w:themeColor="text1"/>
                <w:kern w:val="0"/>
                <w:sz w:val="21"/>
                <w:szCs w:val="21"/>
                <w:highlight w:val="none"/>
                <w:u w:val="none"/>
                <w:vertAlign w:val="superscript"/>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、Ca</w:t>
            </w:r>
            <w:r>
              <w:rPr>
                <w:rFonts w:hint="eastAsia" w:ascii="宋体" w:hAnsi="宋体" w:eastAsia="宋体" w:cs="宋体"/>
                <w:i w:val="0"/>
                <w:iCs w:val="0"/>
                <w:color w:val="000000" w:themeColor="text1"/>
                <w:kern w:val="0"/>
                <w:sz w:val="21"/>
                <w:szCs w:val="21"/>
                <w:highlight w:val="none"/>
                <w:u w:val="none"/>
                <w:vertAlign w:val="superscript"/>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）的测定 离子色谱法》（HJ1005-2018）要求。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水89</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酶底物无菌取样瓶（含硫代硫酸钠）</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1130</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元/箱</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100mL/个，200个/箱。</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水90</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白大褂 实验服</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45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件</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长袖，</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100%</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纯棉，松紧袖口，男（厚款）长袖</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（10件XXL，10件XL，10件L）。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水91</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白大褂 实验服</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45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件</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长袖，</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100%</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纯棉，松紧袖口，女（厚款）长袖</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（10件XXL，20件XL，20件L）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水92</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免水洗手消毒凝胶</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23</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元/瓶</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500mL/瓶，含75%酒精。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水93</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一次性无纺布防水防护服</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5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元/件</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均码、橡筋袖口、长款，反穿、加厚、独立包装。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水94</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离子色谱样品盖</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550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元/盒</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250个/盒，无滤芯，与下一项离子色谱进样管配套使用，适配赛默飞Aquion型号离子色谱。</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水95</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离子色谱进样管</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1240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元/盒</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5mL/个，250个/盒，与上一项离子色谱样品盖配套使用，适配赛默飞Aquion型号离子色谱。</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水96</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梅特勒氟化物电极</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16200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元/个</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适配梅特勒多参数分析仪使用，满足《水质 氟化物的测定 离子选择电极法》（GB/T 7484-1987）要求。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水97</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梅特勒土壤PH电极</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6480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元/个</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适配梅特勒多参数分析仪使用，满足《土壤检测 第2部分：土壤pH的测定》（NY/T 1121.2-2006）要求。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水98</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梅特勒纯水pH电极</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7450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元/个</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适配梅特勒多参数分析仪使用，用于测试超纯水的pH值，满足GB/T 9724-2007要求。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水99</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pH电极</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5100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元/个</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适配梅特勒多参数分析仪使用，满足《水质 pH值的测定 电极法》（HJ 1147-2020）要求。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水100</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生物医疗废物生物安全袋耐高温高压灭菌袋消毒有害废弃物袋</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135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元/包</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50个/包，61×81cm，PP复合膜透明。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水101</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实验室天平光面称量纸</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14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元/包</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500张/包，约90mm×90mm。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水102</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Parafilm封口膜</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140</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元/盒</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4IN×125FT/ROLL。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水103</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水分仪称量铝盘 </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180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元/盒</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50个/盒，内径约90mm，适配梅特勒水分仪。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水104</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ICP-MS雾化器</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19800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元/个</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石英材质，适配PE品牌NexION 1000G型ICP-MS。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水105</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单刻线移液管</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18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元/根</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A级，1mL。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水106</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单刻线移液管</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18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元/根</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A级，2mL。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水107</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移液管直管</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14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元/根</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A级，1mL。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水108</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溶解氧电极膜头</w:t>
            </w:r>
          </w:p>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（荧光帽）</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1350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元/个</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适配哈希30D多参数水质分析仪。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水109</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一次性医用无菌帽</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18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元/包</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200只/包，加厚，条形，双筋，蓝色。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水110</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瓶口分液器</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4500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元/个</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耐强酸，带安全阀，配套密封垫圈，量程10mL，带排气功能。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水111</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瓶口分液器</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4500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元/个</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耐强酸，带安全阀，配套密封垫圈，量程25mL，带排气功能。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水112</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手动连续分液器</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4000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元/把</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自动识别分液管，适配艾本德25mL、50mL分液管。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水113</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分液管</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1500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元/箱</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100个/箱，适配艾本德Multipette M4手动连续分液器，量程25mL。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水114</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分液管</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1620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元/箱</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100个/箱，适配艾本德Multipette M4手动连续分液器，量程50mL。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水115</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镍截取锥</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6120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个</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适配安捷伦7850品牌ICP-MS。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水116</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镀镍采样锥</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8820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个</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适配安捷伦7850品牌ICP-MS。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水117</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冲击式吸收瓶（带硅胶管）</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45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元/个</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容量75mL/个，白色透明，带刻度，配总长度20米硅胶管（透明）。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水118</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BOD接种液</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90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元/瓶</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500mL/瓶。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水119</w:t>
            </w:r>
          </w:p>
        </w:tc>
        <w:tc>
          <w:tcPr>
            <w:tcW w:w="19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内标管</w:t>
            </w:r>
          </w:p>
        </w:tc>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1260 </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元/袋</w:t>
            </w:r>
          </w:p>
        </w:tc>
        <w:tc>
          <w:tcPr>
            <w:tcW w:w="4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12根/袋，内径约0.19mm，橙/红扣，配套PE公司NexION 1000G型ICP-MS使用。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水120</w:t>
            </w:r>
          </w:p>
        </w:tc>
        <w:tc>
          <w:tcPr>
            <w:tcW w:w="19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橡胶真空软管</w:t>
            </w:r>
          </w:p>
        </w:tc>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5 </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元/米</w:t>
            </w:r>
          </w:p>
        </w:tc>
        <w:tc>
          <w:tcPr>
            <w:tcW w:w="4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配套循环水真空泵使用，约5mm内径×10mm外径。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水121</w:t>
            </w:r>
          </w:p>
        </w:tc>
        <w:tc>
          <w:tcPr>
            <w:tcW w:w="19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橡胶真空软管</w:t>
            </w:r>
          </w:p>
        </w:tc>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元/米</w:t>
            </w:r>
          </w:p>
        </w:tc>
        <w:tc>
          <w:tcPr>
            <w:tcW w:w="4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配套循环水真空泵使用，约6mm内径×11mm外径。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水122</w:t>
            </w:r>
          </w:p>
        </w:tc>
        <w:tc>
          <w:tcPr>
            <w:tcW w:w="19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有机膜</w:t>
            </w:r>
          </w:p>
        </w:tc>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990 </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元/包</w:t>
            </w:r>
          </w:p>
        </w:tc>
        <w:tc>
          <w:tcPr>
            <w:tcW w:w="4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20张/包，长13cm，宽4cm，适配宝德流动注射分析仪。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水123</w:t>
            </w:r>
          </w:p>
        </w:tc>
        <w:tc>
          <w:tcPr>
            <w:tcW w:w="19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离子色谱仪</w:t>
            </w:r>
          </w:p>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ASRS 300抑制器</w:t>
            </w:r>
          </w:p>
        </w:tc>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21600 </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元/个</w:t>
            </w:r>
          </w:p>
        </w:tc>
        <w:tc>
          <w:tcPr>
            <w:tcW w:w="4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适配赛默飞Aquion单通道离子色谱仪，阴离子抑制器（4mm）。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水124</w:t>
            </w:r>
          </w:p>
        </w:tc>
        <w:tc>
          <w:tcPr>
            <w:tcW w:w="19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开瓶器</w:t>
            </w:r>
          </w:p>
        </w:tc>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9 </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元/把</w:t>
            </w:r>
          </w:p>
        </w:tc>
        <w:tc>
          <w:tcPr>
            <w:tcW w:w="4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用于开安瓿瓶，含手柄，配有金刚砂砂轮。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水125</w:t>
            </w:r>
          </w:p>
        </w:tc>
        <w:tc>
          <w:tcPr>
            <w:tcW w:w="19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砂轮片</w:t>
            </w:r>
          </w:p>
        </w:tc>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1 </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元/片</w:t>
            </w:r>
          </w:p>
        </w:tc>
        <w:tc>
          <w:tcPr>
            <w:tcW w:w="4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用于安瓿瓶划割。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57"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水126</w:t>
            </w:r>
          </w:p>
        </w:tc>
        <w:tc>
          <w:tcPr>
            <w:tcW w:w="19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单通道离子色谱仪KOH淋洗液发生器</w:t>
            </w:r>
          </w:p>
        </w:tc>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27000 </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元/套</w:t>
            </w:r>
          </w:p>
        </w:tc>
        <w:tc>
          <w:tcPr>
            <w:tcW w:w="4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适配赛默飞Aquion单通道离子色谱仪，满足《 水质 无机阴离子（F</w:t>
            </w:r>
            <w:r>
              <w:rPr>
                <w:rFonts w:hint="eastAsia" w:ascii="宋体" w:hAnsi="宋体" w:eastAsia="宋体" w:cs="宋体"/>
                <w:i w:val="0"/>
                <w:iCs w:val="0"/>
                <w:color w:val="000000" w:themeColor="text1"/>
                <w:kern w:val="0"/>
                <w:sz w:val="21"/>
                <w:szCs w:val="21"/>
                <w:highlight w:val="none"/>
                <w:u w:val="none"/>
                <w:vertAlign w:val="superscript"/>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、CI</w:t>
            </w:r>
            <w:r>
              <w:rPr>
                <w:rFonts w:hint="eastAsia" w:ascii="宋体" w:hAnsi="宋体" w:eastAsia="宋体" w:cs="宋体"/>
                <w:i w:val="0"/>
                <w:iCs w:val="0"/>
                <w:color w:val="000000" w:themeColor="text1"/>
                <w:kern w:val="0"/>
                <w:sz w:val="21"/>
                <w:szCs w:val="21"/>
                <w:highlight w:val="none"/>
                <w:u w:val="none"/>
                <w:vertAlign w:val="superscript"/>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、NO</w:t>
            </w:r>
            <w:r>
              <w:rPr>
                <w:rFonts w:hint="eastAsia" w:ascii="宋体" w:hAnsi="宋体" w:eastAsia="宋体" w:cs="宋体"/>
                <w:i w:val="0"/>
                <w:iCs w:val="0"/>
                <w:color w:val="000000" w:themeColor="text1"/>
                <w:kern w:val="0"/>
                <w:sz w:val="21"/>
                <w:szCs w:val="21"/>
                <w:highlight w:val="none"/>
                <w:u w:val="none"/>
                <w:vertAlign w:val="superscript"/>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、Br</w:t>
            </w:r>
            <w:r>
              <w:rPr>
                <w:rFonts w:hint="eastAsia" w:ascii="宋体" w:hAnsi="宋体" w:eastAsia="宋体" w:cs="宋体"/>
                <w:i w:val="0"/>
                <w:iCs w:val="0"/>
                <w:color w:val="000000" w:themeColor="text1"/>
                <w:kern w:val="0"/>
                <w:sz w:val="21"/>
                <w:szCs w:val="21"/>
                <w:highlight w:val="none"/>
                <w:u w:val="none"/>
                <w:vertAlign w:val="superscript"/>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、NO</w:t>
            </w:r>
            <w:r>
              <w:rPr>
                <w:rFonts w:hint="eastAsia" w:ascii="宋体" w:hAnsi="宋体" w:eastAsia="宋体" w:cs="宋体"/>
                <w:i w:val="0"/>
                <w:iCs w:val="0"/>
                <w:color w:val="000000" w:themeColor="text1"/>
                <w:kern w:val="0"/>
                <w:sz w:val="21"/>
                <w:szCs w:val="21"/>
                <w:highlight w:val="none"/>
                <w:u w:val="none"/>
                <w:vertAlign w:val="superscript"/>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、PO</w:t>
            </w:r>
            <w:r>
              <w:rPr>
                <w:rFonts w:hint="eastAsia" w:ascii="宋体" w:hAnsi="宋体" w:eastAsia="宋体" w:cs="宋体"/>
                <w:i w:val="0"/>
                <w:iCs w:val="0"/>
                <w:color w:val="000000" w:themeColor="text1"/>
                <w:kern w:val="0"/>
                <w:sz w:val="21"/>
                <w:szCs w:val="21"/>
                <w:highlight w:val="none"/>
                <w:u w:val="none"/>
                <w:vertAlign w:val="subscript"/>
                <w:lang w:val="en-US" w:eastAsia="zh-CN" w:bidi="ar"/>
                <w14:textFill>
                  <w14:solidFill>
                    <w14:schemeClr w14:val="tx1"/>
                  </w14:solidFill>
                </w14:textFill>
              </w:rPr>
              <w:t>4</w:t>
            </w:r>
            <w:r>
              <w:rPr>
                <w:rFonts w:hint="eastAsia" w:ascii="宋体" w:hAnsi="宋体" w:eastAsia="宋体" w:cs="宋体"/>
                <w:i w:val="0"/>
                <w:iCs w:val="0"/>
                <w:color w:val="000000" w:themeColor="text1"/>
                <w:kern w:val="0"/>
                <w:sz w:val="21"/>
                <w:szCs w:val="21"/>
                <w:highlight w:val="none"/>
                <w:u w:val="none"/>
                <w:vertAlign w:val="superscript"/>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、SO</w:t>
            </w:r>
            <w:r>
              <w:rPr>
                <w:rFonts w:hint="eastAsia" w:ascii="宋体" w:hAnsi="宋体" w:eastAsia="宋体" w:cs="宋体"/>
                <w:i w:val="0"/>
                <w:iCs w:val="0"/>
                <w:color w:val="000000" w:themeColor="text1"/>
                <w:kern w:val="0"/>
                <w:sz w:val="21"/>
                <w:szCs w:val="21"/>
                <w:highlight w:val="none"/>
                <w:u w:val="none"/>
                <w:vertAlign w:val="subscript"/>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21"/>
                <w:szCs w:val="21"/>
                <w:highlight w:val="none"/>
                <w:u w:val="none"/>
                <w:vertAlign w:val="superscript"/>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、SO</w:t>
            </w:r>
            <w:r>
              <w:rPr>
                <w:rFonts w:hint="eastAsia" w:ascii="宋体" w:hAnsi="宋体" w:eastAsia="宋体" w:cs="宋体"/>
                <w:i w:val="0"/>
                <w:iCs w:val="0"/>
                <w:color w:val="000000" w:themeColor="text1"/>
                <w:kern w:val="0"/>
                <w:sz w:val="21"/>
                <w:szCs w:val="21"/>
                <w:highlight w:val="none"/>
                <w:u w:val="none"/>
                <w:vertAlign w:val="subscript"/>
                <w:lang w:val="en-US" w:eastAsia="zh-CN" w:bidi="ar"/>
                <w14:textFill>
                  <w14:solidFill>
                    <w14:schemeClr w14:val="tx1"/>
                  </w14:solidFill>
                </w14:textFill>
              </w:rPr>
              <w:t>4</w:t>
            </w:r>
            <w:r>
              <w:rPr>
                <w:rFonts w:hint="eastAsia" w:ascii="宋体" w:hAnsi="宋体" w:eastAsia="宋体" w:cs="宋体"/>
                <w:i w:val="0"/>
                <w:iCs w:val="0"/>
                <w:color w:val="000000" w:themeColor="text1"/>
                <w:kern w:val="0"/>
                <w:sz w:val="21"/>
                <w:szCs w:val="21"/>
                <w:highlight w:val="none"/>
                <w:u w:val="none"/>
                <w:vertAlign w:val="superscript"/>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）的测定离子色谱法》（HJ84-2016）和《环境空气 降水中阳离子（Na</w:t>
            </w:r>
            <w:r>
              <w:rPr>
                <w:rFonts w:hint="eastAsia" w:ascii="宋体" w:hAnsi="宋体" w:eastAsia="宋体" w:cs="宋体"/>
                <w:i w:val="0"/>
                <w:iCs w:val="0"/>
                <w:color w:val="000000" w:themeColor="text1"/>
                <w:kern w:val="0"/>
                <w:sz w:val="21"/>
                <w:szCs w:val="21"/>
                <w:highlight w:val="none"/>
                <w:u w:val="none"/>
                <w:vertAlign w:val="superscript"/>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、NH</w:t>
            </w:r>
            <w:r>
              <w:rPr>
                <w:rFonts w:hint="eastAsia" w:ascii="宋体" w:hAnsi="宋体" w:eastAsia="宋体" w:cs="宋体"/>
                <w:i w:val="0"/>
                <w:iCs w:val="0"/>
                <w:color w:val="000000" w:themeColor="text1"/>
                <w:kern w:val="0"/>
                <w:sz w:val="21"/>
                <w:szCs w:val="21"/>
                <w:highlight w:val="none"/>
                <w:u w:val="none"/>
                <w:vertAlign w:val="subscript"/>
                <w:lang w:val="en-US" w:eastAsia="zh-CN" w:bidi="ar"/>
                <w14:textFill>
                  <w14:solidFill>
                    <w14:schemeClr w14:val="tx1"/>
                  </w14:solidFill>
                </w14:textFill>
              </w:rPr>
              <w:t>4</w:t>
            </w:r>
            <w:r>
              <w:rPr>
                <w:rFonts w:hint="eastAsia" w:ascii="宋体" w:hAnsi="宋体" w:eastAsia="宋体" w:cs="宋体"/>
                <w:i w:val="0"/>
                <w:iCs w:val="0"/>
                <w:color w:val="000000" w:themeColor="text1"/>
                <w:kern w:val="0"/>
                <w:sz w:val="21"/>
                <w:szCs w:val="21"/>
                <w:highlight w:val="none"/>
                <w:u w:val="none"/>
                <w:vertAlign w:val="superscript"/>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、K</w:t>
            </w:r>
            <w:r>
              <w:rPr>
                <w:rFonts w:hint="eastAsia" w:ascii="宋体" w:hAnsi="宋体" w:eastAsia="宋体" w:cs="宋体"/>
                <w:i w:val="0"/>
                <w:iCs w:val="0"/>
                <w:color w:val="000000" w:themeColor="text1"/>
                <w:kern w:val="0"/>
                <w:sz w:val="21"/>
                <w:szCs w:val="21"/>
                <w:highlight w:val="none"/>
                <w:u w:val="none"/>
                <w:vertAlign w:val="superscript"/>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、Mg</w:t>
            </w:r>
            <w:r>
              <w:rPr>
                <w:rFonts w:hint="eastAsia" w:ascii="宋体" w:hAnsi="宋体" w:eastAsia="宋体" w:cs="宋体"/>
                <w:i w:val="0"/>
                <w:iCs w:val="0"/>
                <w:color w:val="000000" w:themeColor="text1"/>
                <w:kern w:val="0"/>
                <w:sz w:val="21"/>
                <w:szCs w:val="21"/>
                <w:highlight w:val="none"/>
                <w:u w:val="none"/>
                <w:vertAlign w:val="superscript"/>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、Ca</w:t>
            </w:r>
            <w:r>
              <w:rPr>
                <w:rFonts w:hint="eastAsia" w:ascii="宋体" w:hAnsi="宋体" w:eastAsia="宋体" w:cs="宋体"/>
                <w:i w:val="0"/>
                <w:iCs w:val="0"/>
                <w:color w:val="000000" w:themeColor="text1"/>
                <w:kern w:val="0"/>
                <w:sz w:val="21"/>
                <w:szCs w:val="21"/>
                <w:highlight w:val="none"/>
                <w:u w:val="none"/>
                <w:vertAlign w:val="superscript"/>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）的测定 离子色谱法》（HJ1005-2018）要求。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1"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水127</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冷原子吸收测汞仪汞灯</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8900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元/套</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适配美国利曼Hydra Ⅱ 冷原子吸收测汞仪，满足《水质 总汞的测定 冷原子吸收分光光度法》（ HJ 597-2011）要求。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水128</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洗瓶</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5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元/个</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500ml/个，白色弯嘴，弯度约85度角，瓶身有刻度，气密性好，不滴漏。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6"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水129</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50ml具塞比色管</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元/根</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高硼硅玻璃，双刻线，A级，可过检，耐腐蚀、透明度高，放置平稳不易倾倒。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6"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水130</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25ml具塞比色管</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元/根</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高硼硅玻璃，双刻线，A级可过检,耐腐蚀、透明度高。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6"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水131</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移液管直管</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18</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元/根</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A级，15mL。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6"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水132</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过硫酸钾</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720</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元/瓶</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100g/瓶，优级纯及以上，含氮量＜0.0005%，满足《水质 总氮的测定 碱性过硫酸钾消解紫外分光光度法》（ HJ 636-2012）要求，空白吸光度＜0.030。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6"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水133</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实验室拖鞋</w:t>
            </w:r>
          </w:p>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（手术室拖鞋）</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45</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元/双</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包头拖鞋，EVA材质，防酸碱（鞋面无洞，侧面有洞）、防滑、无异味，码数37码至45码。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p>
        </w:tc>
        <w:tc>
          <w:tcPr>
            <w:tcW w:w="9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分1</w:t>
            </w:r>
          </w:p>
        </w:tc>
        <w:tc>
          <w:tcPr>
            <w:tcW w:w="19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瓶口分液器（带安全阀）</w:t>
            </w:r>
          </w:p>
        </w:tc>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5400 </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元/套</w:t>
            </w:r>
          </w:p>
        </w:tc>
        <w:tc>
          <w:tcPr>
            <w:tcW w:w="4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量程：5-50mL，螺纹GL45、适配GL40、GL38、GL32，耐化学腐蚀，耐酸、耐腐蚀、耐有机。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分2</w:t>
            </w:r>
          </w:p>
        </w:tc>
        <w:tc>
          <w:tcPr>
            <w:tcW w:w="19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HLB固相萃取小柱</w:t>
            </w:r>
          </w:p>
        </w:tc>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810 </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元/盒</w:t>
            </w:r>
          </w:p>
        </w:tc>
        <w:tc>
          <w:tcPr>
            <w:tcW w:w="4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500mg，6mL，30/盒，苯乙烯和二乙烯苯共聚物填料，聚丙烯外壳。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分3</w:t>
            </w:r>
          </w:p>
        </w:tc>
        <w:tc>
          <w:tcPr>
            <w:tcW w:w="19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硅胶固相萃取柱</w:t>
            </w:r>
          </w:p>
        </w:tc>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270 </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元/盒</w:t>
            </w:r>
          </w:p>
        </w:tc>
        <w:tc>
          <w:tcPr>
            <w:tcW w:w="4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30支/盒，1g，6mL。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分4</w:t>
            </w:r>
          </w:p>
        </w:tc>
        <w:tc>
          <w:tcPr>
            <w:tcW w:w="19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Florisil固相萃取柱</w:t>
            </w:r>
          </w:p>
        </w:tc>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180 </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元/盒</w:t>
            </w:r>
          </w:p>
        </w:tc>
        <w:tc>
          <w:tcPr>
            <w:tcW w:w="4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30支/盒，1g，6mL。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分5</w:t>
            </w:r>
          </w:p>
        </w:tc>
        <w:tc>
          <w:tcPr>
            <w:tcW w:w="19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C18 SPE 小柱</w:t>
            </w:r>
          </w:p>
        </w:tc>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180 </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元/盒</w:t>
            </w:r>
          </w:p>
        </w:tc>
        <w:tc>
          <w:tcPr>
            <w:tcW w:w="4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30支/盒，500mg，6mL。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分6</w:t>
            </w:r>
          </w:p>
        </w:tc>
        <w:tc>
          <w:tcPr>
            <w:tcW w:w="19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石墨化炭黑固相萃取柱</w:t>
            </w:r>
          </w:p>
        </w:tc>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18 </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元/支</w:t>
            </w:r>
          </w:p>
        </w:tc>
        <w:tc>
          <w:tcPr>
            <w:tcW w:w="4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3mL/支，250mg。</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分7</w:t>
            </w:r>
          </w:p>
        </w:tc>
        <w:tc>
          <w:tcPr>
            <w:tcW w:w="19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弱阴离子交换固相萃取柱Ⅱ</w:t>
            </w:r>
          </w:p>
        </w:tc>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900 </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元/盒</w:t>
            </w:r>
          </w:p>
        </w:tc>
        <w:tc>
          <w:tcPr>
            <w:tcW w:w="4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30支/盒，500mg，6mL，填料为键合哌嗪的N乙烯基吡咯烷酮-二乙烯基苯共聚物。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分8</w:t>
            </w:r>
          </w:p>
        </w:tc>
        <w:tc>
          <w:tcPr>
            <w:tcW w:w="19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液相色谱柱</w:t>
            </w:r>
          </w:p>
        </w:tc>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7200 </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元/根</w:t>
            </w:r>
          </w:p>
        </w:tc>
        <w:tc>
          <w:tcPr>
            <w:tcW w:w="4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规格：BEH C18，1.7μm，2.1mm ×50mm，填料类型：BEH（桥接乙基杂化）C18，孔径：130 Å，pH范围：1-12，最大耐压：1240 bar，适用于UPLC系统。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分9</w:t>
            </w:r>
          </w:p>
        </w:tc>
        <w:tc>
          <w:tcPr>
            <w:tcW w:w="19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液相色谱柱</w:t>
            </w:r>
          </w:p>
        </w:tc>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8550 </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元/根</w:t>
            </w:r>
          </w:p>
        </w:tc>
        <w:tc>
          <w:tcPr>
            <w:tcW w:w="4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应用于邻苯二甲酸酯类、全氟化合物分析，规格：UPLC BEH C18，1.7μm，2.1mm×100mm Column，孔径130Å，碳载量18%，pH范围：适用于pH 1-12，最大耐压：18000 psi（1240 Bar），分离模式：反相，适用系统：UHPLC、UPLC，柱效：高柱效，适用于高灵敏度的质谱检测。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分10</w:t>
            </w:r>
          </w:p>
        </w:tc>
        <w:tc>
          <w:tcPr>
            <w:tcW w:w="19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液相色谱柱捕集柱</w:t>
            </w:r>
          </w:p>
        </w:tc>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6300 </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元/根</w:t>
            </w:r>
          </w:p>
        </w:tc>
        <w:tc>
          <w:tcPr>
            <w:tcW w:w="4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捕集柱，规格：Isolator Column 2.1mm×50mm Column，适用于分析如全氟化合物（PFCs/PFOA/PFOS）和双酚A等化合物，与 ACQUITY UPLC 系统兼容。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分11</w:t>
            </w:r>
          </w:p>
        </w:tc>
        <w:tc>
          <w:tcPr>
            <w:tcW w:w="19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—5MS 石英毛细管色谱柱</w:t>
            </w:r>
          </w:p>
        </w:tc>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6300</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元/根</w:t>
            </w:r>
          </w:p>
        </w:tc>
        <w:tc>
          <w:tcPr>
            <w:tcW w:w="4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超高惰性气相色谱柱，长30m，内径约0.25 mm，膜厚约0.25 </w:t>
            </w:r>
            <w:r>
              <w:rPr>
                <w:rStyle w:val="80"/>
                <w:rFonts w:hint="eastAsia" w:ascii="宋体" w:hAnsi="宋体" w:eastAsia="宋体" w:cs="宋体"/>
                <w:color w:val="000000" w:themeColor="text1"/>
                <w:sz w:val="21"/>
                <w:szCs w:val="21"/>
                <w:highlight w:val="none"/>
                <w:lang w:val="en-US" w:eastAsia="zh-CN" w:bidi="ar"/>
                <w14:textFill>
                  <w14:solidFill>
                    <w14:schemeClr w14:val="tx1"/>
                  </w14:solidFill>
                </w14:textFill>
              </w:rPr>
              <w:t>µ</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m，7英寸柱架，温度范围：-60℃～325/350℃，可兼容 Agilent7890、8890系列气相色谱系统以及配备类似尺寸柱温箱的所有非安捷伦气相色谱系统。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分12</w:t>
            </w:r>
          </w:p>
        </w:tc>
        <w:tc>
          <w:tcPr>
            <w:tcW w:w="19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—35MS 石英毛细管色谱柱</w:t>
            </w:r>
          </w:p>
        </w:tc>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6300 </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元/根</w:t>
            </w:r>
          </w:p>
        </w:tc>
        <w:tc>
          <w:tcPr>
            <w:tcW w:w="4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超高惰性气相色谱柱，长30m，内径约0.32 mm，膜厚约0.25 </w:t>
            </w:r>
            <w:r>
              <w:rPr>
                <w:rStyle w:val="80"/>
                <w:rFonts w:hint="eastAsia" w:ascii="宋体" w:hAnsi="宋体" w:eastAsia="宋体" w:cs="宋体"/>
                <w:color w:val="000000" w:themeColor="text1"/>
                <w:sz w:val="21"/>
                <w:szCs w:val="21"/>
                <w:highlight w:val="none"/>
                <w:lang w:val="en-US" w:eastAsia="zh-CN" w:bidi="ar"/>
                <w14:textFill>
                  <w14:solidFill>
                    <w14:schemeClr w14:val="tx1"/>
                  </w14:solidFill>
                </w14:textFill>
              </w:rPr>
              <w:t>µ</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m，7英寸柱架，温度范围：50℃～340/360℃，可兼容 Agilent7890、8890 系列气相色谱系统以及配备类似尺寸柱温箱的所有非安捷伦气相色谱系统。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分13</w:t>
            </w:r>
          </w:p>
        </w:tc>
        <w:tc>
          <w:tcPr>
            <w:tcW w:w="19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高纯氮气</w:t>
            </w:r>
          </w:p>
        </w:tc>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188</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元/瓶</w:t>
            </w:r>
          </w:p>
        </w:tc>
        <w:tc>
          <w:tcPr>
            <w:tcW w:w="4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40L/瓶，99.999%钢瓶气。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分14</w:t>
            </w:r>
          </w:p>
        </w:tc>
        <w:tc>
          <w:tcPr>
            <w:tcW w:w="19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高纯氦气</w:t>
            </w:r>
          </w:p>
        </w:tc>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2520 </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元/瓶</w:t>
            </w:r>
          </w:p>
        </w:tc>
        <w:tc>
          <w:tcPr>
            <w:tcW w:w="4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40L/瓶，99.999%钢瓶气。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分15</w:t>
            </w:r>
          </w:p>
        </w:tc>
        <w:tc>
          <w:tcPr>
            <w:tcW w:w="19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高纯氮气</w:t>
            </w:r>
          </w:p>
        </w:tc>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180 </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元/瓶</w:t>
            </w:r>
          </w:p>
        </w:tc>
        <w:tc>
          <w:tcPr>
            <w:tcW w:w="4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8L/瓶，99.999%钢瓶气。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分16</w:t>
            </w:r>
          </w:p>
        </w:tc>
        <w:tc>
          <w:tcPr>
            <w:tcW w:w="19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高纯氦气</w:t>
            </w:r>
          </w:p>
        </w:tc>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1170 </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元/瓶</w:t>
            </w:r>
          </w:p>
        </w:tc>
        <w:tc>
          <w:tcPr>
            <w:tcW w:w="4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8L/瓶，99.999%钢瓶气。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分17</w:t>
            </w:r>
          </w:p>
        </w:tc>
        <w:tc>
          <w:tcPr>
            <w:tcW w:w="19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除烃空气</w:t>
            </w:r>
          </w:p>
        </w:tc>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450 </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元/瓶</w:t>
            </w:r>
          </w:p>
        </w:tc>
        <w:tc>
          <w:tcPr>
            <w:tcW w:w="4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8L钢瓶气，</w:t>
            </w:r>
            <w:r>
              <w:rPr>
                <w:rFonts w:hint="eastAsia"/>
                <w:color w:val="000000" w:themeColor="text1"/>
                <w:highlight w:val="none"/>
                <w:lang w:val="en-US" w:eastAsia="zh-CN"/>
                <w14:textFill>
                  <w14:solidFill>
                    <w14:schemeClr w14:val="tx1"/>
                  </w14:solidFill>
                </w14:textFill>
              </w:rPr>
              <w:t>要求交货时间前半年内生产的批次</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分18</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2mL白色塑料螺纹样品瓶</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50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元/盒</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100个/盒，聚丙烯材质，白色，约9mm口径，瓶身宽度约12mm，瓶身高度约32mm，兼容安捷伦、岛津、赛默飞等气相气质进样器。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分19</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2mL棕色玻璃螺旋口样品瓶</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198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元/盒</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100个/盒，棕色、玻璃螺口，2mL透明，瓶身宽度约12mm，瓶身高度约32mm，兼容安捷伦、岛津、赛默飞等气相气质进样器。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4"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分20</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螺旋口样品瓶盖</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188</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元/包</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100个/包，蓝色，适配棕色2mL透明样品瓶、瓶盖尺寸12mm螺纹拧盖，含红PTFE/白色硅胶隔垫。</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分21</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螺旋口样品瓶盖</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188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元/包</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100个/包，红色，适配棕色2mL透明样品瓶、瓶盖尺寸12mm螺纹拧盖，含红PTFE/白色硅胶隔垫。</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分22</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螺旋口样品瓶盖</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188</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元/包</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100个/包，绿色，适配棕色2mL透明样品瓶、瓶盖尺寸12mm螺纹拧盖，含红PTFE/白色硅胶隔垫。</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分23</w:t>
            </w:r>
          </w:p>
        </w:tc>
        <w:tc>
          <w:tcPr>
            <w:tcW w:w="19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40mL棕色螺纹样品瓶套装</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1170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元/盒</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100只/盒，瓶身规格：约24×27.5×95mm，螺纹规格约24×414mm，</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配套实心盖内含隔垫，隔垫双层（PTFE/硅橡胶材料）。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分24</w:t>
            </w:r>
          </w:p>
        </w:tc>
        <w:tc>
          <w:tcPr>
            <w:tcW w:w="19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丁腈手套</w:t>
            </w:r>
          </w:p>
        </w:tc>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900 </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元/盒</w:t>
            </w:r>
          </w:p>
        </w:tc>
        <w:tc>
          <w:tcPr>
            <w:tcW w:w="4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100支/盒，无粉，S码加长加厚10盒，M码加长加厚20盒，L码加长加厚20盒。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分25</w:t>
            </w:r>
          </w:p>
        </w:tc>
        <w:tc>
          <w:tcPr>
            <w:tcW w:w="19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自吸式防毒面具</w:t>
            </w:r>
          </w:p>
        </w:tc>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36 </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元/个</w:t>
            </w:r>
          </w:p>
        </w:tc>
        <w:tc>
          <w:tcPr>
            <w:tcW w:w="4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3M，3200型。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分26</w:t>
            </w:r>
          </w:p>
        </w:tc>
        <w:tc>
          <w:tcPr>
            <w:tcW w:w="19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有机蒸气滤毒盒</w:t>
            </w:r>
          </w:p>
        </w:tc>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54 </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元/个</w:t>
            </w:r>
          </w:p>
        </w:tc>
        <w:tc>
          <w:tcPr>
            <w:tcW w:w="4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3M，3301CN型号。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分27</w:t>
            </w:r>
          </w:p>
        </w:tc>
        <w:tc>
          <w:tcPr>
            <w:tcW w:w="19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白大褂（实验服）</w:t>
            </w:r>
          </w:p>
        </w:tc>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45 </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元/件</w:t>
            </w:r>
          </w:p>
        </w:tc>
        <w:tc>
          <w:tcPr>
            <w:tcW w:w="4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100%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纯棉，男（厚款）长袖（2件XXXL，2件XXL，2件XL，2件L）。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分28</w:t>
            </w:r>
          </w:p>
        </w:tc>
        <w:tc>
          <w:tcPr>
            <w:tcW w:w="19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白大褂（实验服）</w:t>
            </w:r>
          </w:p>
        </w:tc>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45 </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元/件</w:t>
            </w:r>
          </w:p>
        </w:tc>
        <w:tc>
          <w:tcPr>
            <w:tcW w:w="4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100%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纯棉，女（厚款）长袖（2件XL，2件L，2件M，2件S）。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分29</w:t>
            </w:r>
          </w:p>
        </w:tc>
        <w:tc>
          <w:tcPr>
            <w:tcW w:w="19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硅藻土</w:t>
            </w:r>
          </w:p>
        </w:tc>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180 </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元/瓶</w:t>
            </w:r>
          </w:p>
        </w:tc>
        <w:tc>
          <w:tcPr>
            <w:tcW w:w="4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400g/瓶，15-30目（快速溶济萃取，微球状硅藻土）。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分30</w:t>
            </w:r>
          </w:p>
        </w:tc>
        <w:tc>
          <w:tcPr>
            <w:tcW w:w="19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氯化钠</w:t>
            </w:r>
          </w:p>
        </w:tc>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14 </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元/瓶</w:t>
            </w:r>
          </w:p>
        </w:tc>
        <w:tc>
          <w:tcPr>
            <w:tcW w:w="4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500g/瓶，分析纯。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分31</w:t>
            </w:r>
          </w:p>
        </w:tc>
        <w:tc>
          <w:tcPr>
            <w:tcW w:w="19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次氯酸钠</w:t>
            </w:r>
          </w:p>
        </w:tc>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108 </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元/瓶</w:t>
            </w:r>
          </w:p>
        </w:tc>
        <w:tc>
          <w:tcPr>
            <w:tcW w:w="4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500mL/瓶，分析纯，活性氯含量不小于5.5%。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分32</w:t>
            </w:r>
          </w:p>
        </w:tc>
        <w:tc>
          <w:tcPr>
            <w:tcW w:w="19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氟化铵</w:t>
            </w:r>
          </w:p>
        </w:tc>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720 </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元/瓶</w:t>
            </w:r>
          </w:p>
        </w:tc>
        <w:tc>
          <w:tcPr>
            <w:tcW w:w="4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50g/瓶，色谱纯，含量测定≥98.0%，铝 ≤5ppm，钙 ≤5ppm，铁 ≤5ppm，镁 ≤5ppm，钾 ≤5ppm，钠 ≤5ppm，适用于液相色谱-质谱法（LC-MS）。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分33</w:t>
            </w:r>
          </w:p>
        </w:tc>
        <w:tc>
          <w:tcPr>
            <w:tcW w:w="19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乙酸铵</w:t>
            </w:r>
          </w:p>
        </w:tc>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90 </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元/瓶</w:t>
            </w:r>
          </w:p>
        </w:tc>
        <w:tc>
          <w:tcPr>
            <w:tcW w:w="4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50g/瓶，色谱纯，含量测定：≥98.0%，水溶液（5%）pH值：6.7～7.3，氯化物（Cl）：≤0.0005%，硫酸盐（SO</w:t>
            </w:r>
            <w:r>
              <w:rPr>
                <w:rStyle w:val="80"/>
                <w:rFonts w:hint="eastAsia" w:ascii="宋体" w:hAnsi="宋体" w:eastAsia="宋体" w:cs="宋体"/>
                <w:color w:val="000000" w:themeColor="text1"/>
                <w:sz w:val="21"/>
                <w:szCs w:val="21"/>
                <w:highlight w:val="none"/>
                <w:lang w:val="en-US" w:eastAsia="zh-CN" w:bidi="ar"/>
                <w14:textFill>
                  <w14:solidFill>
                    <w14:schemeClr w14:val="tx1"/>
                  </w14:solidFill>
                </w14:textFill>
              </w:rPr>
              <w:t>₄</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）：≤0.001%，紫外吸收（1.00 cm比色皿，以水为参比）：250 nm：≤0.05，260 nm：≤0.04，270 nm：≤0.03，280 nm：≤0.02，500 nm：≤0.02。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分34</w:t>
            </w:r>
          </w:p>
        </w:tc>
        <w:tc>
          <w:tcPr>
            <w:tcW w:w="19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甲醇</w:t>
            </w:r>
          </w:p>
        </w:tc>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160 </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元/瓶</w:t>
            </w:r>
          </w:p>
        </w:tc>
        <w:tc>
          <w:tcPr>
            <w:tcW w:w="4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4L色谱纯/瓶，含量≥99.9%，20℃时密度（20/4）：0.791～0.792，色度（APHA）：≤10 APHA，水分（卡尔·费休法）：≤0.03%，酸度：≤0.0002 meq/g，碱度：≤0.0002 meq/g，蒸发残渣：≤0.0005%，梯度纯度（254 nm）：≤2.0 mAU，荧光（as quinine at 254 nm）：≤1.0 ng/mL，透光率（205 nm）：≥10%，透光率（220 nm）：≥56%，透光率（230 nm）：≥71%，透光率（240 nm）：≥79%，透光率（250 nm）：≥95%，透光率（280 nm）：≥98%，透光率（400 nm）：≥98%，按需供货。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分35</w:t>
            </w:r>
          </w:p>
        </w:tc>
        <w:tc>
          <w:tcPr>
            <w:tcW w:w="19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正己烷</w:t>
            </w:r>
          </w:p>
        </w:tc>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380 </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元/瓶</w:t>
            </w:r>
          </w:p>
        </w:tc>
        <w:tc>
          <w:tcPr>
            <w:tcW w:w="4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4L色谱纯/瓶，含量（通过气相色谱法）（以正己烷计）：≥99.0%，含量（通过气相色谱法）（以异构体计）：≥99.0%。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颜色（APHA）：≤10 APHA，水分（卡尔·费休法）：≤0.01%，酸度：≤0.0003 meq/g，蒸发残留物：≤0.0003%，硫化物（以硫计）：≤0.005%，噻吩（C</w:t>
            </w:r>
            <w:r>
              <w:rPr>
                <w:rStyle w:val="80"/>
                <w:rFonts w:hint="eastAsia" w:ascii="宋体" w:hAnsi="宋体" w:eastAsia="宋体" w:cs="宋体"/>
                <w:color w:val="000000" w:themeColor="text1"/>
                <w:sz w:val="21"/>
                <w:szCs w:val="21"/>
                <w:highlight w:val="none"/>
                <w:lang w:val="en-US" w:eastAsia="zh-CN" w:bidi="ar"/>
                <w14:textFill>
                  <w14:solidFill>
                    <w14:schemeClr w14:val="tx1"/>
                  </w14:solidFill>
                </w14:textFill>
              </w:rPr>
              <w:t>₄</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H</w:t>
            </w:r>
            <w:r>
              <w:rPr>
                <w:rStyle w:val="80"/>
                <w:rFonts w:hint="eastAsia" w:ascii="宋体" w:hAnsi="宋体" w:eastAsia="宋体" w:cs="宋体"/>
                <w:color w:val="000000" w:themeColor="text1"/>
                <w:sz w:val="21"/>
                <w:szCs w:val="21"/>
                <w:highlight w:val="none"/>
                <w:lang w:val="en-US" w:eastAsia="zh-CN" w:bidi="ar"/>
                <w14:textFill>
                  <w14:solidFill>
                    <w14:schemeClr w14:val="tx1"/>
                  </w14:solidFill>
                </w14:textFill>
              </w:rPr>
              <w:t>₄</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S）：符合测试要求，正辛烷：≤1 mg/L，透光率（在195 nm处）：≥10%，透光率（在210 nm处）：≥63%，透光率（在220 nm处）：≥83%，透光率（在225 nm处）：≥90%，透光率（在254 nm处）：≥98%，透光率（在280 nm至400 nm范围内）：≥99%，产品经过微孔过滤（0.2μm）并在氮气氛围下灌装。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分36</w:t>
            </w:r>
          </w:p>
        </w:tc>
        <w:tc>
          <w:tcPr>
            <w:tcW w:w="19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巴氏滴管</w:t>
            </w:r>
          </w:p>
        </w:tc>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180 </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元/盒</w:t>
            </w:r>
          </w:p>
        </w:tc>
        <w:tc>
          <w:tcPr>
            <w:tcW w:w="4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250支/盒，250mm。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分37</w:t>
            </w:r>
          </w:p>
        </w:tc>
        <w:tc>
          <w:tcPr>
            <w:tcW w:w="19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玻璃注射器针筒橡胶帽</w:t>
            </w:r>
          </w:p>
        </w:tc>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27 </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元/盒</w:t>
            </w:r>
          </w:p>
        </w:tc>
        <w:tc>
          <w:tcPr>
            <w:tcW w:w="4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100个/盒，T型帽，内径约3.0mm，长12mm—18mm。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分38</w:t>
            </w:r>
          </w:p>
        </w:tc>
        <w:tc>
          <w:tcPr>
            <w:tcW w:w="19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针头式过滤器</w:t>
            </w:r>
          </w:p>
        </w:tc>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90 </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元/盒</w:t>
            </w:r>
          </w:p>
        </w:tc>
        <w:tc>
          <w:tcPr>
            <w:tcW w:w="461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top"/>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100个/盒，直径约13mm，孔径约0.22um，聚四氟乙烯（PTFE）材质有机滤膜，满足《水质 6种邻苯二甲酸酯类化合物的测定 液相色谱-三重四极杆质谱法》（HJ 1242-2022）空白低于方法检出限要求。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分39</w:t>
            </w:r>
          </w:p>
        </w:tc>
        <w:tc>
          <w:tcPr>
            <w:tcW w:w="19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针头式过滤器</w:t>
            </w:r>
          </w:p>
        </w:tc>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90 </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元/盒</w:t>
            </w:r>
          </w:p>
        </w:tc>
        <w:tc>
          <w:tcPr>
            <w:tcW w:w="4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100个/盒，直径约13mm，孔径约0.22um，尼龙滤膜（有机系滤膜），聚丙烯外壳，满足《水质 6种邻苯二甲酸酯类化合物的测定 液相色谱-三重四极杆质谱法》（HJ 1242-2022）空白低于方法检出限要求。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分40</w:t>
            </w:r>
          </w:p>
        </w:tc>
        <w:tc>
          <w:tcPr>
            <w:tcW w:w="19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针头式过滤器</w:t>
            </w:r>
          </w:p>
        </w:tc>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90 </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元/盒</w:t>
            </w:r>
          </w:p>
        </w:tc>
        <w:tc>
          <w:tcPr>
            <w:tcW w:w="4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100个/盒，直径约13mm，孔径约0.45um，尼龙滤膜（有机系滤膜），聚丙烯外壳，满足《水质 6种邻苯二甲酸酯类化合物的测定 液相色谱-三重四极杆质谱法》（HJ 1242-2022）空白低于方法检出限要求。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分41</w:t>
            </w:r>
          </w:p>
        </w:tc>
        <w:tc>
          <w:tcPr>
            <w:tcW w:w="19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玻璃针管注射器</w:t>
            </w:r>
          </w:p>
        </w:tc>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23 </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元/盒</w:t>
            </w:r>
          </w:p>
        </w:tc>
        <w:tc>
          <w:tcPr>
            <w:tcW w:w="4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10支/盒，普通口2.5mL</w:t>
            </w:r>
            <w:r>
              <w:rPr>
                <w:rStyle w:val="80"/>
                <w:rFonts w:hint="eastAsia" w:ascii="宋体" w:hAnsi="宋体" w:eastAsia="宋体" w:cs="宋体"/>
                <w:color w:val="000000" w:themeColor="text1"/>
                <w:sz w:val="21"/>
                <w:szCs w:val="21"/>
                <w:highlight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口径：约4mm长度：86mm。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分42</w:t>
            </w:r>
          </w:p>
        </w:tc>
        <w:tc>
          <w:tcPr>
            <w:tcW w:w="19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40mL吹扫瓶盖</w:t>
            </w:r>
          </w:p>
        </w:tc>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90 </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元/包</w:t>
            </w:r>
          </w:p>
        </w:tc>
        <w:tc>
          <w:tcPr>
            <w:tcW w:w="4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100个/包，</w:t>
            </w:r>
            <w:r>
              <w:rPr>
                <w:rFonts w:hint="eastAsia" w:ascii="宋体" w:hAnsi="宋体" w:eastAsia="宋体" w:cs="宋体"/>
                <w:i w:val="0"/>
                <w:iCs w:val="0"/>
                <w:strike w:val="0"/>
                <w:dstrike w:val="0"/>
                <w:color w:val="000000" w:themeColor="text1"/>
                <w:kern w:val="0"/>
                <w:sz w:val="21"/>
                <w:szCs w:val="21"/>
                <w:highlight w:val="none"/>
                <w:u w:val="none"/>
                <w:lang w:val="en-US" w:eastAsia="zh-CN" w:bidi="ar"/>
                <w14:textFill>
                  <w14:solidFill>
                    <w14:schemeClr w14:val="tx1"/>
                  </w14:solidFill>
                </w14:textFill>
              </w:rPr>
              <w:t>24-414</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白色螺口开孔盖，Φ22×3.0mm，配3.0mm厚度本膜白胶垫片（超净款）。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分43</w:t>
            </w:r>
          </w:p>
        </w:tc>
        <w:tc>
          <w:tcPr>
            <w:tcW w:w="19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15mL玻璃螺口离心管</w:t>
            </w:r>
          </w:p>
        </w:tc>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23 </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元/盒</w:t>
            </w:r>
          </w:p>
        </w:tc>
        <w:tc>
          <w:tcPr>
            <w:tcW w:w="4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10支/盒，尖底离心管，15mL刻度，18×130mm，带盖。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分44</w:t>
            </w:r>
          </w:p>
        </w:tc>
        <w:tc>
          <w:tcPr>
            <w:tcW w:w="19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具塞磨口玻璃锥形瓶</w:t>
            </w:r>
          </w:p>
        </w:tc>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23 </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元/个</w:t>
            </w:r>
          </w:p>
        </w:tc>
        <w:tc>
          <w:tcPr>
            <w:tcW w:w="4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规格：250mL带刻度，磨口规格34/35mm，含玻璃瓶塞。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分45</w:t>
            </w:r>
          </w:p>
        </w:tc>
        <w:tc>
          <w:tcPr>
            <w:tcW w:w="19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具塞磨口玻璃锥形瓶</w:t>
            </w:r>
          </w:p>
        </w:tc>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36 </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元/个</w:t>
            </w:r>
          </w:p>
        </w:tc>
        <w:tc>
          <w:tcPr>
            <w:tcW w:w="4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规格：1000mL带刻度，磨口规格34/35mm，含玻璃瓶塞。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分46</w:t>
            </w:r>
          </w:p>
        </w:tc>
        <w:tc>
          <w:tcPr>
            <w:tcW w:w="19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1000mL聚丙烯塑料</w:t>
            </w:r>
          </w:p>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烧杯</w:t>
            </w:r>
          </w:p>
        </w:tc>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23 </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元/个</w:t>
            </w:r>
          </w:p>
        </w:tc>
        <w:tc>
          <w:tcPr>
            <w:tcW w:w="4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规格：1000mL，聚丙烯材质，加厚pp塑料刻度带柄烧杯。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分47</w:t>
            </w:r>
          </w:p>
        </w:tc>
        <w:tc>
          <w:tcPr>
            <w:tcW w:w="19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1000mL聚丙烯塑料</w:t>
            </w:r>
          </w:p>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量筒</w:t>
            </w:r>
          </w:p>
        </w:tc>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23 </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元/个</w:t>
            </w:r>
          </w:p>
        </w:tc>
        <w:tc>
          <w:tcPr>
            <w:tcW w:w="4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规格：1000mL，带刻度透明pp材质，加厚。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分48</w:t>
            </w:r>
          </w:p>
        </w:tc>
        <w:tc>
          <w:tcPr>
            <w:tcW w:w="19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PP棕色塑料试剂瓶</w:t>
            </w:r>
          </w:p>
        </w:tc>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7 </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元/个</w:t>
            </w:r>
          </w:p>
        </w:tc>
        <w:tc>
          <w:tcPr>
            <w:tcW w:w="4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聚丙烯材质，加厚，规格1000mL，高度约195mm，外径约95mm，盖直径约68mm，口直径约57mm。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分49</w:t>
            </w:r>
          </w:p>
        </w:tc>
        <w:tc>
          <w:tcPr>
            <w:tcW w:w="19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玻璃纤维滤膜</w:t>
            </w:r>
          </w:p>
        </w:tc>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27 </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元/盒</w:t>
            </w:r>
          </w:p>
        </w:tc>
        <w:tc>
          <w:tcPr>
            <w:tcW w:w="4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25张/盒，规格：0.45μm×47mm。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分50</w:t>
            </w:r>
          </w:p>
        </w:tc>
        <w:tc>
          <w:tcPr>
            <w:tcW w:w="19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玻璃纤维滤膜</w:t>
            </w:r>
          </w:p>
        </w:tc>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135 </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元/盒</w:t>
            </w:r>
          </w:p>
        </w:tc>
        <w:tc>
          <w:tcPr>
            <w:tcW w:w="4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25张/盒，规格：0.45μm×150mm。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分51</w:t>
            </w:r>
          </w:p>
        </w:tc>
        <w:tc>
          <w:tcPr>
            <w:tcW w:w="19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spe小柱大容量</w:t>
            </w:r>
          </w:p>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采样进样管</w:t>
            </w:r>
          </w:p>
        </w:tc>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36 </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元/根</w:t>
            </w:r>
          </w:p>
        </w:tc>
        <w:tc>
          <w:tcPr>
            <w:tcW w:w="4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PP材质，80cm或100cm，大体积进样器（含配重）。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分52</w:t>
            </w:r>
          </w:p>
        </w:tc>
        <w:tc>
          <w:tcPr>
            <w:tcW w:w="19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SPE小柱转接头</w:t>
            </w:r>
          </w:p>
        </w:tc>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45 </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元/包</w:t>
            </w:r>
          </w:p>
        </w:tc>
        <w:tc>
          <w:tcPr>
            <w:tcW w:w="4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12个/包，聚丙烯材质，</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规格：1/3/6/12mL小柱串联接口通用适配器。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分53</w:t>
            </w:r>
          </w:p>
        </w:tc>
        <w:tc>
          <w:tcPr>
            <w:tcW w:w="19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PES材料真空过滤瓶组</w:t>
            </w:r>
          </w:p>
        </w:tc>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1350 </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元/套</w:t>
            </w:r>
          </w:p>
        </w:tc>
        <w:tc>
          <w:tcPr>
            <w:tcW w:w="4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聚砜树脂等材质，LF30型，含：杯盖、300mL聚醚砜旋卡式抽滤漏斗、47mm PES过滤基座、1.2L聚碳酸酯抽滤接收瓶，接收瓶设计溢满保护装置。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分54</w:t>
            </w:r>
          </w:p>
        </w:tc>
        <w:tc>
          <w:tcPr>
            <w:tcW w:w="19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实验室抽取式无尘纸</w:t>
            </w:r>
          </w:p>
        </w:tc>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10 </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元/盒</w:t>
            </w:r>
          </w:p>
        </w:tc>
        <w:tc>
          <w:tcPr>
            <w:tcW w:w="4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280张/盒，精密低尘擦拭纸，盒装抽取式，低掉尘，有效满足精密擦拭的要求，搭配溶剂使用韧性良好，不易破损。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 分55</w:t>
            </w:r>
          </w:p>
        </w:tc>
        <w:tc>
          <w:tcPr>
            <w:tcW w:w="19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250mL分液漏斗</w:t>
            </w:r>
          </w:p>
        </w:tc>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45 </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元/个</w:t>
            </w:r>
          </w:p>
        </w:tc>
        <w:tc>
          <w:tcPr>
            <w:tcW w:w="4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上磨口：24/40，四氟口塞；4mm四氟节门塞。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分56</w:t>
            </w:r>
          </w:p>
        </w:tc>
        <w:tc>
          <w:tcPr>
            <w:tcW w:w="19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快速溶剂萃取接收瓶</w:t>
            </w:r>
          </w:p>
        </w:tc>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900 </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元/盒</w:t>
            </w:r>
          </w:p>
        </w:tc>
        <w:tc>
          <w:tcPr>
            <w:tcW w:w="4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48个/盒，配套实心盖内含隔垫，隔垫双层（PTFE/硅橡胶材料）；适配瑞士步琦快速溶剂萃取仪（E-916）。瓶规格参数：瓶身高度：137mm；瓶身外径：59±1mm；瓶口：24-400螺纹；瓶底直径：约55mm。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分57</w:t>
            </w:r>
          </w:p>
        </w:tc>
        <w:tc>
          <w:tcPr>
            <w:tcW w:w="19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40L气瓶推车</w:t>
            </w:r>
          </w:p>
        </w:tc>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270 </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元/辆</w:t>
            </w:r>
          </w:p>
        </w:tc>
        <w:tc>
          <w:tcPr>
            <w:tcW w:w="4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管壁厚度加厚≥2mm，四轮移动，竖放时小轮支架可折叠收回，U形凹槽，贴合气瓶，载重≥150kg。</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分58</w:t>
            </w:r>
          </w:p>
        </w:tc>
        <w:tc>
          <w:tcPr>
            <w:tcW w:w="19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8L气瓶固定架</w:t>
            </w:r>
          </w:p>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（双瓶位）</w:t>
            </w:r>
          </w:p>
        </w:tc>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135 </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元/个</w:t>
            </w:r>
          </w:p>
        </w:tc>
        <w:tc>
          <w:tcPr>
            <w:tcW w:w="4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进口径18cm，每瓶位上下双锁链。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分59</w:t>
            </w:r>
          </w:p>
        </w:tc>
        <w:tc>
          <w:tcPr>
            <w:tcW w:w="19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8-15L气瓶搬运车</w:t>
            </w:r>
          </w:p>
        </w:tc>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180 </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元/个</w:t>
            </w:r>
          </w:p>
        </w:tc>
        <w:tc>
          <w:tcPr>
            <w:tcW w:w="4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进口径18cm，管壁厚≥1.2mm，镀锌双锁链，两个橡胶静音脚轮，加厚底板（长约25cm，宽约22cm）。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分60</w:t>
            </w:r>
          </w:p>
        </w:tc>
        <w:tc>
          <w:tcPr>
            <w:tcW w:w="19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搪瓷托盘</w:t>
            </w:r>
          </w:p>
        </w:tc>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23 </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元/个</w:t>
            </w:r>
          </w:p>
        </w:tc>
        <w:tc>
          <w:tcPr>
            <w:tcW w:w="4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抗酸、抗碱、耐腐蚀，宽×长×高约20×30×3.5cm。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分61</w:t>
            </w:r>
          </w:p>
        </w:tc>
        <w:tc>
          <w:tcPr>
            <w:tcW w:w="19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搪瓷托盘</w:t>
            </w:r>
          </w:p>
        </w:tc>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36 </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元/个</w:t>
            </w:r>
          </w:p>
        </w:tc>
        <w:tc>
          <w:tcPr>
            <w:tcW w:w="4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抗酸、抗碱、耐腐蚀，宽×长×高约35×45×3.5cm。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分62</w:t>
            </w:r>
          </w:p>
        </w:tc>
        <w:tc>
          <w:tcPr>
            <w:tcW w:w="19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环己烷</w:t>
            </w:r>
          </w:p>
        </w:tc>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450</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元/瓶</w:t>
            </w:r>
          </w:p>
        </w:tc>
        <w:tc>
          <w:tcPr>
            <w:tcW w:w="4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HPLC级，含量测定（通过气相色谱法，GC）≥99.5%；密度 0.776～0.780，颜色（APHA） ≤10 APHA，水分（KF） ≤0.01%，酸度 ≤0.0002 meq/g，不挥发物 ≤0.0003%，透光率（208 nm处） ≥10% ，透光率（220 nm处） ≥45%，透光率（230 nm处） ≥65%，透光率（240 nm处） ≥83%，透光率（254 nm～400 nm处） ≥98%，产品经0.2微米微滤并在氮气环境下灌装。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分63                                                                       </w:t>
            </w:r>
          </w:p>
        </w:tc>
        <w:tc>
          <w:tcPr>
            <w:tcW w:w="19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Gas Clean载气净化器</w:t>
            </w:r>
          </w:p>
        </w:tc>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1800</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元/个</w:t>
            </w:r>
          </w:p>
        </w:tc>
        <w:tc>
          <w:tcPr>
            <w:tcW w:w="4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气体过滤器类型 ：Combination (Universal)，适配安捷伦8890/5977B型气相色谱-质谱联用仪。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分64</w:t>
            </w:r>
          </w:p>
        </w:tc>
        <w:tc>
          <w:tcPr>
            <w:tcW w:w="19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ALS 进样针</w:t>
            </w:r>
          </w:p>
        </w:tc>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450</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元/支</w:t>
            </w:r>
          </w:p>
        </w:tc>
        <w:tc>
          <w:tcPr>
            <w:tcW w:w="4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针头长度：42 mm，针头号：23-26s，固定式针头，锥形针尖，适配安捷伦8890/5977B型气相色谱-质谱联用仪自动进样器。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分65</w:t>
            </w:r>
          </w:p>
        </w:tc>
        <w:tc>
          <w:tcPr>
            <w:tcW w:w="19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吹扫捕集三级进样针</w:t>
            </w:r>
          </w:p>
        </w:tc>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900</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元/根</w:t>
            </w:r>
          </w:p>
        </w:tc>
        <w:tc>
          <w:tcPr>
            <w:tcW w:w="4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与Atomx XYZ兼容，适用于TEKMAR-Atomx XYZ吹扫捕集装置。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分66</w:t>
            </w:r>
          </w:p>
        </w:tc>
        <w:tc>
          <w:tcPr>
            <w:tcW w:w="19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带支架玻璃内插管</w:t>
            </w:r>
          </w:p>
        </w:tc>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元/包</w:t>
            </w:r>
          </w:p>
        </w:tc>
        <w:tc>
          <w:tcPr>
            <w:tcW w:w="4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100根/包，250μL，玻璃材质，锥形，带支架，口径×外径×高度约5mm×6mm×29mm，洁净无污染，适用于2mL气相液相进样小瓶。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分67               </w:t>
            </w:r>
          </w:p>
        </w:tc>
        <w:tc>
          <w:tcPr>
            <w:tcW w:w="19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1000mL分液漏斗</w:t>
            </w:r>
          </w:p>
        </w:tc>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45</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元/个</w:t>
            </w:r>
          </w:p>
        </w:tc>
        <w:tc>
          <w:tcPr>
            <w:tcW w:w="4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上磨口：24/40，四氟口塞，4mm四氟节门塞。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分68</w:t>
            </w:r>
          </w:p>
        </w:tc>
        <w:tc>
          <w:tcPr>
            <w:tcW w:w="19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样品瓶架/盘</w:t>
            </w:r>
          </w:p>
        </w:tc>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9</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元/个</w:t>
            </w:r>
          </w:p>
        </w:tc>
        <w:tc>
          <w:tcPr>
            <w:tcW w:w="4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蓝色，PP材质，尺寸约：190×100×25mm，孔径约12mm 50孔，适用2mL进样小瓶。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分69</w:t>
            </w:r>
          </w:p>
        </w:tc>
        <w:tc>
          <w:tcPr>
            <w:tcW w:w="19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样品瓶架/盘</w:t>
            </w:r>
          </w:p>
        </w:tc>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18</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元/个</w:t>
            </w:r>
          </w:p>
        </w:tc>
        <w:tc>
          <w:tcPr>
            <w:tcW w:w="4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蓝色，PP材质，尺寸约：240×120×28mm，孔径约16mm 50孔，适用4mL进样小瓶。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分70</w:t>
            </w:r>
          </w:p>
        </w:tc>
        <w:tc>
          <w:tcPr>
            <w:tcW w:w="19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样品瓶架/盘</w:t>
            </w:r>
          </w:p>
        </w:tc>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27</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元/个</w:t>
            </w:r>
          </w:p>
        </w:tc>
        <w:tc>
          <w:tcPr>
            <w:tcW w:w="4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蓝色，PP材质，尺寸约：278×176×30mm，孔径约23mm 40孔，适用10mL、15mL顶空瓶。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分71</w:t>
            </w:r>
          </w:p>
        </w:tc>
        <w:tc>
          <w:tcPr>
            <w:tcW w:w="19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样品瓶架/盘</w:t>
            </w:r>
          </w:p>
        </w:tc>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36</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元/个</w:t>
            </w:r>
          </w:p>
        </w:tc>
        <w:tc>
          <w:tcPr>
            <w:tcW w:w="4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蓝色，PP材质，尺寸约：278×176×30mm，孔径约28mm 40孔，适用20～60mL顶空瓶。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分72</w:t>
            </w:r>
          </w:p>
        </w:tc>
        <w:tc>
          <w:tcPr>
            <w:tcW w:w="19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2mL塑料冻存盒</w:t>
            </w:r>
          </w:p>
        </w:tc>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9</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元/个</w:t>
            </w:r>
          </w:p>
        </w:tc>
        <w:tc>
          <w:tcPr>
            <w:tcW w:w="4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规格：81孔/个，尺寸：130×130×50mm，聚碳酸酯（PC盖），聚丙烯（PP底），盒盖采用连续数字编号，适用于0.5～2ml内旋和外旋冻存管和样品管。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分73</w:t>
            </w:r>
          </w:p>
        </w:tc>
        <w:tc>
          <w:tcPr>
            <w:tcW w:w="19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装枪头神器</w:t>
            </w:r>
          </w:p>
        </w:tc>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54</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元/个</w:t>
            </w:r>
          </w:p>
        </w:tc>
        <w:tc>
          <w:tcPr>
            <w:tcW w:w="4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200μL黄色枪头通用款。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分74</w:t>
            </w:r>
          </w:p>
        </w:tc>
        <w:tc>
          <w:tcPr>
            <w:tcW w:w="19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排插固定器</w:t>
            </w:r>
          </w:p>
        </w:tc>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元/个</w:t>
            </w:r>
          </w:p>
        </w:tc>
        <w:tc>
          <w:tcPr>
            <w:tcW w:w="4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无痕自粘式，免打孔壁挂，插片式/可移动。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分75</w:t>
            </w:r>
          </w:p>
        </w:tc>
        <w:tc>
          <w:tcPr>
            <w:tcW w:w="19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通用电线固定器</w:t>
            </w:r>
          </w:p>
        </w:tc>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18</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元/袋</w:t>
            </w:r>
          </w:p>
        </w:tc>
        <w:tc>
          <w:tcPr>
            <w:tcW w:w="4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100个装，大号，直径约9mm，适用线材外径5-9mm，适用于电源线、插排等，免打孔无痕墙面固定，卡扣走线。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分76</w:t>
            </w:r>
          </w:p>
        </w:tc>
        <w:tc>
          <w:tcPr>
            <w:tcW w:w="19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高效活性炭口罩</w:t>
            </w:r>
          </w:p>
        </w:tc>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23</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元/盒</w:t>
            </w:r>
          </w:p>
        </w:tc>
        <w:tc>
          <w:tcPr>
            <w:tcW w:w="4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50只/盒，灰色，5层独立装，含双层熔喷布+活性炭层。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分77</w:t>
            </w:r>
          </w:p>
        </w:tc>
        <w:tc>
          <w:tcPr>
            <w:tcW w:w="19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医用无菌注射器</w:t>
            </w:r>
          </w:p>
        </w:tc>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18</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元/盒</w:t>
            </w:r>
          </w:p>
        </w:tc>
        <w:tc>
          <w:tcPr>
            <w:tcW w:w="4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100支/盒，5mL/支，单支无菌独立装。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分78</w:t>
            </w:r>
          </w:p>
        </w:tc>
        <w:tc>
          <w:tcPr>
            <w:tcW w:w="19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甲酸</w:t>
            </w:r>
          </w:p>
        </w:tc>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180</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元/瓶</w:t>
            </w:r>
          </w:p>
        </w:tc>
        <w:tc>
          <w:tcPr>
            <w:tcW w:w="4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500mL/瓶，级别：HPLC，含量 ≥98.0(%)。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分79</w:t>
            </w:r>
          </w:p>
        </w:tc>
        <w:tc>
          <w:tcPr>
            <w:tcW w:w="19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无苯二硫化碳</w:t>
            </w:r>
          </w:p>
        </w:tc>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270</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元/瓶</w:t>
            </w:r>
          </w:p>
        </w:tc>
        <w:tc>
          <w:tcPr>
            <w:tcW w:w="4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500mL/瓶，级别：色谱纯，纯度：无苯，含量 ≥99.0(%)，苯系物检测专用。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分80</w:t>
            </w:r>
          </w:p>
        </w:tc>
        <w:tc>
          <w:tcPr>
            <w:tcW w:w="19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乙腈</w:t>
            </w:r>
          </w:p>
        </w:tc>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180</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元/瓶</w:t>
            </w:r>
          </w:p>
        </w:tc>
        <w:tc>
          <w:tcPr>
            <w:tcW w:w="4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4L/瓶，级别：LC-MS，含量 ≥99.9（%）。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ind w:left="425" w:leftChars="0" w:hanging="425"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分81</w:t>
            </w:r>
          </w:p>
        </w:tc>
        <w:tc>
          <w:tcPr>
            <w:tcW w:w="19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二氯甲烷</w:t>
            </w:r>
          </w:p>
        </w:tc>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450</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元/瓶</w:t>
            </w:r>
          </w:p>
        </w:tc>
        <w:tc>
          <w:tcPr>
            <w:tcW w:w="4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4L色谱纯/瓶，含量（气相色谱法测定）≥99.8%。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83"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二、</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b/>
                <w:color w:val="000000" w:themeColor="text1"/>
                <w:sz w:val="21"/>
                <w:szCs w:val="21"/>
                <w:highlight w:val="none"/>
                <w14:textFill>
                  <w14:solidFill>
                    <w14:schemeClr w14:val="tx1"/>
                  </w14:solidFill>
                </w14:textFill>
              </w:rPr>
              <w:t>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5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90" w:lineRule="exact"/>
              <w:jc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规范标准</w:t>
            </w:r>
          </w:p>
        </w:tc>
        <w:tc>
          <w:tcPr>
            <w:tcW w:w="762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90" w:lineRule="exact"/>
              <w:jc w:val="left"/>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采购标的需执行的国家标准、行业标准、地方标准或者其他标准、规范。多项标准的，按最新标准或较高标准执行。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5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报价及结算说明</w:t>
            </w:r>
          </w:p>
        </w:tc>
        <w:tc>
          <w:tcPr>
            <w:tcW w:w="762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60" w:lineRule="auto"/>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1.竞标人报价时参考需求清单，按整体折扣比例（%）进行报价（折扣区间要求在0～100%不保留小数，非折扣率和下浮系数）。</w:t>
            </w:r>
          </w:p>
          <w:p>
            <w:pPr>
              <w:keepNext w:val="0"/>
              <w:keepLines w:val="0"/>
              <w:pageBreakBefore w:val="0"/>
              <w:kinsoku/>
              <w:wordWrap/>
              <w:overflowPunct/>
              <w:topLinePunct w:val="0"/>
              <w:autoSpaceDE/>
              <w:autoSpaceDN/>
              <w:bidi w:val="0"/>
              <w:adjustRightInd/>
              <w:snapToGrid w:val="0"/>
              <w:spacing w:line="360" w:lineRule="auto"/>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2.本项目为整体折扣比例（%），实际合同结算金额包含采购人要求货物送到指定地点的全部价格，包括：</w:t>
            </w:r>
          </w:p>
          <w:p>
            <w:pPr>
              <w:keepNext w:val="0"/>
              <w:keepLines w:val="0"/>
              <w:pageBreakBefore w:val="0"/>
              <w:kinsoku/>
              <w:wordWrap/>
              <w:overflowPunct/>
              <w:topLinePunct w:val="0"/>
              <w:autoSpaceDE/>
              <w:autoSpaceDN/>
              <w:bidi w:val="0"/>
              <w:adjustRightInd/>
              <w:snapToGrid w:val="0"/>
              <w:spacing w:line="360" w:lineRule="auto"/>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（1）货物及其标准附件、备品备件、专用工具等价格；</w:t>
            </w:r>
          </w:p>
          <w:p>
            <w:pPr>
              <w:keepNext w:val="0"/>
              <w:keepLines w:val="0"/>
              <w:pageBreakBefore w:val="0"/>
              <w:kinsoku/>
              <w:wordWrap/>
              <w:overflowPunct/>
              <w:topLinePunct w:val="0"/>
              <w:autoSpaceDE/>
              <w:autoSpaceDN/>
              <w:bidi w:val="0"/>
              <w:adjustRightInd/>
              <w:snapToGrid w:val="0"/>
              <w:spacing w:line="360" w:lineRule="auto"/>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（2）运输、装卸、调试、培训、技术支持、售后服务等费用；</w:t>
            </w:r>
          </w:p>
          <w:p>
            <w:pPr>
              <w:keepNext w:val="0"/>
              <w:keepLines w:val="0"/>
              <w:pageBreakBefore w:val="0"/>
              <w:kinsoku/>
              <w:wordWrap/>
              <w:overflowPunct/>
              <w:topLinePunct w:val="0"/>
              <w:autoSpaceDE/>
              <w:autoSpaceDN/>
              <w:bidi w:val="0"/>
              <w:adjustRightInd/>
              <w:snapToGrid w:val="0"/>
              <w:spacing w:line="360" w:lineRule="auto"/>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（3）必要的保险费用和各项税费。</w:t>
            </w:r>
          </w:p>
          <w:p>
            <w:pPr>
              <w:keepNext w:val="0"/>
              <w:keepLines w:val="0"/>
              <w:pageBreakBefore w:val="0"/>
              <w:kinsoku/>
              <w:wordWrap/>
              <w:overflowPunct/>
              <w:topLinePunct w:val="0"/>
              <w:autoSpaceDE/>
              <w:autoSpaceDN/>
              <w:bidi w:val="0"/>
              <w:adjustRightInd/>
              <w:snapToGrid w:val="0"/>
              <w:spacing w:line="360" w:lineRule="auto"/>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（4）与本项目有关的其他必要费用。</w:t>
            </w:r>
          </w:p>
          <w:p>
            <w:pPr>
              <w:keepNext w:val="0"/>
              <w:keepLines w:val="0"/>
              <w:pageBreakBefore w:val="0"/>
              <w:kinsoku/>
              <w:wordWrap/>
              <w:overflowPunct/>
              <w:topLinePunct w:val="0"/>
              <w:autoSpaceDE/>
              <w:autoSpaceDN/>
              <w:bidi w:val="0"/>
              <w:adjustRightInd/>
              <w:snapToGrid w:val="0"/>
              <w:spacing w:line="360" w:lineRule="auto"/>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3.根据符合采购需求、质量和服务相等且“整体折扣比例”最低的原则确定成交供应商。</w:t>
            </w:r>
          </w:p>
          <w:p>
            <w:pPr>
              <w:keepNext w:val="0"/>
              <w:keepLines w:val="0"/>
              <w:pageBreakBefore w:val="0"/>
              <w:kinsoku/>
              <w:wordWrap/>
              <w:overflowPunct/>
              <w:topLinePunct w:val="0"/>
              <w:autoSpaceDE/>
              <w:autoSpaceDN/>
              <w:bidi w:val="0"/>
              <w:adjustRightInd/>
              <w:snapToGrid w:val="0"/>
              <w:spacing w:line="360" w:lineRule="auto"/>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4.单价预算金额仅作为采购人与</w:t>
            </w:r>
            <w:r>
              <w:rPr>
                <w:rFonts w:hint="eastAsia" w:ascii="宋体" w:hAnsi="宋体" w:cs="宋体"/>
                <w:color w:val="000000" w:themeColor="text1"/>
                <w:sz w:val="21"/>
                <w:szCs w:val="21"/>
                <w:highlight w:val="none"/>
                <w:lang w:val="en-US" w:eastAsia="zh-CN"/>
                <w14:textFill>
                  <w14:solidFill>
                    <w14:schemeClr w14:val="tx1"/>
                  </w14:solidFill>
                </w14:textFill>
              </w:rPr>
              <w:t>成交供应商</w:t>
            </w:r>
            <w:r>
              <w:rPr>
                <w:rFonts w:hint="eastAsia" w:ascii="宋体" w:hAnsi="宋体" w:eastAsia="宋体" w:cs="宋体"/>
                <w:color w:val="000000" w:themeColor="text1"/>
                <w:sz w:val="21"/>
                <w:szCs w:val="21"/>
                <w:highlight w:val="none"/>
                <w:lang w:val="en-US" w:eastAsia="zh-CN"/>
                <w14:textFill>
                  <w14:solidFill>
                    <w14:schemeClr w14:val="tx1"/>
                  </w14:solidFill>
                </w14:textFill>
              </w:rPr>
              <w:t>签订合同的依据，采购人以</w:t>
            </w:r>
            <w:r>
              <w:rPr>
                <w:rFonts w:hint="eastAsia" w:ascii="宋体" w:hAnsi="宋体" w:cs="宋体"/>
                <w:color w:val="000000" w:themeColor="text1"/>
                <w:sz w:val="21"/>
                <w:szCs w:val="21"/>
                <w:highlight w:val="none"/>
                <w:lang w:val="en-US" w:eastAsia="zh-CN"/>
                <w14:textFill>
                  <w14:solidFill>
                    <w14:schemeClr w14:val="tx1"/>
                  </w14:solidFill>
                </w14:textFill>
              </w:rPr>
              <w:t>成交供应商</w:t>
            </w:r>
            <w:r>
              <w:rPr>
                <w:rFonts w:hint="eastAsia" w:ascii="宋体" w:hAnsi="宋体" w:eastAsia="宋体" w:cs="宋体"/>
                <w:color w:val="000000" w:themeColor="text1"/>
                <w:sz w:val="21"/>
                <w:szCs w:val="21"/>
                <w:highlight w:val="none"/>
                <w:lang w:val="en-US" w:eastAsia="zh-CN"/>
                <w14:textFill>
                  <w14:solidFill>
                    <w14:schemeClr w14:val="tx1"/>
                  </w14:solidFill>
                </w14:textFill>
              </w:rPr>
              <w:t>的整体折扣比例（%）报价的作为采购人与</w:t>
            </w:r>
            <w:r>
              <w:rPr>
                <w:rFonts w:hint="eastAsia" w:ascii="宋体" w:hAnsi="宋体" w:cs="宋体"/>
                <w:color w:val="000000" w:themeColor="text1"/>
                <w:sz w:val="21"/>
                <w:szCs w:val="21"/>
                <w:highlight w:val="none"/>
                <w:lang w:val="en-US" w:eastAsia="zh-CN"/>
                <w14:textFill>
                  <w14:solidFill>
                    <w14:schemeClr w14:val="tx1"/>
                  </w14:solidFill>
                </w14:textFill>
              </w:rPr>
              <w:t>成交供应商</w:t>
            </w:r>
            <w:r>
              <w:rPr>
                <w:rFonts w:hint="eastAsia" w:ascii="宋体" w:hAnsi="宋体" w:eastAsia="宋体" w:cs="宋体"/>
                <w:color w:val="000000" w:themeColor="text1"/>
                <w:sz w:val="21"/>
                <w:szCs w:val="21"/>
                <w:highlight w:val="none"/>
                <w:lang w:val="en-US" w:eastAsia="zh-CN"/>
                <w14:textFill>
                  <w14:solidFill>
                    <w14:schemeClr w14:val="tx1"/>
                  </w14:solidFill>
                </w14:textFill>
              </w:rPr>
              <w:t>结算的依据，</w:t>
            </w:r>
            <w:r>
              <w:rPr>
                <w:rFonts w:hint="eastAsia" w:ascii="宋体" w:hAnsi="宋体" w:cs="宋体"/>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color w:val="000000" w:themeColor="text1"/>
                <w:sz w:val="21"/>
                <w:szCs w:val="21"/>
                <w:highlight w:val="none"/>
                <w:lang w:val="en-US" w:eastAsia="zh-CN"/>
                <w14:textFill>
                  <w14:solidFill>
                    <w14:schemeClr w14:val="tx1"/>
                  </w14:solidFill>
                </w14:textFill>
              </w:rPr>
              <w:t>的</w:t>
            </w:r>
            <w:r>
              <w:rPr>
                <w:rFonts w:hint="eastAsia" w:ascii="宋体" w:hAnsi="宋体" w:cs="宋体"/>
                <w:color w:val="000000" w:themeColor="text1"/>
                <w:sz w:val="21"/>
                <w:szCs w:val="21"/>
                <w:highlight w:val="none"/>
                <w:lang w:val="en-US" w:eastAsia="zh-CN"/>
                <w14:textFill>
                  <w14:solidFill>
                    <w14:schemeClr w14:val="tx1"/>
                  </w14:solidFill>
                </w14:textFill>
              </w:rPr>
              <w:t>竞标</w:t>
            </w:r>
            <w:r>
              <w:rPr>
                <w:rFonts w:hint="eastAsia" w:ascii="宋体" w:hAnsi="宋体" w:eastAsia="宋体" w:cs="宋体"/>
                <w:color w:val="000000" w:themeColor="text1"/>
                <w:sz w:val="21"/>
                <w:szCs w:val="21"/>
                <w:highlight w:val="none"/>
                <w:lang w:val="en-US" w:eastAsia="zh-CN"/>
                <w14:textFill>
                  <w14:solidFill>
                    <w14:schemeClr w14:val="tx1"/>
                  </w14:solidFill>
                </w14:textFill>
              </w:rPr>
              <w:t>报价与预算金额无关。</w:t>
            </w:r>
          </w:p>
          <w:p>
            <w:pPr>
              <w:keepNext w:val="0"/>
              <w:keepLines w:val="0"/>
              <w:pageBreakBefore w:val="0"/>
              <w:kinsoku/>
              <w:wordWrap/>
              <w:overflowPunct/>
              <w:topLinePunct w:val="0"/>
              <w:autoSpaceDE/>
              <w:autoSpaceDN/>
              <w:bidi w:val="0"/>
              <w:adjustRightInd/>
              <w:snapToGrid w:val="0"/>
              <w:spacing w:line="360" w:lineRule="auto"/>
              <w:jc w:val="left"/>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5.实际合同结算金额=</w:t>
            </w:r>
            <w:r>
              <w:rPr>
                <w:rFonts w:hint="eastAsia" w:ascii="宋体" w:hAnsi="宋体" w:cs="宋体"/>
                <w:b/>
                <w:bCs/>
                <w:color w:val="000000" w:themeColor="text1"/>
                <w:sz w:val="21"/>
                <w:szCs w:val="21"/>
                <w:highlight w:val="none"/>
                <w:lang w:val="en-US" w:eastAsia="zh-CN"/>
                <w14:textFill>
                  <w14:solidFill>
                    <w14:schemeClr w14:val="tx1"/>
                  </w14:solidFill>
                </w14:textFill>
              </w:rPr>
              <w:t>所购买产品</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的采购预算价×</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整体折扣比例</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（%）×实际购买数量。采购人不再支付实际合同结算金额以外的任何费用。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5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合同签订时间</w:t>
            </w:r>
          </w:p>
        </w:tc>
        <w:tc>
          <w:tcPr>
            <w:tcW w:w="762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60" w:lineRule="auto"/>
              <w:jc w:val="left"/>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自成交通知书发出之日起</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25</w:t>
            </w:r>
            <w:r>
              <w:rPr>
                <w:rFonts w:hint="eastAsia" w:ascii="宋体" w:hAnsi="宋体" w:eastAsia="宋体" w:cs="宋体"/>
                <w:color w:val="000000" w:themeColor="text1"/>
                <w:sz w:val="21"/>
                <w:szCs w:val="21"/>
                <w:highlight w:val="none"/>
                <w:lang w:val="en-US" w:eastAsia="zh-CN"/>
                <w14:textFill>
                  <w14:solidFill>
                    <w14:schemeClr w14:val="tx1"/>
                  </w14:solidFill>
                </w14:textFill>
              </w:rPr>
              <w:t>个自然日内。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15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质保期</w:t>
            </w:r>
          </w:p>
        </w:tc>
        <w:tc>
          <w:tcPr>
            <w:tcW w:w="762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60" w:lineRule="auto"/>
              <w:jc w:val="left"/>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从验收合格之日起计，90天内因质量问题须包换。质保期内全部服务费和更换货物的费用由供应商承担。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5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60" w:lineRule="auto"/>
              <w:jc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售后服务要求</w:t>
            </w:r>
          </w:p>
        </w:tc>
        <w:tc>
          <w:tcPr>
            <w:tcW w:w="762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60" w:lineRule="auto"/>
              <w:jc w:val="left"/>
              <w:rPr>
                <w:rFonts w:hint="eastAsia" w:ascii="宋体" w:hAnsi="宋体" w:eastAsia="宋体" w:cs="宋体"/>
                <w:strike w:val="0"/>
                <w:dstrike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strike w:val="0"/>
                <w:dstrike w:val="0"/>
                <w:color w:val="000000" w:themeColor="text1"/>
                <w:sz w:val="21"/>
                <w:szCs w:val="21"/>
                <w:highlight w:val="none"/>
                <w:lang w:val="en-US" w:eastAsia="zh-CN"/>
                <w14:textFill>
                  <w14:solidFill>
                    <w14:schemeClr w14:val="tx1"/>
                  </w14:solidFill>
                </w14:textFill>
              </w:rPr>
              <w:t>1.按采购人要求送货上门，按国家有关规定实行“三包”，其余按供应商承诺进行。</w:t>
            </w:r>
          </w:p>
          <w:p>
            <w:pPr>
              <w:keepNext w:val="0"/>
              <w:keepLines w:val="0"/>
              <w:pageBreakBefore w:val="0"/>
              <w:kinsoku/>
              <w:wordWrap/>
              <w:overflowPunct/>
              <w:topLinePunct w:val="0"/>
              <w:autoSpaceDE/>
              <w:autoSpaceDN/>
              <w:bidi w:val="0"/>
              <w:adjustRightInd/>
              <w:snapToGrid w:val="0"/>
              <w:spacing w:line="360" w:lineRule="auto"/>
              <w:jc w:val="left"/>
              <w:rPr>
                <w:rFonts w:hint="eastAsia" w:ascii="宋体" w:hAnsi="宋体" w:eastAsia="宋体" w:cs="宋体"/>
                <w:strike w:val="0"/>
                <w:dstrike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strike w:val="0"/>
                <w:dstrike w:val="0"/>
                <w:color w:val="000000" w:themeColor="text1"/>
                <w:sz w:val="21"/>
                <w:szCs w:val="21"/>
                <w:highlight w:val="none"/>
                <w:lang w:val="en-US" w:eastAsia="zh-CN"/>
                <w14:textFill>
                  <w14:solidFill>
                    <w14:schemeClr w14:val="tx1"/>
                  </w14:solidFill>
                </w14:textFill>
              </w:rPr>
              <w:t>（1）按国家有关产品“三包”规定实行“三包”政策；</w:t>
            </w:r>
          </w:p>
          <w:p>
            <w:pPr>
              <w:keepNext w:val="0"/>
              <w:keepLines w:val="0"/>
              <w:pageBreakBefore w:val="0"/>
              <w:kinsoku/>
              <w:wordWrap/>
              <w:overflowPunct/>
              <w:topLinePunct w:val="0"/>
              <w:autoSpaceDE/>
              <w:autoSpaceDN/>
              <w:bidi w:val="0"/>
              <w:adjustRightInd/>
              <w:snapToGrid w:val="0"/>
              <w:spacing w:line="360" w:lineRule="auto"/>
              <w:jc w:val="left"/>
              <w:rPr>
                <w:rFonts w:hint="eastAsia" w:ascii="宋体" w:hAnsi="宋体" w:eastAsia="宋体" w:cs="宋体"/>
                <w:strike w:val="0"/>
                <w:dstrike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strike w:val="0"/>
                <w:dstrike w:val="0"/>
                <w:color w:val="000000" w:themeColor="text1"/>
                <w:sz w:val="21"/>
                <w:szCs w:val="21"/>
                <w:highlight w:val="none"/>
                <w:lang w:val="en-US" w:eastAsia="zh-CN"/>
                <w14:textFill>
                  <w14:solidFill>
                    <w14:schemeClr w14:val="tx1"/>
                  </w14:solidFill>
                </w14:textFill>
              </w:rPr>
              <w:t>（2）玻璃仪器中的计量产品可通过广西计量院等第三方检测机构的检定合格（如需送检）。</w:t>
            </w:r>
          </w:p>
          <w:p>
            <w:pPr>
              <w:keepNext w:val="0"/>
              <w:keepLines w:val="0"/>
              <w:pageBreakBefore w:val="0"/>
              <w:kinsoku/>
              <w:wordWrap/>
              <w:overflowPunct/>
              <w:topLinePunct w:val="0"/>
              <w:autoSpaceDE/>
              <w:autoSpaceDN/>
              <w:bidi w:val="0"/>
              <w:adjustRightInd/>
              <w:snapToGrid w:val="0"/>
              <w:spacing w:line="360" w:lineRule="auto"/>
              <w:jc w:val="left"/>
              <w:rPr>
                <w:rFonts w:hint="eastAsia" w:ascii="宋体" w:hAnsi="宋体" w:eastAsia="宋体" w:cs="宋体"/>
                <w:strike w:val="0"/>
                <w:dstrike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strike w:val="0"/>
                <w:dstrike w:val="0"/>
                <w:color w:val="000000" w:themeColor="text1"/>
                <w:sz w:val="21"/>
                <w:szCs w:val="21"/>
                <w:highlight w:val="none"/>
                <w:lang w:val="en-US" w:eastAsia="zh-CN"/>
                <w14:textFill>
                  <w14:solidFill>
                    <w14:schemeClr w14:val="tx1"/>
                  </w14:solidFill>
                </w14:textFill>
              </w:rPr>
              <w:t>2.质保期内维修响应及故障解决时间：接到采购人通知后10分钟内响应，24小时内现货无条件送货上门；现场支持24小时内响应，电话支持10分钟内响应，问题半个小时内解答。</w:t>
            </w:r>
          </w:p>
          <w:p>
            <w:pPr>
              <w:keepNext w:val="0"/>
              <w:keepLines w:val="0"/>
              <w:pageBreakBefore w:val="0"/>
              <w:kinsoku/>
              <w:wordWrap/>
              <w:overflowPunct/>
              <w:topLinePunct w:val="0"/>
              <w:autoSpaceDE/>
              <w:autoSpaceDN/>
              <w:bidi w:val="0"/>
              <w:adjustRightInd/>
              <w:snapToGrid w:val="0"/>
              <w:spacing w:line="360" w:lineRule="auto"/>
              <w:jc w:val="left"/>
              <w:rPr>
                <w:rFonts w:hint="eastAsia" w:ascii="宋体" w:hAnsi="宋体" w:eastAsia="宋体" w:cs="宋体"/>
                <w:strike w:val="0"/>
                <w:dstrike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strike w:val="0"/>
                <w:dstrike w:val="0"/>
                <w:color w:val="000000" w:themeColor="text1"/>
                <w:sz w:val="21"/>
                <w:szCs w:val="21"/>
                <w:highlight w:val="none"/>
                <w:lang w:val="en-US" w:eastAsia="zh-CN"/>
                <w14:textFill>
                  <w14:solidFill>
                    <w14:schemeClr w14:val="tx1"/>
                  </w14:solidFill>
                </w14:textFill>
              </w:rPr>
              <w:t>3.成交供应商应保证在24小时现货送货范围内有实验产品专业仓库，并保证具有一定数量的现货库存，备有充足的实验材料配件，接到采购人采购现货通知后，24小时内须现货无条件送货上门。</w:t>
            </w:r>
          </w:p>
          <w:p>
            <w:pPr>
              <w:keepNext w:val="0"/>
              <w:keepLines w:val="0"/>
              <w:pageBreakBefore w:val="0"/>
              <w:kinsoku/>
              <w:wordWrap/>
              <w:overflowPunct/>
              <w:topLinePunct w:val="0"/>
              <w:autoSpaceDE/>
              <w:autoSpaceDN/>
              <w:bidi w:val="0"/>
              <w:adjustRightInd/>
              <w:snapToGrid w:val="0"/>
              <w:spacing w:line="360" w:lineRule="auto"/>
              <w:jc w:val="left"/>
              <w:rPr>
                <w:rFonts w:hint="eastAsia" w:ascii="宋体" w:hAnsi="宋体" w:eastAsia="宋体" w:cs="宋体"/>
                <w:strike w:val="0"/>
                <w:dstrike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strike w:val="0"/>
                <w:dstrike w:val="0"/>
                <w:color w:val="000000" w:themeColor="text1"/>
                <w:sz w:val="21"/>
                <w:szCs w:val="21"/>
                <w:highlight w:val="none"/>
                <w:lang w:val="en-US" w:eastAsia="zh-CN"/>
                <w14:textFill>
                  <w14:solidFill>
                    <w14:schemeClr w14:val="tx1"/>
                  </w14:solidFill>
                </w14:textFill>
              </w:rPr>
              <w:t>4.供应商竞标时须在响应文件中提供有针对性的售后服务方案，否则竞标无效。</w:t>
            </w:r>
          </w:p>
          <w:p>
            <w:pPr>
              <w:pStyle w:val="9"/>
              <w:keepNext w:val="0"/>
              <w:keepLines w:val="0"/>
              <w:pageBreakBefore w:val="0"/>
              <w:kinsoku/>
              <w:wordWrap/>
              <w:overflowPunct/>
              <w:topLinePunct w:val="0"/>
              <w:autoSpaceDE/>
              <w:autoSpaceDN/>
              <w:bidi w:val="0"/>
              <w:adjustRightInd/>
              <w:spacing w:line="360"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strike w:val="0"/>
                <w:dstrike w:val="0"/>
                <w:color w:val="000000" w:themeColor="text1"/>
                <w:sz w:val="21"/>
                <w:szCs w:val="21"/>
                <w:highlight w:val="none"/>
                <w:lang w:val="en-US" w:eastAsia="zh-CN"/>
                <w14:textFill>
                  <w14:solidFill>
                    <w14:schemeClr w14:val="tx1"/>
                  </w14:solidFill>
                </w14:textFill>
              </w:rPr>
              <w:t>5.供应商</w:t>
            </w:r>
            <w:r>
              <w:rPr>
                <w:rFonts w:hint="eastAsia" w:ascii="宋体" w:hAnsi="宋体" w:eastAsia="宋体" w:cs="宋体"/>
                <w:color w:val="000000" w:themeColor="text1"/>
                <w:sz w:val="21"/>
                <w:szCs w:val="21"/>
                <w:highlight w:val="none"/>
                <w:lang w:val="en-US" w:eastAsia="zh-CN"/>
                <w14:textFill>
                  <w14:solidFill>
                    <w14:schemeClr w14:val="tx1"/>
                  </w14:solidFill>
                </w14:textFill>
              </w:rPr>
              <w:t>拟为本项目配备至少2名项目实施人员及至少2名售后服务人员，</w:t>
            </w:r>
            <w:r>
              <w:rPr>
                <w:rFonts w:hint="eastAsia" w:ascii="宋体" w:hAnsi="宋体" w:eastAsia="宋体" w:cs="宋体"/>
                <w:strike w:val="0"/>
                <w:dstrike w:val="0"/>
                <w:color w:val="000000" w:themeColor="text1"/>
                <w:sz w:val="21"/>
                <w:szCs w:val="21"/>
                <w:highlight w:val="none"/>
                <w:lang w:val="en-US" w:eastAsia="zh-CN"/>
                <w14:textFill>
                  <w14:solidFill>
                    <w14:schemeClr w14:val="tx1"/>
                  </w14:solidFill>
                </w14:textFill>
              </w:rPr>
              <w:t>须提供专门的客户咨询电话，并承诺提供长期技术咨询服务（须提供承诺函并附上相关人员的身份证复印件及联系方式，否则竞标无效）。</w:t>
            </w:r>
          </w:p>
          <w:p>
            <w:pPr>
              <w:keepNext w:val="0"/>
              <w:keepLines w:val="0"/>
              <w:pageBreakBefore w:val="0"/>
              <w:kinsoku/>
              <w:wordWrap/>
              <w:overflowPunct/>
              <w:topLinePunct w:val="0"/>
              <w:autoSpaceDE/>
              <w:autoSpaceDN/>
              <w:bidi w:val="0"/>
              <w:adjustRightInd/>
              <w:snapToGrid w:val="0"/>
              <w:spacing w:line="360" w:lineRule="auto"/>
              <w:jc w:val="left"/>
              <w:rPr>
                <w:rFonts w:hint="eastAsia" w:ascii="宋体" w:hAnsi="宋体" w:eastAsia="宋体" w:cs="宋体"/>
                <w:strike w:val="0"/>
                <w:dstrike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strike w:val="0"/>
                <w:dstrike w:val="0"/>
                <w:color w:val="000000" w:themeColor="text1"/>
                <w:sz w:val="21"/>
                <w:szCs w:val="21"/>
                <w:highlight w:val="none"/>
                <w:lang w:val="en-US" w:eastAsia="zh-CN"/>
                <w14:textFill>
                  <w14:solidFill>
                    <w14:schemeClr w14:val="tx1"/>
                  </w14:solidFill>
                </w14:textFill>
              </w:rPr>
              <w:t>6.其余按厂家承诺进行。</w:t>
            </w:r>
          </w:p>
          <w:p>
            <w:pPr>
              <w:keepNext w:val="0"/>
              <w:keepLines w:val="0"/>
              <w:pageBreakBefore w:val="0"/>
              <w:kinsoku/>
              <w:wordWrap/>
              <w:overflowPunct/>
              <w:topLinePunct w:val="0"/>
              <w:autoSpaceDE/>
              <w:autoSpaceDN/>
              <w:bidi w:val="0"/>
              <w:adjustRightInd/>
              <w:snapToGrid w:val="0"/>
              <w:spacing w:line="360" w:lineRule="auto"/>
              <w:jc w:val="left"/>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strike w:val="0"/>
                <w:dstrike w:val="0"/>
                <w:color w:val="000000" w:themeColor="text1"/>
                <w:sz w:val="21"/>
                <w:szCs w:val="21"/>
                <w:highlight w:val="none"/>
                <w:lang w:val="en-US" w:eastAsia="zh-CN"/>
                <w14:textFill>
                  <w14:solidFill>
                    <w14:schemeClr w14:val="tx1"/>
                  </w14:solidFill>
                </w14:textFill>
              </w:rPr>
              <w:t>7.合同期内，上表所列物品为可能购买的品种，只有在采购人需要时才购买。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215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合同履行期限</w:t>
            </w:r>
          </w:p>
        </w:tc>
        <w:tc>
          <w:tcPr>
            <w:tcW w:w="762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60" w:lineRule="auto"/>
              <w:jc w:val="left"/>
              <w:rPr>
                <w:rFonts w:hint="eastAsia" w:ascii="宋体" w:hAnsi="宋体" w:eastAsia="宋体" w:cs="宋体"/>
                <w:strike w:val="0"/>
                <w:dstrike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strike w:val="0"/>
                <w:dstrike w:val="0"/>
                <w:color w:val="000000" w:themeColor="text1"/>
                <w:sz w:val="21"/>
                <w:szCs w:val="21"/>
                <w:highlight w:val="none"/>
                <w:lang w:val="en-US" w:eastAsia="zh-CN"/>
                <w14:textFill>
                  <w14:solidFill>
                    <w14:schemeClr w14:val="tx1"/>
                  </w14:solidFill>
                </w14:textFill>
              </w:rPr>
              <w:t>自签订合同并生效之日起至2025年12月31日。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5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60" w:lineRule="auto"/>
              <w:jc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交货时间及地点</w:t>
            </w:r>
          </w:p>
        </w:tc>
        <w:tc>
          <w:tcPr>
            <w:tcW w:w="762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60" w:lineRule="auto"/>
              <w:jc w:val="left"/>
              <w:rPr>
                <w:rFonts w:hint="eastAsia" w:ascii="宋体" w:hAnsi="宋体" w:eastAsia="宋体" w:cs="宋体"/>
                <w:strike w:val="0"/>
                <w:dstrike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strike w:val="0"/>
                <w:dstrike w:val="0"/>
                <w:color w:val="000000" w:themeColor="text1"/>
                <w:sz w:val="21"/>
                <w:szCs w:val="21"/>
                <w:highlight w:val="none"/>
                <w:lang w:val="en-US" w:eastAsia="zh-CN"/>
                <w14:textFill>
                  <w14:solidFill>
                    <w14:schemeClr w14:val="tx1"/>
                  </w14:solidFill>
                </w14:textFill>
              </w:rPr>
              <w:t>1.交货时间：接到采购人供货通知后15天内按采购人要求的物品及数量完成供货。如遇特殊情况按采购人要求的时间供货。</w:t>
            </w:r>
          </w:p>
          <w:p>
            <w:pPr>
              <w:keepNext w:val="0"/>
              <w:keepLines w:val="0"/>
              <w:pageBreakBefore w:val="0"/>
              <w:kinsoku/>
              <w:wordWrap/>
              <w:overflowPunct/>
              <w:topLinePunct w:val="0"/>
              <w:autoSpaceDE/>
              <w:autoSpaceDN/>
              <w:bidi w:val="0"/>
              <w:adjustRightInd/>
              <w:snapToGrid w:val="0"/>
              <w:spacing w:line="360" w:lineRule="auto"/>
              <w:jc w:val="left"/>
              <w:rPr>
                <w:rFonts w:hint="eastAsia" w:ascii="宋体" w:hAnsi="宋体" w:eastAsia="宋体" w:cs="宋体"/>
                <w:strike w:val="0"/>
                <w:dstrike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strike w:val="0"/>
                <w:dstrike w:val="0"/>
                <w:color w:val="000000" w:themeColor="text1"/>
                <w:sz w:val="21"/>
                <w:szCs w:val="21"/>
                <w:highlight w:val="none"/>
                <w:lang w:val="en-US" w:eastAsia="zh-CN"/>
                <w14:textFill>
                  <w14:solidFill>
                    <w14:schemeClr w14:val="tx1"/>
                  </w14:solidFill>
                </w14:textFill>
              </w:rPr>
              <w:t>2.交货地点：广西壮族自治区南宁生态环境监测中心指定地点。</w:t>
            </w:r>
          </w:p>
          <w:p>
            <w:pPr>
              <w:keepNext w:val="0"/>
              <w:keepLines w:val="0"/>
              <w:pageBreakBefore w:val="0"/>
              <w:kinsoku/>
              <w:wordWrap/>
              <w:overflowPunct/>
              <w:topLinePunct w:val="0"/>
              <w:autoSpaceDE/>
              <w:autoSpaceDN/>
              <w:bidi w:val="0"/>
              <w:adjustRightInd/>
              <w:snapToGrid w:val="0"/>
              <w:spacing w:line="360" w:lineRule="auto"/>
              <w:jc w:val="left"/>
              <w:rPr>
                <w:rFonts w:hint="eastAsia" w:ascii="宋体" w:hAnsi="宋体" w:eastAsia="宋体" w:cs="宋体"/>
                <w:strike w:val="0"/>
                <w:dstrike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strike w:val="0"/>
                <w:dstrike w:val="0"/>
                <w:color w:val="000000" w:themeColor="text1"/>
                <w:sz w:val="21"/>
                <w:szCs w:val="21"/>
                <w:highlight w:val="none"/>
                <w:lang w:val="en-US" w:eastAsia="zh-CN"/>
                <w14:textFill>
                  <w14:solidFill>
                    <w14:schemeClr w14:val="tx1"/>
                  </w14:solidFill>
                </w14:textFill>
              </w:rPr>
              <w:t>3.交货方式：送货前，供应商需电话通知采购人，确定送货时间和送货方式，并由供应商送货上门当面清点货物。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5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60" w:lineRule="auto"/>
              <w:jc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交货要求</w:t>
            </w:r>
          </w:p>
        </w:tc>
        <w:tc>
          <w:tcPr>
            <w:tcW w:w="762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spacing w:line="36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w:t>
            </w:r>
            <w:r>
              <w:rPr>
                <w:rFonts w:hint="eastAsia" w:ascii="宋体" w:hAnsi="宋体" w:eastAsia="宋体" w:cs="宋体"/>
                <w:color w:val="000000" w:themeColor="text1"/>
                <w:kern w:val="0"/>
                <w:sz w:val="21"/>
                <w:szCs w:val="21"/>
                <w:highlight w:val="none"/>
                <w14:textFill>
                  <w14:solidFill>
                    <w14:schemeClr w14:val="tx1"/>
                  </w14:solidFill>
                </w14:textFill>
              </w:rPr>
              <w:t>产品应按有关要求进行包装并采用适当的运输方式运抵合同交货地点。</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 w:val="21"/>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 w:val="21"/>
                <w:szCs w:val="21"/>
                <w:highlight w:val="none"/>
                <w14:textFill>
                  <w14:solidFill>
                    <w14:schemeClr w14:val="tx1"/>
                  </w14:solidFill>
                </w14:textFill>
              </w:rPr>
              <w:t>提供的货物必须</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是</w:t>
            </w:r>
            <w:r>
              <w:rPr>
                <w:rFonts w:hint="eastAsia" w:ascii="宋体" w:hAnsi="宋体" w:eastAsia="宋体" w:cs="宋体"/>
                <w:color w:val="000000" w:themeColor="text1"/>
                <w:kern w:val="0"/>
                <w:sz w:val="21"/>
                <w:szCs w:val="21"/>
                <w:highlight w:val="none"/>
                <w14:textFill>
                  <w14:solidFill>
                    <w14:schemeClr w14:val="tx1"/>
                  </w14:solidFill>
                </w14:textFill>
              </w:rPr>
              <w:t>全新的、最新生产批号</w:t>
            </w:r>
            <w:r>
              <w:rPr>
                <w:rFonts w:hint="eastAsia" w:ascii="宋体" w:hAnsi="宋体" w:eastAsia="宋体" w:cs="宋体"/>
                <w:color w:val="000000" w:themeColor="text1"/>
                <w:kern w:val="0"/>
                <w:sz w:val="21"/>
                <w:szCs w:val="21"/>
                <w:highlight w:val="none"/>
                <w:lang w:eastAsia="zh-CN"/>
                <w14:textFill>
                  <w14:solidFill>
                    <w14:schemeClr w14:val="tx1"/>
                  </w14:solidFill>
                </w14:textFill>
              </w:rPr>
              <w:t>，除“技术参数及性能（配置）要求”有特殊要求的，交付的货物的剩余有效期应达到80%以上（例如有效期是10个月，剩余有效期应在8个月以上），</w:t>
            </w:r>
            <w:r>
              <w:rPr>
                <w:rFonts w:hint="eastAsia" w:ascii="宋体" w:hAnsi="宋体" w:eastAsia="宋体" w:cs="宋体"/>
                <w:color w:val="000000" w:themeColor="text1"/>
                <w:kern w:val="0"/>
                <w:sz w:val="21"/>
                <w:szCs w:val="21"/>
                <w:highlight w:val="none"/>
                <w14:textFill>
                  <w14:solidFill>
                    <w14:schemeClr w14:val="tx1"/>
                  </w14:solidFill>
                </w14:textFill>
              </w:rPr>
              <w:t>满足国家及行业强制性标准及规范，并符合采购人提出的有关质量标准的产品</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r>
              <w:rPr>
                <w:rFonts w:hint="eastAsia" w:ascii="宋体" w:hAnsi="宋体" w:eastAsia="宋体" w:cs="宋体"/>
                <w:b/>
                <w:bCs/>
                <w:color w:val="000000" w:themeColor="text1"/>
                <w:sz w:val="21"/>
                <w:szCs w:val="21"/>
                <w:highlight w:val="none"/>
                <w:lang w:eastAsia="zh-CN"/>
                <w14:textFill>
                  <w14:solidFill>
                    <w14:schemeClr w14:val="tx1"/>
                  </w14:solidFill>
                </w14:textFill>
              </w:rPr>
              <w:t>所有成交</w:t>
            </w:r>
            <w:r>
              <w:rPr>
                <w:rFonts w:hint="eastAsia" w:ascii="宋体" w:hAnsi="宋体" w:eastAsia="宋体" w:cs="宋体"/>
                <w:b/>
                <w:bCs/>
                <w:color w:val="000000" w:themeColor="text1"/>
                <w:sz w:val="21"/>
                <w:szCs w:val="21"/>
                <w:highlight w:val="none"/>
                <w14:textFill>
                  <w14:solidFill>
                    <w14:schemeClr w14:val="tx1"/>
                  </w14:solidFill>
                </w14:textFill>
              </w:rPr>
              <w:t>产品必须与采购单位现有仪器设备匹配使用</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采购人根据采购文件上的技术规格要求和国家有关质量标准进行现场</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验货</w:t>
            </w:r>
            <w:r>
              <w:rPr>
                <w:rFonts w:hint="eastAsia" w:ascii="宋体" w:hAnsi="宋体" w:eastAsia="宋体" w:cs="宋体"/>
                <w:color w:val="000000" w:themeColor="text1"/>
                <w:kern w:val="0"/>
                <w:sz w:val="21"/>
                <w:szCs w:val="21"/>
                <w:highlight w:val="none"/>
                <w14:textFill>
                  <w14:solidFill>
                    <w14:schemeClr w14:val="tx1"/>
                  </w14:solidFill>
                </w14:textFill>
              </w:rPr>
              <w:t>，符合采购文件技术要求的，给予签收，初步</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验货</w:t>
            </w:r>
            <w:r>
              <w:rPr>
                <w:rFonts w:hint="eastAsia" w:ascii="宋体" w:hAnsi="宋体" w:eastAsia="宋体" w:cs="宋体"/>
                <w:color w:val="000000" w:themeColor="text1"/>
                <w:kern w:val="0"/>
                <w:sz w:val="21"/>
                <w:szCs w:val="21"/>
                <w:highlight w:val="none"/>
                <w14:textFill>
                  <w14:solidFill>
                    <w14:schemeClr w14:val="tx1"/>
                  </w14:solidFill>
                </w14:textFill>
              </w:rPr>
              <w:t>不合格的不予签收。</w:t>
            </w:r>
          </w:p>
          <w:p>
            <w:pPr>
              <w:keepNext w:val="0"/>
              <w:keepLines w:val="0"/>
              <w:pageBreakBefore w:val="0"/>
              <w:numPr>
                <w:ilvl w:val="0"/>
                <w:numId w:val="0"/>
              </w:numPr>
              <w:kinsoku/>
              <w:wordWrap/>
              <w:overflowPunct/>
              <w:topLinePunct w:val="0"/>
              <w:autoSpaceDE/>
              <w:autoSpaceDN/>
              <w:bidi w:val="0"/>
              <w:adjustRightInd/>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提供完全符合国家规定的质量、规格和性能要求的气体产品及配套容器</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提供符合法律法规要求和</w:t>
            </w:r>
            <w:r>
              <w:rPr>
                <w:rFonts w:hint="eastAsia" w:ascii="宋体" w:hAnsi="宋体" w:eastAsia="宋体" w:cs="宋体"/>
                <w:color w:val="000000" w:themeColor="text1"/>
                <w:sz w:val="21"/>
                <w:szCs w:val="21"/>
                <w:highlight w:val="none"/>
                <w:lang w:val="en-US" w:eastAsia="zh-CN"/>
                <w14:textFill>
                  <w14:solidFill>
                    <w14:schemeClr w14:val="tx1"/>
                  </w14:solidFill>
                </w14:textFill>
              </w:rPr>
              <w:t>采购人</w:t>
            </w:r>
            <w:r>
              <w:rPr>
                <w:rFonts w:hint="eastAsia" w:ascii="宋体" w:hAnsi="宋体" w:eastAsia="宋体" w:cs="宋体"/>
                <w:color w:val="000000" w:themeColor="text1"/>
                <w:sz w:val="21"/>
                <w:szCs w:val="21"/>
                <w:highlight w:val="none"/>
                <w14:textFill>
                  <w14:solidFill>
                    <w14:schemeClr w14:val="tx1"/>
                  </w14:solidFill>
                </w14:textFill>
              </w:rPr>
              <w:t>要求的气体；气瓶在检验有效期内，瓶体完好无腐蚀、无变形、配备相应的钢瓶</w:t>
            </w:r>
            <w:r>
              <w:rPr>
                <w:rFonts w:hint="eastAsia" w:ascii="宋体" w:hAnsi="宋体" w:eastAsia="宋体" w:cs="宋体"/>
                <w:color w:val="000000" w:themeColor="text1"/>
                <w:sz w:val="21"/>
                <w:szCs w:val="21"/>
                <w:highlight w:val="none"/>
                <w:lang w:val="en-US" w:eastAsia="zh-CN"/>
                <w14:textFill>
                  <w14:solidFill>
                    <w14:schemeClr w14:val="tx1"/>
                  </w14:solidFill>
                </w14:textFill>
              </w:rPr>
              <w:t>帽</w:t>
            </w:r>
            <w:r>
              <w:rPr>
                <w:rFonts w:hint="eastAsia" w:ascii="宋体" w:hAnsi="宋体" w:eastAsia="宋体" w:cs="宋体"/>
                <w:color w:val="000000" w:themeColor="text1"/>
                <w:sz w:val="21"/>
                <w:szCs w:val="21"/>
                <w:highlight w:val="none"/>
                <w14:textFill>
                  <w14:solidFill>
                    <w14:schemeClr w14:val="tx1"/>
                  </w14:solidFill>
                </w14:textFill>
              </w:rPr>
              <w:t>、防震圈等必要的安全附件，气瓶颜色必须与标准相符，气瓶颜色无明显划痕。采购人根据采购文件上的技术规格要求和国家有关质量标准进行现场</w:t>
            </w:r>
            <w:r>
              <w:rPr>
                <w:rFonts w:hint="eastAsia" w:ascii="宋体" w:hAnsi="宋体" w:eastAsia="宋体" w:cs="宋体"/>
                <w:color w:val="000000" w:themeColor="text1"/>
                <w:sz w:val="21"/>
                <w:szCs w:val="21"/>
                <w:highlight w:val="none"/>
                <w:lang w:val="en-US" w:eastAsia="zh-CN"/>
                <w14:textFill>
                  <w14:solidFill>
                    <w14:schemeClr w14:val="tx1"/>
                  </w14:solidFill>
                </w14:textFill>
              </w:rPr>
              <w:t>验货</w:t>
            </w:r>
            <w:r>
              <w:rPr>
                <w:rFonts w:hint="eastAsia" w:ascii="宋体" w:hAnsi="宋体" w:eastAsia="宋体" w:cs="宋体"/>
                <w:color w:val="000000" w:themeColor="text1"/>
                <w:sz w:val="21"/>
                <w:szCs w:val="21"/>
                <w:highlight w:val="none"/>
                <w14:textFill>
                  <w14:solidFill>
                    <w14:schemeClr w14:val="tx1"/>
                  </w14:solidFill>
                </w14:textFill>
              </w:rPr>
              <w:t>，符合采购文件技术要求的，给予签收，初步验收不合格的不予签收。</w:t>
            </w:r>
          </w:p>
          <w:p>
            <w:pPr>
              <w:keepNext w:val="0"/>
              <w:keepLines w:val="0"/>
              <w:pageBreakBefore w:val="0"/>
              <w:numPr>
                <w:ilvl w:val="0"/>
                <w:numId w:val="0"/>
              </w:numPr>
              <w:kinsoku/>
              <w:wordWrap/>
              <w:overflowPunct/>
              <w:topLinePunct w:val="0"/>
              <w:autoSpaceDE/>
              <w:autoSpaceDN/>
              <w:bidi w:val="0"/>
              <w:adjustRightInd/>
              <w:spacing w:line="360" w:lineRule="auto"/>
              <w:jc w:val="left"/>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14:textFill>
                  <w14:solidFill>
                    <w14:schemeClr w14:val="tx1"/>
                  </w14:solidFill>
                </w14:textFill>
              </w:rPr>
              <w:t>所有货物在开箱检验时必须完好，无破损，配置与装箱单相符。货物外观清洁，标记及字体清晰、明确</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外观不得有与产品无关的广告。</w:t>
            </w:r>
          </w:p>
          <w:p>
            <w:pPr>
              <w:keepNext w:val="0"/>
              <w:keepLines w:val="0"/>
              <w:pageBreakBefore w:val="0"/>
              <w:numPr>
                <w:ilvl w:val="0"/>
                <w:numId w:val="0"/>
              </w:numPr>
              <w:kinsoku/>
              <w:wordWrap/>
              <w:overflowPunct/>
              <w:topLinePunct w:val="0"/>
              <w:autoSpaceDE/>
              <w:autoSpaceDN/>
              <w:bidi w:val="0"/>
              <w:adjustRightInd/>
              <w:spacing w:line="36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 w:val="21"/>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 w:val="21"/>
                <w:szCs w:val="21"/>
                <w:highlight w:val="none"/>
                <w14:textFill>
                  <w14:solidFill>
                    <w14:schemeClr w14:val="tx1"/>
                  </w14:solidFill>
                </w14:textFill>
              </w:rPr>
              <w:t>交货时须随附货物清单。</w:t>
            </w:r>
          </w:p>
          <w:p>
            <w:pPr>
              <w:keepNext w:val="0"/>
              <w:keepLines w:val="0"/>
              <w:pageBreakBefore w:val="0"/>
              <w:numPr>
                <w:ilvl w:val="0"/>
                <w:numId w:val="0"/>
              </w:numPr>
              <w:kinsoku/>
              <w:wordWrap/>
              <w:overflowPunct/>
              <w:topLinePunct w:val="0"/>
              <w:autoSpaceDE/>
              <w:autoSpaceDN/>
              <w:bidi w:val="0"/>
              <w:adjustRightInd/>
              <w:spacing w:line="360" w:lineRule="auto"/>
              <w:ind w:left="0" w:leftChars="0" w:firstLine="0" w:firstLineChars="0"/>
              <w:jc w:val="left"/>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strike w:val="0"/>
                <w:dstrike w:val="0"/>
                <w:color w:val="000000" w:themeColor="text1"/>
                <w:kern w:val="0"/>
                <w:sz w:val="21"/>
                <w:szCs w:val="21"/>
                <w:highlight w:val="none"/>
                <w:lang w:val="en-US" w:eastAsia="zh-CN"/>
                <w14:textFill>
                  <w14:solidFill>
                    <w14:schemeClr w14:val="tx1"/>
                  </w14:solidFill>
                </w14:textFill>
              </w:rPr>
              <w:t>6.</w:t>
            </w:r>
            <w:r>
              <w:rPr>
                <w:rFonts w:hint="eastAsia" w:ascii="宋体" w:hAnsi="宋体" w:eastAsia="宋体" w:cs="宋体"/>
                <w:strike w:val="0"/>
                <w:dstrike w:val="0"/>
                <w:color w:val="000000" w:themeColor="text1"/>
                <w:kern w:val="0"/>
                <w:sz w:val="21"/>
                <w:szCs w:val="21"/>
                <w:highlight w:val="none"/>
                <w14:textFill>
                  <w14:solidFill>
                    <w14:schemeClr w14:val="tx1"/>
                  </w14:solidFill>
                </w14:textFill>
              </w:rPr>
              <w:t>已指定交货期的货物必须在指定期限内交货，否则按违约处理。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5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付款方式</w:t>
            </w:r>
          </w:p>
        </w:tc>
        <w:tc>
          <w:tcPr>
            <w:tcW w:w="7626" w:type="dxa"/>
            <w:gridSpan w:val="4"/>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kinsoku/>
              <w:wordWrap/>
              <w:overflowPunct/>
              <w:topLinePunct w:val="0"/>
              <w:autoSpaceDE/>
              <w:autoSpaceDN/>
              <w:bidi w:val="0"/>
              <w:adjustRightInd/>
              <w:spacing w:line="360"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1.定期支付：采购人根据实际供货情况定期并向成交供应商支付货款，根据送货单据、验收单及成交供应商开具该次结算金额的合法发票办理结算。</w:t>
            </w:r>
          </w:p>
          <w:p>
            <w:pPr>
              <w:pStyle w:val="9"/>
              <w:keepNext w:val="0"/>
              <w:keepLines w:val="0"/>
              <w:pageBreakBefore w:val="0"/>
              <w:kinsoku/>
              <w:wordWrap/>
              <w:overflowPunct/>
              <w:topLinePunct w:val="0"/>
              <w:autoSpaceDE/>
              <w:autoSpaceDN/>
              <w:bidi w:val="0"/>
              <w:adjustRightInd/>
              <w:spacing w:line="360"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在支付每笔款项前，</w:t>
            </w:r>
            <w:r>
              <w:rPr>
                <w:rFonts w:hint="eastAsia" w:ascii="宋体" w:hAnsi="宋体" w:eastAsia="宋体" w:cs="宋体"/>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应当提供请款函及可供政府审计并且符合税务规定的增值税普通发票。</w:t>
            </w:r>
          </w:p>
          <w:p>
            <w:pPr>
              <w:pStyle w:val="9"/>
              <w:keepNext w:val="0"/>
              <w:keepLines w:val="0"/>
              <w:pageBreakBefore w:val="0"/>
              <w:kinsoku/>
              <w:wordWrap/>
              <w:overflowPunct/>
              <w:topLinePunct w:val="0"/>
              <w:autoSpaceDE/>
              <w:autoSpaceDN/>
              <w:bidi w:val="0"/>
              <w:adjustRightInd/>
              <w:spacing w:line="360" w:lineRule="auto"/>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当次付款金额=</w:t>
            </w:r>
            <w:r>
              <w:rPr>
                <w:rFonts w:hint="eastAsia" w:ascii="宋体" w:hAnsi="宋体" w:cs="宋体"/>
                <w:b/>
                <w:bCs/>
                <w:color w:val="000000" w:themeColor="text1"/>
                <w:sz w:val="21"/>
                <w:szCs w:val="21"/>
                <w:highlight w:val="none"/>
                <w:lang w:val="en-US" w:eastAsia="zh-CN"/>
                <w14:textFill>
                  <w14:solidFill>
                    <w14:schemeClr w14:val="tx1"/>
                  </w14:solidFill>
                </w14:textFill>
              </w:rPr>
              <w:t>所购买产品</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的采购预算价×</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整体折扣比例</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（%）×当次实际购买数量。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57" w:type="dxa"/>
            <w:gridSpan w:val="3"/>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其他要求</w:t>
            </w:r>
          </w:p>
        </w:tc>
        <w:tc>
          <w:tcPr>
            <w:tcW w:w="7626" w:type="dxa"/>
            <w:gridSpan w:val="4"/>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kinsoku/>
              <w:wordWrap/>
              <w:overflowPunct/>
              <w:topLinePunct w:val="0"/>
              <w:autoSpaceDE/>
              <w:autoSpaceDN/>
              <w:bidi w:val="0"/>
              <w:adjustRightInd/>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1.本项目采购预算为（人民币）：98万元，以预算金额签订合同。</w:t>
            </w:r>
          </w:p>
          <w:p>
            <w:pPr>
              <w:pStyle w:val="9"/>
              <w:keepNext w:val="0"/>
              <w:keepLines w:val="0"/>
              <w:pageBreakBefore w:val="0"/>
              <w:kinsoku/>
              <w:wordWrap/>
              <w:overflowPunct/>
              <w:topLinePunct w:val="0"/>
              <w:autoSpaceDE/>
              <w:autoSpaceDN/>
              <w:bidi w:val="0"/>
              <w:adjustRightInd/>
              <w:spacing w:line="360"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标注“▲”的条款或要求系指实质性条款或实质性要求，必须满足，若有任意一项负偏离的，其响应文件作无效处理。（备注：带“▲”项为实质性要求，供应商在投标时应答的指标，在仪器验收时如不符合验收标准，采购人有权退货。）</w:t>
            </w:r>
          </w:p>
          <w:p>
            <w:pPr>
              <w:pStyle w:val="9"/>
              <w:keepNext w:val="0"/>
              <w:keepLines w:val="0"/>
              <w:pageBreakBefore w:val="0"/>
              <w:kinsoku/>
              <w:wordWrap/>
              <w:overflowPunct/>
              <w:topLinePunct w:val="0"/>
              <w:autoSpaceDE/>
              <w:autoSpaceDN/>
              <w:bidi w:val="0"/>
              <w:adjustRightInd/>
              <w:spacing w:line="360"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以上物品质量和所引用标准必须符合采购人实验需求，如不满足需求，成交供应商必须无条件更换；所涉及需要检定的量器量具和配件，必须能通过检定校准，如检定校准不合格，供应商必须无条件更换；以上物品当出现2次不满足采购人实验需求或检定不合格时，供应商必须更换品质更好的品牌，价格不变。无论是何种原因，供应商均不能提高价格或不供货，否则视为供应商违约。</w:t>
            </w:r>
          </w:p>
          <w:p>
            <w:pPr>
              <w:pStyle w:val="9"/>
              <w:keepNext w:val="0"/>
              <w:keepLines w:val="0"/>
              <w:pageBreakBefore w:val="0"/>
              <w:kinsoku/>
              <w:wordWrap/>
              <w:overflowPunct/>
              <w:topLinePunct w:val="0"/>
              <w:autoSpaceDE/>
              <w:autoSpaceDN/>
              <w:bidi w:val="0"/>
              <w:adjustRightInd/>
              <w:spacing w:line="360"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val="en-US" w:eastAsia="zh-CN"/>
                <w14:textFill>
                  <w14:solidFill>
                    <w14:schemeClr w14:val="tx1"/>
                  </w14:solidFill>
                </w14:textFill>
              </w:rPr>
              <w:t>.供货期内产品停产，供货商可以选用品质更好的产品进行供货，价格不变。无论是何种原因，供应商均不能提高价格或不供货。</w:t>
            </w:r>
          </w:p>
          <w:p>
            <w:pPr>
              <w:pStyle w:val="9"/>
              <w:keepNext w:val="0"/>
              <w:keepLines w:val="0"/>
              <w:pageBreakBefore w:val="0"/>
              <w:kinsoku/>
              <w:wordWrap/>
              <w:overflowPunct/>
              <w:topLinePunct w:val="0"/>
              <w:autoSpaceDE/>
              <w:autoSpaceDN/>
              <w:bidi w:val="0"/>
              <w:adjustRightInd/>
              <w:spacing w:line="360"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lang w:val="en-US" w:eastAsia="zh-CN"/>
                <w14:textFill>
                  <w14:solidFill>
                    <w14:schemeClr w14:val="tx1"/>
                  </w14:solidFill>
                </w14:textFill>
              </w:rPr>
              <w:t>.在履行合同过程中，必须按整体折扣比例（%）进行供货，无论是何种原因，供应商均不能提高价格或不供货，否则视为供应商违约。</w:t>
            </w:r>
          </w:p>
          <w:p>
            <w:pPr>
              <w:pStyle w:val="9"/>
              <w:keepNext w:val="0"/>
              <w:keepLines w:val="0"/>
              <w:pageBreakBefore w:val="0"/>
              <w:kinsoku/>
              <w:wordWrap/>
              <w:overflowPunct/>
              <w:topLinePunct w:val="0"/>
              <w:autoSpaceDE/>
              <w:autoSpaceDN/>
              <w:bidi w:val="0"/>
              <w:adjustRightInd/>
              <w:spacing w:line="360"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lang w:val="en-US" w:eastAsia="zh-CN"/>
                <w14:textFill>
                  <w14:solidFill>
                    <w14:schemeClr w14:val="tx1"/>
                  </w14:solidFill>
                </w14:textFill>
              </w:rPr>
              <w:t>.为了避免投标人使用虚假产品、虚假报价投标套取中标，要求各投标供应商必须用真实的生产厂家、参数、规格产品投标，不得用虚假或虚拟生产厂家或仅写简称厂家名称，投标时必须写全生产厂家全称。</w:t>
            </w:r>
          </w:p>
          <w:p>
            <w:pPr>
              <w:pStyle w:val="9"/>
              <w:keepNext w:val="0"/>
              <w:keepLines w:val="0"/>
              <w:pageBreakBefore w:val="0"/>
              <w:kinsoku/>
              <w:wordWrap/>
              <w:overflowPunct/>
              <w:topLinePunct w:val="0"/>
              <w:autoSpaceDE/>
              <w:autoSpaceDN/>
              <w:bidi w:val="0"/>
              <w:adjustRightInd/>
              <w:spacing w:line="360"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lang w:val="en-US" w:eastAsia="zh-CN"/>
                <w14:textFill>
                  <w14:solidFill>
                    <w14:schemeClr w14:val="tx1"/>
                  </w14:solidFill>
                </w14:textFill>
              </w:rPr>
              <w:t>.技术参数中要求有证书（或说明书或质检报告或检测报告）的，供货时提供证书（或说明书或质检报告或检测报告）供采购单位核验，投标人视情况自行决定是否在</w:t>
            </w:r>
            <w:r>
              <w:rPr>
                <w:rFonts w:hint="eastAsia" w:ascii="宋体" w:hAnsi="宋体" w:cs="宋体"/>
                <w:color w:val="000000" w:themeColor="text1"/>
                <w:sz w:val="21"/>
                <w:szCs w:val="21"/>
                <w:highlight w:val="none"/>
                <w:lang w:val="en-US" w:eastAsia="zh-CN"/>
                <w14:textFill>
                  <w14:solidFill>
                    <w14:schemeClr w14:val="tx1"/>
                  </w14:solidFill>
                </w14:textFill>
              </w:rPr>
              <w:t>响应文件</w:t>
            </w:r>
            <w:r>
              <w:rPr>
                <w:rFonts w:hint="eastAsia" w:ascii="宋体" w:hAnsi="宋体" w:eastAsia="宋体" w:cs="宋体"/>
                <w:color w:val="000000" w:themeColor="text1"/>
                <w:sz w:val="21"/>
                <w:szCs w:val="21"/>
                <w:highlight w:val="none"/>
                <w:lang w:val="en-US" w:eastAsia="zh-CN"/>
                <w14:textFill>
                  <w14:solidFill>
                    <w14:schemeClr w14:val="tx1"/>
                  </w14:solidFill>
                </w14:textFill>
              </w:rPr>
              <w:t>中提供证书（或说明书或质检报告或检测报告）复印件。</w:t>
            </w:r>
          </w:p>
          <w:p>
            <w:pPr>
              <w:pStyle w:val="9"/>
              <w:keepNext w:val="0"/>
              <w:keepLines w:val="0"/>
              <w:pageBreakBefore w:val="0"/>
              <w:kinsoku/>
              <w:wordWrap/>
              <w:overflowPunct/>
              <w:topLinePunct w:val="0"/>
              <w:autoSpaceDE/>
              <w:autoSpaceDN/>
              <w:bidi w:val="0"/>
              <w:adjustRightInd/>
              <w:spacing w:line="360"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lang w:val="en-US" w:eastAsia="zh-CN"/>
                <w14:textFill>
                  <w14:solidFill>
                    <w14:schemeClr w14:val="tx1"/>
                  </w14:solidFill>
                </w14:textFill>
              </w:rPr>
              <w:t>.通过道路运输危险化学品的，供应商必须</w:t>
            </w:r>
            <w:r>
              <w:rPr>
                <w:rFonts w:hint="eastAsia" w:ascii="宋体" w:hAnsi="宋体" w:cs="宋体"/>
                <w:color w:val="000000" w:themeColor="text1"/>
                <w:sz w:val="21"/>
                <w:szCs w:val="21"/>
                <w:highlight w:val="none"/>
                <w:lang w:val="en-US" w:eastAsia="zh-CN"/>
                <w14:textFill>
                  <w14:solidFill>
                    <w14:schemeClr w14:val="tx1"/>
                  </w14:solidFill>
                </w14:textFill>
              </w:rPr>
              <w:t>具备《道路危险货物运输许可证》或</w:t>
            </w:r>
            <w:r>
              <w:rPr>
                <w:rFonts w:hint="eastAsia" w:ascii="宋体" w:hAnsi="宋体" w:eastAsia="宋体" w:cs="宋体"/>
                <w:color w:val="000000" w:themeColor="text1"/>
                <w:sz w:val="21"/>
                <w:szCs w:val="21"/>
                <w:highlight w:val="none"/>
                <w:lang w:val="en-US" w:eastAsia="zh-CN"/>
                <w14:textFill>
                  <w14:solidFill>
                    <w14:schemeClr w14:val="tx1"/>
                  </w14:solidFill>
                </w14:textFill>
              </w:rPr>
              <w:t>委托依法取得</w:t>
            </w:r>
            <w:r>
              <w:rPr>
                <w:rFonts w:hint="eastAsia" w:ascii="宋体" w:hAnsi="宋体" w:cs="宋体"/>
                <w:color w:val="000000" w:themeColor="text1"/>
                <w:sz w:val="21"/>
                <w:szCs w:val="21"/>
                <w:highlight w:val="none"/>
                <w:lang w:val="en-US" w:eastAsia="zh-CN"/>
                <w14:textFill>
                  <w14:solidFill>
                    <w14:schemeClr w14:val="tx1"/>
                  </w14:solidFill>
                </w14:textFill>
              </w:rPr>
              <w:t>《道路危险货物运输许可证》</w:t>
            </w:r>
            <w:r>
              <w:rPr>
                <w:rFonts w:hint="eastAsia" w:ascii="宋体" w:hAnsi="宋体" w:eastAsia="宋体" w:cs="宋体"/>
                <w:color w:val="000000" w:themeColor="text1"/>
                <w:sz w:val="21"/>
                <w:szCs w:val="21"/>
                <w:highlight w:val="none"/>
                <w:lang w:val="en-US" w:eastAsia="zh-CN"/>
                <w14:textFill>
                  <w14:solidFill>
                    <w14:schemeClr w14:val="tx1"/>
                  </w14:solidFill>
                </w14:textFill>
              </w:rPr>
              <w:t>的企业承运，</w:t>
            </w:r>
            <w:r>
              <w:rPr>
                <w:rFonts w:hint="eastAsia" w:ascii="宋体" w:hAnsi="宋体" w:cs="宋体"/>
                <w:color w:val="000000" w:themeColor="text1"/>
                <w:sz w:val="21"/>
                <w:szCs w:val="21"/>
                <w:highlight w:val="none"/>
                <w:lang w:val="en-US" w:eastAsia="zh-CN"/>
                <w14:textFill>
                  <w14:solidFill>
                    <w14:schemeClr w14:val="tx1"/>
                  </w14:solidFill>
                </w14:textFill>
              </w:rPr>
              <w:t>响应文件</w:t>
            </w:r>
            <w:r>
              <w:rPr>
                <w:rFonts w:hint="eastAsia" w:ascii="宋体" w:hAnsi="宋体" w:eastAsia="宋体" w:cs="宋体"/>
                <w:color w:val="000000" w:themeColor="text1"/>
                <w:sz w:val="21"/>
                <w:szCs w:val="21"/>
                <w:highlight w:val="none"/>
                <w:lang w:val="en-US" w:eastAsia="zh-CN"/>
                <w14:textFill>
                  <w14:solidFill>
                    <w14:schemeClr w14:val="tx1"/>
                  </w14:solidFill>
                </w14:textFill>
              </w:rPr>
              <w:t>中提供相关的运输证明（如供应商不具备运输能力，须提供合作运输企业相关运输资质及承运合同或协议，</w:t>
            </w:r>
            <w:r>
              <w:rPr>
                <w:rFonts w:hint="eastAsia" w:ascii="宋体" w:hAnsi="宋体" w:cs="宋体"/>
                <w:color w:val="000000" w:themeColor="text1"/>
                <w:sz w:val="21"/>
                <w:szCs w:val="21"/>
                <w:highlight w:val="none"/>
                <w:lang w:val="en-US" w:eastAsia="zh-CN"/>
                <w14:textFill>
                  <w14:solidFill>
                    <w14:schemeClr w14:val="tx1"/>
                  </w14:solidFill>
                </w14:textFill>
              </w:rPr>
              <w:t>且在有效期内，</w:t>
            </w:r>
            <w:r>
              <w:rPr>
                <w:rFonts w:hint="eastAsia" w:ascii="宋体" w:hAnsi="宋体" w:eastAsia="宋体" w:cs="宋体"/>
                <w:color w:val="000000" w:themeColor="text1"/>
                <w:sz w:val="21"/>
                <w:szCs w:val="21"/>
                <w:highlight w:val="none"/>
                <w:lang w:val="en-US" w:eastAsia="zh-CN"/>
                <w14:textFill>
                  <w14:solidFill>
                    <w14:schemeClr w14:val="tx1"/>
                  </w14:solidFill>
                </w14:textFill>
              </w:rPr>
              <w:t>否则竞标无效）。</w:t>
            </w:r>
          </w:p>
          <w:p>
            <w:pPr>
              <w:pStyle w:val="9"/>
              <w:keepNext w:val="0"/>
              <w:keepLines w:val="0"/>
              <w:pageBreakBefore w:val="0"/>
              <w:kinsoku/>
              <w:wordWrap/>
              <w:overflowPunct/>
              <w:topLinePunct w:val="0"/>
              <w:autoSpaceDE/>
              <w:autoSpaceDN/>
              <w:bidi w:val="0"/>
              <w:adjustRightInd/>
              <w:spacing w:line="360"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9.</w:t>
            </w:r>
            <w:r>
              <w:rPr>
                <w:rFonts w:hint="eastAsia" w:ascii="宋体" w:hAnsi="宋体" w:eastAsia="宋体" w:cs="宋体"/>
                <w:strike w:val="0"/>
                <w:dstrike w:val="0"/>
                <w:color w:val="000000" w:themeColor="text1"/>
                <w:sz w:val="21"/>
                <w:szCs w:val="21"/>
                <w:highlight w:val="none"/>
                <w:lang w:val="en-US" w:eastAsia="zh-CN"/>
                <w14:textFill>
                  <w14:solidFill>
                    <w14:schemeClr w14:val="tx1"/>
                  </w14:solidFill>
                </w14:textFill>
              </w:rPr>
              <w:t>供应商竞标时须在响应文件中提供有针对性的供货方案，否则竞标无效</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5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核心产品</w:t>
            </w:r>
          </w:p>
        </w:tc>
        <w:tc>
          <w:tcPr>
            <w:tcW w:w="762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pageBreakBefore w:val="0"/>
              <w:kinsoku/>
              <w:wordWrap/>
              <w:overflowPunct/>
              <w:topLinePunct w:val="0"/>
              <w:autoSpaceDE/>
              <w:autoSpaceDN/>
              <w:bidi w:val="0"/>
              <w:adjustRightInd/>
              <w:spacing w:line="360"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1.序号“185”—供货序号“水12”—“正己烷”。</w:t>
            </w:r>
          </w:p>
          <w:p>
            <w:pPr>
              <w:pStyle w:val="9"/>
              <w:keepNext w:val="0"/>
              <w:keepLines w:val="0"/>
              <w:pageBreakBefore w:val="0"/>
              <w:kinsoku/>
              <w:wordWrap/>
              <w:overflowPunct/>
              <w:topLinePunct w:val="0"/>
              <w:autoSpaceDE/>
              <w:autoSpaceDN/>
              <w:bidi w:val="0"/>
              <w:adjustRightInd/>
              <w:spacing w:line="360" w:lineRule="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2.序号“341”—供货序号“分35”—“正己烷”。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83"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pageBreakBefore w:val="0"/>
              <w:kinsoku/>
              <w:wordWrap/>
              <w:overflowPunct/>
              <w:topLinePunct w:val="0"/>
              <w:autoSpaceDE/>
              <w:autoSpaceDN/>
              <w:bidi w:val="0"/>
              <w:adjustRightInd/>
              <w:spacing w:line="360"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三</w:t>
            </w:r>
            <w:r>
              <w:rPr>
                <w:rFonts w:hint="eastAsia" w:ascii="宋体" w:hAnsi="宋体" w:eastAsia="宋体" w:cs="宋体"/>
                <w:b/>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b/>
                <w:color w:val="000000" w:themeColor="text1"/>
                <w:sz w:val="21"/>
                <w:szCs w:val="21"/>
                <w:highlight w:val="none"/>
                <w14:textFill>
                  <w14:solidFill>
                    <w14:schemeClr w14:val="tx1"/>
                  </w14:solidFill>
                </w14:textFill>
              </w:rPr>
              <w:t>验收标准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83"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pageBreakBefore w:val="0"/>
              <w:kinsoku/>
              <w:wordWrap/>
              <w:overflowPunct/>
              <w:topLinePunct w:val="0"/>
              <w:autoSpaceDE/>
              <w:autoSpaceDN/>
              <w:bidi w:val="0"/>
              <w:adjustRightInd/>
              <w:spacing w:line="360"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1.验收费用：验收过程中所产生的一切费用均由供应商承担，报价时应考虑相关费用。  </w:t>
            </w:r>
          </w:p>
          <w:p>
            <w:pPr>
              <w:pStyle w:val="9"/>
              <w:keepNext w:val="0"/>
              <w:keepLines w:val="0"/>
              <w:pageBreakBefore w:val="0"/>
              <w:kinsoku/>
              <w:wordWrap/>
              <w:overflowPunct/>
              <w:topLinePunct w:val="0"/>
              <w:autoSpaceDE/>
              <w:autoSpaceDN/>
              <w:bidi w:val="0"/>
              <w:adjustRightInd/>
              <w:spacing w:line="360"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2.验货要求：到货后，采购人应组织立即验货，由成交供应商与采购人共同开箱核对供货清单、货物数量、外观等。</w:t>
            </w:r>
          </w:p>
          <w:p>
            <w:pPr>
              <w:pStyle w:val="9"/>
              <w:keepNext w:val="0"/>
              <w:keepLines w:val="0"/>
              <w:pageBreakBefore w:val="0"/>
              <w:kinsoku/>
              <w:wordWrap/>
              <w:overflowPunct/>
              <w:topLinePunct w:val="0"/>
              <w:autoSpaceDE/>
              <w:autoSpaceDN/>
              <w:bidi w:val="0"/>
              <w:adjustRightInd/>
              <w:spacing w:line="360"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验收要求：货物验收时，由采购人对照采购合同中的采购需求、履约验收要求等内容进行全面核对检验，对所有要求出具的证明文件的原件进行核查，如不符合履约验收要求或提供虚假承诺的，按相关规定做退货处理及违约处理，供应商承担所有责任和费用，采购人保留进一步追究责任的权利。</w:t>
            </w:r>
          </w:p>
          <w:p>
            <w:pPr>
              <w:pStyle w:val="9"/>
              <w:keepNext w:val="0"/>
              <w:keepLines w:val="0"/>
              <w:pageBreakBefore w:val="0"/>
              <w:kinsoku/>
              <w:wordWrap/>
              <w:overflowPunct/>
              <w:topLinePunct w:val="0"/>
              <w:autoSpaceDE/>
              <w:autoSpaceDN/>
              <w:bidi w:val="0"/>
              <w:adjustRightInd/>
              <w:spacing w:line="360"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4.验收时间：本项目分阶段验收，货到后立即开展验货（数量、外观等）工作，</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每批货物全部到货后7个工作日内完成分阶段验收。</w:t>
            </w:r>
          </w:p>
          <w:p>
            <w:pPr>
              <w:pStyle w:val="9"/>
              <w:keepNext w:val="0"/>
              <w:keepLines w:val="0"/>
              <w:pageBreakBefore w:val="0"/>
              <w:kinsoku/>
              <w:wordWrap/>
              <w:overflowPunct/>
              <w:topLinePunct w:val="0"/>
              <w:autoSpaceDE/>
              <w:autoSpaceDN/>
              <w:bidi w:val="0"/>
              <w:adjustRightInd/>
              <w:spacing w:line="360"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未通过验收的处理：货物不满足采购文件要求或经采购人用于实验分析后不满足相关分析标准要求的，采购人有权退货或要求换货，累积三次不满足相关分析标准要求的，采购人有权解除合同并追究成交供应商的法律责任。</w:t>
            </w:r>
          </w:p>
          <w:p>
            <w:pPr>
              <w:pStyle w:val="9"/>
              <w:keepNext w:val="0"/>
              <w:keepLines w:val="0"/>
              <w:pageBreakBefore w:val="0"/>
              <w:kinsoku/>
              <w:wordWrap/>
              <w:overflowPunct/>
              <w:topLinePunct w:val="0"/>
              <w:autoSpaceDE/>
              <w:autoSpaceDN/>
              <w:bidi w:val="0"/>
              <w:adjustRightInd/>
              <w:spacing w:line="360"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6.质保期：货物经过验收通过后，签署分阶段验收报告，质保期自分阶段验收合格之日起算，由成交供应商提供产品质保。</w:t>
            </w:r>
          </w:p>
        </w:tc>
      </w:tr>
    </w:tbl>
    <w:p>
      <w:pPr>
        <w:pStyle w:val="17"/>
        <w:rPr>
          <w:rFonts w:hint="eastAsia" w:ascii="宋体" w:hAnsi="宋体" w:eastAsia="宋体" w:cs="宋体"/>
          <w:b/>
          <w:color w:val="000000" w:themeColor="text1"/>
          <w:szCs w:val="21"/>
          <w:highlight w:val="none"/>
          <w14:textFill>
            <w14:solidFill>
              <w14:schemeClr w14:val="tx1"/>
            </w14:solidFill>
          </w14:textFill>
        </w:rPr>
      </w:pPr>
    </w:p>
    <w:p>
      <w:pPr>
        <w:pStyle w:val="17"/>
        <w:rPr>
          <w:rFonts w:hint="eastAsia" w:ascii="宋体" w:hAnsi="宋体" w:eastAsia="宋体" w:cs="宋体"/>
          <w:b/>
          <w:color w:val="000000" w:themeColor="text1"/>
          <w:szCs w:val="21"/>
          <w:highlight w:val="none"/>
          <w14:textFill>
            <w14:solidFill>
              <w14:schemeClr w14:val="tx1"/>
            </w14:solidFill>
          </w14:textFill>
        </w:rPr>
      </w:pPr>
    </w:p>
    <w:p>
      <w:pPr>
        <w:pStyle w:val="17"/>
        <w:rPr>
          <w:rFonts w:hint="eastAsia" w:ascii="宋体" w:hAnsi="宋体" w:eastAsia="宋体" w:cs="宋体"/>
          <w:b/>
          <w:color w:val="000000" w:themeColor="text1"/>
          <w:szCs w:val="21"/>
          <w:highlight w:val="none"/>
          <w14:textFill>
            <w14:solidFill>
              <w14:schemeClr w14:val="tx1"/>
            </w14:solidFill>
          </w14:textFill>
        </w:rPr>
      </w:pPr>
    </w:p>
    <w:p>
      <w:pPr>
        <w:pStyle w:val="17"/>
        <w:rPr>
          <w:rFonts w:hint="eastAsia" w:ascii="宋体" w:hAnsi="宋体" w:eastAsia="宋体" w:cs="宋体"/>
          <w:b/>
          <w:color w:val="000000" w:themeColor="text1"/>
          <w:szCs w:val="21"/>
          <w:highlight w:val="none"/>
          <w14:textFill>
            <w14:solidFill>
              <w14:schemeClr w14:val="tx1"/>
            </w14:solidFill>
          </w14:textFill>
        </w:rPr>
      </w:pPr>
    </w:p>
    <w:tbl>
      <w:tblPr>
        <w:tblStyle w:val="28"/>
        <w:tblW w:w="5317"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9"/>
        <w:gridCol w:w="715"/>
        <w:gridCol w:w="1487"/>
        <w:gridCol w:w="669"/>
        <w:gridCol w:w="647"/>
        <w:gridCol w:w="984"/>
        <w:gridCol w:w="54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5000" w:type="pct"/>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Style w:val="78"/>
                <w:rFonts w:hint="eastAsia" w:ascii="宋体" w:hAnsi="宋体" w:eastAsia="宋体" w:cs="宋体"/>
                <w:color w:val="000000" w:themeColor="text1"/>
                <w:sz w:val="21"/>
                <w:szCs w:val="21"/>
                <w:highlight w:val="none"/>
                <w:lang w:val="en-US" w:eastAsia="zh-CN" w:bidi="ar"/>
                <w14:textFill>
                  <w14:solidFill>
                    <w14:schemeClr w14:val="tx1"/>
                  </w14:solidFill>
                </w14:textFill>
              </w:rPr>
            </w:pPr>
            <w:r>
              <w:rPr>
                <w:rStyle w:val="78"/>
                <w:rFonts w:hint="eastAsia" w:ascii="宋体" w:hAnsi="宋体" w:eastAsia="宋体" w:cs="宋体"/>
                <w:color w:val="000000" w:themeColor="text1"/>
                <w:sz w:val="21"/>
                <w:szCs w:val="21"/>
                <w:highlight w:val="none"/>
                <w:lang w:val="en-US" w:eastAsia="zh-CN" w:bidi="ar"/>
                <w14:textFill>
                  <w14:solidFill>
                    <w14:schemeClr w14:val="tx1"/>
                  </w14:solidFill>
                </w14:textFill>
              </w:rPr>
              <w:t>一、</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Style w:val="78"/>
                <w:rFonts w:hint="eastAsia" w:ascii="宋体" w:hAnsi="宋体" w:eastAsia="宋体" w:cs="宋体"/>
                <w:color w:val="000000" w:themeColor="text1"/>
                <w:sz w:val="21"/>
                <w:szCs w:val="21"/>
                <w:highlight w:val="none"/>
                <w:lang w:val="en-US" w:eastAsia="zh-CN" w:bidi="ar"/>
                <w14:textFill>
                  <w14:solidFill>
                    <w14:schemeClr w14:val="tx1"/>
                  </w14:solidFill>
                </w14:textFill>
              </w:rPr>
              <w:t>技术要求：1-187要求优先满足具有GBW或GSB或GBW（E）编号。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5000" w:type="pct"/>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Style w:val="78"/>
                <w:rFonts w:hint="eastAsia" w:ascii="宋体" w:hAnsi="宋体" w:eastAsia="宋体" w:cs="宋体"/>
                <w:color w:val="000000" w:themeColor="text1"/>
                <w:sz w:val="21"/>
                <w:szCs w:val="21"/>
                <w:highlight w:val="none"/>
                <w:lang w:val="en-US" w:eastAsia="zh-CN" w:bidi="ar"/>
                <w14:textFill>
                  <w14:solidFill>
                    <w14:schemeClr w14:val="tx1"/>
                  </w14:solidFill>
                </w14:textFill>
              </w:rPr>
            </w:pPr>
            <w:r>
              <w:rPr>
                <w:rFonts w:hint="eastAsia" w:ascii="宋体" w:hAnsi="宋体"/>
                <w:b/>
                <w:bCs/>
                <w:color w:val="000000" w:themeColor="text1"/>
                <w:szCs w:val="21"/>
                <w:highlight w:val="none"/>
                <w:lang w:val="en-US" w:eastAsia="zh-CN"/>
                <w14:textFill>
                  <w14:solidFill>
                    <w14:schemeClr w14:val="tx1"/>
                  </w14:solidFill>
                </w14:textFill>
              </w:rPr>
              <w:t>2分包：标准物质产品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distribute"/>
              <w:textAlignment w:val="auto"/>
              <w:rPr>
                <w:rFonts w:hint="eastAsia" w:ascii="宋体" w:hAnsi="宋体" w:eastAsia="宋体" w:cs="宋体"/>
                <w:b/>
                <w:bCs/>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序号</w:t>
            </w:r>
          </w:p>
        </w:tc>
        <w:tc>
          <w:tcPr>
            <w:tcW w:w="3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供货序号</w:t>
            </w:r>
          </w:p>
        </w:tc>
        <w:tc>
          <w:tcPr>
            <w:tcW w:w="67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货物名称</w:t>
            </w:r>
          </w:p>
        </w:tc>
        <w:tc>
          <w:tcPr>
            <w:tcW w:w="41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单价预算金额（元）</w:t>
            </w:r>
          </w:p>
        </w:tc>
        <w:tc>
          <w:tcPr>
            <w:tcW w:w="3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单位</w:t>
            </w:r>
          </w:p>
        </w:tc>
        <w:tc>
          <w:tcPr>
            <w:tcW w:w="49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规格</w:t>
            </w:r>
          </w:p>
        </w:tc>
        <w:tc>
          <w:tcPr>
            <w:tcW w:w="243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Style w:val="78"/>
                <w:rFonts w:hint="eastAsia" w:ascii="宋体" w:hAnsi="宋体" w:eastAsia="宋体" w:cs="宋体"/>
                <w:color w:val="000000" w:themeColor="text1"/>
                <w:sz w:val="21"/>
                <w:szCs w:val="21"/>
                <w:highlight w:val="none"/>
                <w:lang w:bidi="ar"/>
                <w14:textFill>
                  <w14:solidFill>
                    <w14:schemeClr w14:val="tx1"/>
                  </w14:solidFill>
                </w14:textFill>
              </w:rPr>
              <w:t>技术参数及性能（配置）要求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质1</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水质</w:t>
            </w:r>
            <w: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t xml:space="preserve"> pH</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40</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20mL/支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国家标准环境标准样品，质控样，pH在7左右，</w:t>
            </w:r>
          </w:p>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需稀释10mL-100mL，用无二氧化碳纯水定容。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质2</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水质</w:t>
            </w:r>
            <w: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t xml:space="preserve"> pH</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40</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20mL/支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国家标准环境标准样品，质控样，pH在4左右，</w:t>
            </w:r>
          </w:p>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需稀释10mL-100mL，用无二氧化碳纯水定容。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质3</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水质</w:t>
            </w:r>
            <w: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t xml:space="preserve"> pH</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40</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20mL/支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国家标准环境标准样品，质控样，pH在9左右，</w:t>
            </w:r>
          </w:p>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需稀释10mL-100mL，用无二氧化碳纯水定容。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质4</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水质 电导率</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72</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元/瓶</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30mL/瓶</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国家标准环境标准样品，质控样，浓度≤200μS/cm，</w:t>
            </w:r>
          </w:p>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需稀释10mL-250mL，用新鲜蒸馏水定容。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质5</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模拟酸雨</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300</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元/瓶</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30mL/瓶</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国家标准环境标准样品，质控样，组分：电导率（25℃）、pH（25℃）、硫酸根、硝酸根、氯、铵离子、镁、钙、钠、钾，浓度见证书，需稀释10mL-250mL，用新鲜蒸馏水定容。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质6</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氟离子、氯离子、硝酸根离子、硫酸根离子</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500</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元/瓶</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100mL/瓶</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液体标准样品，氟离子100.0µg/mL、氯离子500.0µg/mL、硝酸根离子1000µg/mL、硫酸根离子1000µg/mL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质7</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钾、钠、钙、镁混标</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500</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元/瓶</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100mL/瓶</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液体标准样品，K、Mg、Na：200µg/mL，Ca：1000µg/mL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质8</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水质 钾、钠、钙、镁混合</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110</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元/瓶</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30mL/瓶</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国家标准环境标准样品，质控样，组分：镁、钙、钠、钾，浓度≤10mg/L，以证书为准，需稀释10mL-250mL，用1%稀盐酸定容。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质9</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铵离子</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115</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元/瓶</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100mL/瓶</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国家液体标准样品，铵离子1000µg/mL。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质10</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 xml:space="preserve">水质 </w:t>
            </w:r>
          </w:p>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高锰酸盐指数</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40</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20mL/支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国家标准环境标准样品，质控样，浓度≤10mg/L，</w:t>
            </w:r>
          </w:p>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需稀释10mL-250mL，用纯水定容。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质11</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水质 氨氮</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40</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20mL/支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国家标准环境标准样品，质控样，浓度≤10mg/L，</w:t>
            </w:r>
          </w:p>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需稀释10mL-250mL，用纯水定容。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质12</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氨氮溶液标准样品</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40</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20mL/支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国家标准环境标准样品，500±1% mg/L。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质13</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 xml:space="preserve">水质 </w:t>
            </w:r>
          </w:p>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生化需氧量</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40</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20mL/支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国家标准环境标准样品，质控样，浓度≤50mg/L，</w:t>
            </w:r>
          </w:p>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需稀释10mL-250mL，用纯水定容。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质14</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五日生化耗氧量（BOD</w:t>
            </w:r>
            <w:r>
              <w:rPr>
                <w:rStyle w:val="81"/>
                <w:rFonts w:hint="eastAsia" w:ascii="宋体" w:hAnsi="宋体" w:eastAsia="宋体" w:cs="宋体"/>
                <w:b w:val="0"/>
                <w:bCs w:val="0"/>
                <w:color w:val="000000" w:themeColor="text1"/>
                <w:sz w:val="21"/>
                <w:szCs w:val="21"/>
                <w:highlight w:val="none"/>
                <w:vertAlign w:val="subscript"/>
                <w:lang w:val="en-US" w:eastAsia="zh-CN" w:bidi="ar"/>
                <w14:textFill>
                  <w14:solidFill>
                    <w14:schemeClr w14:val="tx1"/>
                  </w14:solidFill>
                </w14:textFill>
              </w:rPr>
              <w:t>5</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）溶液标准物质</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115</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100mL/瓶</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标准物质，210±5% mg/L。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质15</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水质 总磷</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40</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20mL/支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国家标准环境标准样品，质控样，浓度≤2mg/L，</w:t>
            </w:r>
          </w:p>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需稀释10mL-250mL，用纯水定容。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质16</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总磷溶液标准样品</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40</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20mL/支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环境标准样品，500±2% mg/L。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质17</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水质 挥发酚</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65</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20mL/支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国家标准环境标准样品，质控样，浓度≤2mg/L，</w:t>
            </w:r>
          </w:p>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需稀释10mL-1000mL，用纯水定容。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质18</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苯酚溶液标准样品</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65</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20mL/支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国家标准、环境标准样品，500±2% mg/L。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质19</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粪大肠菌群质控样品</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1080</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元/盒</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2支/盒</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质控样品，适用于HJ347.2-2018水质粪大肠菌群的测定 多管发酵法 西林瓶装，＞10MPN/L，以实际供货浓度为准。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质20</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水质分析用产气肠杆菌标准样品（多管发酵法）</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630</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元/盒</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1支/盒</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适用于HJ347.2-2018水质粪大肠菌群测定阴性对照、培养基检验（多管发酵法），浓度范围约：300~3000 MPN/L，以实际供货浓度为准。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质21</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水质分析用大肠埃希氏菌标准样品（多管发酵法）</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630</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元/盒</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1支/盒</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适用于HJ347.2-2018水质粪大肠菌群测定阳性对照、培养基检验（多管发酵法），浓度范围约：300～3000 MPN/L，以实际供货浓度为准。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质22</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酶底物法标准样品</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1080</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元/盒</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2支/盒</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质控样品，适用于HJ 1001-2018 水质 总大肠菌群、粪大肠菌群和大肠埃希氏菌的测定 酶底物法 ，西林瓶装，</w:t>
            </w:r>
          </w:p>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浓度范围约：240～10000 MPN/L，以实际供货浓度为准。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质23</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大肠埃希氏菌定量标准菌株</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630</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元/盒</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1支/盒</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适用于HJ 1001-2018 水质总大肠菌群、粪大肠菌群和大肠埃希氏菌测定阳性对照、培养基检验（酶底物法），浓度范围约：300～3000CFU/mL，以实际供货浓度为准。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质24</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铜绿假单胞菌定量标准菌株</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630</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元/盒</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1支/盒</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适用于HJ 1001-2018 水质总大肠菌群、粪大肠菌群和大肠埃希氏菌测定阴性对照、培养基检验（酶底物法），浓度范围约：300～3000CFU/mL，以实际供货浓度为准。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质25</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产气肠杆菌</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630</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元/盒</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2支/盒</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适用于HJ 1001-2018 水质总大肠菌群、粪大肠菌群和大肠埃希氏菌测定阴性对照、培养基检验（酶底物法），浓度范围约：300～3000CFU/mL，以实际供货浓度为准。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质26</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大肠埃希氏菌定量标准菌株</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630</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元/盒</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1支/盒</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阳性对照菌株，适用《水质 粪大肠菌群的测定 多管发酵法》（HJ347.2-2018）。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质27</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水中氰成分分析标准物质</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108</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元/瓶</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40mL/瓶</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国家二级以上标准物质，50.0µg/mL。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质28</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硫化物溶液标准样品</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65</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20mL/支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国家标准环境标准样品，100mg/L。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质29</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水质 硫化氢</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36</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20mL/支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环境标准样品，质控样，浓度≤5mg/L，</w:t>
            </w:r>
          </w:p>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需稀释10mL-250mL，用纯水定容。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质30</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硫化氢溶液（以H</w:t>
            </w:r>
            <w:r>
              <w:rPr>
                <w:rFonts w:hint="eastAsia" w:ascii="宋体" w:hAnsi="宋体" w:eastAsia="宋体" w:cs="宋体"/>
                <w:b w:val="0"/>
                <w:bCs w:val="0"/>
                <w:i w:val="0"/>
                <w:iCs w:val="0"/>
                <w:color w:val="000000" w:themeColor="text1"/>
                <w:kern w:val="0"/>
                <w:sz w:val="21"/>
                <w:szCs w:val="21"/>
                <w:highlight w:val="none"/>
                <w:u w:val="none"/>
                <w:vertAlign w:val="subscript"/>
                <w:lang w:val="en-US" w:eastAsia="zh-CN" w:bidi="ar"/>
                <w14:textFill>
                  <w14:solidFill>
                    <w14:schemeClr w14:val="tx1"/>
                  </w14:solidFill>
                </w14:textFill>
              </w:rPr>
              <w:t>2</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S计）</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27</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20mL/支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环境标准样品，100±5% mg/L。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质31</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 xml:space="preserve">水质 </w:t>
            </w:r>
          </w:p>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阴离子表面活性剂</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65</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20mL/支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国家标准环境标准样品，质控样，浓度≤3mg/L，需稀释10mL-250mL，用纯水定容。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质32</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十二烷基苯磺酸钠溶液标准样品</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65</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20mL/支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国家标准环境标准样品，500±2%mg/L。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质33</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水质 氟化物</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40</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20mL/支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国家标准环境标准样品，质控样，浓度≤3mg/L，</w:t>
            </w:r>
          </w:p>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需稀释10mL-250mL，用纯水定容。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质34</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水质 氯化氢</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30</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20mL/支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环境标准样品，质控样，浓度≤5mg/L，</w:t>
            </w:r>
          </w:p>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需稀释10mL-250mL，用纯水定容。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质35</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水中氯化氢</w:t>
            </w:r>
          </w:p>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（以氯化氢计）</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22</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元/瓶</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50mL/瓶</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环境标准样品，1000mg/L。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质36</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水质 氟、氯、硫酸根与硝酸根混合</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95</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20mL/支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国家标准环境标准样品，质控样，</w:t>
            </w:r>
          </w:p>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需稀释10mL-250mL，用纯水定容，以实际供货浓度为准。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质37</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水质 六价铬</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36</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20mL/支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国家标准环境标准样品，质控样，浓度≤5mg/L，</w:t>
            </w:r>
          </w:p>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需稀释10mL-250mL，用纯水定容。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质38</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六价铬单元素溶液标准物质</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36</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20mL/支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国家二级以上标准物质，100mg/L。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质39</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32种金属混标</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1800</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元/瓶</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100mL/瓶</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标准溶液，100µg/mL，组分：Ag、Al、As、B、Ba、Be、Bi、Ca、Cd、Co、Cr、Cu、Fe、Ga、K、Li、Mg、Mo、Mn、Na、Ni、P、Pb、Sb、Se、Sn、Sr、Ti、Tl、V、W、Zn。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质40</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Th U-100µg/mL</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1400</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元/瓶</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50mL/瓶</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标准物质，100µg/mL，组分：Th、U。</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质41</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Sb Au Hf Ir Pd Pt Rh Ru Te Sn-100µg/mL</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500</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元/瓶</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50mL/瓶</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标准物质，100µg/mL，组分：Sb、Au、Hf、Ir、Pd、Pt、Rh、Ru、Te、Sn。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质42</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B Ge Mo Nb P Re Ti W Zr-100µg/mL</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250</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元/瓶</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50mL/瓶</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标准物质，100µg/mL，组分：B、Ge、Mo、Nb、P、Re、Ti、W、Zr。</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质43</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La Ce Pr Nd Sm Eu Gd Tb Dy Ho Er Tm Yb Lu Y Sc-100µg/mL</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420</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元/瓶</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50mL/瓶</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标准物质，100µg/mL，组分：La、Ce、Pr、Nd、Sm、Eu、Gd、Tb、Dy、Ho、Er、Tm、Yb、Lu、Y、Sc。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质44</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Ca K Mg Na-1000</w:t>
            </w:r>
          </w:p>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µg/mL</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210</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元/瓶</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50mL/瓶</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标准物质，1000µg/mL，组分：Ca、K、Mg、Na。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strike w:val="0"/>
                <w:dstrike w:val="0"/>
                <w:color w:val="000000" w:themeColor="text1"/>
                <w:kern w:val="0"/>
                <w:sz w:val="21"/>
                <w:szCs w:val="21"/>
                <w:highlight w:val="none"/>
                <w:u w:val="none"/>
                <w:lang w:val="en-US" w:eastAsia="zh-CN" w:bidi="ar"/>
                <w14:textFill>
                  <w14:solidFill>
                    <w14:schemeClr w14:val="tx1"/>
                  </w14:solidFill>
                </w14:textFill>
              </w:rPr>
              <w:t>质45</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25种金属混合标准样品</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315</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元/瓶</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20mL/瓶</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液体标准样品，质控样，100µg/L，需稀释10mL-250mL，用2%硝酸定容，组分：锌（Zn）、钒（V）、铊（Tl）、钛（Ti）、硒（Se）、锑（Sb）、铅（Pd）、镍（Ni）、钠（Na）、钼（Mo）、锰（Mn）、镁（Mg）、钾（K）、铁（Fe）、铜（Cu）、铬（Cr）、钴（Co）、镉（Cd）、钙（Ca）、铍（Be）、钡（Ba）、硼（B）、砷（As）、铝（Al）、银（Ag）。</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质46</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25种金属混合标准样品</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315</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元/瓶</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20mL/瓶</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液体标准样品，质控样，50µg/L，需稀释10mL-250mL，用2%硝酸定容，组分：锌（Zn）、钒（V）、铊（Tl）、钛（Ti）、硒（Se）、锑（Sb）、铅（Pd）、镍（Ni）、钠（Na）、钼（Mo）、锰（Mn）、镁（Mg）、钾（K）、铁（Fe）、铜（Cu）、铬（Cr）、钴（Co）、镉（Cd）、钙（Ca）、铍（Be）、钡（Ba）、硼（B）、砷（As）、铝（Al）、银（Ag）。</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质47</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水质 砷</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63</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20mL/支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国家标准环境标准样品，质控样，浓度≤1mg/L，</w:t>
            </w:r>
          </w:p>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需稀释10mL-250mL，3%硝酸定容。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质48</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水质 汞</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63</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20mL/支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国家标准环境标准样品，质控样，浓度≤15µg/L，</w:t>
            </w:r>
          </w:p>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需稀释10mL-250mL，纯水定容。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质49</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汞溶液标准样品</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63</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20mL/支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国家标准环境标准样品，100mg/L。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质50</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甲醛吸收储备液</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40</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20mL/支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5.5%（mL/mL）甲醛，适用于HJ482-2009标准，用纯水稀释100倍配制成甲醛缓冲吸收液。。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质51</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二氧化硫溶液标准样品</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40</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20mL/支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国家标准环境标准样品，100±2% mg/L，溶剂：甲醛吸收液。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质52</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二氧化硫</w:t>
            </w:r>
          </w:p>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（甲醛法）</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40</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20mL/支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国家标准环境标准样品，质控样，浓度≤5mg/L，</w:t>
            </w:r>
          </w:p>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需稀释10mL-250mL，甲醛吸收液定容。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质53</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水质 甲醛</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65</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20mL/支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国家标准环境标准样品，质控样，浓度≤5mg/L，</w:t>
            </w:r>
          </w:p>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需稀释10mL-250mL，纯水定容。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质54</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甲醛溶液标准样品</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65</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20mL/支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国家标准环境标准样品，100±3% mg/L。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质55</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15种硝基苯混标</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1000</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标准物质，不同浓度于正已烷:甲苯=1:1，</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适用于HJ648-2013，组分：4-硝基甲苯、3-硝基甲苯、2-硝基甲苯、硝基苯5000mg/L；2，4，6-三硝基甲苯、3，4-二硝基甲苯、1-氯-2，4-二硝基苯、2，4-二硝基甲苯、1，2-二硝基苯、2，6-二硝基甲苯、1，3-二硝基苯、1，4-二硝基苯、邻-硝基氯苯、间-硝基氯苯、对-硝基氯苯500mg/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质56</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水质 15项 硝基苯类 质控样</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342</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标准样品，质控样，溶剂甲醇，浓度≤100mg/L，需稀释1mL-1000mL，试剂水定容，组分：4-硝基甲苯、3-硝基甲苯、2-硝基甲苯、硝基苯、2，4，6-三硝基甲苯、3，4-二硝基甲苯、1-氯-2，4-二硝基苯、2，4-二硝基甲苯、1，2-二硝基苯、2，6-二硝基甲苯、1，3-二硝基苯、1，4-二硝基苯、邻-硝基氯苯、间-硝基氯苯、对-硝基氯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质57</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甲醇中6种邻苯二甲酸酯类化合物内标溶液同位素内标</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1050</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1.2mL/支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标准样品，适用于HJ1242-2022，1000mg/L于甲醇中，组分：邻苯二甲酸二甲酯-d4、邻苯二甲酸二乙酯-d4、邻苯二甲酸丁基苄基酯-d4、邻苯二甲酸二丁酯-d4、邻苯二甲酸二（2-乙基己基）酯-d4、邻苯二甲酸二正辛酯-d4。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质58</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6种邻苯二甲酸酯混标</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585</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1.2mL/支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标准样品，适用于HJ1242-2022，1000mg/L于丙酮，组分：邻苯二甲酸二甲酯、邻苯二甲酸二乙酯、邻苯二甲酸丁基苄基酯、邻苯二甲酸二丁酯、邻苯二甲酸二（2-乙基己基）酯、邻苯二甲酸二正辛酯。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质59</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甲醇中邻苯二甲酸二（2-乙基己基）酯</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67</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国家标准环境标准样品，质控样，于甲醇中，</w:t>
            </w:r>
          </w:p>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浓度≤250mg/L。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质60</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甲醇中邻苯二甲酸二（2-乙基己基）酯</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63</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1.2mL/支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标准样品，于甲醇中，质控样，浓度≤100mg/L。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质61</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甲醇中邻苯二甲酸二丁酯</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67</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国家标准环境标准样品，质控样，于甲醇中，浓度≤200mg/L。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质62</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甲醇中邻苯二甲酸二丁酯标样</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63</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1.2mL/支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标准样品，质控样，于甲醇中，浓度≤250mg/L。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质63</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34种农药混标</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1440</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标准物质，适用于HJ699-2014，1000mg/L于丙酮，组分：异狄氏剂酮、甲氧滴滴涕、硫丹硫酸盐、p，p'-DDT、异狄氏醛、β-硫丹、o，p'-DDT、p，p'-DDD、异狄氏剂、狄氏剂、o，p'-DDD、p，p'-DDE、α-硫丹、顺-氯丹（α）、反-氯丹（γ）、o，p'-DDE、内环氧七氯A、外环氧七氯B、三氯杀螨醇、艾氏剂、七氯、δ-六六六、γ-六六六、五氯硝基苯、β-六六六、六氯苯、α-六六六、五氯苯、1，2，3，4-四氯苯、1，2，3，5-四氯苯、1，2，4，5-四氯苯、1，2，3-三氯苯、1，2，4-三氯苯、1，3，5-三氯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质64</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十氟三苯基膦</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140</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标准物质，适用于HJ699-2014调谐，1000mg/L于二氯甲烷中。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质65</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Style w:val="75"/>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t>十氯联苯和四氯间二甲苯</w:t>
            </w:r>
            <w:r>
              <w:rPr>
                <w:rStyle w:val="73"/>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t xml:space="preserve"> </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260</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标准物质，</w:t>
            </w:r>
            <w:r>
              <w:rPr>
                <w:rStyle w:val="75"/>
                <w:rFonts w:hint="eastAsia" w:ascii="宋体" w:hAnsi="宋体" w:eastAsia="宋体" w:cs="宋体"/>
                <w:b w:val="0"/>
                <w:bCs w:val="0"/>
                <w:strike w:val="0"/>
                <w:dstrike w:val="0"/>
                <w:color w:val="000000" w:themeColor="text1"/>
                <w:sz w:val="21"/>
                <w:szCs w:val="21"/>
                <w:highlight w:val="none"/>
                <w:lang w:val="en-US" w:eastAsia="zh-CN" w:bidi="ar"/>
                <w14:textFill>
                  <w14:solidFill>
                    <w14:schemeClr w14:val="tx1"/>
                  </w14:solidFill>
                </w14:textFill>
              </w:rPr>
              <w:t>替代物混标，</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适用于HJ699-2014，</w:t>
            </w:r>
          </w:p>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1000mg/L于甲苯：正己烷中。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质66</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Style w:val="73"/>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t>3</w:t>
            </w:r>
            <w:r>
              <w:rPr>
                <w:rStyle w:val="75"/>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t>种内标混标</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180</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标准物质，适用于HJ699-2014，400mg/L于正己烷中。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质67</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甲醇中8种有机氯农药混合</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315</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国家标准环境标准样品，质控样，于甲醇中，浓度≤100mg/L，组分：δ-六六六、γ-六六六、β-六六六、α-六六六、p，p'-DDT、o，p'-DDT、p，p'-DDD、p，p'-DDE。</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质68</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甲醇中阿特拉津</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67</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国家标准环境标准样品，质控样，于甲醇中，浓度≤200mg/L。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质69</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甲醇中莠去津</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40</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环境标准样品，质控样，于甲醇中，浓度≤200mg/L。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质70</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甲醇中阿特拉津溶液</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67</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国家标准环境标准样品，于甲醇中，100mg/L。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质71</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苯并（a）芘</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27</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标准物质，100mg/L于甲醇。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质72</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甲醇中苯并（a）芘溶液标准物质</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126</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国家二级以上标准物质，5.00mg/L于甲醇。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质73</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水质 化学需氧量</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40</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20mL/支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国家标准环境标准样品，质控样，浓度≤200mg/L，</w:t>
            </w:r>
          </w:p>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需稀释10mL-250mL，纯水定容。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质74</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水质 游离氯和总氯的测定 质控样</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135</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标准物质，质控样，溶剂水，浓度≤10mg/L，</w:t>
            </w:r>
          </w:p>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需稀释1mL-1000mL，试剂水定容。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质75</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水中总氯</w:t>
            </w:r>
          </w:p>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（总余氯）</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90</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标准物质，溶剂水，1000mg/L。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质76</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56种VOC混标</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720</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标准物质，适用于HJ639、HJ810、HJ1227、GB/T5750.8-2023 4.2，2000mg/L于甲醇，组分：1，2，4-三氯苯、萘、六氯-1，3-丁二烯、1，2，3-三氯苯、1，2-二溴-3-氯丙烷、1，4-二氯苯、正丁基苯、1，3-二氯苯、1，2-二氯苯、4-异丙基甲苯、仲丁基苯、1，3，5-三甲基苯、叔丁苯、4-氯甲苯、1，2，4-三甲基苯、2-氯甲苯、正丙基苯、溴苯、1，2，3-三氯丙烷、1，1，2，2-四氯乙烷、异丙基苯、三溴甲烷（溴仿）、苯乙烯、邻二甲苯、对二甲苯、间二甲苯、1，1，1，2-四氯乙烷、乙苯、氯苯、1，2-二溴乙烷、二溴一氯甲烷、1，3-二氯丙烷、四氯乙烯、1，1，2-三氯乙烷、反式-1，3-二氯丙烯、甲苯、顺式-1，3-二氯丙烯、一溴二氯甲烷、二溴甲烷、1，2-二氯丙烷、三氯乙烯、1，2-二氯乙烷、苯、四氯化碳、1，1-二氯-1-丙烯、1，1，1-三氯乙烷、三氯甲烷、溴氯甲烷、反式-1，2-二氯乙烯、2，2-二氯丙烷、氯丁二烯、1，1-二氯乙烷、顺式-1，2-二氯乙烯、二氯甲烷、1，1-二氯乙烯、氯乙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质77</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环氧氯丙烷（表氯醇）</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45</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标准物质，1000mg/L于甲醇。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质78</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水中乙醛标样</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540</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1.2mL/支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标准样品，质控样，溶剂水，浓度≤100mg/L。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质79</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水中乙醛标准溶液</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170</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1.2mL/支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标准物质，溶剂水，1000mg/L。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质80</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水中丙烯醛</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225</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1.2mL/支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标准物质，溶剂水，1000mg/L。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质81</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水中丙烯腈</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36</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标准物质，溶剂水，1000mg/L。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质82</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水合三氯乙醛</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63</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标准物质，1000mg/L于甲醇。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质83</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三氯乙醛标样</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180</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20ml/支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标准样品，质控样，溶剂水，浓度≤100mg/L。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质84</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甲醇中2，4-二氯酚溶液标准物质</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72</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国家二级以上标准物质，1mg/mL于甲醇。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质85</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甲醇中五氯酚溶液标准物质</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72</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国家二级以上标准物质，1mg/mL于甲醇。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质86</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甲醇中3种酚类混标（2，4-二氯酚、2，4，6-三氯酚、五氯酚）</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210</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国家二级以上标准物质，质控样，于甲醇，浓度≤200mg/L，组分：2，4，6-三氯酚、2，4-二氯酚、五氯酚。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质87</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甲醇中苯胺</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67</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国家标准环境标准样品，质控样，于甲醇，浓度≤500mg/L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质88</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17种苯胺混标</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675</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标准物质，适用于HJ1048-2019，不同浓度于甲醇，组分：联苯胺、邻苯二胺、苯胺、邻甲氧基苯胺、对甲苯胺、邻甲基苯胺、2，4-二甲基苯胺、对氯苯胺、2，6-二甲基苯胺、2-萘胺、4-硝基苯胺、3-硝基苯胺、3-氯苯胺、2-甲基-6-乙基苯胺、2-硝基苯胺、2，6-二乙基苯胺、3，3'-二氯联苯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质89</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联苯胺</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72</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标准物质，1000mg/L于甲醇。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质90</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联苯胺</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216</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标准物质，质控样，于甲醇，浓度≤100mg/L，</w:t>
            </w:r>
          </w:p>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需稀释1000倍。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质91</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丙烯酰胺</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88</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标准物质，1000mg/L于甲醇。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质92</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丙烯酰胺</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235</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标准物质，质控样，于甲醇，浓度≤100mg/L。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质93</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水中水合肼质控样</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540</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1.5mL/支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标准物质，质控样，于水中，浓度≤100mg/L，</w:t>
            </w:r>
          </w:p>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需稀释100倍。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质94</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水合肼溶液</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225</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标准物质，1000mg/L于水中。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质95</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甲醇中四乙基铅质控样品</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345</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1.5mL/支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标准物质，质控样，于甲醇，浓度≤100mg/L，</w:t>
            </w:r>
          </w:p>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需稀释1000倍。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质96</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甲醇中四乙基铅溶液标准物质</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216</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标准物质，于甲醇，100mg/L。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质97</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甲醇中吡啶溶液</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155</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1.2mL/支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国家标准环境标准样品，于甲醇，1000mg/L。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质98</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甲醇中吡啶质控样</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310</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1.2mL/支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标准样品，质控样，于甲醇，浓度≤100mg/L。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质99</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甲醇中松节油溶液</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150</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1.2mL/支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标准物质，于甲醇，2000mg/L。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4" w:hRule="atLeast"/>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质100</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甲醇中松节油质控样</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315</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1.2mL/支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标准样品，质控样，于甲醇，浓度≤100mg/L。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8" w:hRule="atLeast"/>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质101</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甲醇中苦味酸（2，4，6-三硝基苯酚）质控样</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255</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1.2mL/支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标准样品，质控样，于甲醇，浓度≤100mg/L。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质102</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苦味酸（2，4，6-三硝基苯酚）溶液</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115</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标准物质，100mg/L，于乙腈。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质103</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 xml:space="preserve"> 甲醇中2，4-二硝基苯酚-d3</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540</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标准物质，内标，适用于HJ 1049-2019，100mg/L于甲醇。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质104</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水质丁基黄原酸分析质控样</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90</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标准样品，质控样，于水中，浓度≤100mg/L。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质105</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水质丁基黄原酸标准溶液</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300</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标准物质，1000mg/L于水中。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质106</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丁基黄原酸溶液标准物质</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300</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10mL/支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标准物质，（1000±2%）mg/L于水中。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质107</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甲醇中6种有机磷农药混标</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243</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标准物质，1000mg/L于甲醇，组分：内吸磷、敌敌畏、乐果、马拉硫磷、对硫磷、甲基对硫磷。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质108</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甲醇中5种有机磷农药混标</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315</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国家标准环境标准样品，质控样，于甲醇，浓度≤150mg/L,组分：敌敌畏、乐果、马拉硫磷、对硫磷、甲基对硫磷。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质109</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甲醇中内吸磷标准溶液</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30</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标准物质，100mg/L于甲醇。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质110</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甲醇中敌百虫</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54</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1.2mL/支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标准物质，1000mg/L于甲醇。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质111</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甲醇中百菌清质控样</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180</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1.2mL/支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标准物质，质控样，于甲醇，浓度≤100mg/L。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质112</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甲醇中百菌清标准溶液</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45</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1.2mL/支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标准物质，100mg/L于甲醇。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质113</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甲醇中甲萘威标准溶液</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90</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1.2mL/支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标准物质，1000mg/L于甲醇。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质114</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甲醇中甲萘威质控样</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90</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1.2mL/支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标准物质，质控样，于甲醇，浓度≤100mg/L。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质115</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甲醇中15种氨基甲酸酯类农药混标</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270</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标准物质，适用于HJ827-2017，不同浓度50-1000mg/L于甲醇，组分：猛杀威、灭梭威、仲丁威、2，3，5-混杀威、氯灭杀威、异丙威、甲萘威、恶虫威、克百威、残杀威、速灭威、3-羟基克百威、抗蚜威、灭多威、灭多威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质116</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甲醇中溴氰菊酯</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324</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1.2mL/支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标准物质，质控样，于甲醇，浓度≤100mg/L。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质117</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甲基汞溶液标准物质</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270</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1.5mL/支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国家二级标准物质以上，于甲醇，浓度≤100mg/L，需冷冻。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质118</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甲醇中氯化甲基汞/氯化乙基汞混标</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940</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标准物质，于甲醇，1000mg/L（以甲基汞/乙基汞计），</w:t>
            </w:r>
          </w:p>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组分：氯化甲基汞、氯化乙基汞。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质119</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乙基汞溶液标准物质</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67</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1.5mL/支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国家二级标准物质以上，于甲醇，浓度≤100mg/L，需冷冻。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质120</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PCB套装</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1650</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元/套</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7支/套</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标准物质，适用于HJ890-2017，HJ904-2017，GB/T5750.8附录B，200mg/于甲醇，1mL/支，包含：多氯联苯1260、多氯联苯1254、多氯联苯1248、多氯联苯1242、多氯联苯1232、多氯联苯1221、多氯联苯1016。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质121</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甲醇中微囊藻毒素-LR溶液</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405</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1.2mL/支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标准物质，于甲醇，10mg/L。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质122</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甲醇中微囊藻毒素-LR溶液</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700</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1.2mL/支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标准物质，质控样，于甲醇，浓度≤10mg/L，稀释100倍。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3" w:hRule="atLeast"/>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质123</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环己烷中黄磷</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180</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1.2mL/支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标准物质，于环己烷，1000mg/L。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质124</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浊度</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108</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元/瓶</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100mL/瓶</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环境标准样品，质控样，浓度≤400NTU。</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质125</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浊度溶液标准物质</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117</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元/瓶</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20mL/支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国家标准环境标准样品，400±3% NTU。</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质126</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总硬度</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40</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20mL/支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国家标准环境标准样品，质控样，浓度≤5mmol/L</w:t>
            </w:r>
          </w:p>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，需稀释10mL-250mL，纯水定容。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质127</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溶解性总固体</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63</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20mL/支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国家二级以上标准物质，20g/L。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质128</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水质 碘化物</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40</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20mL/支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国家标准环境标准样品，质控样，浓度≤5mg/L，</w:t>
            </w:r>
          </w:p>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需稀释10mL-250mL，纯水定容。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质129</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碘化物标液</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40</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20mL/支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国家标准环境标准样品，于0.005mol/L的氢氧化钠溶液，500±2% mg/L。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质130</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2，4-滴</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27</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1.2mL/支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标准物质，于甲醇，100mg/L。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质131</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草甘膦</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90</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1.2mL/支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标准物质，于水中，1000mg/L。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质132</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毒死蜱</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45</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1.2mL/支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标准物质，于甲醇，100mg/L。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质133</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涕灭威</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90</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1.2mL/支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标准物质，于甲醇，1000mg/L。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质134</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四氯乙烯中石油类标准样品</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155</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7mL/支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国家标准环境标准样品，于四氯乙烯，1000mg/L，相对扩展不确定度3%。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质135</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四氯乙烯中石油类标准样品</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155</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7mL/支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国家标准环境标准样品，质控样，于四氯乙烯，小于100mg/L，需稀释，5mL-100mL，四氯乙烯定容。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质136</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氮气中一氧化氮</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1500</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元/瓶</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4L/瓶</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氮气中一氧化氮，浓度范围：30-80μmol/mol，有效期一年，一级标气，必须经国家市场监督管理总局批准，并取得定级证书和计量器具制造许可证，含钢瓶。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质137</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氮气中二氧化硫</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1500</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元/瓶</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4L/瓶</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氮气中二氧化硫，浓度范围：30-80μmol/mol，有效期一年，一级标气，必须经国家市场监督管理总局批准，并取得定级证书和计量器具制造许可证，包括钢瓶。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质138</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pH标准缓冲溶液</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162</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元/瓶</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500mL/瓶</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国家二级以上标准物质，25℃时 pH 6.86。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质139</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pH标准缓冲溶液</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162</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元/瓶</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500mL/瓶</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国家二级以上标准物质，25℃时 pH 9.18。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质140</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色度溶液标准样品</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40</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20mL/支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国家环境标准样品，500±2%度。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质141</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水质 亚硝酸盐（以氮计）</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40</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20mL/支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国家环境标准样品，质控样，浓度≤2mg/L。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质142</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亚硝酸盐氮溶液标准样品</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40</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20mL/支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国家环境标准样品，100±2% mg/L。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质143</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硝酸根离子溶液标准物质</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45</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元/瓶</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50mL/瓶</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标准物质，1000μg/mL。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质144</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硫酸根离子溶液标准物质</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45</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元/瓶</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both"/>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50mL/瓶</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标准物质，1000μg/mL。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质145</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土壤成分分析标准物质</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565</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元/瓶</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70g/瓶</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国家二级以上标准物质，质控样，碱性土壤4瓶，中性土壤1瓶，需包含以下组分：氟F、氧化镁MgO、氧化钙CaO、二氧化硅SiO</w:t>
            </w:r>
            <w:r>
              <w:rPr>
                <w:rFonts w:hint="eastAsia" w:ascii="宋体" w:hAnsi="宋体" w:eastAsia="宋体" w:cs="宋体"/>
                <w:b w:val="0"/>
                <w:bCs w:val="0"/>
                <w:i w:val="0"/>
                <w:iCs w:val="0"/>
                <w:color w:val="000000" w:themeColor="text1"/>
                <w:kern w:val="0"/>
                <w:sz w:val="21"/>
                <w:szCs w:val="21"/>
                <w:highlight w:val="none"/>
                <w:u w:val="none"/>
                <w:vertAlign w:val="subscript"/>
                <w:lang w:val="en-US" w:eastAsia="zh-CN" w:bidi="ar"/>
                <w14:textFill>
                  <w14:solidFill>
                    <w14:schemeClr w14:val="tx1"/>
                  </w14:solidFill>
                </w14:textFill>
              </w:rPr>
              <w:t>2</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、三氧化二铁Fe</w:t>
            </w:r>
            <w:r>
              <w:rPr>
                <w:rFonts w:hint="eastAsia" w:ascii="宋体" w:hAnsi="宋体" w:eastAsia="宋体" w:cs="宋体"/>
                <w:b w:val="0"/>
                <w:bCs w:val="0"/>
                <w:i w:val="0"/>
                <w:iCs w:val="0"/>
                <w:color w:val="000000" w:themeColor="text1"/>
                <w:kern w:val="0"/>
                <w:sz w:val="21"/>
                <w:szCs w:val="21"/>
                <w:highlight w:val="none"/>
                <w:u w:val="none"/>
                <w:vertAlign w:val="subscript"/>
                <w:lang w:val="en-US" w:eastAsia="zh-CN" w:bidi="ar"/>
                <w14:textFill>
                  <w14:solidFill>
                    <w14:schemeClr w14:val="tx1"/>
                  </w14:solidFill>
                </w14:textFill>
              </w:rPr>
              <w:t>2</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O</w:t>
            </w:r>
            <w:r>
              <w:rPr>
                <w:rFonts w:hint="eastAsia" w:ascii="宋体" w:hAnsi="宋体" w:eastAsia="宋体" w:cs="宋体"/>
                <w:b w:val="0"/>
                <w:bCs w:val="0"/>
                <w:i w:val="0"/>
                <w:iCs w:val="0"/>
                <w:color w:val="000000" w:themeColor="text1"/>
                <w:kern w:val="0"/>
                <w:sz w:val="21"/>
                <w:szCs w:val="21"/>
                <w:highlight w:val="none"/>
                <w:u w:val="none"/>
                <w:vertAlign w:val="subscript"/>
                <w:lang w:val="en-US" w:eastAsia="zh-CN" w:bidi="ar"/>
                <w14:textFill>
                  <w14:solidFill>
                    <w14:schemeClr w14:val="tx1"/>
                  </w14:solidFill>
                </w14:textFill>
              </w:rPr>
              <w:t>3</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、三氧化二铝Al</w:t>
            </w:r>
            <w:r>
              <w:rPr>
                <w:rFonts w:hint="eastAsia" w:ascii="宋体" w:hAnsi="宋体" w:eastAsia="宋体" w:cs="宋体"/>
                <w:b w:val="0"/>
                <w:bCs w:val="0"/>
                <w:i w:val="0"/>
                <w:iCs w:val="0"/>
                <w:color w:val="000000" w:themeColor="text1"/>
                <w:kern w:val="0"/>
                <w:sz w:val="21"/>
                <w:szCs w:val="21"/>
                <w:highlight w:val="none"/>
                <w:u w:val="none"/>
                <w:vertAlign w:val="subscript"/>
                <w:lang w:val="en-US" w:eastAsia="zh-CN" w:bidi="ar"/>
                <w14:textFill>
                  <w14:solidFill>
                    <w14:schemeClr w14:val="tx1"/>
                  </w14:solidFill>
                </w14:textFill>
              </w:rPr>
              <w:t>2</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O</w:t>
            </w:r>
            <w:r>
              <w:rPr>
                <w:rFonts w:hint="eastAsia" w:ascii="宋体" w:hAnsi="宋体" w:eastAsia="宋体" w:cs="宋体"/>
                <w:b w:val="0"/>
                <w:bCs w:val="0"/>
                <w:i w:val="0"/>
                <w:iCs w:val="0"/>
                <w:color w:val="000000" w:themeColor="text1"/>
                <w:kern w:val="0"/>
                <w:sz w:val="21"/>
                <w:szCs w:val="21"/>
                <w:highlight w:val="none"/>
                <w:u w:val="none"/>
                <w:vertAlign w:val="subscript"/>
                <w:lang w:val="en-US" w:eastAsia="zh-CN" w:bidi="ar"/>
                <w14:textFill>
                  <w14:solidFill>
                    <w14:schemeClr w14:val="tx1"/>
                  </w14:solidFill>
                </w14:textFill>
              </w:rPr>
              <w:t>3</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、氧化钾K</w:t>
            </w:r>
            <w:r>
              <w:rPr>
                <w:rFonts w:hint="eastAsia" w:ascii="宋体" w:hAnsi="宋体" w:eastAsia="宋体" w:cs="宋体"/>
                <w:b w:val="0"/>
                <w:bCs w:val="0"/>
                <w:i w:val="0"/>
                <w:iCs w:val="0"/>
                <w:color w:val="000000" w:themeColor="text1"/>
                <w:kern w:val="0"/>
                <w:sz w:val="21"/>
                <w:szCs w:val="21"/>
                <w:highlight w:val="none"/>
                <w:u w:val="none"/>
                <w:vertAlign w:val="subscript"/>
                <w:lang w:val="en-US" w:eastAsia="zh-CN" w:bidi="ar"/>
                <w14:textFill>
                  <w14:solidFill>
                    <w14:schemeClr w14:val="tx1"/>
                  </w14:solidFill>
                </w14:textFill>
              </w:rPr>
              <w:t>2</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O、磷P、锌Zn、铜Cu、铅Pb、镉Cd、铬Cr、镍Ni、锰Mn、钼Mo、硒Se、汞Hg、砷As、钡B、硫S、碳酸钙CaCO</w:t>
            </w:r>
            <w:r>
              <w:rPr>
                <w:rFonts w:hint="eastAsia" w:ascii="宋体" w:hAnsi="宋体" w:eastAsia="宋体" w:cs="宋体"/>
                <w:b w:val="0"/>
                <w:bCs w:val="0"/>
                <w:i w:val="0"/>
                <w:iCs w:val="0"/>
                <w:color w:val="000000" w:themeColor="text1"/>
                <w:kern w:val="0"/>
                <w:sz w:val="21"/>
                <w:szCs w:val="21"/>
                <w:highlight w:val="none"/>
                <w:u w:val="none"/>
                <w:vertAlign w:val="subscript"/>
                <w:lang w:val="en-US" w:eastAsia="zh-CN" w:bidi="ar"/>
                <w14:textFill>
                  <w14:solidFill>
                    <w14:schemeClr w14:val="tx1"/>
                  </w14:solidFill>
                </w14:textFill>
              </w:rPr>
              <w:t>3</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、游离铁Fe</w:t>
            </w:r>
            <w:r>
              <w:rPr>
                <w:rFonts w:hint="eastAsia" w:ascii="宋体" w:hAnsi="宋体" w:eastAsia="宋体" w:cs="宋体"/>
                <w:b w:val="0"/>
                <w:bCs w:val="0"/>
                <w:i w:val="0"/>
                <w:iCs w:val="0"/>
                <w:color w:val="000000" w:themeColor="text1"/>
                <w:kern w:val="0"/>
                <w:sz w:val="21"/>
                <w:szCs w:val="21"/>
                <w:highlight w:val="none"/>
                <w:u w:val="none"/>
                <w:vertAlign w:val="subscript"/>
                <w:lang w:val="en-US" w:eastAsia="zh-CN" w:bidi="ar"/>
                <w14:textFill>
                  <w14:solidFill>
                    <w14:schemeClr w14:val="tx1"/>
                  </w14:solidFill>
                </w14:textFill>
              </w:rPr>
              <w:t>2</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O</w:t>
            </w:r>
            <w:r>
              <w:rPr>
                <w:rFonts w:hint="eastAsia" w:ascii="宋体" w:hAnsi="宋体" w:eastAsia="宋体" w:cs="宋体"/>
                <w:b w:val="0"/>
                <w:bCs w:val="0"/>
                <w:i w:val="0"/>
                <w:iCs w:val="0"/>
                <w:color w:val="000000" w:themeColor="text1"/>
                <w:kern w:val="0"/>
                <w:sz w:val="21"/>
                <w:szCs w:val="21"/>
                <w:highlight w:val="none"/>
                <w:u w:val="none"/>
                <w:vertAlign w:val="subscript"/>
                <w:lang w:val="en-US" w:eastAsia="zh-CN" w:bidi="ar"/>
                <w14:textFill>
                  <w14:solidFill>
                    <w14:schemeClr w14:val="tx1"/>
                  </w14:solidFill>
                </w14:textFill>
              </w:rPr>
              <w:t>3</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、有机质、N、pH等，5瓶浓度均不相同。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质146</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黄土土壤有效态成分分析标准物质-棕漠土土壤</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1800</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元/瓶</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500g/瓶</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国家一级标准物质，质控样，棕漠土、碱性土壤，需包含以下组分：有效磷、有机质、阳离子交换量、pH等多组分。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质147</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土壤有效态成分分析标准物质</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1800</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元/瓶</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300g/瓶</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国家二级以上标准物质，质控样，pH≤7的土壤，需包含以下组分：有效磷、有机质、阳离子交换量、pH等多组分，3瓶浓度均不相同。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质148</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铅溶液标准样品</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40</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20mL/支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国家环境标准样品，1000mg/L于1%硝酸，相对扩展不确定度1%。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质149</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水中镉</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27</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20mL/支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标准物质，1000mg/L于5%硝酸，相对扩展不确定度1%。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质150</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铜溶液标准样品</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36</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20mL/支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国家环境标准样品，1000mg/L于1%硫酸，</w:t>
            </w:r>
          </w:p>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相对扩展不确定度1%。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质151</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锌溶液</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36</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20mL/支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国家环境标准样品，1000mg/L于1%盐酸，</w:t>
            </w:r>
          </w:p>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相对扩展不确定度1%。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质152</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水中铊</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90</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20mL/支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标准物质，1000mg/L于5%硝酸。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质153</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水质 铜</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36</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20mL/支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国家环境标准样品，质控样，浓度≤2mg/L，</w:t>
            </w:r>
          </w:p>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需稀释10mL-250mL，1%硝酸定容。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质154</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水质 锌</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36</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20mL/支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国家环境标准样品，质控样，浓度≤2mg/L，</w:t>
            </w:r>
          </w:p>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需稀释10mL-250mL，1%硝酸或1%盐酸定容。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质155</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水质 铊</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67</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20mL/支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国家环境标准样品，质控样，浓度≤50μg/L，</w:t>
            </w:r>
          </w:p>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需稀释10mL-250mL，1%硝酸定容。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质156</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水质 铜、铅、锌、镉、镍与铬混合</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99</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20mL/支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国家环境标准样品，质控样，浓度≤2mg/L，需稀释10mL-250mL，1%硝酸定容，组分：铜、铅、锌、镉、镍、铬。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质157</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砷溶液标准样品</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90</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20mL/支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国家环境标准样品，100mg/L于微量硫酸，</w:t>
            </w:r>
          </w:p>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相对扩展不确定度2%。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质158</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苯胺标准溶液</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72</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20mL/支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标准物质，相对扩展不确定度2%，100mg/L于硫酸，适用于《空气质量 苯胺类的测定 盐酸萘乙二胺分光光度法》</w:t>
            </w:r>
          </w:p>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（GB／T 15502-1995）。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质159</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高锰酸盐指数标准液</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153</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瓶</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500mL/瓶</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标准物质，浓度600mg/L（以草酸钠计）。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质160</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高锰酸盐指数标准液</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175</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瓶</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500mL/瓶</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标准物质，浓度1000mg/L（以草酸钠计）。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质161</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电导率标准溶液</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110</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瓶</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500mL/瓶</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标准物质，浓度1413μs/cm（25.0℃）。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质162</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电导率标准溶液</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135</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瓶</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500mL/瓶</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标准物质，浓度147μs/cm（25.0℃）。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Style w:val="79"/>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质163</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总氮溶液标准样品</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40</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20mL/支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环境标准物质，500mg/L，相对扩展不确定度2%。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质164</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水质 总氮</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40</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20mL/支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国家标准环境标准样品，质控样，浓度≤15mg/L，需稀释，10mL-250mL纯水定容。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质165</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EDTA乙二胺四乙酸二钠容量分析用标准溶液</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225</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瓶</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500mL/瓶</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标准物质，浓度约0.5000mL/L。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现1</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氯化钾电导率溶液</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112</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瓶</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100mL/瓶</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校准值147μs/cm。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现2</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pH缓冲溶液</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99</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瓶</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500mL/瓶</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国家二级以上标准物质，25℃时，</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pH值：4.00。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现3</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pH缓冲溶液</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99</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瓶</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500mL/瓶</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国家二级以上标准物质，25℃时，</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pH值：6.86。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现4</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pH缓冲溶液</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99</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瓶</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500mL/瓶</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国家二级以上标准物质，25℃时，</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pH值：9.18。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现5</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NO标气</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1260</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瓶</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4L/瓶</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30ppm，一级标气，回收空瓶。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现6</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NO标气</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1260</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瓶</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4L/瓶</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100ppm，一级标气，回收空瓶。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现7</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NO标气</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1260</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瓶</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4L/瓶</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300ppm，一级标气，回收空瓶。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现8</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SO</w:t>
            </w:r>
            <w:r>
              <w:rPr>
                <w:rFonts w:hint="eastAsia" w:ascii="宋体" w:hAnsi="宋体" w:eastAsia="宋体" w:cs="宋体"/>
                <w:i w:val="0"/>
                <w:iCs w:val="0"/>
                <w:color w:val="000000" w:themeColor="text1"/>
                <w:kern w:val="0"/>
                <w:sz w:val="21"/>
                <w:szCs w:val="21"/>
                <w:highlight w:val="none"/>
                <w:u w:val="none"/>
                <w:vertAlign w:val="subscript"/>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标气</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1260</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瓶</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4L/瓶</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10ppm，一级标气，回收空瓶。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现9</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SO</w:t>
            </w:r>
            <w:r>
              <w:rPr>
                <w:rFonts w:hint="eastAsia" w:ascii="宋体" w:hAnsi="宋体" w:eastAsia="宋体" w:cs="宋体"/>
                <w:i w:val="0"/>
                <w:iCs w:val="0"/>
                <w:color w:val="000000" w:themeColor="text1"/>
                <w:kern w:val="0"/>
                <w:sz w:val="21"/>
                <w:szCs w:val="21"/>
                <w:highlight w:val="none"/>
                <w:u w:val="none"/>
                <w:vertAlign w:val="subscript"/>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标气</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1260</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瓶</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4L/瓶</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30ppm，一级标气，回收空瓶。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现10</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SO</w:t>
            </w:r>
            <w:r>
              <w:rPr>
                <w:rFonts w:hint="eastAsia" w:ascii="宋体" w:hAnsi="宋体" w:eastAsia="宋体" w:cs="宋体"/>
                <w:i w:val="0"/>
                <w:iCs w:val="0"/>
                <w:color w:val="000000" w:themeColor="text1"/>
                <w:kern w:val="0"/>
                <w:sz w:val="21"/>
                <w:szCs w:val="21"/>
                <w:highlight w:val="none"/>
                <w:u w:val="none"/>
                <w:vertAlign w:val="subscript"/>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标气</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1260</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瓶</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4L/瓶</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100ppm，一级标气，回收空瓶。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现11</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SO</w:t>
            </w:r>
            <w:r>
              <w:rPr>
                <w:rFonts w:hint="eastAsia" w:ascii="宋体" w:hAnsi="宋体" w:eastAsia="宋体" w:cs="宋体"/>
                <w:i w:val="0"/>
                <w:iCs w:val="0"/>
                <w:color w:val="000000" w:themeColor="text1"/>
                <w:kern w:val="0"/>
                <w:sz w:val="21"/>
                <w:szCs w:val="21"/>
                <w:highlight w:val="none"/>
                <w:u w:val="none"/>
                <w:vertAlign w:val="subscript"/>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标气</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1260</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瓶</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4L/瓶</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300ppm，一级标气，回收空瓶。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现12</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CO标气</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1080</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瓶</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4L/瓶</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60ppm，一级标气，回收空瓶。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现13</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CO标气</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1080</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瓶</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4L/瓶</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200ppm，一级标气，回收空瓶。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现14</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CO标气</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1080</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瓶</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4L/瓶</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1000ppm，一级标气，回收空瓶。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6" w:hRule="atLeast"/>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现15</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甲醛标气</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1630</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瓶</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4L/瓶</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10ppm，一级标气，回收空瓶。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现16</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空气中甲烷</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1140</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瓶</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4L/瓶</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500ppm，一级标气，回收空瓶。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现17</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空气中甲烷</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1140</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瓶</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4L/瓶</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10000ppm，一级标气，回收空瓶。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现18</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空气中异丁烯</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1000</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瓶</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4L/瓶</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500ppm，一级标气，回收空瓶。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大1</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高锰酸钾容量分析用标准溶液</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450</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瓶</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500mL/瓶</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（1/5KMnO</w:t>
            </w:r>
            <w:r>
              <w:rPr>
                <w:rFonts w:hint="eastAsia" w:ascii="宋体" w:hAnsi="宋体" w:eastAsia="宋体" w:cs="宋体"/>
                <w:i w:val="0"/>
                <w:iCs w:val="0"/>
                <w:color w:val="000000" w:themeColor="text1"/>
                <w:kern w:val="0"/>
                <w:sz w:val="21"/>
                <w:szCs w:val="21"/>
                <w:highlight w:val="none"/>
                <w:u w:val="none"/>
                <w:vertAlign w:val="subscript"/>
                <w:lang w:val="en-US" w:eastAsia="zh-CN" w:bidi="ar"/>
                <w14:textFill>
                  <w14:solidFill>
                    <w14:schemeClr w14:val="tx1"/>
                  </w14:solidFill>
                </w14:textFill>
              </w:rPr>
              <w:t>4</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）浓度约1mol/L，棕色瓶。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3" w:hRule="atLeast"/>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大2</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草酸钠容量分析用标准溶液</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270</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瓶</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500mL/瓶</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（1/2Na</w:t>
            </w:r>
            <w:r>
              <w:rPr>
                <w:rFonts w:hint="eastAsia" w:ascii="宋体" w:hAnsi="宋体" w:eastAsia="宋体" w:cs="宋体"/>
                <w:i w:val="0"/>
                <w:iCs w:val="0"/>
                <w:color w:val="000000" w:themeColor="text1"/>
                <w:kern w:val="0"/>
                <w:sz w:val="21"/>
                <w:szCs w:val="21"/>
                <w:highlight w:val="none"/>
                <w:u w:val="none"/>
                <w:vertAlign w:val="subscript"/>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C</w:t>
            </w:r>
            <w:r>
              <w:rPr>
                <w:rFonts w:hint="eastAsia" w:ascii="宋体" w:hAnsi="宋体" w:eastAsia="宋体" w:cs="宋体"/>
                <w:i w:val="0"/>
                <w:iCs w:val="0"/>
                <w:color w:val="000000" w:themeColor="text1"/>
                <w:kern w:val="0"/>
                <w:sz w:val="21"/>
                <w:szCs w:val="21"/>
                <w:highlight w:val="none"/>
                <w:u w:val="none"/>
                <w:vertAlign w:val="subscript"/>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O</w:t>
            </w:r>
            <w:r>
              <w:rPr>
                <w:rFonts w:hint="eastAsia" w:ascii="宋体" w:hAnsi="宋体" w:eastAsia="宋体" w:cs="宋体"/>
                <w:i w:val="0"/>
                <w:iCs w:val="0"/>
                <w:color w:val="000000" w:themeColor="text1"/>
                <w:kern w:val="0"/>
                <w:sz w:val="21"/>
                <w:szCs w:val="21"/>
                <w:highlight w:val="none"/>
                <w:u w:val="none"/>
                <w:vertAlign w:val="subscript"/>
                <w:lang w:val="en-US" w:eastAsia="zh-CN" w:bidi="ar"/>
                <w14:textFill>
                  <w14:solidFill>
                    <w14:schemeClr w14:val="tx1"/>
                  </w14:solidFill>
                </w14:textFill>
              </w:rPr>
              <w:t>4</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）浓度约1mol/L。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3" w:hRule="atLeast"/>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水1</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高锰酸钾容量分析用标准溶液</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126</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瓶</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500mL/瓶</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（1/5KMnO</w:t>
            </w:r>
            <w:r>
              <w:rPr>
                <w:rFonts w:hint="eastAsia" w:ascii="宋体" w:hAnsi="宋体" w:eastAsia="宋体" w:cs="宋体"/>
                <w:i w:val="0"/>
                <w:iCs w:val="0"/>
                <w:color w:val="000000" w:themeColor="text1"/>
                <w:kern w:val="0"/>
                <w:sz w:val="21"/>
                <w:szCs w:val="21"/>
                <w:highlight w:val="none"/>
                <w:u w:val="none"/>
                <w:vertAlign w:val="subscript"/>
                <w:lang w:val="en-US" w:eastAsia="zh-CN" w:bidi="ar"/>
                <w14:textFill>
                  <w14:solidFill>
                    <w14:schemeClr w14:val="tx1"/>
                  </w14:solidFill>
                </w14:textFill>
              </w:rPr>
              <w:t>4</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）浓度约等于0.5000mol/L，棕色瓶。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水2        </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草酸钠容量分析用标准溶液</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150</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瓶</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500mL/瓶</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（1/2Na</w:t>
            </w:r>
            <w:r>
              <w:rPr>
                <w:rFonts w:hint="eastAsia" w:ascii="宋体" w:hAnsi="宋体" w:eastAsia="宋体" w:cs="宋体"/>
                <w:i w:val="0"/>
                <w:iCs w:val="0"/>
                <w:color w:val="000000" w:themeColor="text1"/>
                <w:kern w:val="0"/>
                <w:sz w:val="21"/>
                <w:szCs w:val="21"/>
                <w:highlight w:val="none"/>
                <w:u w:val="none"/>
                <w:vertAlign w:val="subscript"/>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C</w:t>
            </w:r>
            <w:r>
              <w:rPr>
                <w:rFonts w:hint="eastAsia" w:ascii="宋体" w:hAnsi="宋体" w:eastAsia="宋体" w:cs="宋体"/>
                <w:i w:val="0"/>
                <w:iCs w:val="0"/>
                <w:color w:val="000000" w:themeColor="text1"/>
                <w:kern w:val="0"/>
                <w:sz w:val="21"/>
                <w:szCs w:val="21"/>
                <w:highlight w:val="none"/>
                <w:u w:val="none"/>
                <w:vertAlign w:val="subscript"/>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O</w:t>
            </w:r>
            <w:r>
              <w:rPr>
                <w:rFonts w:hint="eastAsia" w:ascii="宋体" w:hAnsi="宋体" w:eastAsia="宋体" w:cs="宋体"/>
                <w:i w:val="0"/>
                <w:iCs w:val="0"/>
                <w:color w:val="000000" w:themeColor="text1"/>
                <w:kern w:val="0"/>
                <w:sz w:val="21"/>
                <w:szCs w:val="21"/>
                <w:highlight w:val="none"/>
                <w:u w:val="none"/>
                <w:vertAlign w:val="subscript"/>
                <w:lang w:val="en-US" w:eastAsia="zh-CN" w:bidi="ar"/>
                <w14:textFill>
                  <w14:solidFill>
                    <w14:schemeClr w14:val="tx1"/>
                  </w14:solidFill>
                </w14:textFill>
              </w:rPr>
              <w:t>4</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）浓度约等于0.2000mol/L。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分1</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甲烷标气</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500</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瓶</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8L/瓶</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浓度0.625μmol/mol、1.25μmol/mol、2.50μmol/mol、5.00μmol/mol、10.0μmol/mol各1瓶，平衡气为高纯氮气。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分2</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9种烷基酚类和双酚A混标</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1035</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标准物质，1000mg/L于乙腈，组分：4-叔丁基苯酚、4-丁基苯酚、4-戊基苯酚、4-已基苯酚、4-庚基苯酚、4-辛基苯酚、4-支链壬基酚、4-叔辛基苯酚、4-壬基酚、双酚A。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分3</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双酚A-[D16]</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108</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1.2mL /支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标准物质，100mg/L于乙腈。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分4</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4-壬基酚-2，3，5，6-[D4]</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252</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标准物质，100mg/L于甲醇。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分5</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20种喹诺酮类药物混标</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720</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标准物质，100mg/L于甲醇，组分包含：噁喹酸、氟甲喹、西诺沙星、二氟沙星、沙拉沙星、氧氟沙星、恩诺沙星、洛美沙星、培氟沙星、诺氟沙星、环丙沙星、萘啶酸、依诺沙星、达氟沙星、麻保沙星、氟罗沙星、加替沙星、奥比沙星、吡哌酸、司帕沙星；满足GB31657.2-2021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分6</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莫西沙星标准溶液</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95</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标准物质，100mg/L于甲醇。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分7</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那氟沙星标准溶液</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95</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标准物质，100mg/L于甲醇。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分8</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环丙沙星-[D8]</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200</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标准物质，100mg/L于甲醇。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分9</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氟甲喹-[13C3]</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810</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标准物质，100mg/L于甲醇。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分10</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恩诺沙星-[D5]</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500</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标准物质，100mg/L于甲醇。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分11</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诺氟沙星-[D5]</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400</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标准物质，100mg/L于甲醇。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分12</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19种磺胺类药物混标</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550</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标准物质，100mg/L于甲醇，组分包含：磺胺嘧啶、磺胺噻唑、磺胺吡啶、磺胺甲基嘧啶、磺胺二甲嘧啶、磺胺间甲氧嘧啶、磺胺甲噻二唑、磺胺对甲氧嘧啶、磺胺氯哒嗪、磺胺甲氧哒嗪、磺胺多辛、磺胺间二甲氧嘧啶、磺胺甲恶唑、磺胺二甲异恶唑、苯酰磺胺、磺胺喹噁啉、磺胺醋酰、甲氧苄啶、磺胺苯吡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分13</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磺胺苯吡唑-[13C6]</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720</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标准物质，100mg/L于甲醇。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分14</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磺胺二甲嘧啶-13C6</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450</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标准物质，100mg/L于甲醇。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分15</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磺胺吡啶-13C6</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230</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标准物质，100mg/L于甲醇。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分16</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磺胺甲恶唑-13C6</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450</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标准物质，100mg/L于甲醇。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分17</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4种四环素混标</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370</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标准物质，100mg/L于甲醇，组分至少包含：土霉素、四环素、金霉素等。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分18</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四环素-[D6]</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2700</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标准品，0.1mg。</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分19</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5种大环内酯类抗生素</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1060</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标准物质，100mg/L于甲醇，组分至少包含：罗红霉素、红霉素、克拉霉素、阿奇霉素等。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分20</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红霉素-[13C，D3]</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1200</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标准物质，100mg/L于甲醇。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分21</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头孢噻肟</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225</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标准品，100mg。</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分22</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头孢噻肟-D3</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4700</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标准品，1mg。</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分23</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林可霉素</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24</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标准物质，100mg/L于甲醇。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分24</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克林霉素</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45</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标准物质，100mg/L于甲醇。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分25</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林可霉素-[D3]</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2600</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标准物质，100mg/L于甲醇。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分26</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3种酰胺醇类抗生素</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315</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标准物质，100mg/L于甲醇，组分至少包含：氯霉素、氟苯尼考等。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分27</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氯霉素-[D5]</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540</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标准物质，100mg/L于甲醇。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分28</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9种全氟化合物同位素内标</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7110</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标准物质，2mg/L于甲醇，组分：13C4全氟丁酸、13C4全氟己酸、13C4全氟辛酸、13C4全氟壬酸、13C4全氟癸酸、13C4全氟十一酸、13C2全氟十二酸、18O2 全氟己烷磺酸、13C4全氟辛烷磺酸；满足DB32/T 4004-2021要求。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分29</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13种醛酮-DNPH混标</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225</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标准物质，100mg/L于乙腈（以醛酮计），组分：甲醛-DNPH、乙醛-DNPH、丙烯醛-DNPH、丙酮-DNPH、丙醛-DNPH、丁烯醛-DNPH、甲基丙烯醛-DNPH、2-丁酮-DNPH 、正丁醛-DNPH、苯甲醛-DNPH、戊醛-DNPH、间甲基苯甲醛-DNPH、己醛-DNPH，满足HJ683-2014要求。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分30</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12种氯苯混标</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450</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标准物质，20mg/L-100000mg/L于甲醇，组分：氯苯、1，2，4-三氯苯、1，2，3-三氯苯、1，3，5-三氯苯、1，2，3，4-四氯苯、1，2，3，5-四氯苯、1，2-二氯苯、1，3-二氯苯、1，4-二氯苯、六氯苯、五氯苯、1，2，4，5-四氯苯，满足HJ621-2011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分31</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13种酚类混标</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460</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标准物质，1000mg/L于甲醇，组分：苯酚、2-氯苯酚、3-甲基苯酚、2-硝基苯酚、2，4-二甲基苯酚、2，4-二氯苯酚、4-氯苯酚、4-氯-3-甲基苯酚、2，4，6-三氯苯酚、2，4-二硝基苯酚、4-硝基苯酚、4，6-二硝基邻甲酚、五氯苯酚，满足HJ676-2013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分32</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11种全氟羧酸和全氟磺酸混标</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730</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标准物质，100mg/L于甲醇，组分：全氟丁酸、全氟戊酸、全氟己酸、全氟庚酸、全氟辛酸、全氟壬酸、全氟癸酸、全氟丁烷磺酸、全氟己烷磺酸、全氟辛烷磺酸、全氟庚烷磺酸，满足GB/T5750.8-2023 84.1要求。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分33</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甲醇中苯甲醚标准溶液</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72</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浓度：1000mg/L于甲醇。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分34</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甲醇中甲基叔丁基醚标准溶液</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126</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浓度：1000mg/L于甲醇。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分35</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氟苯</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22</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元/</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1.2mL/支</w:t>
            </w:r>
          </w:p>
        </w:tc>
        <w:tc>
          <w:tcPr>
            <w:tcW w:w="2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浓度：2000mg/L于甲醇。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00" w:type="pct"/>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二、</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b/>
                <w:color w:val="000000" w:themeColor="text1"/>
                <w:sz w:val="21"/>
                <w:szCs w:val="21"/>
                <w:highlight w:val="none"/>
                <w14:textFill>
                  <w14:solidFill>
                    <w14:schemeClr w14:val="tx1"/>
                  </w14:solidFill>
                </w14:textFill>
              </w:rPr>
              <w:t>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5" w:hRule="atLeast"/>
          <w:jc w:val="center"/>
        </w:trPr>
        <w:tc>
          <w:tcPr>
            <w:tcW w:w="276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390" w:lineRule="exact"/>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规范标准</w:t>
            </w:r>
          </w:p>
        </w:tc>
        <w:tc>
          <w:tcPr>
            <w:tcW w:w="771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390" w:lineRule="exact"/>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采购标的需执行的国家标准、行业标准、地方标准或者其他标准、规范。多项标准的，按最新标准或较高标准执行。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276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napToGrid w:val="0"/>
              <w:spacing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报价及结算说明</w:t>
            </w:r>
          </w:p>
        </w:tc>
        <w:tc>
          <w:tcPr>
            <w:tcW w:w="771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napToGrid w:val="0"/>
              <w:spacing w:line="360" w:lineRule="auto"/>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1.竞标人报价时参考需求清单，按整体折扣比例（%）进行报价（折扣区间要求在0～100%不保留小数，非折扣率和下浮系数）。</w:t>
            </w:r>
          </w:p>
          <w:p>
            <w:pPr>
              <w:keepNext w:val="0"/>
              <w:keepLines w:val="0"/>
              <w:pageBreakBefore w:val="0"/>
              <w:kinsoku/>
              <w:wordWrap/>
              <w:overflowPunct/>
              <w:topLinePunct w:val="0"/>
              <w:autoSpaceDE/>
              <w:autoSpaceDN/>
              <w:bidi w:val="0"/>
              <w:snapToGrid w:val="0"/>
              <w:spacing w:line="360" w:lineRule="auto"/>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2.本项目为整体折扣比例（%），实际合同结算金额包含采购人要求货物送到指定地点的全部价格，包括：</w:t>
            </w:r>
          </w:p>
          <w:p>
            <w:pPr>
              <w:keepNext w:val="0"/>
              <w:keepLines w:val="0"/>
              <w:pageBreakBefore w:val="0"/>
              <w:kinsoku/>
              <w:wordWrap/>
              <w:overflowPunct/>
              <w:topLinePunct w:val="0"/>
              <w:autoSpaceDE/>
              <w:autoSpaceDN/>
              <w:bidi w:val="0"/>
              <w:snapToGrid w:val="0"/>
              <w:spacing w:line="360" w:lineRule="auto"/>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（1）货物及其标准附件、备品备件、专用工具等价格；</w:t>
            </w:r>
          </w:p>
          <w:p>
            <w:pPr>
              <w:keepNext w:val="0"/>
              <w:keepLines w:val="0"/>
              <w:pageBreakBefore w:val="0"/>
              <w:kinsoku/>
              <w:wordWrap/>
              <w:overflowPunct/>
              <w:topLinePunct w:val="0"/>
              <w:autoSpaceDE/>
              <w:autoSpaceDN/>
              <w:bidi w:val="0"/>
              <w:snapToGrid w:val="0"/>
              <w:spacing w:line="360" w:lineRule="auto"/>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（2）运输、装卸、调试、培训、技术支持、售后服务等费用；</w:t>
            </w:r>
          </w:p>
          <w:p>
            <w:pPr>
              <w:keepNext w:val="0"/>
              <w:keepLines w:val="0"/>
              <w:pageBreakBefore w:val="0"/>
              <w:kinsoku/>
              <w:wordWrap/>
              <w:overflowPunct/>
              <w:topLinePunct w:val="0"/>
              <w:autoSpaceDE/>
              <w:autoSpaceDN/>
              <w:bidi w:val="0"/>
              <w:snapToGrid w:val="0"/>
              <w:spacing w:line="360" w:lineRule="auto"/>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（3）必要的保险费用和各项税费。</w:t>
            </w:r>
          </w:p>
          <w:p>
            <w:pPr>
              <w:keepNext w:val="0"/>
              <w:keepLines w:val="0"/>
              <w:pageBreakBefore w:val="0"/>
              <w:kinsoku/>
              <w:wordWrap/>
              <w:overflowPunct/>
              <w:topLinePunct w:val="0"/>
              <w:autoSpaceDE/>
              <w:autoSpaceDN/>
              <w:bidi w:val="0"/>
              <w:snapToGrid w:val="0"/>
              <w:spacing w:line="360" w:lineRule="auto"/>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（4）与本项目有关的其他必要费用。</w:t>
            </w:r>
          </w:p>
          <w:p>
            <w:pPr>
              <w:keepNext w:val="0"/>
              <w:keepLines w:val="0"/>
              <w:pageBreakBefore w:val="0"/>
              <w:kinsoku/>
              <w:wordWrap/>
              <w:overflowPunct/>
              <w:topLinePunct w:val="0"/>
              <w:autoSpaceDE/>
              <w:autoSpaceDN/>
              <w:bidi w:val="0"/>
              <w:snapToGrid w:val="0"/>
              <w:spacing w:line="360" w:lineRule="auto"/>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3.根据符合采购需求、质量和服务相等且“整体折扣比例”最低的原则确定成交供应商。</w:t>
            </w:r>
          </w:p>
          <w:p>
            <w:pPr>
              <w:keepNext w:val="0"/>
              <w:keepLines w:val="0"/>
              <w:pageBreakBefore w:val="0"/>
              <w:kinsoku/>
              <w:wordWrap/>
              <w:overflowPunct/>
              <w:topLinePunct w:val="0"/>
              <w:autoSpaceDE/>
              <w:autoSpaceDN/>
              <w:bidi w:val="0"/>
              <w:snapToGrid w:val="0"/>
              <w:spacing w:line="360" w:lineRule="auto"/>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4.单价预算金额仅作为采购人与</w:t>
            </w:r>
            <w:r>
              <w:rPr>
                <w:rFonts w:hint="eastAsia" w:ascii="宋体" w:hAnsi="宋体" w:cs="宋体"/>
                <w:color w:val="000000" w:themeColor="text1"/>
                <w:sz w:val="21"/>
                <w:szCs w:val="21"/>
                <w:highlight w:val="none"/>
                <w:lang w:val="en-US" w:eastAsia="zh-CN"/>
                <w14:textFill>
                  <w14:solidFill>
                    <w14:schemeClr w14:val="tx1"/>
                  </w14:solidFill>
                </w14:textFill>
              </w:rPr>
              <w:t>成交供应商</w:t>
            </w:r>
            <w:r>
              <w:rPr>
                <w:rFonts w:hint="eastAsia" w:ascii="宋体" w:hAnsi="宋体" w:eastAsia="宋体" w:cs="宋体"/>
                <w:color w:val="000000" w:themeColor="text1"/>
                <w:sz w:val="21"/>
                <w:szCs w:val="21"/>
                <w:highlight w:val="none"/>
                <w:lang w:val="en-US" w:eastAsia="zh-CN"/>
                <w14:textFill>
                  <w14:solidFill>
                    <w14:schemeClr w14:val="tx1"/>
                  </w14:solidFill>
                </w14:textFill>
              </w:rPr>
              <w:t>签订合同的依据，采购人以</w:t>
            </w:r>
            <w:r>
              <w:rPr>
                <w:rFonts w:hint="eastAsia" w:ascii="宋体" w:hAnsi="宋体" w:cs="宋体"/>
                <w:color w:val="000000" w:themeColor="text1"/>
                <w:sz w:val="21"/>
                <w:szCs w:val="21"/>
                <w:highlight w:val="none"/>
                <w:lang w:val="en-US" w:eastAsia="zh-CN"/>
                <w14:textFill>
                  <w14:solidFill>
                    <w14:schemeClr w14:val="tx1"/>
                  </w14:solidFill>
                </w14:textFill>
              </w:rPr>
              <w:t>成交供应商</w:t>
            </w:r>
            <w:r>
              <w:rPr>
                <w:rFonts w:hint="eastAsia" w:ascii="宋体" w:hAnsi="宋体" w:eastAsia="宋体" w:cs="宋体"/>
                <w:color w:val="000000" w:themeColor="text1"/>
                <w:sz w:val="21"/>
                <w:szCs w:val="21"/>
                <w:highlight w:val="none"/>
                <w:lang w:val="en-US" w:eastAsia="zh-CN"/>
                <w14:textFill>
                  <w14:solidFill>
                    <w14:schemeClr w14:val="tx1"/>
                  </w14:solidFill>
                </w14:textFill>
              </w:rPr>
              <w:t>的整体折扣比例（%）报价的作为采购人与</w:t>
            </w:r>
            <w:r>
              <w:rPr>
                <w:rFonts w:hint="eastAsia" w:ascii="宋体" w:hAnsi="宋体" w:cs="宋体"/>
                <w:color w:val="000000" w:themeColor="text1"/>
                <w:sz w:val="21"/>
                <w:szCs w:val="21"/>
                <w:highlight w:val="none"/>
                <w:lang w:val="en-US" w:eastAsia="zh-CN"/>
                <w14:textFill>
                  <w14:solidFill>
                    <w14:schemeClr w14:val="tx1"/>
                  </w14:solidFill>
                </w14:textFill>
              </w:rPr>
              <w:t>成交供应商</w:t>
            </w:r>
            <w:r>
              <w:rPr>
                <w:rFonts w:hint="eastAsia" w:ascii="宋体" w:hAnsi="宋体" w:eastAsia="宋体" w:cs="宋体"/>
                <w:color w:val="000000" w:themeColor="text1"/>
                <w:sz w:val="21"/>
                <w:szCs w:val="21"/>
                <w:highlight w:val="none"/>
                <w:lang w:val="en-US" w:eastAsia="zh-CN"/>
                <w14:textFill>
                  <w14:solidFill>
                    <w14:schemeClr w14:val="tx1"/>
                  </w14:solidFill>
                </w14:textFill>
              </w:rPr>
              <w:t>结算的依据，</w:t>
            </w:r>
            <w:r>
              <w:rPr>
                <w:rFonts w:hint="eastAsia" w:ascii="宋体" w:hAnsi="宋体" w:cs="宋体"/>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color w:val="000000" w:themeColor="text1"/>
                <w:sz w:val="21"/>
                <w:szCs w:val="21"/>
                <w:highlight w:val="none"/>
                <w:lang w:val="en-US" w:eastAsia="zh-CN"/>
                <w14:textFill>
                  <w14:solidFill>
                    <w14:schemeClr w14:val="tx1"/>
                  </w14:solidFill>
                </w14:textFill>
              </w:rPr>
              <w:t>的</w:t>
            </w:r>
            <w:r>
              <w:rPr>
                <w:rFonts w:hint="eastAsia" w:ascii="宋体" w:hAnsi="宋体" w:cs="宋体"/>
                <w:color w:val="000000" w:themeColor="text1"/>
                <w:sz w:val="21"/>
                <w:szCs w:val="21"/>
                <w:highlight w:val="none"/>
                <w:lang w:val="en-US" w:eastAsia="zh-CN"/>
                <w14:textFill>
                  <w14:solidFill>
                    <w14:schemeClr w14:val="tx1"/>
                  </w14:solidFill>
                </w14:textFill>
              </w:rPr>
              <w:t>竞标</w:t>
            </w:r>
            <w:r>
              <w:rPr>
                <w:rFonts w:hint="eastAsia" w:ascii="宋体" w:hAnsi="宋体" w:eastAsia="宋体" w:cs="宋体"/>
                <w:color w:val="000000" w:themeColor="text1"/>
                <w:sz w:val="21"/>
                <w:szCs w:val="21"/>
                <w:highlight w:val="none"/>
                <w:lang w:val="en-US" w:eastAsia="zh-CN"/>
                <w14:textFill>
                  <w14:solidFill>
                    <w14:schemeClr w14:val="tx1"/>
                  </w14:solidFill>
                </w14:textFill>
              </w:rPr>
              <w:t>报价与预算金额无关。</w:t>
            </w:r>
          </w:p>
          <w:p>
            <w:pPr>
              <w:keepNext w:val="0"/>
              <w:keepLines w:val="0"/>
              <w:pageBreakBefore w:val="0"/>
              <w:kinsoku/>
              <w:wordWrap/>
              <w:overflowPunct/>
              <w:topLinePunct w:val="0"/>
              <w:autoSpaceDE/>
              <w:autoSpaceDN/>
              <w:bidi w:val="0"/>
              <w:snapToGrid w:val="0"/>
              <w:spacing w:line="360" w:lineRule="auto"/>
              <w:jc w:val="left"/>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5.实际合同结算金额=所购买产品的采购预算价×</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整体折扣比例</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（%）×实际购买数量。采购人不再支付实际合同结算金额以外的任何费用。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317"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合同签订时间</w:t>
            </w:r>
          </w:p>
        </w:tc>
        <w:tc>
          <w:tcPr>
            <w:tcW w:w="3682"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自成交通知书发出之日起</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25</w:t>
            </w:r>
            <w:r>
              <w:rPr>
                <w:rFonts w:hint="eastAsia" w:ascii="宋体" w:hAnsi="宋体" w:eastAsia="宋体" w:cs="宋体"/>
                <w:color w:val="000000" w:themeColor="text1"/>
                <w:sz w:val="21"/>
                <w:szCs w:val="21"/>
                <w:highlight w:val="none"/>
                <w14:textFill>
                  <w14:solidFill>
                    <w14:schemeClr w14:val="tx1"/>
                  </w14:solidFill>
                </w14:textFill>
              </w:rPr>
              <w:t>个自然日内。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8" w:hRule="atLeast"/>
          <w:jc w:val="center"/>
        </w:trPr>
        <w:tc>
          <w:tcPr>
            <w:tcW w:w="1317"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质保期</w:t>
            </w:r>
          </w:p>
        </w:tc>
        <w:tc>
          <w:tcPr>
            <w:tcW w:w="3682"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napToGrid w:val="0"/>
              <w:spacing w:line="36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从验收合格之日起计，90天内因质量问题须包换。质保期内全部服务费和更换货物的费用由供应商承担。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317"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售后服务要求</w:t>
            </w:r>
          </w:p>
        </w:tc>
        <w:tc>
          <w:tcPr>
            <w:tcW w:w="3682"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napToGrid w:val="0"/>
              <w:spacing w:line="360" w:lineRule="auto"/>
              <w:jc w:val="left"/>
              <w:rPr>
                <w:rFonts w:hint="eastAsia" w:ascii="宋体" w:hAnsi="宋体" w:eastAsia="宋体" w:cs="宋体"/>
                <w:strike w:val="0"/>
                <w:dstrike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strike w:val="0"/>
                <w:dstrike w:val="0"/>
                <w:color w:val="000000" w:themeColor="text1"/>
                <w:sz w:val="21"/>
                <w:szCs w:val="21"/>
                <w:highlight w:val="none"/>
                <w:lang w:val="en-US" w:eastAsia="zh-CN"/>
                <w14:textFill>
                  <w14:solidFill>
                    <w14:schemeClr w14:val="tx1"/>
                  </w14:solidFill>
                </w14:textFill>
              </w:rPr>
              <w:t>1.按采购人要求送货上门，按国家有关规定实行“三包”政策，其余按供应商承诺进行。</w:t>
            </w:r>
          </w:p>
          <w:p>
            <w:pPr>
              <w:keepNext w:val="0"/>
              <w:keepLines w:val="0"/>
              <w:pageBreakBefore w:val="0"/>
              <w:kinsoku/>
              <w:wordWrap/>
              <w:overflowPunct/>
              <w:topLinePunct w:val="0"/>
              <w:autoSpaceDE/>
              <w:autoSpaceDN/>
              <w:bidi w:val="0"/>
              <w:adjustRightInd/>
              <w:snapToGrid w:val="0"/>
              <w:spacing w:line="360" w:lineRule="auto"/>
              <w:jc w:val="left"/>
              <w:rPr>
                <w:rFonts w:hint="eastAsia" w:ascii="宋体" w:hAnsi="宋体" w:eastAsia="宋体" w:cs="宋体"/>
                <w:strike w:val="0"/>
                <w:dstrike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strike w:val="0"/>
                <w:dstrike w:val="0"/>
                <w:color w:val="000000" w:themeColor="text1"/>
                <w:sz w:val="21"/>
                <w:szCs w:val="21"/>
                <w:highlight w:val="none"/>
                <w:lang w:val="en-US" w:eastAsia="zh-CN"/>
                <w14:textFill>
                  <w14:solidFill>
                    <w14:schemeClr w14:val="tx1"/>
                  </w14:solidFill>
                </w14:textFill>
              </w:rPr>
              <w:t>2.质保期内维修响应及故障解决时间：接到采购人通知后10分钟内响应，24小时内现货无条件送货上门；现场支持24小时内响应，电话支持10分钟内响应，问题半个小时内解答。</w:t>
            </w:r>
          </w:p>
          <w:p>
            <w:pPr>
              <w:keepNext w:val="0"/>
              <w:keepLines w:val="0"/>
              <w:pageBreakBefore w:val="0"/>
              <w:kinsoku/>
              <w:wordWrap/>
              <w:overflowPunct/>
              <w:topLinePunct w:val="0"/>
              <w:autoSpaceDE/>
              <w:autoSpaceDN/>
              <w:bidi w:val="0"/>
              <w:snapToGrid w:val="0"/>
              <w:spacing w:line="360" w:lineRule="auto"/>
              <w:jc w:val="left"/>
              <w:rPr>
                <w:rFonts w:hint="eastAsia" w:ascii="宋体" w:hAnsi="宋体" w:eastAsia="宋体" w:cs="宋体"/>
                <w:strike w:val="0"/>
                <w:dstrike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strike w:val="0"/>
                <w:dstrike w:val="0"/>
                <w:color w:val="000000" w:themeColor="text1"/>
                <w:sz w:val="21"/>
                <w:szCs w:val="21"/>
                <w:highlight w:val="none"/>
                <w:lang w:val="en-US" w:eastAsia="zh-CN"/>
                <w14:textFill>
                  <w14:solidFill>
                    <w14:schemeClr w14:val="tx1"/>
                  </w14:solidFill>
                </w14:textFill>
              </w:rPr>
              <w:t>3.成交供应商应保证在24小时现货送货范围内有实验产品专业仓库，并保证具有一定数量的现货库存，备有充足的实验材料配件，接到用户采购现货通知后，24小时内须现货无条件送货上门。</w:t>
            </w:r>
          </w:p>
          <w:p>
            <w:pPr>
              <w:keepNext w:val="0"/>
              <w:keepLines w:val="0"/>
              <w:pageBreakBefore w:val="0"/>
              <w:kinsoku/>
              <w:wordWrap/>
              <w:overflowPunct/>
              <w:topLinePunct w:val="0"/>
              <w:autoSpaceDE/>
              <w:autoSpaceDN/>
              <w:bidi w:val="0"/>
              <w:snapToGrid w:val="0"/>
              <w:spacing w:line="360" w:lineRule="auto"/>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采购人在验货、验收过程中，如发现货物的品种、型号、规格、数量、质量等不符合合同、采购文件、响应文件及承诺规定或关于货物配置的描述或存在其他问题的，有权拒绝接收货物，并通知供应商，供应商应在收到采购人通知后在采购人指定的期限内按照采购人的要求采取补足、更换或退货等处理措施予以解决。</w:t>
            </w:r>
          </w:p>
          <w:p>
            <w:pPr>
              <w:keepNext w:val="0"/>
              <w:keepLines w:val="0"/>
              <w:pageBreakBefore w:val="0"/>
              <w:kinsoku/>
              <w:wordWrap/>
              <w:overflowPunct/>
              <w:topLinePunct w:val="0"/>
              <w:autoSpaceDE/>
              <w:autoSpaceDN/>
              <w:bidi w:val="0"/>
              <w:adjustRightInd/>
              <w:snapToGrid w:val="0"/>
              <w:spacing w:line="360" w:lineRule="auto"/>
              <w:jc w:val="left"/>
              <w:rPr>
                <w:rFonts w:hint="eastAsia" w:ascii="宋体" w:hAnsi="宋体" w:eastAsia="宋体" w:cs="宋体"/>
                <w:strike w:val="0"/>
                <w:dstrike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strike w:val="0"/>
                <w:dstrike w:val="0"/>
                <w:color w:val="000000" w:themeColor="text1"/>
                <w:sz w:val="21"/>
                <w:szCs w:val="21"/>
                <w:highlight w:val="none"/>
                <w:lang w:val="en-US" w:eastAsia="zh-CN"/>
                <w14:textFill>
                  <w14:solidFill>
                    <w14:schemeClr w14:val="tx1"/>
                  </w14:solidFill>
                </w14:textFill>
              </w:rPr>
              <w:t>5.供应商竞标时须在响应文件中提供有针对性的售后服务方案，否则竞标无效。</w:t>
            </w:r>
          </w:p>
          <w:p>
            <w:pPr>
              <w:keepNext w:val="0"/>
              <w:keepLines w:val="0"/>
              <w:pageBreakBefore w:val="0"/>
              <w:kinsoku/>
              <w:wordWrap/>
              <w:overflowPunct/>
              <w:topLinePunct w:val="0"/>
              <w:autoSpaceDE/>
              <w:autoSpaceDN/>
              <w:bidi w:val="0"/>
              <w:snapToGrid w:val="0"/>
              <w:spacing w:line="360" w:lineRule="auto"/>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strike w:val="0"/>
                <w:dstrike w:val="0"/>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lang w:val="en-US" w:eastAsia="zh-CN"/>
                <w14:textFill>
                  <w14:solidFill>
                    <w14:schemeClr w14:val="tx1"/>
                  </w14:solidFill>
                </w14:textFill>
              </w:rPr>
              <w:t>提供售后服务联系电话及联系人，质保期内，如有在质量保证范围内发生质量问题的，供应商应在收到有关通知后7天内予以更换。质保期内全部服务费和更换货物的费用由供应商承担。</w:t>
            </w:r>
          </w:p>
          <w:p>
            <w:pPr>
              <w:keepNext w:val="0"/>
              <w:keepLines w:val="0"/>
              <w:pageBreakBefore w:val="0"/>
              <w:kinsoku/>
              <w:wordWrap/>
              <w:overflowPunct/>
              <w:topLinePunct w:val="0"/>
              <w:autoSpaceDE/>
              <w:autoSpaceDN/>
              <w:bidi w:val="0"/>
              <w:snapToGrid w:val="0"/>
              <w:spacing w:line="360" w:lineRule="auto"/>
              <w:jc w:val="left"/>
              <w:rPr>
                <w:rFonts w:hint="eastAsia" w:ascii="宋体" w:hAnsi="宋体" w:eastAsia="宋体" w:cs="宋体"/>
                <w:strike w:val="0"/>
                <w:dstrike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strike w:val="0"/>
                <w:dstrike w:val="0"/>
                <w:color w:val="000000" w:themeColor="text1"/>
                <w:sz w:val="21"/>
                <w:szCs w:val="21"/>
                <w:highlight w:val="none"/>
                <w:lang w:val="en-US" w:eastAsia="zh-CN"/>
                <w14:textFill>
                  <w14:solidFill>
                    <w14:schemeClr w14:val="tx1"/>
                  </w14:solidFill>
                </w14:textFill>
              </w:rPr>
              <w:t>成交供应商须提供专门的客户咨询电话及联系人，并承诺提供长期技术咨询服务（须提供承诺函并附上相关人员的身份证复印件及联系方式，否则竞标无效）。</w:t>
            </w:r>
          </w:p>
          <w:p>
            <w:pPr>
              <w:keepNext w:val="0"/>
              <w:keepLines w:val="0"/>
              <w:pageBreakBefore w:val="0"/>
              <w:kinsoku/>
              <w:wordWrap/>
              <w:overflowPunct/>
              <w:topLinePunct w:val="0"/>
              <w:autoSpaceDE/>
              <w:autoSpaceDN/>
              <w:bidi w:val="0"/>
              <w:snapToGrid w:val="0"/>
              <w:spacing w:line="360" w:lineRule="auto"/>
              <w:jc w:val="left"/>
              <w:rPr>
                <w:rFonts w:hint="eastAsia" w:ascii="宋体" w:hAnsi="宋体" w:eastAsia="宋体" w:cs="宋体"/>
                <w:strike w:val="0"/>
                <w:dstrike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strike w:val="0"/>
                <w:dstrike w:val="0"/>
                <w:color w:val="000000" w:themeColor="text1"/>
                <w:sz w:val="21"/>
                <w:szCs w:val="21"/>
                <w:highlight w:val="none"/>
                <w:lang w:val="en-US" w:eastAsia="zh-CN"/>
                <w14:textFill>
                  <w14:solidFill>
                    <w14:schemeClr w14:val="tx1"/>
                  </w14:solidFill>
                </w14:textFill>
              </w:rPr>
              <w:t>8.其余按厂家承诺进行。</w:t>
            </w:r>
          </w:p>
          <w:p>
            <w:pPr>
              <w:keepNext w:val="0"/>
              <w:keepLines w:val="0"/>
              <w:pageBreakBefore w:val="0"/>
              <w:kinsoku/>
              <w:wordWrap/>
              <w:overflowPunct/>
              <w:topLinePunct w:val="0"/>
              <w:autoSpaceDE/>
              <w:autoSpaceDN/>
              <w:bidi w:val="0"/>
              <w:snapToGrid w:val="0"/>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strike w:val="0"/>
                <w:dstrike w:val="0"/>
                <w:color w:val="000000" w:themeColor="text1"/>
                <w:sz w:val="21"/>
                <w:szCs w:val="21"/>
                <w:highlight w:val="none"/>
                <w:lang w:val="en-US" w:eastAsia="zh-CN"/>
                <w14:textFill>
                  <w14:solidFill>
                    <w14:schemeClr w14:val="tx1"/>
                  </w14:solidFill>
                </w14:textFill>
              </w:rPr>
              <w:t>9.合同期内，上表所列物品为可能购买的品种，只有在采购人需要时才购买。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1317"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合同履行期限</w:t>
            </w:r>
          </w:p>
        </w:tc>
        <w:tc>
          <w:tcPr>
            <w:tcW w:w="3682"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360" w:lineRule="auto"/>
              <w:jc w:val="left"/>
              <w:rPr>
                <w:rFonts w:hint="eastAsia" w:ascii="宋体" w:hAnsi="宋体" w:eastAsia="宋体" w:cs="宋体"/>
                <w:strike w:val="0"/>
                <w:dstrike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strike w:val="0"/>
                <w:dstrike w:val="0"/>
                <w:color w:val="000000" w:themeColor="text1"/>
                <w:sz w:val="21"/>
                <w:szCs w:val="21"/>
                <w:highlight w:val="none"/>
                <w:lang w:val="en-US" w:eastAsia="zh-CN"/>
                <w14:textFill>
                  <w14:solidFill>
                    <w14:schemeClr w14:val="tx1"/>
                  </w14:solidFill>
                </w14:textFill>
              </w:rPr>
              <w:t>自签订合同并生效之日起至2025年12月31日。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2" w:hRule="atLeast"/>
          <w:jc w:val="center"/>
        </w:trPr>
        <w:tc>
          <w:tcPr>
            <w:tcW w:w="1317"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napToGrid w:val="0"/>
              <w:spacing w:line="360" w:lineRule="auto"/>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交货时间及地点</w:t>
            </w:r>
          </w:p>
        </w:tc>
        <w:tc>
          <w:tcPr>
            <w:tcW w:w="3682"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交货时间：</w:t>
            </w:r>
            <w:r>
              <w:rPr>
                <w:rFonts w:hint="eastAsia" w:ascii="宋体" w:hAnsi="宋体" w:eastAsia="宋体" w:cs="宋体"/>
                <w:color w:val="000000" w:themeColor="text1"/>
                <w:sz w:val="21"/>
                <w:szCs w:val="21"/>
                <w:highlight w:val="none"/>
                <w:lang w:val="en-US" w:eastAsia="zh-CN"/>
                <w14:textFill>
                  <w14:solidFill>
                    <w14:schemeClr w14:val="tx1"/>
                  </w14:solidFill>
                </w14:textFill>
              </w:rPr>
              <w:t>接到采购人供货通知后15天内按采购人要求的物品及数量完成供货。如遇特殊情况按采购人要求的时间供货。</w:t>
            </w:r>
          </w:p>
          <w:p>
            <w:pPr>
              <w:keepNext w:val="0"/>
              <w:keepLines w:val="0"/>
              <w:pageBreakBefore w:val="0"/>
              <w:kinsoku/>
              <w:wordWrap/>
              <w:overflowPunct/>
              <w:topLinePunct w:val="0"/>
              <w:autoSpaceDE/>
              <w:autoSpaceDN/>
              <w:bidi w:val="0"/>
              <w:snapToGrid w:val="0"/>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交货地点：广西壮族自治区南宁生态环境监测中心指定</w:t>
            </w:r>
            <w:r>
              <w:rPr>
                <w:rFonts w:hint="eastAsia" w:ascii="宋体" w:hAnsi="宋体" w:eastAsia="宋体" w:cs="宋体"/>
                <w:color w:val="000000" w:themeColor="text1"/>
                <w:sz w:val="21"/>
                <w:szCs w:val="21"/>
                <w:highlight w:val="none"/>
                <w:lang w:val="en-US" w:eastAsia="zh-CN"/>
                <w14:textFill>
                  <w14:solidFill>
                    <w14:schemeClr w14:val="tx1"/>
                  </w14:solidFill>
                </w14:textFill>
              </w:rPr>
              <w:t>地点</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kinsoku/>
              <w:wordWrap/>
              <w:overflowPunct/>
              <w:topLinePunct w:val="0"/>
              <w:autoSpaceDE/>
              <w:autoSpaceDN/>
              <w:bidi w:val="0"/>
              <w:snapToGrid w:val="0"/>
              <w:spacing w:line="360" w:lineRule="auto"/>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3.交货方式：送货前，供应商需电话通知采购人，确定送货时间和送货方式，并由供应商送货上门当面清点货物。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6" w:hRule="atLeast"/>
          <w:jc w:val="center"/>
        </w:trPr>
        <w:tc>
          <w:tcPr>
            <w:tcW w:w="1317"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napToGrid w:val="0"/>
              <w:spacing w:line="360" w:lineRule="auto"/>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交货要求</w:t>
            </w:r>
          </w:p>
        </w:tc>
        <w:tc>
          <w:tcPr>
            <w:tcW w:w="3682"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numPr>
                <w:ilvl w:val="0"/>
                <w:numId w:val="0"/>
              </w:numPr>
              <w:kinsoku/>
              <w:wordWrap/>
              <w:overflowPunct/>
              <w:topLinePunct w:val="0"/>
              <w:autoSpaceDE/>
              <w:autoSpaceDN/>
              <w:bidi w:val="0"/>
              <w:spacing w:line="360" w:lineRule="auto"/>
              <w:jc w:val="left"/>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1.供应商具有标准物质综合供货能力，供应商自产标准物质与获授权标准物质应满足采购需求，严禁供应商收购非标准产品供应给采购人。</w:t>
            </w:r>
          </w:p>
          <w:p>
            <w:pPr>
              <w:keepNext w:val="0"/>
              <w:keepLines w:val="0"/>
              <w:pageBreakBefore w:val="0"/>
              <w:numPr>
                <w:ilvl w:val="0"/>
                <w:numId w:val="0"/>
              </w:numPr>
              <w:kinsoku/>
              <w:wordWrap/>
              <w:overflowPunct/>
              <w:topLinePunct w:val="0"/>
              <w:autoSpaceDE/>
              <w:autoSpaceDN/>
              <w:bidi w:val="0"/>
              <w:spacing w:line="360" w:lineRule="auto"/>
              <w:jc w:val="left"/>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2.货物来源合法具体，由具有相关资质的厂家生产。</w:t>
            </w:r>
          </w:p>
          <w:p>
            <w:pPr>
              <w:keepNext w:val="0"/>
              <w:keepLines w:val="0"/>
              <w:pageBreakBefore w:val="0"/>
              <w:numPr>
                <w:ilvl w:val="0"/>
                <w:numId w:val="0"/>
              </w:numPr>
              <w:kinsoku/>
              <w:wordWrap/>
              <w:overflowPunct/>
              <w:topLinePunct w:val="0"/>
              <w:autoSpaceDE/>
              <w:autoSpaceDN/>
              <w:bidi w:val="0"/>
              <w:spacing w:line="360" w:lineRule="auto"/>
              <w:jc w:val="left"/>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序号</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1-187优先满足具有GBW或GSB或GBW（E）编号。</w:t>
            </w:r>
          </w:p>
          <w:p>
            <w:pPr>
              <w:keepNext w:val="0"/>
              <w:keepLines w:val="0"/>
              <w:pageBreakBefore w:val="0"/>
              <w:numPr>
                <w:ilvl w:val="0"/>
                <w:numId w:val="0"/>
              </w:numPr>
              <w:kinsoku/>
              <w:wordWrap/>
              <w:overflowPunct/>
              <w:topLinePunct w:val="0"/>
              <w:autoSpaceDE/>
              <w:autoSpaceDN/>
              <w:bidi w:val="0"/>
              <w:spacing w:line="360" w:lineRule="auto"/>
              <w:jc w:val="left"/>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strike w:val="0"/>
                <w:dstrike w:val="0"/>
                <w:color w:val="000000" w:themeColor="text1"/>
                <w:kern w:val="0"/>
                <w:sz w:val="21"/>
                <w:szCs w:val="21"/>
                <w:highlight w:val="none"/>
                <w:lang w:val="en-US" w:eastAsia="zh-CN"/>
                <w14:textFill>
                  <w14:solidFill>
                    <w14:schemeClr w14:val="tx1"/>
                  </w14:solidFill>
                </w14:textFill>
              </w:rPr>
              <w:t>.货物无法满足第3点的，</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 xml:space="preserve">供应商必须确保所供标准物质（包括标准样品、标准溶液） </w:t>
            </w:r>
            <w:r>
              <w:rPr>
                <w:rFonts w:hint="eastAsia" w:ascii="宋体" w:hAnsi="宋体" w:eastAsia="宋体" w:cs="宋体"/>
                <w:strike w:val="0"/>
                <w:dstrike w:val="0"/>
                <w:color w:val="000000" w:themeColor="text1"/>
                <w:kern w:val="0"/>
                <w:sz w:val="21"/>
                <w:szCs w:val="21"/>
                <w:highlight w:val="none"/>
                <w:lang w:val="en-US" w:eastAsia="zh-CN"/>
                <w14:textFill>
                  <w14:solidFill>
                    <w14:schemeClr w14:val="tx1"/>
                  </w14:solidFill>
                </w14:textFill>
              </w:rPr>
              <w:t>能满足计量溯源性要求，要求能溯源到国际单位制（SI）单位或有证标准物质，</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如市场上无满足要求的产品，需备注说明。</w:t>
            </w:r>
          </w:p>
          <w:p>
            <w:pPr>
              <w:keepNext w:val="0"/>
              <w:keepLines w:val="0"/>
              <w:pageBreakBefore w:val="0"/>
              <w:numPr>
                <w:ilvl w:val="0"/>
                <w:numId w:val="0"/>
              </w:numPr>
              <w:kinsoku/>
              <w:wordWrap/>
              <w:overflowPunct/>
              <w:topLinePunct w:val="0"/>
              <w:autoSpaceDE/>
              <w:autoSpaceDN/>
              <w:bidi w:val="0"/>
              <w:spacing w:line="36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5.表中“规格”中每支体积小于或者等于20mL的容器均要求为安瓿瓶。</w:t>
            </w:r>
          </w:p>
          <w:p>
            <w:pPr>
              <w:keepNext w:val="0"/>
              <w:keepLines w:val="0"/>
              <w:pageBreakBefore w:val="0"/>
              <w:numPr>
                <w:ilvl w:val="0"/>
                <w:numId w:val="0"/>
              </w:numPr>
              <w:kinsoku/>
              <w:wordWrap/>
              <w:overflowPunct/>
              <w:topLinePunct w:val="0"/>
              <w:autoSpaceDE/>
              <w:autoSpaceDN/>
              <w:bidi w:val="0"/>
              <w:spacing w:line="360" w:lineRule="auto"/>
              <w:jc w:val="left"/>
              <w:rPr>
                <w:rFonts w:hint="eastAsia" w:ascii="宋体" w:hAnsi="宋体" w:eastAsia="宋体" w:cs="宋体"/>
                <w:color w:val="000000" w:themeColor="text1"/>
                <w:kern w:val="0"/>
                <w:sz w:val="21"/>
                <w:szCs w:val="21"/>
                <w:highlight w:val="none"/>
                <w:lang w:val="en-US"/>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6.</w:t>
            </w:r>
            <w:r>
              <w:rPr>
                <w:rFonts w:hint="eastAsia" w:ascii="宋体" w:hAnsi="宋体" w:eastAsia="宋体" w:cs="宋体"/>
                <w:color w:val="000000" w:themeColor="text1"/>
                <w:kern w:val="0"/>
                <w:sz w:val="21"/>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 w:val="21"/>
                <w:szCs w:val="21"/>
                <w:highlight w:val="none"/>
                <w14:textFill>
                  <w14:solidFill>
                    <w14:schemeClr w14:val="tx1"/>
                  </w14:solidFill>
                </w14:textFill>
              </w:rPr>
              <w:t>保证向采购人提供的货物是全新、完整、未使用过的，</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除“</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技术参数及性能（配置）要求”有特殊要求的，交付的货物的剩余有效期应达到80%以上（例如有效期是10个月，剩余有效期应在8个月以上），</w:t>
            </w:r>
            <w:r>
              <w:rPr>
                <w:rFonts w:hint="eastAsia" w:ascii="宋体" w:hAnsi="宋体" w:eastAsia="宋体" w:cs="宋体"/>
                <w:color w:val="000000" w:themeColor="text1"/>
                <w:kern w:val="0"/>
                <w:sz w:val="21"/>
                <w:szCs w:val="21"/>
                <w:highlight w:val="none"/>
                <w14:textFill>
                  <w14:solidFill>
                    <w14:schemeClr w14:val="tx1"/>
                  </w14:solidFill>
                </w14:textFill>
              </w:rPr>
              <w:t>达不到有效期的按需分批供货</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如提供的货物未达到要求的</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须按要求更换。</w:t>
            </w:r>
          </w:p>
          <w:p>
            <w:pPr>
              <w:keepNext w:val="0"/>
              <w:keepLines w:val="0"/>
              <w:pageBreakBefore w:val="0"/>
              <w:numPr>
                <w:ilvl w:val="0"/>
                <w:numId w:val="0"/>
              </w:numPr>
              <w:kinsoku/>
              <w:wordWrap/>
              <w:overflowPunct/>
              <w:topLinePunct w:val="0"/>
              <w:autoSpaceDE/>
              <w:autoSpaceDN/>
              <w:bidi w:val="0"/>
              <w:spacing w:line="360" w:lineRule="auto"/>
              <w:jc w:val="left"/>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7.</w:t>
            </w:r>
            <w:r>
              <w:rPr>
                <w:rFonts w:hint="eastAsia" w:ascii="宋体" w:hAnsi="宋体" w:eastAsia="宋体" w:cs="宋体"/>
                <w:color w:val="000000" w:themeColor="text1"/>
                <w:kern w:val="0"/>
                <w:sz w:val="21"/>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 w:val="21"/>
                <w:szCs w:val="21"/>
                <w:highlight w:val="none"/>
                <w14:textFill>
                  <w14:solidFill>
                    <w14:schemeClr w14:val="tx1"/>
                  </w14:solidFill>
                </w14:textFill>
              </w:rPr>
              <w:t>交货时须随附货物清单</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标准物质有多个浓度或尚未注明浓度的，请</w:t>
            </w:r>
            <w:r>
              <w:rPr>
                <w:rFonts w:hint="eastAsia" w:ascii="宋体" w:hAnsi="宋体" w:eastAsia="宋体" w:cs="宋体"/>
                <w:color w:val="000000" w:themeColor="text1"/>
                <w:kern w:val="0"/>
                <w:sz w:val="21"/>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与采购人核实浓度后再供货。</w:t>
            </w:r>
          </w:p>
          <w:p>
            <w:pPr>
              <w:keepNext w:val="0"/>
              <w:keepLines w:val="0"/>
              <w:pageBreakBefore w:val="0"/>
              <w:numPr>
                <w:ilvl w:val="0"/>
                <w:numId w:val="0"/>
              </w:numPr>
              <w:kinsoku/>
              <w:wordWrap/>
              <w:overflowPunct/>
              <w:topLinePunct w:val="0"/>
              <w:autoSpaceDE/>
              <w:autoSpaceDN/>
              <w:bidi w:val="0"/>
              <w:spacing w:line="360" w:lineRule="auto"/>
              <w:jc w:val="left"/>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8.</w:t>
            </w:r>
            <w:r>
              <w:rPr>
                <w:rFonts w:hint="eastAsia" w:ascii="宋体" w:hAnsi="宋体" w:eastAsia="宋体" w:cs="宋体"/>
                <w:color w:val="000000" w:themeColor="text1"/>
                <w:kern w:val="0"/>
                <w:sz w:val="21"/>
                <w:szCs w:val="21"/>
                <w:highlight w:val="none"/>
                <w14:textFill>
                  <w14:solidFill>
                    <w14:schemeClr w14:val="tx1"/>
                  </w14:solidFill>
                </w14:textFill>
              </w:rPr>
              <w:t>所有货物在开箱检验时必须完好，无破损，配置与装箱单相符。货物外观清洁，标记及字体清晰、明确</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外观不得有与产品无关的广告。</w:t>
            </w:r>
          </w:p>
          <w:p>
            <w:pPr>
              <w:keepNext w:val="0"/>
              <w:keepLines w:val="0"/>
              <w:pageBreakBefore w:val="0"/>
              <w:numPr>
                <w:ilvl w:val="0"/>
                <w:numId w:val="0"/>
              </w:numPr>
              <w:kinsoku/>
              <w:wordWrap/>
              <w:overflowPunct/>
              <w:topLinePunct w:val="0"/>
              <w:autoSpaceDE/>
              <w:autoSpaceDN/>
              <w:bidi w:val="0"/>
              <w:spacing w:line="360" w:lineRule="auto"/>
              <w:jc w:val="left"/>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9.每批次标准物质到货前，需提供该批次标准物质证书PDF电子版文件（每个序号标准物质PDF电子版命名：“合同清单上序号+产品名称”+“产品批号”）和填写《标准物质导入模板》Excel电子表格内标准物质相关信息（该表格模板由采购人提供）。</w:t>
            </w:r>
          </w:p>
          <w:p>
            <w:pPr>
              <w:pStyle w:val="9"/>
              <w:keepNext w:val="0"/>
              <w:keepLines w:val="0"/>
              <w:pageBreakBefore w:val="0"/>
              <w:kinsoku/>
              <w:wordWrap/>
              <w:overflowPunct/>
              <w:topLinePunct w:val="0"/>
              <w:autoSpaceDE/>
              <w:autoSpaceDN/>
              <w:bidi w:val="0"/>
              <w:spacing w:line="360" w:lineRule="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kern w:val="0"/>
                <w:sz w:val="21"/>
                <w:szCs w:val="21"/>
                <w:highlight w:val="none"/>
                <w14:textFill>
                  <w14:solidFill>
                    <w14:schemeClr w14:val="tx1"/>
                  </w14:solidFill>
                </w14:textFill>
              </w:rPr>
              <w:t>已指定交货期的货物必须在指定期限内交货，否则按违约处理。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1317"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付款方式</w:t>
            </w:r>
          </w:p>
        </w:tc>
        <w:tc>
          <w:tcPr>
            <w:tcW w:w="3682"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pageBreakBefore w:val="0"/>
              <w:kinsoku/>
              <w:wordWrap/>
              <w:overflowPunct/>
              <w:topLinePunct w:val="0"/>
              <w:autoSpaceDE/>
              <w:autoSpaceDN/>
              <w:bidi w:val="0"/>
              <w:spacing w:line="360"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1.定期支付：采购人根据实际供货情况定期向成交供应商支付货款，根据送货单据、验收单及成交供应商开具该次结算金额的合法发票办理结算。</w:t>
            </w:r>
          </w:p>
          <w:p>
            <w:pPr>
              <w:pStyle w:val="9"/>
              <w:keepNext w:val="0"/>
              <w:keepLines w:val="0"/>
              <w:pageBreakBefore w:val="0"/>
              <w:kinsoku/>
              <w:wordWrap/>
              <w:overflowPunct/>
              <w:topLinePunct w:val="0"/>
              <w:autoSpaceDE/>
              <w:autoSpaceDN/>
              <w:bidi w:val="0"/>
              <w:spacing w:line="360"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2.在支付每笔款项前，供应商应当提供请款函及可供政府审计并且符合税务规定的增值税普通发票。</w:t>
            </w:r>
          </w:p>
          <w:p>
            <w:pPr>
              <w:pStyle w:val="9"/>
              <w:keepNext w:val="0"/>
              <w:keepLines w:val="0"/>
              <w:pageBreakBefore w:val="0"/>
              <w:kinsoku/>
              <w:wordWrap/>
              <w:overflowPunct/>
              <w:topLinePunct w:val="0"/>
              <w:autoSpaceDE/>
              <w:autoSpaceDN/>
              <w:bidi w:val="0"/>
              <w:spacing w:line="360"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当次付款金额=所购买产品的采购预算价×</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整体折扣比例</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（%）×当次实际购买数量。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7" w:hRule="atLeast"/>
          <w:jc w:val="center"/>
        </w:trPr>
        <w:tc>
          <w:tcPr>
            <w:tcW w:w="1317"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商务条款其他要求</w:t>
            </w:r>
          </w:p>
        </w:tc>
        <w:tc>
          <w:tcPr>
            <w:tcW w:w="3682"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pageBreakBefore w:val="0"/>
              <w:kinsoku/>
              <w:wordWrap/>
              <w:overflowPunct/>
              <w:topLinePunct w:val="0"/>
              <w:autoSpaceDE/>
              <w:autoSpaceDN/>
              <w:bidi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1.本项目采购预算为（人民币）：98万元，以预算金额签订合同。</w:t>
            </w:r>
          </w:p>
          <w:p>
            <w:pPr>
              <w:pStyle w:val="9"/>
              <w:keepNext w:val="0"/>
              <w:keepLines w:val="0"/>
              <w:pageBreakBefore w:val="0"/>
              <w:kinsoku/>
              <w:wordWrap/>
              <w:overflowPunct/>
              <w:topLinePunct w:val="0"/>
              <w:autoSpaceDE/>
              <w:autoSpaceDN/>
              <w:bidi w:val="0"/>
              <w:spacing w:line="360"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标注“▲”的条款或要求系指实质性条款或实质性要求，必须满足，若有任意一项负偏离的，其响应文件作无效处理。（备注：带“▲”项为实质性要求，供应商在投标时应答的指标，在仪器验收时如不符合验收标准，采购人有权退货。）</w:t>
            </w:r>
          </w:p>
          <w:p>
            <w:pPr>
              <w:pStyle w:val="9"/>
              <w:keepNext w:val="0"/>
              <w:keepLines w:val="0"/>
              <w:pageBreakBefore w:val="0"/>
              <w:kinsoku/>
              <w:wordWrap/>
              <w:overflowPunct/>
              <w:topLinePunct w:val="0"/>
              <w:autoSpaceDE/>
              <w:autoSpaceDN/>
              <w:bidi w:val="0"/>
              <w:spacing w:line="360"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以上物品质量和所引用标准必须符合采购人实验需求，如不满足需求，供应商必须无条件更换，以上物品当出现2次不满足采购人实验需求时，供应商必须更换品质更好的品牌，价格不变。无论是何种原因，供应商均不能提高价格或不供货，否则视为供应商违约。</w:t>
            </w:r>
          </w:p>
          <w:p>
            <w:pPr>
              <w:pStyle w:val="9"/>
              <w:keepNext w:val="0"/>
              <w:keepLines w:val="0"/>
              <w:pageBreakBefore w:val="0"/>
              <w:kinsoku/>
              <w:wordWrap/>
              <w:overflowPunct/>
              <w:topLinePunct w:val="0"/>
              <w:autoSpaceDE/>
              <w:autoSpaceDN/>
              <w:bidi w:val="0"/>
              <w:spacing w:line="360"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val="en-US" w:eastAsia="zh-CN"/>
                <w14:textFill>
                  <w14:solidFill>
                    <w14:schemeClr w14:val="tx1"/>
                  </w14:solidFill>
                </w14:textFill>
              </w:rPr>
              <w:t>.供货期内产品停产，供货商可以选用品质更好的产品进行供货，价格不变。无论是何种原因，供应商均不能提高价格或不供货。</w:t>
            </w:r>
          </w:p>
          <w:p>
            <w:pPr>
              <w:pStyle w:val="9"/>
              <w:keepNext w:val="0"/>
              <w:keepLines w:val="0"/>
              <w:pageBreakBefore w:val="0"/>
              <w:kinsoku/>
              <w:wordWrap/>
              <w:overflowPunct/>
              <w:topLinePunct w:val="0"/>
              <w:autoSpaceDE/>
              <w:autoSpaceDN/>
              <w:bidi w:val="0"/>
              <w:spacing w:line="360"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lang w:val="en-US" w:eastAsia="zh-CN"/>
                <w14:textFill>
                  <w14:solidFill>
                    <w14:schemeClr w14:val="tx1"/>
                  </w14:solidFill>
                </w14:textFill>
              </w:rPr>
              <w:t>.在履行合同过程中，必须按整体折扣比例（%）进行供货，无论是何种原因，供应商均不能提高价格或不供货，否则视为供应商违约。</w:t>
            </w:r>
          </w:p>
          <w:p>
            <w:pPr>
              <w:pStyle w:val="9"/>
              <w:keepNext w:val="0"/>
              <w:keepLines w:val="0"/>
              <w:pageBreakBefore w:val="0"/>
              <w:kinsoku/>
              <w:wordWrap/>
              <w:overflowPunct/>
              <w:topLinePunct w:val="0"/>
              <w:autoSpaceDE/>
              <w:autoSpaceDN/>
              <w:bidi w:val="0"/>
              <w:spacing w:line="360"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lang w:val="en-US" w:eastAsia="zh-CN"/>
                <w14:textFill>
                  <w14:solidFill>
                    <w14:schemeClr w14:val="tx1"/>
                  </w14:solidFill>
                </w14:textFill>
              </w:rPr>
              <w:t>.为了避免投标人使用虚假产品、虚假报价投标套取中标，要求各投标供应商必须用真实的生产厂家、参数、规格产品投标，不得用虚假或虚拟生产厂家或仅写简称厂家名称，投标时必须写全生产厂家全称。</w:t>
            </w:r>
          </w:p>
          <w:p>
            <w:pPr>
              <w:pStyle w:val="9"/>
              <w:keepNext w:val="0"/>
              <w:keepLines w:val="0"/>
              <w:pageBreakBefore w:val="0"/>
              <w:kinsoku/>
              <w:wordWrap/>
              <w:overflowPunct/>
              <w:topLinePunct w:val="0"/>
              <w:autoSpaceDE/>
              <w:autoSpaceDN/>
              <w:bidi w:val="0"/>
              <w:spacing w:line="360"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lang w:val="en-US" w:eastAsia="zh-CN"/>
                <w14:textFill>
                  <w14:solidFill>
                    <w14:schemeClr w14:val="tx1"/>
                  </w14:solidFill>
                </w14:textFill>
              </w:rPr>
              <w:t>.技术参数中要求有证书（或说明书或质检报告或检测报告）的，供货时提供证书（或说明书或质检报告或检测报告）供采购单位核验，投标人视情况自行决定是否在</w:t>
            </w:r>
            <w:r>
              <w:rPr>
                <w:rFonts w:hint="eastAsia" w:ascii="宋体" w:hAnsi="宋体" w:cs="宋体"/>
                <w:color w:val="000000" w:themeColor="text1"/>
                <w:sz w:val="21"/>
                <w:szCs w:val="21"/>
                <w:highlight w:val="none"/>
                <w:lang w:val="en-US" w:eastAsia="zh-CN"/>
                <w14:textFill>
                  <w14:solidFill>
                    <w14:schemeClr w14:val="tx1"/>
                  </w14:solidFill>
                </w14:textFill>
              </w:rPr>
              <w:t>响应文件</w:t>
            </w:r>
            <w:r>
              <w:rPr>
                <w:rFonts w:hint="eastAsia" w:ascii="宋体" w:hAnsi="宋体" w:eastAsia="宋体" w:cs="宋体"/>
                <w:color w:val="000000" w:themeColor="text1"/>
                <w:sz w:val="21"/>
                <w:szCs w:val="21"/>
                <w:highlight w:val="none"/>
                <w:lang w:val="en-US" w:eastAsia="zh-CN"/>
                <w14:textFill>
                  <w14:solidFill>
                    <w14:schemeClr w14:val="tx1"/>
                  </w14:solidFill>
                </w14:textFill>
              </w:rPr>
              <w:t>中提供证书（或说明书或质检报告或检测报告）复印件。</w:t>
            </w:r>
          </w:p>
          <w:p>
            <w:pPr>
              <w:pStyle w:val="9"/>
              <w:keepNext w:val="0"/>
              <w:keepLines w:val="0"/>
              <w:pageBreakBefore w:val="0"/>
              <w:kinsoku/>
              <w:wordWrap/>
              <w:overflowPunct/>
              <w:topLinePunct w:val="0"/>
              <w:autoSpaceDE/>
              <w:autoSpaceDN/>
              <w:bidi w:val="0"/>
              <w:spacing w:line="360"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lang w:val="en-US" w:eastAsia="zh-CN"/>
                <w14:textFill>
                  <w14:solidFill>
                    <w14:schemeClr w14:val="tx1"/>
                  </w14:solidFill>
                </w14:textFill>
              </w:rPr>
              <w:t>.通过道路运输危险化学品的，供应商必须</w:t>
            </w:r>
            <w:r>
              <w:rPr>
                <w:rFonts w:hint="eastAsia" w:ascii="宋体" w:hAnsi="宋体" w:cs="宋体"/>
                <w:color w:val="000000" w:themeColor="text1"/>
                <w:sz w:val="21"/>
                <w:szCs w:val="21"/>
                <w:highlight w:val="none"/>
                <w:lang w:val="en-US" w:eastAsia="zh-CN"/>
                <w14:textFill>
                  <w14:solidFill>
                    <w14:schemeClr w14:val="tx1"/>
                  </w14:solidFill>
                </w14:textFill>
              </w:rPr>
              <w:t>具备《道路危险货物运输许可证》或</w:t>
            </w:r>
            <w:r>
              <w:rPr>
                <w:rFonts w:hint="eastAsia" w:ascii="宋体" w:hAnsi="宋体" w:eastAsia="宋体" w:cs="宋体"/>
                <w:color w:val="000000" w:themeColor="text1"/>
                <w:sz w:val="21"/>
                <w:szCs w:val="21"/>
                <w:highlight w:val="none"/>
                <w:lang w:val="en-US" w:eastAsia="zh-CN"/>
                <w14:textFill>
                  <w14:solidFill>
                    <w14:schemeClr w14:val="tx1"/>
                  </w14:solidFill>
                </w14:textFill>
              </w:rPr>
              <w:t>委托依法取得</w:t>
            </w:r>
            <w:r>
              <w:rPr>
                <w:rFonts w:hint="eastAsia" w:ascii="宋体" w:hAnsi="宋体" w:cs="宋体"/>
                <w:color w:val="000000" w:themeColor="text1"/>
                <w:sz w:val="21"/>
                <w:szCs w:val="21"/>
                <w:highlight w:val="none"/>
                <w:lang w:val="en-US" w:eastAsia="zh-CN"/>
                <w14:textFill>
                  <w14:solidFill>
                    <w14:schemeClr w14:val="tx1"/>
                  </w14:solidFill>
                </w14:textFill>
              </w:rPr>
              <w:t>《道路危险货物运输许可证》</w:t>
            </w:r>
            <w:r>
              <w:rPr>
                <w:rFonts w:hint="eastAsia" w:ascii="宋体" w:hAnsi="宋体" w:eastAsia="宋体" w:cs="宋体"/>
                <w:color w:val="000000" w:themeColor="text1"/>
                <w:sz w:val="21"/>
                <w:szCs w:val="21"/>
                <w:highlight w:val="none"/>
                <w:lang w:val="en-US" w:eastAsia="zh-CN"/>
                <w14:textFill>
                  <w14:solidFill>
                    <w14:schemeClr w14:val="tx1"/>
                  </w14:solidFill>
                </w14:textFill>
              </w:rPr>
              <w:t>的企业承运，</w:t>
            </w:r>
            <w:r>
              <w:rPr>
                <w:rFonts w:hint="eastAsia" w:ascii="宋体" w:hAnsi="宋体" w:cs="宋体"/>
                <w:color w:val="000000" w:themeColor="text1"/>
                <w:sz w:val="21"/>
                <w:szCs w:val="21"/>
                <w:highlight w:val="none"/>
                <w:lang w:val="en-US" w:eastAsia="zh-CN"/>
                <w14:textFill>
                  <w14:solidFill>
                    <w14:schemeClr w14:val="tx1"/>
                  </w14:solidFill>
                </w14:textFill>
              </w:rPr>
              <w:t>响应文件</w:t>
            </w:r>
            <w:r>
              <w:rPr>
                <w:rFonts w:hint="eastAsia" w:ascii="宋体" w:hAnsi="宋体" w:eastAsia="宋体" w:cs="宋体"/>
                <w:color w:val="000000" w:themeColor="text1"/>
                <w:sz w:val="21"/>
                <w:szCs w:val="21"/>
                <w:highlight w:val="none"/>
                <w:lang w:val="en-US" w:eastAsia="zh-CN"/>
                <w14:textFill>
                  <w14:solidFill>
                    <w14:schemeClr w14:val="tx1"/>
                  </w14:solidFill>
                </w14:textFill>
              </w:rPr>
              <w:t>中提供相关的运输证明（如供应商不具备运输能力，须提供合作运输企业相关运输资质及承运合同或协议，</w:t>
            </w:r>
            <w:r>
              <w:rPr>
                <w:rFonts w:hint="eastAsia" w:ascii="宋体" w:hAnsi="宋体" w:cs="宋体"/>
                <w:color w:val="000000" w:themeColor="text1"/>
                <w:sz w:val="21"/>
                <w:szCs w:val="21"/>
                <w:highlight w:val="none"/>
                <w:lang w:val="en-US" w:eastAsia="zh-CN"/>
                <w14:textFill>
                  <w14:solidFill>
                    <w14:schemeClr w14:val="tx1"/>
                  </w14:solidFill>
                </w14:textFill>
              </w:rPr>
              <w:t>且在有效期内，</w:t>
            </w:r>
            <w:r>
              <w:rPr>
                <w:rFonts w:hint="eastAsia" w:ascii="宋体" w:hAnsi="宋体" w:eastAsia="宋体" w:cs="宋体"/>
                <w:color w:val="000000" w:themeColor="text1"/>
                <w:sz w:val="21"/>
                <w:szCs w:val="21"/>
                <w:highlight w:val="none"/>
                <w:lang w:val="en-US" w:eastAsia="zh-CN"/>
                <w14:textFill>
                  <w14:solidFill>
                    <w14:schemeClr w14:val="tx1"/>
                  </w14:solidFill>
                </w14:textFill>
              </w:rPr>
              <w:t>否则竞标无效）。</w:t>
            </w:r>
          </w:p>
          <w:p>
            <w:pPr>
              <w:pStyle w:val="9"/>
              <w:keepNext w:val="0"/>
              <w:keepLines w:val="0"/>
              <w:pageBreakBefore w:val="0"/>
              <w:kinsoku/>
              <w:wordWrap/>
              <w:overflowPunct/>
              <w:topLinePunct w:val="0"/>
              <w:autoSpaceDE/>
              <w:autoSpaceDN/>
              <w:bidi w:val="0"/>
              <w:spacing w:line="360"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9</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strike w:val="0"/>
                <w:dstrike w:val="0"/>
                <w:color w:val="000000" w:themeColor="text1"/>
                <w:sz w:val="21"/>
                <w:szCs w:val="21"/>
                <w:highlight w:val="none"/>
                <w:lang w:val="en-US" w:eastAsia="zh-CN"/>
                <w14:textFill>
                  <w14:solidFill>
                    <w14:schemeClr w14:val="tx1"/>
                  </w14:solidFill>
                </w14:textFill>
              </w:rPr>
              <w:t>供应商竞标时须在响应文件中提供有针对性的供货方案，否则竞标无效</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1317"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核心产品</w:t>
            </w:r>
          </w:p>
        </w:tc>
        <w:tc>
          <w:tcPr>
            <w:tcW w:w="3682"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pageBreakBefore w:val="0"/>
              <w:kinsoku/>
              <w:wordWrap/>
              <w:overflowPunct/>
              <w:topLinePunct w:val="0"/>
              <w:autoSpaceDE/>
              <w:autoSpaceDN/>
              <w:bidi w:val="0"/>
              <w:spacing w:line="360"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序号“136”—供货序号“质136”—“</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氮气中一氧化氮</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5000" w:type="pct"/>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tabs>
                <w:tab w:val="left" w:pos="180"/>
                <w:tab w:val="left" w:pos="1620"/>
              </w:tabs>
              <w:kinsoku/>
              <w:wordWrap/>
              <w:overflowPunct/>
              <w:topLinePunct w:val="0"/>
              <w:autoSpaceDE/>
              <w:autoSpaceDN/>
              <w:bidi w:val="0"/>
              <w:spacing w:line="360" w:lineRule="auto"/>
              <w:jc w:val="left"/>
              <w:rPr>
                <w:rFonts w:hint="eastAsia" w:ascii="宋体" w:hAnsi="宋体" w:eastAsia="宋体" w:cs="宋体"/>
                <w:b/>
                <w:color w:val="000000" w:themeColor="text1"/>
                <w:sz w:val="21"/>
                <w:szCs w:val="21"/>
                <w:highlight w:val="none"/>
                <w:lang w:val="en-US" w:eastAsia="zh-CN"/>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三</w:t>
            </w:r>
            <w:r>
              <w:rPr>
                <w:rFonts w:hint="eastAsia" w:ascii="宋体" w:hAnsi="宋体" w:eastAsia="宋体" w:cs="宋体"/>
                <w:b/>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b/>
                <w:color w:val="000000" w:themeColor="text1"/>
                <w:sz w:val="21"/>
                <w:szCs w:val="21"/>
                <w:highlight w:val="none"/>
                <w14:textFill>
                  <w14:solidFill>
                    <w14:schemeClr w14:val="tx1"/>
                  </w14:solidFill>
                </w14:textFill>
              </w:rPr>
              <w:t>验收标准：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2" w:hRule="atLeast"/>
          <w:jc w:val="center"/>
        </w:trPr>
        <w:tc>
          <w:tcPr>
            <w:tcW w:w="5000" w:type="pct"/>
            <w:gridSpan w:val="7"/>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pageBreakBefore w:val="0"/>
              <w:kinsoku/>
              <w:wordWrap/>
              <w:overflowPunct/>
              <w:topLinePunct w:val="0"/>
              <w:autoSpaceDE/>
              <w:autoSpaceDN/>
              <w:bidi w:val="0"/>
              <w:spacing w:line="360"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1.验收费用：验收过程中所产生的一切费用均由供应商承担，报价时应考虑相关费用。  </w:t>
            </w:r>
          </w:p>
          <w:p>
            <w:pPr>
              <w:pStyle w:val="9"/>
              <w:keepNext w:val="0"/>
              <w:keepLines w:val="0"/>
              <w:pageBreakBefore w:val="0"/>
              <w:kinsoku/>
              <w:wordWrap/>
              <w:overflowPunct/>
              <w:topLinePunct w:val="0"/>
              <w:autoSpaceDE/>
              <w:autoSpaceDN/>
              <w:bidi w:val="0"/>
              <w:spacing w:line="360"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2.验货要求：到货后，采购人应组织立即验货，由成交供应商与采购人共同开箱核对供货清单、货物数量、外观等。</w:t>
            </w:r>
          </w:p>
          <w:p>
            <w:pPr>
              <w:pStyle w:val="9"/>
              <w:keepNext w:val="0"/>
              <w:keepLines w:val="0"/>
              <w:pageBreakBefore w:val="0"/>
              <w:kinsoku/>
              <w:wordWrap/>
              <w:overflowPunct/>
              <w:topLinePunct w:val="0"/>
              <w:autoSpaceDE/>
              <w:autoSpaceDN/>
              <w:bidi w:val="0"/>
              <w:spacing w:line="360"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验收要求：货物验收时，由采购人对照采购合同中的采购需求、履约验收要求等内容进行全面核对检验，对所有要求出具的证明文件的原件进行核查，如不符合履约验收要求或提供虚假承诺的，按相关规定做退货处理及违约处理，供应商承担所有责任和费用，采购人保留进一步追究责任的权利。</w:t>
            </w:r>
          </w:p>
          <w:p>
            <w:pPr>
              <w:pStyle w:val="9"/>
              <w:keepNext w:val="0"/>
              <w:keepLines w:val="0"/>
              <w:pageBreakBefore w:val="0"/>
              <w:kinsoku/>
              <w:wordWrap/>
              <w:overflowPunct/>
              <w:topLinePunct w:val="0"/>
              <w:autoSpaceDE/>
              <w:autoSpaceDN/>
              <w:bidi w:val="0"/>
              <w:spacing w:line="360"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4.验收时间：本项目分阶段验收，货到后立即开展验货（数量、外观等）工作，</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每批货物全部到货后7个工作日内完成分阶段验收。</w:t>
            </w:r>
          </w:p>
          <w:p>
            <w:pPr>
              <w:pStyle w:val="9"/>
              <w:keepNext w:val="0"/>
              <w:keepLines w:val="0"/>
              <w:pageBreakBefore w:val="0"/>
              <w:kinsoku/>
              <w:wordWrap/>
              <w:overflowPunct/>
              <w:topLinePunct w:val="0"/>
              <w:autoSpaceDE/>
              <w:autoSpaceDN/>
              <w:bidi w:val="0"/>
              <w:spacing w:line="360"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未通过验收的处理：货物不满足采购文件要求或经采购人用于实验分析后不满足相关分析标准要求的，采购人有权退货或要求换货，累积三次不满足相关分析标准要求的，采购人有权解除合同并追究成交供应商的法律责任。</w:t>
            </w:r>
          </w:p>
          <w:p>
            <w:pPr>
              <w:pStyle w:val="9"/>
              <w:keepNext w:val="0"/>
              <w:keepLines w:val="0"/>
              <w:pageBreakBefore w:val="0"/>
              <w:kinsoku/>
              <w:wordWrap/>
              <w:overflowPunct/>
              <w:topLinePunct w:val="0"/>
              <w:autoSpaceDE/>
              <w:autoSpaceDN/>
              <w:bidi w:val="0"/>
              <w:spacing w:line="360"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6.质保期：货物经过验收通过后，签署分阶段验收报告，质保期自分阶段验收合格之日起算，由成交供应商提供产品质保。</w:t>
            </w:r>
          </w:p>
        </w:tc>
      </w:tr>
    </w:tbl>
    <w:p>
      <w:pPr>
        <w:pStyle w:val="5"/>
        <w:rPr>
          <w:rFonts w:hint="eastAsia" w:hAnsi="宋体" w:cs="宋体"/>
          <w:color w:val="000000" w:themeColor="text1"/>
          <w:sz w:val="32"/>
          <w:szCs w:val="32"/>
          <w:highlight w:val="none"/>
          <w14:textFill>
            <w14:solidFill>
              <w14:schemeClr w14:val="tx1"/>
            </w14:solidFill>
          </w14:textFill>
        </w:rPr>
      </w:pPr>
    </w:p>
    <w:p>
      <w:pPr>
        <w:rPr>
          <w:rFonts w:hint="eastAsia" w:hAnsi="宋体" w:cs="宋体"/>
          <w:color w:val="000000" w:themeColor="text1"/>
          <w:sz w:val="32"/>
          <w:szCs w:val="32"/>
          <w:highlight w:val="none"/>
          <w14:textFill>
            <w14:solidFill>
              <w14:schemeClr w14:val="tx1"/>
            </w14:solidFill>
          </w14:textFill>
        </w:rPr>
      </w:pPr>
    </w:p>
    <w:p>
      <w:pPr>
        <w:pStyle w:val="23"/>
        <w:rPr>
          <w:rFonts w:hint="eastAsia" w:hAnsi="宋体" w:cs="宋体"/>
          <w:color w:val="000000" w:themeColor="text1"/>
          <w:sz w:val="32"/>
          <w:szCs w:val="32"/>
          <w:highlight w:val="none"/>
          <w14:textFill>
            <w14:solidFill>
              <w14:schemeClr w14:val="tx1"/>
            </w14:solidFill>
          </w14:textFill>
        </w:rPr>
      </w:pPr>
    </w:p>
    <w:p>
      <w:pPr>
        <w:rPr>
          <w:rFonts w:hint="eastAsia" w:hAnsi="宋体" w:cs="宋体"/>
          <w:color w:val="000000" w:themeColor="text1"/>
          <w:sz w:val="32"/>
          <w:szCs w:val="32"/>
          <w:highlight w:val="none"/>
          <w14:textFill>
            <w14:solidFill>
              <w14:schemeClr w14:val="tx1"/>
            </w14:solidFill>
          </w14:textFill>
        </w:rPr>
      </w:pPr>
    </w:p>
    <w:p>
      <w:pPr>
        <w:pStyle w:val="23"/>
        <w:rPr>
          <w:rFonts w:hint="eastAsia" w:hAnsi="宋体" w:cs="宋体"/>
          <w:color w:val="000000" w:themeColor="text1"/>
          <w:sz w:val="32"/>
          <w:szCs w:val="32"/>
          <w:highlight w:val="none"/>
          <w14:textFill>
            <w14:solidFill>
              <w14:schemeClr w14:val="tx1"/>
            </w14:solidFill>
          </w14:textFill>
        </w:rPr>
      </w:pPr>
    </w:p>
    <w:p>
      <w:pPr>
        <w:rPr>
          <w:rFonts w:hint="eastAsia" w:hAnsi="宋体" w:cs="宋体"/>
          <w:color w:val="000000" w:themeColor="text1"/>
          <w:sz w:val="32"/>
          <w:szCs w:val="32"/>
          <w:highlight w:val="none"/>
          <w14:textFill>
            <w14:solidFill>
              <w14:schemeClr w14:val="tx1"/>
            </w14:solidFill>
          </w14:textFill>
        </w:rPr>
      </w:pPr>
    </w:p>
    <w:p>
      <w:pPr>
        <w:pStyle w:val="14"/>
        <w:jc w:val="left"/>
        <w:rPr>
          <w:rFonts w:hint="eastAsia" w:hAnsi="宋体" w:cs="宋体"/>
          <w:b/>
          <w:bCs/>
          <w:color w:val="000000" w:themeColor="text1"/>
          <w:sz w:val="32"/>
          <w:szCs w:val="32"/>
          <w:highlight w:val="none"/>
          <w14:textFill>
            <w14:solidFill>
              <w14:schemeClr w14:val="tx1"/>
            </w14:solidFill>
          </w14:textFill>
        </w:rPr>
      </w:pPr>
      <w:r>
        <w:rPr>
          <w:rFonts w:hint="eastAsia" w:hAnsi="宋体" w:cs="宋体"/>
          <w:b/>
          <w:bCs/>
          <w:color w:val="000000" w:themeColor="text1"/>
          <w:sz w:val="32"/>
          <w:szCs w:val="32"/>
          <w:highlight w:val="none"/>
          <w14:textFill>
            <w14:solidFill>
              <w14:schemeClr w14:val="tx1"/>
            </w14:solidFill>
          </w14:textFill>
        </w:rPr>
        <w:t>附件</w:t>
      </w:r>
      <w:r>
        <w:rPr>
          <w:rFonts w:hint="eastAsia" w:hAnsi="宋体" w:cs="宋体"/>
          <w:b/>
          <w:bCs/>
          <w:color w:val="000000" w:themeColor="text1"/>
          <w:sz w:val="32"/>
          <w:szCs w:val="32"/>
          <w:highlight w:val="none"/>
          <w:lang w:val="en-US" w:eastAsia="zh-CN"/>
          <w14:textFill>
            <w14:solidFill>
              <w14:schemeClr w14:val="tx1"/>
            </w14:solidFill>
          </w14:textFill>
        </w:rPr>
        <w:t>3</w:t>
      </w:r>
      <w:r>
        <w:rPr>
          <w:rFonts w:hint="eastAsia" w:hAnsi="宋体" w:cs="宋体"/>
          <w:b/>
          <w:bCs/>
          <w:color w:val="000000" w:themeColor="text1"/>
          <w:sz w:val="32"/>
          <w:szCs w:val="32"/>
          <w:highlight w:val="none"/>
          <w14:textFill>
            <w14:solidFill>
              <w14:schemeClr w14:val="tx1"/>
            </w14:solidFill>
          </w14:textFill>
        </w:rPr>
        <w:t>：</w:t>
      </w:r>
    </w:p>
    <w:p>
      <w:pPr>
        <w:spacing w:line="528" w:lineRule="exact"/>
        <w:jc w:val="center"/>
        <w:rPr>
          <w:rFonts w:hint="eastAsia" w:ascii="宋体" w:hAnsi="宋体" w:eastAsia="宋体" w:cs="宋体"/>
          <w:b/>
          <w:bCs/>
          <w:color w:val="000000" w:themeColor="text1"/>
          <w:spacing w:val="12"/>
          <w:w w:val="99"/>
          <w:kern w:val="0"/>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spacing w:val="12"/>
          <w:w w:val="99"/>
          <w:kern w:val="0"/>
          <w:sz w:val="28"/>
          <w:szCs w:val="28"/>
          <w:highlight w:val="none"/>
          <w:lang w:val="en-US" w:eastAsia="zh-CN" w:bidi="ar-SA"/>
          <w14:textFill>
            <w14:solidFill>
              <w14:schemeClr w14:val="tx1"/>
            </w14:solidFill>
          </w14:textFill>
        </w:rPr>
        <w:t>节能产品政府采购品目清单</w:t>
      </w:r>
    </w:p>
    <w:p>
      <w:pPr>
        <w:rPr>
          <w:rFonts w:hint="eastAsia" w:eastAsia="宋体"/>
          <w:color w:val="000000" w:themeColor="text1"/>
          <w:highlight w:val="none"/>
          <w:vertAlign w:val="baseline"/>
          <w:lang w:eastAsia="zh-CN"/>
          <w14:textFill>
            <w14:solidFill>
              <w14:schemeClr w14:val="tx1"/>
            </w14:solidFill>
          </w14:textFill>
        </w:rPr>
      </w:pPr>
    </w:p>
    <w:tbl>
      <w:tblPr>
        <w:tblStyle w:val="2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000"/>
        <w:gridCol w:w="1875"/>
        <w:gridCol w:w="1581"/>
        <w:gridCol w:w="3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pPr>
              <w:pStyle w:val="17"/>
              <w:keepNext w:val="0"/>
              <w:keepLines w:val="0"/>
              <w:pageBreakBefore w:val="0"/>
              <w:kinsoku/>
              <w:wordWrap/>
              <w:overflowPunct/>
              <w:topLinePunct w:val="0"/>
              <w:autoSpaceDE/>
              <w:autoSpaceDN/>
              <w:bidi w:val="0"/>
              <w:adjustRightInd/>
              <w:spacing w:line="400" w:lineRule="exact"/>
              <w:ind w:left="0" w:right="0"/>
              <w:jc w:val="both"/>
              <w:textAlignment w:val="auto"/>
              <w:rPr>
                <w:rFonts w:hint="eastAsia" w:ascii="宋体" w:hAnsi="宋体" w:eastAsia="宋体" w:cs="宋体"/>
                <w:b/>
                <w:bCs/>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品目序号</w:t>
            </w:r>
          </w:p>
        </w:tc>
        <w:tc>
          <w:tcPr>
            <w:tcW w:w="4456" w:type="dxa"/>
            <w:gridSpan w:val="3"/>
            <w:vAlign w:val="center"/>
          </w:tcPr>
          <w:p>
            <w:pPr>
              <w:keepNext w:val="0"/>
              <w:keepLines w:val="0"/>
              <w:pageBreakBefore w:val="0"/>
              <w:kinsoku/>
              <w:wordWrap/>
              <w:overflowPunct/>
              <w:topLinePunct w:val="0"/>
              <w:autoSpaceDE/>
              <w:autoSpaceDN/>
              <w:bidi w:val="0"/>
              <w:adjustRightInd/>
              <w:spacing w:line="400" w:lineRule="exact"/>
              <w:ind w:left="0" w:right="0"/>
              <w:jc w:val="center"/>
              <w:textAlignment w:val="auto"/>
              <w:rPr>
                <w:rFonts w:hint="eastAsia" w:ascii="宋体" w:hAnsi="宋体" w:eastAsia="宋体" w:cs="宋体"/>
                <w:b/>
                <w:bCs/>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b/>
                <w:bCs/>
                <w:color w:val="000000" w:themeColor="text1"/>
                <w:sz w:val="21"/>
                <w:szCs w:val="21"/>
                <w:highlight w:val="none"/>
                <w:vertAlign w:val="baseline"/>
                <w:lang w:eastAsia="zh-CN"/>
                <w14:textFill>
                  <w14:solidFill>
                    <w14:schemeClr w14:val="tx1"/>
                  </w14:solidFill>
                </w14:textFill>
              </w:rPr>
              <w:t>名称</w:t>
            </w:r>
          </w:p>
        </w:tc>
        <w:tc>
          <w:tcPr>
            <w:tcW w:w="3399" w:type="dxa"/>
            <w:vAlign w:val="center"/>
          </w:tcPr>
          <w:p>
            <w:pPr>
              <w:keepNext w:val="0"/>
              <w:keepLines w:val="0"/>
              <w:pageBreakBefore w:val="0"/>
              <w:kinsoku/>
              <w:wordWrap/>
              <w:overflowPunct/>
              <w:topLinePunct w:val="0"/>
              <w:autoSpaceDE/>
              <w:autoSpaceDN/>
              <w:bidi w:val="0"/>
              <w:adjustRightInd/>
              <w:spacing w:line="400" w:lineRule="exact"/>
              <w:ind w:left="0" w:right="0"/>
              <w:jc w:val="center"/>
              <w:textAlignment w:val="auto"/>
              <w:rPr>
                <w:rFonts w:hint="eastAsia" w:ascii="宋体" w:hAnsi="宋体" w:eastAsia="宋体" w:cs="宋体"/>
                <w:b/>
                <w:bCs/>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b/>
                <w:bCs/>
                <w:color w:val="000000" w:themeColor="text1"/>
                <w:sz w:val="21"/>
                <w:szCs w:val="21"/>
                <w:highlight w:val="none"/>
                <w:vertAlign w:val="baseline"/>
                <w:lang w:eastAsia="zh-CN"/>
                <w14:textFill>
                  <w14:solidFill>
                    <w14:schemeClr w14:val="tx1"/>
                  </w14:solidFill>
                </w14:textFill>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restart"/>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p>
            <w:pPr>
              <w:pStyle w:val="59"/>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p>
            <w:pPr>
              <w:pStyle w:val="59"/>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p>
            <w:pPr>
              <w:pStyle w:val="59"/>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p>
            <w:pPr>
              <w:pStyle w:val="59"/>
              <w:keepNext w:val="0"/>
              <w:keepLines w:val="0"/>
              <w:pageBreakBefore w:val="0"/>
              <w:widowControl w:val="0"/>
              <w:kinsoku/>
              <w:wordWrap/>
              <w:overflowPunct/>
              <w:topLinePunct w:val="0"/>
              <w:autoSpaceDE/>
              <w:autoSpaceDN/>
              <w:bidi w:val="0"/>
              <w:adjustRightInd/>
              <w:snapToGrid/>
              <w:spacing w:line="320" w:lineRule="exact"/>
              <w:ind w:left="0" w:right="0" w:rightChars="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1</w:t>
            </w:r>
          </w:p>
        </w:tc>
        <w:tc>
          <w:tcPr>
            <w:tcW w:w="1000" w:type="dxa"/>
            <w:vMerge w:val="restart"/>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p>
            <w:pPr>
              <w:pStyle w:val="59"/>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p>
            <w:pPr>
              <w:pStyle w:val="59"/>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p>
            <w:pPr>
              <w:pStyle w:val="59"/>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A020101计算</w:t>
            </w:r>
          </w:p>
          <w:p>
            <w:pPr>
              <w:pStyle w:val="59"/>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机设备</w:t>
            </w:r>
          </w:p>
        </w:tc>
        <w:tc>
          <w:tcPr>
            <w:tcW w:w="1875" w:type="dxa"/>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★A02010104台式计算机</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3399" w:type="dxa"/>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《微型计算机能效限定值及能效等级》（GB28380）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87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★A02010105便携式计算机</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33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《微型计算机能效限定值及能效等级》（GB28380）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87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★A02010107平板式微型计算机</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33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《微型计算机能效限定值及能效等级》（GB28380）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restart"/>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right="0" w:rightChars="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2</w:t>
            </w:r>
          </w:p>
        </w:tc>
        <w:tc>
          <w:tcPr>
            <w:tcW w:w="1000" w:type="dxa"/>
            <w:vMerge w:val="restart"/>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A020106输入</w:t>
            </w:r>
          </w:p>
          <w:p>
            <w:pPr>
              <w:pStyle w:val="59"/>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输出设备</w:t>
            </w:r>
          </w:p>
        </w:tc>
        <w:tc>
          <w:tcPr>
            <w:tcW w:w="1875" w:type="dxa"/>
            <w:vMerge w:val="restart"/>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A02010601打印设备</w:t>
            </w:r>
          </w:p>
        </w:tc>
        <w:tc>
          <w:tcPr>
            <w:tcW w:w="1581" w:type="dxa"/>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A0201060101喷墨打印机</w:t>
            </w:r>
          </w:p>
        </w:tc>
        <w:tc>
          <w:tcPr>
            <w:tcW w:w="3399" w:type="dxa"/>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《复印机、打印机和传真机能效限定值及能效等级》（GB21521）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87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★A0201060102激光打印机</w:t>
            </w:r>
          </w:p>
        </w:tc>
        <w:tc>
          <w:tcPr>
            <w:tcW w:w="33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《复印机、打印机和传真机能效限定值及能效等级》（GB21521）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87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★A0201060104针式打印机</w:t>
            </w:r>
          </w:p>
        </w:tc>
        <w:tc>
          <w:tcPr>
            <w:tcW w:w="33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《复印机、打印机和传真机能效限定值及能效等级》（GB21521）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87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A02010604显示设备</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★A0201060401液晶显示器</w:t>
            </w:r>
          </w:p>
        </w:tc>
        <w:tc>
          <w:tcPr>
            <w:tcW w:w="33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《计算机显示器能效限定值及能效等级》（GB21520）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87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A02010609图形图像输入设备</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A0201060901扫描仪</w:t>
            </w:r>
          </w:p>
        </w:tc>
        <w:tc>
          <w:tcPr>
            <w:tcW w:w="33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参照《复印机、打印机和传真机能效限定值及能效等级》（GB21521</w:t>
            </w:r>
          </w:p>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中打印速度为15页/分的针式打印机相关要求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right="0" w:rightChars="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3</w:t>
            </w:r>
          </w:p>
        </w:tc>
        <w:tc>
          <w:tcPr>
            <w:tcW w:w="1000" w:type="dxa"/>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A020202投影</w:t>
            </w:r>
          </w:p>
          <w:p>
            <w:pPr>
              <w:pStyle w:val="59"/>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仪</w:t>
            </w:r>
          </w:p>
        </w:tc>
        <w:tc>
          <w:tcPr>
            <w:tcW w:w="187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3399" w:type="dxa"/>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《投影机能效限定值及能效等级</w:t>
            </w:r>
          </w:p>
          <w:p>
            <w:pPr>
              <w:pStyle w:val="59"/>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（GB32028）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p>
            <w:pPr>
              <w:pStyle w:val="59"/>
              <w:keepNext w:val="0"/>
              <w:keepLines w:val="0"/>
              <w:pageBreakBefore w:val="0"/>
              <w:widowControl w:val="0"/>
              <w:kinsoku/>
              <w:wordWrap/>
              <w:overflowPunct/>
              <w:topLinePunct w:val="0"/>
              <w:autoSpaceDE/>
              <w:autoSpaceDN/>
              <w:bidi w:val="0"/>
              <w:adjustRightInd/>
              <w:snapToGrid/>
              <w:spacing w:line="320" w:lineRule="exact"/>
              <w:ind w:left="0" w:right="0" w:rightChars="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4</w:t>
            </w:r>
          </w:p>
        </w:tc>
        <w:tc>
          <w:tcPr>
            <w:tcW w:w="1000" w:type="dxa"/>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A020204多功</w:t>
            </w:r>
          </w:p>
          <w:p>
            <w:pPr>
              <w:pStyle w:val="59"/>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能一体机</w:t>
            </w:r>
          </w:p>
        </w:tc>
        <w:tc>
          <w:tcPr>
            <w:tcW w:w="187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3399" w:type="dxa"/>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《复印机、打印机和传真机能效限定值及能效等级》（GB21521）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right="0" w:rightChars="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5</w:t>
            </w:r>
          </w:p>
        </w:tc>
        <w:tc>
          <w:tcPr>
            <w:tcW w:w="1000" w:type="dxa"/>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A020519泵</w:t>
            </w:r>
          </w:p>
        </w:tc>
        <w:tc>
          <w:tcPr>
            <w:tcW w:w="1875" w:type="dxa"/>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A02051901离心泵</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3399" w:type="dxa"/>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《清水离心泵能效限定值及节能评价值》（GB19762）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restart"/>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p>
            <w:pPr>
              <w:pStyle w:val="59"/>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p>
            <w:pPr>
              <w:pStyle w:val="59"/>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p>
            <w:pPr>
              <w:pStyle w:val="59"/>
              <w:keepNext w:val="0"/>
              <w:keepLines w:val="0"/>
              <w:pageBreakBefore w:val="0"/>
              <w:widowControl w:val="0"/>
              <w:kinsoku/>
              <w:wordWrap/>
              <w:overflowPunct/>
              <w:topLinePunct w:val="0"/>
              <w:autoSpaceDE/>
              <w:autoSpaceDN/>
              <w:bidi w:val="0"/>
              <w:adjustRightInd/>
              <w:snapToGrid/>
              <w:spacing w:line="320" w:lineRule="exact"/>
              <w:ind w:left="0" w:right="0" w:rightChars="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6</w:t>
            </w:r>
          </w:p>
        </w:tc>
        <w:tc>
          <w:tcPr>
            <w:tcW w:w="1000" w:type="dxa"/>
            <w:vMerge w:val="restart"/>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p>
            <w:pPr>
              <w:pStyle w:val="59"/>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A020523制冷</w:t>
            </w:r>
          </w:p>
          <w:p>
            <w:pPr>
              <w:pStyle w:val="59"/>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空调设备</w:t>
            </w:r>
          </w:p>
        </w:tc>
        <w:tc>
          <w:tcPr>
            <w:tcW w:w="187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★A02052301制冷压缩机</w:t>
            </w:r>
          </w:p>
        </w:tc>
        <w:tc>
          <w:tcPr>
            <w:tcW w:w="1581" w:type="dxa"/>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冷水机组</w:t>
            </w:r>
          </w:p>
        </w:tc>
        <w:tc>
          <w:tcPr>
            <w:tcW w:w="3399" w:type="dxa"/>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《冷水机组能效限定值及能效等级》（GB19577），《低环境温度空气源热泵（冷水）机组能效限定值及能效等级》（GB37480）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87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水源热泵机组</w:t>
            </w:r>
          </w:p>
        </w:tc>
        <w:tc>
          <w:tcPr>
            <w:tcW w:w="33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《水（地）源热泵机组能效限定值及能效等级》（GB30721）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87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溴化锂吸收式冷水机组</w:t>
            </w:r>
          </w:p>
        </w:tc>
        <w:tc>
          <w:tcPr>
            <w:tcW w:w="33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《溴化锂吸收式冷水机组能效限</w:t>
            </w:r>
          </w:p>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定值及能效等级》（GB29540）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87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★A02052305空调机组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多联式空调（热泵）机组(制冷量&gt;14000W)</w:t>
            </w:r>
          </w:p>
        </w:tc>
        <w:tc>
          <w:tcPr>
            <w:tcW w:w="33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《多联式空调（热泵）机组能效限定值及能源效率等级》（GB21454）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87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单元式空气调节机</w:t>
            </w:r>
          </w:p>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(制冷量&gt;14000W)</w:t>
            </w:r>
          </w:p>
        </w:tc>
        <w:tc>
          <w:tcPr>
            <w:tcW w:w="33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《单元式空气调节机能效限定值及能效等级》（GB19576）《风管送风式空调机组能效限定值及能效等级》（GB37479）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87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★A02052309专用制冷、空调设备</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机房空调</w:t>
            </w:r>
          </w:p>
        </w:tc>
        <w:tc>
          <w:tcPr>
            <w:tcW w:w="33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《单元式空气调节机能效限定值及能效等级》（GB19576）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87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A02052399其他制冷空调设备</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冷却塔</w:t>
            </w:r>
          </w:p>
        </w:tc>
        <w:tc>
          <w:tcPr>
            <w:tcW w:w="33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《机械通风冷却塔第1部分：中小型开式冷却塔》（GB/T7190.1）《机械通风冷却塔第2部分：大型开式冷却塔》（GB/T7190.2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p>
            <w:pPr>
              <w:pStyle w:val="59"/>
              <w:keepNext w:val="0"/>
              <w:keepLines w:val="0"/>
              <w:pageBreakBefore w:val="0"/>
              <w:widowControl w:val="0"/>
              <w:kinsoku/>
              <w:wordWrap/>
              <w:overflowPunct/>
              <w:topLinePunct w:val="0"/>
              <w:autoSpaceDE/>
              <w:autoSpaceDN/>
              <w:bidi w:val="0"/>
              <w:adjustRightInd/>
              <w:snapToGrid/>
              <w:spacing w:line="320" w:lineRule="exact"/>
              <w:ind w:left="0" w:right="0" w:rightChars="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7</w:t>
            </w:r>
          </w:p>
        </w:tc>
        <w:tc>
          <w:tcPr>
            <w:tcW w:w="1000" w:type="dxa"/>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A020601电机</w:t>
            </w:r>
          </w:p>
        </w:tc>
        <w:tc>
          <w:tcPr>
            <w:tcW w:w="187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3399" w:type="dxa"/>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《中小型三相异步电动机能效限定值及能效等级》（GB18613）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p>
            <w:pPr>
              <w:pStyle w:val="59"/>
              <w:keepNext w:val="0"/>
              <w:keepLines w:val="0"/>
              <w:pageBreakBefore w:val="0"/>
              <w:widowControl w:val="0"/>
              <w:kinsoku/>
              <w:wordWrap/>
              <w:overflowPunct/>
              <w:topLinePunct w:val="0"/>
              <w:autoSpaceDE/>
              <w:autoSpaceDN/>
              <w:bidi w:val="0"/>
              <w:adjustRightInd/>
              <w:snapToGrid/>
              <w:spacing w:line="320" w:lineRule="exact"/>
              <w:ind w:left="0" w:right="0" w:rightChars="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8</w:t>
            </w:r>
          </w:p>
        </w:tc>
        <w:tc>
          <w:tcPr>
            <w:tcW w:w="1000" w:type="dxa"/>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A020602变压器</w:t>
            </w:r>
          </w:p>
        </w:tc>
        <w:tc>
          <w:tcPr>
            <w:tcW w:w="1875" w:type="dxa"/>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配电变压器</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3399" w:type="dxa"/>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《三相配电变压器能效限定值及能效等级》（GB20052）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p>
            <w:pPr>
              <w:pStyle w:val="59"/>
              <w:keepNext w:val="0"/>
              <w:keepLines w:val="0"/>
              <w:pageBreakBefore w:val="0"/>
              <w:widowControl w:val="0"/>
              <w:kinsoku/>
              <w:wordWrap/>
              <w:overflowPunct/>
              <w:topLinePunct w:val="0"/>
              <w:autoSpaceDE/>
              <w:autoSpaceDN/>
              <w:bidi w:val="0"/>
              <w:adjustRightInd/>
              <w:snapToGrid/>
              <w:spacing w:line="320" w:lineRule="exact"/>
              <w:ind w:left="0" w:right="0" w:rightChars="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9</w:t>
            </w:r>
          </w:p>
        </w:tc>
        <w:tc>
          <w:tcPr>
            <w:tcW w:w="1000" w:type="dxa"/>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A020609镇流器</w:t>
            </w:r>
          </w:p>
        </w:tc>
        <w:tc>
          <w:tcPr>
            <w:tcW w:w="1875" w:type="dxa"/>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管型荧光灯镇流器</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3399" w:type="dxa"/>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《管形荧光灯镇流器能效限定值及能效等级》（GB17896）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667" w:type="dxa"/>
            <w:vMerge w:val="restart"/>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10</w:t>
            </w:r>
          </w:p>
        </w:tc>
        <w:tc>
          <w:tcPr>
            <w:tcW w:w="1000" w:type="dxa"/>
            <w:vMerge w:val="restart"/>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A020618生活</w:t>
            </w:r>
          </w:p>
          <w:p>
            <w:pPr>
              <w:pStyle w:val="59"/>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用电器</w:t>
            </w:r>
          </w:p>
        </w:tc>
        <w:tc>
          <w:tcPr>
            <w:tcW w:w="1875" w:type="dxa"/>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A0206180101电冰箱</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3399" w:type="dxa"/>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《家用电冰箱耗电量限定值及能效等级》（GB</w:t>
            </w: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12021.2）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87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★A0206180203空调</w:t>
            </w:r>
          </w:p>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机</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房间空气调节器</w:t>
            </w:r>
          </w:p>
        </w:tc>
        <w:tc>
          <w:tcPr>
            <w:tcW w:w="33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《转速可控型房间空气调节器能效限定值及能效等级》（GB21455-2013），待2019年修订发布后，按《房间空气调节器能效限定值及能效等级》（GB21455-2019实施。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87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多联式空调（热泵）机组（制冷量≤ 14000W）</w:t>
            </w:r>
          </w:p>
        </w:tc>
        <w:tc>
          <w:tcPr>
            <w:tcW w:w="33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《多联式空调（热泵）机组能效限定值及能源效率等级》（GB21454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66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87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单元式空气调节机</w:t>
            </w:r>
          </w:p>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(制冷量≤14000W)</w:t>
            </w:r>
          </w:p>
        </w:tc>
        <w:tc>
          <w:tcPr>
            <w:tcW w:w="33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《单元式空气调节机能效限定值及能源效率等级》（GB19576）《风管送风式空调机组能效限定值及能效等级》（GB37479）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87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A0206180301洗衣机</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33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《电动洗衣机能效水效限定值及等级》（GB12021.4）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87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A02061808热水器</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★电热水器</w:t>
            </w:r>
          </w:p>
        </w:tc>
        <w:tc>
          <w:tcPr>
            <w:tcW w:w="33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《储水式电热水器能效限定值及能效等级》（GB21519）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87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燃气热水器</w:t>
            </w:r>
          </w:p>
        </w:tc>
        <w:tc>
          <w:tcPr>
            <w:tcW w:w="33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《家用燃气快速热水器和燃气采暖热水炉能效限定值及能效等级（GB20665）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87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热泵热水器</w:t>
            </w:r>
          </w:p>
        </w:tc>
        <w:tc>
          <w:tcPr>
            <w:tcW w:w="33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《热泵热水机（器）能效限定值及能效等级》（GB29541）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87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太阳能热水系统</w:t>
            </w:r>
          </w:p>
        </w:tc>
        <w:tc>
          <w:tcPr>
            <w:tcW w:w="33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《家用太阳能热水系统能效限定值及能效等级》（GB26969）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restart"/>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11</w:t>
            </w:r>
          </w:p>
        </w:tc>
        <w:tc>
          <w:tcPr>
            <w:tcW w:w="1000" w:type="dxa"/>
            <w:vMerge w:val="restart"/>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A020619照明</w:t>
            </w:r>
          </w:p>
          <w:p>
            <w:pPr>
              <w:pStyle w:val="59"/>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设备</w:t>
            </w:r>
          </w:p>
        </w:tc>
        <w:tc>
          <w:tcPr>
            <w:tcW w:w="1875" w:type="dxa"/>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★普通照明用双端荧光灯</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3399" w:type="dxa"/>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《普通照明用双端荧光灯能效限定值及能效等级》（GB19043）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87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LED道路/隧道照明产品</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33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《道路和隧道照明用LED灯具能效限定值及能效等级》（GB37478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87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LED筒灯</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33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《室内照明用LED产品能效限定值及能效等级》（GB30255）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87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普通照明用非定向自镇流LED灯</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33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《室内照明用LED产品能效限定值及能效等级》（GB30255）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p>
            <w:pPr>
              <w:pStyle w:val="59"/>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12</w:t>
            </w:r>
          </w:p>
        </w:tc>
        <w:tc>
          <w:tcPr>
            <w:tcW w:w="1000" w:type="dxa"/>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★A020910电视设备</w:t>
            </w:r>
          </w:p>
        </w:tc>
        <w:tc>
          <w:tcPr>
            <w:tcW w:w="1875" w:type="dxa"/>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A02091001普通电视设备（电视机）</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3399" w:type="dxa"/>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《平板电视能效限定值及能效等级》（GB24850）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13</w:t>
            </w:r>
          </w:p>
        </w:tc>
        <w:tc>
          <w:tcPr>
            <w:tcW w:w="1000" w:type="dxa"/>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★A020911视频设备</w:t>
            </w:r>
          </w:p>
        </w:tc>
        <w:tc>
          <w:tcPr>
            <w:tcW w:w="1875" w:type="dxa"/>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A02091107视频监控设备</w:t>
            </w:r>
          </w:p>
        </w:tc>
        <w:tc>
          <w:tcPr>
            <w:tcW w:w="1581" w:type="dxa"/>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监视器</w:t>
            </w:r>
          </w:p>
        </w:tc>
        <w:tc>
          <w:tcPr>
            <w:tcW w:w="3399" w:type="dxa"/>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以射频信号为主要信号输入的监视器应符合《平板电视能效限定值及能效等级》（GB24850），以数字信号为主要信号输入的监视器应符合《计算机显示器能效限定值及能效等级》（GB21520）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p>
            <w:pPr>
              <w:pStyle w:val="59"/>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14</w:t>
            </w:r>
          </w:p>
        </w:tc>
        <w:tc>
          <w:tcPr>
            <w:tcW w:w="1000" w:type="dxa"/>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A031210饮食炊事机械</w:t>
            </w:r>
          </w:p>
        </w:tc>
        <w:tc>
          <w:tcPr>
            <w:tcW w:w="1875" w:type="dxa"/>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商用燃气灶具</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3399" w:type="dxa"/>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《商用燃气灶具能效限定值及能效等级》（GB30531）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restart"/>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15</w:t>
            </w:r>
          </w:p>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000" w:type="dxa"/>
            <w:vMerge w:val="restart"/>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en-US"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★A060805便器</w:t>
            </w:r>
          </w:p>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875" w:type="dxa"/>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p>
            <w:pPr>
              <w:pStyle w:val="59"/>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坐便器</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3399" w:type="dxa"/>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《坐便器水效限定值及水效等级</w:t>
            </w:r>
          </w:p>
          <w:p>
            <w:pPr>
              <w:pStyle w:val="59"/>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（GB25502）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87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蹲便器</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33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《蹲便器用水效率限定值及用水效率等级》（GB30717）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87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小便器</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33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《小便器用水效率限定值及用水效率等级》（GB28377）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16</w:t>
            </w:r>
          </w:p>
        </w:tc>
        <w:tc>
          <w:tcPr>
            <w:tcW w:w="1000" w:type="dxa"/>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★A060806水嘴</w:t>
            </w:r>
          </w:p>
        </w:tc>
        <w:tc>
          <w:tcPr>
            <w:tcW w:w="187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3399" w:type="dxa"/>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《水嘴用水效率限定值及用水效率等级》（GB 25501）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p>
            <w:pPr>
              <w:pStyle w:val="59"/>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17</w:t>
            </w:r>
          </w:p>
        </w:tc>
        <w:tc>
          <w:tcPr>
            <w:tcW w:w="1000" w:type="dxa"/>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A060807便器冲洗阀</w:t>
            </w:r>
          </w:p>
        </w:tc>
        <w:tc>
          <w:tcPr>
            <w:tcW w:w="187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3399" w:type="dxa"/>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《便器冲洗阀用水效率限定值及用水效率等级》（GB28379）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p>
            <w:pPr>
              <w:pStyle w:val="59"/>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18</w:t>
            </w:r>
          </w:p>
        </w:tc>
        <w:tc>
          <w:tcPr>
            <w:tcW w:w="1000" w:type="dxa"/>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A060810淋浴器</w:t>
            </w:r>
          </w:p>
        </w:tc>
        <w:tc>
          <w:tcPr>
            <w:tcW w:w="187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3399" w:type="dxa"/>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《淋浴器用水效率限定值及用水效率等级》（GB28378）</w:t>
            </w:r>
          </w:p>
        </w:tc>
      </w:tr>
    </w:tbl>
    <w:p>
      <w:pPr>
        <w:pStyle w:val="11"/>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3"/>
          <w:sz w:val="21"/>
          <w:szCs w:val="21"/>
          <w:highlight w:val="none"/>
          <w14:textFill>
            <w14:solidFill>
              <w14:schemeClr w14:val="tx1"/>
            </w14:solidFill>
          </w14:textFill>
        </w:rPr>
        <w:t>注：1.节能产品认证应依据相关国家标准的最新版本，依据国家标准中二级能效（水效）</w:t>
      </w:r>
      <w:r>
        <w:rPr>
          <w:rFonts w:hint="eastAsia" w:ascii="宋体" w:hAnsi="宋体" w:eastAsia="宋体" w:cs="宋体"/>
          <w:color w:val="000000" w:themeColor="text1"/>
          <w:sz w:val="21"/>
          <w:szCs w:val="21"/>
          <w:highlight w:val="none"/>
          <w14:textFill>
            <w14:solidFill>
              <w14:schemeClr w14:val="tx1"/>
            </w14:solidFill>
          </w14:textFill>
        </w:rPr>
        <w:t>指标。</w:t>
      </w:r>
    </w:p>
    <w:p>
      <w:pPr>
        <w:pStyle w:val="11"/>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2.上述产品中认证标准发生变更的，依据原认证标准获得的、仍在有效期内的认证证书可使用至2019年6月1日。</w:t>
      </w:r>
    </w:p>
    <w:p>
      <w:pPr>
        <w:widowControl/>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3.以“★”标注的为政府强制采购产品。</w:t>
      </w:r>
    </w:p>
    <w:p>
      <w:pPr>
        <w:pStyle w:val="14"/>
        <w:jc w:val="left"/>
        <w:rPr>
          <w:rFonts w:hint="eastAsia" w:hAnsi="宋体" w:cs="宋体"/>
          <w:color w:val="000000" w:themeColor="text1"/>
          <w:sz w:val="32"/>
          <w:szCs w:val="32"/>
          <w:highlight w:val="none"/>
          <w14:textFill>
            <w14:solidFill>
              <w14:schemeClr w14:val="tx1"/>
            </w14:solidFill>
          </w14:textFill>
        </w:rPr>
        <w:sectPr>
          <w:pgSz w:w="11906" w:h="16838"/>
          <w:pgMar w:top="1134" w:right="1134" w:bottom="1134" w:left="1134" w:header="720" w:footer="720" w:gutter="0"/>
          <w:cols w:space="720" w:num="1"/>
          <w:docGrid w:type="lines" w:linePitch="331" w:charSpace="0"/>
        </w:sectPr>
      </w:pPr>
    </w:p>
    <w:p>
      <w:pPr>
        <w:pStyle w:val="14"/>
        <w:jc w:val="left"/>
        <w:rPr>
          <w:rFonts w:hint="eastAsia" w:hAnsi="宋体" w:cs="宋体"/>
          <w:b/>
          <w:bCs/>
          <w:color w:val="000000" w:themeColor="text1"/>
          <w:sz w:val="32"/>
          <w:szCs w:val="32"/>
          <w:highlight w:val="none"/>
          <w14:textFill>
            <w14:solidFill>
              <w14:schemeClr w14:val="tx1"/>
            </w14:solidFill>
          </w14:textFill>
        </w:rPr>
      </w:pPr>
      <w:r>
        <w:rPr>
          <w:rFonts w:hint="eastAsia" w:hAnsi="宋体" w:cs="宋体"/>
          <w:b/>
          <w:bCs/>
          <w:color w:val="000000" w:themeColor="text1"/>
          <w:sz w:val="32"/>
          <w:szCs w:val="32"/>
          <w:highlight w:val="none"/>
          <w14:textFill>
            <w14:solidFill>
              <w14:schemeClr w14:val="tx1"/>
            </w14:solidFill>
          </w14:textFill>
        </w:rPr>
        <w:t>附件</w:t>
      </w:r>
      <w:r>
        <w:rPr>
          <w:rFonts w:hint="eastAsia" w:hAnsi="宋体" w:cs="宋体"/>
          <w:b/>
          <w:bCs/>
          <w:color w:val="000000" w:themeColor="text1"/>
          <w:sz w:val="32"/>
          <w:szCs w:val="32"/>
          <w:highlight w:val="none"/>
          <w:lang w:val="en-US" w:eastAsia="zh-CN"/>
          <w14:textFill>
            <w14:solidFill>
              <w14:schemeClr w14:val="tx1"/>
            </w14:solidFill>
          </w14:textFill>
        </w:rPr>
        <w:t>4</w:t>
      </w:r>
      <w:r>
        <w:rPr>
          <w:rFonts w:hint="eastAsia" w:hAnsi="宋体" w:cs="宋体"/>
          <w:b/>
          <w:bCs/>
          <w:color w:val="000000" w:themeColor="text1"/>
          <w:sz w:val="32"/>
          <w:szCs w:val="32"/>
          <w:highlight w:val="none"/>
          <w14:textFill>
            <w14:solidFill>
              <w14:schemeClr w14:val="tx1"/>
            </w14:solidFill>
          </w14:textFill>
        </w:rPr>
        <w:t>：</w:t>
      </w:r>
    </w:p>
    <w:p>
      <w:pPr>
        <w:pStyle w:val="11"/>
        <w:spacing w:line="360" w:lineRule="auto"/>
        <w:jc w:val="center"/>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中小企业划型标准规定</w:t>
      </w:r>
    </w:p>
    <w:p>
      <w:pPr>
        <w:pStyle w:val="11"/>
        <w:spacing w:line="360" w:lineRule="auto"/>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工信部联企业[2011]300号</w:t>
      </w:r>
    </w:p>
    <w:p>
      <w:pPr>
        <w:pStyle w:val="11"/>
        <w:spacing w:line="360" w:lineRule="auto"/>
        <w:rPr>
          <w:rFonts w:hint="eastAsia" w:ascii="宋体" w:hAnsi="宋体" w:cs="宋体"/>
          <w:color w:val="000000" w:themeColor="text1"/>
          <w:szCs w:val="21"/>
          <w:highlight w:val="none"/>
          <w14:textFill>
            <w14:solidFill>
              <w14:schemeClr w14:val="tx1"/>
            </w14:solidFill>
          </w14:textFill>
        </w:rPr>
      </w:pPr>
    </w:p>
    <w:p>
      <w:pPr>
        <w:pStyle w:val="11"/>
        <w:spacing w:line="4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一、根据《中华人民共和国中小企业促进法》和《国务院关于进一步促进中小企业发展的若干意见》(国发[2009]36号)，制定本规定。</w:t>
      </w:r>
    </w:p>
    <w:p>
      <w:pPr>
        <w:pStyle w:val="11"/>
        <w:spacing w:line="4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二、中小企业划分为中型、小型、微型三种类型，具体标准根据企业从业人员、营业收入、资产总额等指标，结合行业特点制定。</w:t>
      </w:r>
    </w:p>
    <w:p>
      <w:pPr>
        <w:pStyle w:val="11"/>
        <w:spacing w:line="4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11"/>
        <w:spacing w:line="4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四、各行业划型标准为：</w:t>
      </w:r>
    </w:p>
    <w:p>
      <w:pPr>
        <w:pStyle w:val="11"/>
        <w:spacing w:line="4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（一）农、林、牧、渔业。营业收入20000万元以下的为中小微型企业。其中，营业收入500万元及以上的为中型企业，营业收入50万元及以上的为小型企业，营业收入50万元以下的为微型企业。</w:t>
      </w:r>
    </w:p>
    <w:p>
      <w:pPr>
        <w:pStyle w:val="11"/>
        <w:spacing w:line="4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11"/>
        <w:spacing w:line="4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11"/>
        <w:spacing w:line="4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11"/>
        <w:spacing w:line="4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11"/>
        <w:spacing w:line="4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11"/>
        <w:spacing w:line="4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11"/>
        <w:spacing w:line="4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11"/>
        <w:spacing w:line="4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11"/>
        <w:spacing w:line="4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11"/>
        <w:spacing w:line="4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11"/>
        <w:spacing w:line="4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11"/>
        <w:spacing w:line="4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11"/>
        <w:spacing w:line="4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11"/>
        <w:spacing w:line="4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11"/>
        <w:spacing w:line="4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（十六）其他未列明行业。从业人员300人以下的为中小微型企业。其中，从业人员100人及以上的为中型企业；从业人员10人及以上的为小型企业；从业人员10人以下的为微型企业。</w:t>
      </w:r>
    </w:p>
    <w:p>
      <w:pPr>
        <w:pStyle w:val="11"/>
        <w:spacing w:line="4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五、企业类型的划分以统计部门的统计数据为依据。</w:t>
      </w:r>
    </w:p>
    <w:p>
      <w:pPr>
        <w:pStyle w:val="11"/>
        <w:spacing w:line="4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六、本规定适用于在中华人民共和国境内依法设立的各类所有制和各种组织形式的企业。个体工商户和本规定以外的行业，参照本规定进行划型。</w:t>
      </w:r>
    </w:p>
    <w:p>
      <w:pPr>
        <w:pStyle w:val="11"/>
        <w:spacing w:line="4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七、本规定的中型企业标准上限即为大型企业标准的下限，国家统计部门据此制定大中小微型企业的统计分类。国务院有关部门据此进行相关数据分析，不得制定与本规定不一致的企业划型标准。</w:t>
      </w:r>
    </w:p>
    <w:p>
      <w:pPr>
        <w:pStyle w:val="11"/>
        <w:spacing w:line="4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八、本规定由工业和信息化部、国家统计局会同有关部门根据《国民经济行业分类》修订情况和企业发展变化情况适时修订。</w:t>
      </w:r>
    </w:p>
    <w:p>
      <w:pPr>
        <w:pStyle w:val="11"/>
        <w:spacing w:line="4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九、本规定由工业和信息化部、国家统计局会同有关部门负责解释。</w:t>
      </w:r>
    </w:p>
    <w:p>
      <w:pPr>
        <w:pStyle w:val="11"/>
        <w:spacing w:line="420" w:lineRule="exact"/>
        <w:ind w:firstLine="42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十、本规定自发布之日起执行，原国家经贸委、原国家计委、财政部和国家统计局2003年颁布的《中小企业标准暂行规定》同时废止。</w:t>
      </w:r>
    </w:p>
    <w:p>
      <w:pPr>
        <w:tabs>
          <w:tab w:val="left" w:pos="2500"/>
        </w:tabs>
        <w:bidi w:val="0"/>
        <w:jc w:val="left"/>
        <w:rPr>
          <w:rFonts w:hint="eastAsia"/>
          <w:color w:val="000000" w:themeColor="text1"/>
          <w:highlight w:val="none"/>
          <w:lang w:val="en-US" w:eastAsia="zh-CN"/>
          <w14:textFill>
            <w14:solidFill>
              <w14:schemeClr w14:val="tx1"/>
            </w14:solidFill>
          </w14:textFill>
        </w:rPr>
        <w:sectPr>
          <w:pgSz w:w="11906" w:h="16838"/>
          <w:pgMar w:top="1304" w:right="1418" w:bottom="1304" w:left="1418" w:header="851" w:footer="992" w:gutter="0"/>
          <w:cols w:space="720" w:num="1"/>
          <w:docGrid w:linePitch="312" w:charSpace="0"/>
        </w:sectPr>
      </w:pPr>
    </w:p>
    <w:p>
      <w:pPr>
        <w:widowControl/>
        <w:jc w:val="left"/>
        <w:rPr>
          <w:rFonts w:ascii="宋体" w:hAnsi="宋体" w:cs="宋体"/>
          <w:color w:val="000000" w:themeColor="text1"/>
          <w:sz w:val="20"/>
          <w:szCs w:val="20"/>
          <w:highlight w:val="none"/>
          <w14:textFill>
            <w14:solidFill>
              <w14:schemeClr w14:val="tx1"/>
            </w14:solidFill>
          </w14:textFill>
        </w:rPr>
      </w:pPr>
    </w:p>
    <w:p>
      <w:pPr>
        <w:pStyle w:val="2"/>
        <w:spacing w:before="0" w:after="0" w:line="360" w:lineRule="auto"/>
        <w:jc w:val="center"/>
        <w:rPr>
          <w:rFonts w:ascii="宋体" w:hAnsi="宋体" w:cs="宋体"/>
          <w:color w:val="000000" w:themeColor="text1"/>
          <w:highlight w:val="none"/>
          <w14:textFill>
            <w14:solidFill>
              <w14:schemeClr w14:val="tx1"/>
            </w14:solidFill>
          </w14:textFill>
        </w:rPr>
      </w:pPr>
      <w:bookmarkStart w:id="70" w:name="_Toc24264"/>
      <w:bookmarkStart w:id="71" w:name="_Toc129703551"/>
      <w:r>
        <w:rPr>
          <w:rFonts w:hint="eastAsia" w:ascii="宋体" w:hAnsi="宋体" w:cs="宋体"/>
          <w:color w:val="000000" w:themeColor="text1"/>
          <w:highlight w:val="none"/>
          <w14:textFill>
            <w14:solidFill>
              <w14:schemeClr w14:val="tx1"/>
            </w14:solidFill>
          </w14:textFill>
        </w:rPr>
        <w:t xml:space="preserve">第四章  </w:t>
      </w:r>
      <w:bookmarkStart w:id="72" w:name="_Hlk68601507"/>
      <w:r>
        <w:rPr>
          <w:rFonts w:hint="eastAsia" w:ascii="宋体" w:hAnsi="宋体" w:cs="宋体"/>
          <w:color w:val="000000" w:themeColor="text1"/>
          <w:highlight w:val="none"/>
          <w14:textFill>
            <w14:solidFill>
              <w14:schemeClr w14:val="tx1"/>
            </w14:solidFill>
          </w14:textFill>
        </w:rPr>
        <w:t>评审程序和评定成交的标准</w:t>
      </w:r>
      <w:bookmarkEnd w:id="70"/>
      <w:bookmarkEnd w:id="71"/>
      <w:bookmarkEnd w:id="72"/>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000000" w:themeColor="text1"/>
          <w:sz w:val="32"/>
          <w:szCs w:val="32"/>
          <w:highlight w:val="none"/>
          <w:lang w:eastAsia="zh-CN"/>
          <w14:textFill>
            <w14:solidFill>
              <w14:schemeClr w14:val="tx1"/>
            </w14:solidFill>
          </w14:textFill>
        </w:rPr>
      </w:pPr>
      <w:r>
        <w:rPr>
          <w:rFonts w:hint="eastAsia" w:ascii="宋体" w:hAnsi="宋体" w:cs="宋体"/>
          <w:b/>
          <w:color w:val="000000" w:themeColor="text1"/>
          <w:sz w:val="32"/>
          <w:szCs w:val="32"/>
          <w:highlight w:val="none"/>
          <w:lang w:eastAsia="zh-CN"/>
          <w14:textFill>
            <w14:solidFill>
              <w14:schemeClr w14:val="tx1"/>
            </w14:solidFill>
          </w14:textFill>
        </w:rPr>
        <w:t>（适用</w:t>
      </w:r>
      <w:r>
        <w:rPr>
          <w:rFonts w:hint="eastAsia" w:ascii="宋体" w:hAnsi="宋体" w:cs="宋体"/>
          <w:b/>
          <w:color w:val="000000" w:themeColor="text1"/>
          <w:sz w:val="32"/>
          <w:szCs w:val="32"/>
          <w:highlight w:val="none"/>
          <w:lang w:val="en-US" w:eastAsia="zh-CN"/>
          <w14:textFill>
            <w14:solidFill>
              <w14:schemeClr w14:val="tx1"/>
            </w14:solidFill>
          </w14:textFill>
        </w:rPr>
        <w:t>1、2分包</w:t>
      </w:r>
      <w:r>
        <w:rPr>
          <w:rFonts w:hint="eastAsia" w:ascii="宋体" w:hAnsi="宋体" w:cs="宋体"/>
          <w:b/>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一、评审程序</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1.确认谈判文件</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由谈判小组确认谈判文件。</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2.资格审查</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2.1响应文件开启后，谈判小组依法对供应商的资格证明文件进行审查。</w:t>
      </w:r>
    </w:p>
    <w:p>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w:t>
      </w:r>
      <w:r>
        <w:rPr>
          <w:rFonts w:hint="eastAsia" w:ascii="宋体" w:hAnsi="宋体" w:cs="宋体"/>
          <w:color w:val="000000" w:themeColor="text1"/>
          <w:highlight w:val="none"/>
          <w14:textFill>
            <w14:solidFill>
              <w14:schemeClr w14:val="tx1"/>
            </w14:solidFill>
          </w14:textFill>
        </w:rPr>
        <w:t>谈判小组</w:t>
      </w:r>
      <w:r>
        <w:rPr>
          <w:rFonts w:hint="eastAsia" w:ascii="宋体" w:hAnsi="宋体" w:cs="宋体"/>
          <w:color w:val="000000" w:themeColor="text1"/>
          <w:szCs w:val="21"/>
          <w:highlight w:val="none"/>
          <w14:textFill>
            <w14:solidFill>
              <w14:schemeClr w14:val="tx1"/>
            </w14:solidFill>
          </w14:textFill>
        </w:rPr>
        <w:t>在资格审查结束前，对供应商进行信用查询。</w:t>
      </w:r>
    </w:p>
    <w:p>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（1）查询渠道：</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cs="宋体"/>
          <w:color w:val="000000" w:themeColor="text1"/>
          <w:szCs w:val="21"/>
          <w:highlight w:val="none"/>
          <w14:textFill>
            <w14:solidFill>
              <w14:schemeClr w14:val="tx1"/>
            </w14:solidFill>
          </w14:textFill>
        </w:rPr>
        <w:t>“信用中国”网站(www.creditchina.gov.cn)、中国政府采购网(www.ccgp.gov.cn)链接入口。</w:t>
      </w:r>
    </w:p>
    <w:p>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（2）信用查询截止时点：资格审查结束前。</w:t>
      </w:r>
    </w:p>
    <w:p>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（3）查询记录和证据留存方式：在查询网站中直接查询，截图另存为电子文档作为评审资料保存。</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案件当事人名单、政府采购严重违法失信行为记录名单及其他不符合《中华人民共和国政府采购法》第二十二条规定条件的供应商）的，视同联合体存在不良信用记录。</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2.2资格审查标准为本谈判文件中载明对供应商资格要求的条件。本项目资格审查采用合格制，凡符合谈判文件规定的供应商资格要求的供应商均通过资格审查。</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2.3 供应商有下列情形之一的，资格审查不通过，其响应文件按无效处理：</w:t>
      </w:r>
    </w:p>
    <w:p>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（1）不具备谈判文件中规定的资格要求的；</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（2）未按谈判文件规定的方式获取本谈判文件的供应商；</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（3）响应文件中的资格证明文件缺少任一项“供应商须知前附表”资格证明文件规定的“必须提供”的文件资料的；</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（4）响应文件中的资格证明文件出现任一项不符合“供应商须知前附表”资格证明文件规定的“必须提供”的文件资料要求或者无效的；</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（5）同一合同项下的不同供应商，单位负责人为同一人或者存在直接控股、管理关系的；为本项目提供过整体设计、规范编制或者项目管理、监理、检测等服务的供应商，再参加该采购项目的其他采购活动的。</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2.4通过资格审查的合格供应商不足3家（本章3.7条规定除外）的，不得进入符合性审查环节，应当重新开展采购活动。</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3.符合性审查</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3.1谈判小组应当对符合资格的供应商的响应文件进行竞标报价、商务、技术等实质性要求符合性审查，以确定其是否满足谈判文件的实质性要求。</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firstLineChars="200"/>
        <w:rPr>
          <w:rFonts w:ascii="宋体" w:hAnsi="宋体" w:cs="宋体"/>
          <w:color w:val="000000" w:themeColor="text1"/>
          <w:spacing w:val="-6"/>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3.3谈判小组要求供应商澄清、说明或者更正响应文件应当以电子澄清函形式作出。供应商的澄清、说明或者更正应当已电子回函形式按照谈判小组的要求作出明确的澄清、说明或者更正，未按谈判小组的要求作出明确澄清、说明或者更正的供应商的响应文件将按照有利于采购人的原则由谈判小组进行判定。供应商的澄清、说明或者更正必须加盖电子</w:t>
      </w:r>
      <w:r>
        <w:rPr>
          <w:rFonts w:hint="eastAsia" w:ascii="宋体" w:hAnsi="宋体" w:cs="宋体"/>
          <w:color w:val="000000" w:themeColor="text1"/>
          <w:highlight w:val="none"/>
          <w14:textFill>
            <w14:solidFill>
              <w14:schemeClr w14:val="tx1"/>
            </w14:solidFill>
          </w14:textFill>
        </w:rPr>
        <w:t>签章</w:t>
      </w:r>
      <w:r>
        <w:rPr>
          <w:rFonts w:hint="eastAsia" w:ascii="宋体" w:hAnsi="宋体" w:cs="宋体"/>
          <w:color w:val="000000" w:themeColor="text1"/>
          <w:spacing w:val="-6"/>
          <w:szCs w:val="21"/>
          <w:highlight w:val="none"/>
          <w14:textFill>
            <w14:solidFill>
              <w14:schemeClr w14:val="tx1"/>
            </w14:solidFill>
          </w14:textFill>
        </w:rPr>
        <w:t>。</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异常情况处理：如遇无法正常使用线上发送澄清函的情况，将启动书面形式办理。启动书面形式办理的情况下，谈判小组以书面形式要求供应商在规定时间内作出必要的澄清、说明或者补正。供应商的澄清、说明或者补正必须采用书面形式，并加盖公章，或者由法定代表人或者其授权的代表签字。</w:t>
      </w:r>
    </w:p>
    <w:p>
      <w:pPr>
        <w:spacing w:line="360" w:lineRule="auto"/>
        <w:ind w:firstLine="396"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pacing w:val="-6"/>
          <w:szCs w:val="21"/>
          <w:highlight w:val="none"/>
          <w14:textFill>
            <w14:solidFill>
              <w14:schemeClr w14:val="tx1"/>
            </w14:solidFill>
          </w14:textFill>
        </w:rPr>
        <w:t>3.4</w:t>
      </w:r>
      <w:r>
        <w:rPr>
          <w:rFonts w:hint="eastAsia" w:ascii="宋体" w:hAnsi="宋体" w:cs="宋体"/>
          <w:color w:val="000000" w:themeColor="text1"/>
          <w:szCs w:val="21"/>
          <w:highlight w:val="none"/>
          <w14:textFill>
            <w14:solidFill>
              <w14:schemeClr w14:val="tx1"/>
            </w14:solidFill>
          </w14:textFill>
        </w:rPr>
        <w:t xml:space="preserve">首次响应文件报价出现前后不一致的，按照下列规定修正： </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（1）响应文件中报价表内容与响应文件中相应内容不一致的，以报价表为准；</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（2）大写金额和小写金额不一致的，以大写金额为准；</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（3）单价金额小数点或者百分比有明显错位的，以报价表的总价为准，并修改单价；</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（4）总价金额与按单价汇总金额不一致的，以单价金额计算结果为准。</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同时出现两种以上不一致的，按照以上（1）-（4）规定的顺序逐条进行修正。修正后的报价经供应商确认后产生约束力，供应商不确认的，其响应文件按无效响应处理。</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3.5商务技术报价评审</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在评审时，如发现下列情形之一的，将被视为响应文件无效处理：</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（1）商务技术评审</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1）响应文件未按谈判文件要求签署、盖章的；</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2）委托代理人未能出具有效身份证或者出具的身份证与授权委托书中的信息不符的； </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3）提交的竞标保证金无效的或者未按照谈判文件的规定提交竞标保证金；</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5）商务要求允许负偏离的条款数超过“供应商须知前附表”规定项数的；</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6）未对竞标有效期作出响应或者响应文件承诺的竞标有效期不满足谈判文件要求；</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7）响应文件的实质性内容未使用中文表述、使用计量单位不符合谈判文件要求的；</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8）响应文件中的文件资料因填写不齐全或者内容虚假或者出现其他情形而导致被谈判小组认定无效的；</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9）响应文件含有采购人不能接受的附加条件的；</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10）属于“供应商须知正文”第7.5条的情形的；</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11）技术评审允许负偏离的条款数超过“供应商须知前附表”规定项数的；</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12）虚假竞标，或者出现其他情形而导致被谈判小组认定无效的；</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w:t>
      </w:r>
      <w:bookmarkStart w:id="73" w:name="_Hlk71704147"/>
      <w:r>
        <w:rPr>
          <w:rFonts w:hint="eastAsia" w:ascii="宋体" w:hAnsi="宋体" w:cs="宋体"/>
          <w:color w:val="000000" w:themeColor="text1"/>
          <w:szCs w:val="21"/>
          <w:highlight w:val="none"/>
          <w14:textFill>
            <w14:solidFill>
              <w14:schemeClr w14:val="tx1"/>
            </w14:solidFill>
          </w14:textFill>
        </w:rPr>
        <w:t>谈判文件未载明允许提供备选（替代）竞标方案或明确不允许提供备选（替代）竞标方案时，供应商提供了备选（替代）竞标方案的；</w:t>
      </w:r>
      <w:bookmarkEnd w:id="73"/>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14）响应文件标注的项目名称或者项目编号与谈判文件标注的项目名称或者项目编号不一致的；</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15）谈判文件明确不允许分包，响应文件拟分包的；</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16）未响应谈判文件实质性要求；</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17）法律、法规和谈判文件规定的其他无效情形。</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（2）报价评审</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1）响应文件未提供“供应商须知前附表”报价文件中规定的“竞标报价表”的；</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2）未采用人民币报价或者未按照谈判文件标明的币种报价的；</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供应商未就所竞标分标进行报价或者存在漏项报价；供应商未就所竞标分标的单项内容作唯一报价；供应商未就所竞标分标的全部内容作完整唯一总价报价；供应商响应文件中存在有选择、有条件报价的（谈判文件允许有备选方案或者其他约定的除外）；</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竞标报价（包含首次报价、最后报价）超过所竞标分标规定的采购预算金额或者最高限价的（如本项目公布了最高限价）；竞标报价（包含首次报价、最后报价）超过谈判文件分项采购预算金额或者最高限价的（如本项目公布了最高限价）；</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谈判文件分项采购预算金额或者最高限价的（如本项目公布了最高限价）。</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6）响应文件响应的标的数量及单位与竞争性谈判采购文件要求实质性不一致的。</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3.6谈判小组对响应文件进行评审，未实质性响应谈判文件的响应文件按无效处理。谈判小组应当将资格和符合性不通过的情况告知有关供应商。谈判小组从符合谈判文件规定的相应资格条件的供应商名单中确定不少于3家的供应商参加谈判。</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3.7公开招标的货物、服务采购项目，招标过程中提交响应文件或者经评审实质性响应谈判文件要求的供应商只有两家时，采购人、采购代理机构按照《政府采购非招标采购方式管理办法》（财政部74号令）第四条经本级财政部门批准后可以与该两家供应商进行竞争性谈判采购。</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3.8除本章3.7条规定的情形外，通过符合性审查的合格供应商不足3家的，不得进入谈判环节，应当重新开展采购活动。</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4.谈判程序</w:t>
      </w:r>
    </w:p>
    <w:p>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4.1谈判小组</w:t>
      </w:r>
      <w:r>
        <w:rPr>
          <w:rFonts w:hint="eastAsia" w:ascii="宋体" w:hAnsi="宋体" w:cs="宋体"/>
          <w:color w:val="000000" w:themeColor="text1"/>
          <w:szCs w:val="21"/>
          <w:highlight w:val="none"/>
          <w14:textFill>
            <w14:solidFill>
              <w14:schemeClr w14:val="tx1"/>
            </w14:solidFill>
          </w14:textFill>
        </w:rPr>
        <w:t>集中与单一供应商分别进行谈判，并给予所有参加谈判的供应商平等的谈判机会。符合谈判资格的供应商必须在接到谈判通知后规定时间内参加谈判，未在规定时间内参加谈判的，视同放弃参加谈判权利，其响应文件按无效处理。</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4.2在谈判过程中，谈判小组可以根据谈判文件和谈判情况实质性变动采购需求中的技术、服务要求以及合同草案条款，但不得变动谈判文件中的其他内容，实质性变动的内容须经采购人代表确认。可能实质性变动的内容为采购需求中的技术、服务要求以及合同草案条款。</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4.3对谈判文件作出的实质性变动是谈判文件的有效组成部分，由谈判小组及时以电子澄清函形式同时通知所有参加谈判的供应商。</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4.4供应商必须按照谈判文件的变动情况和谈判小组的要求以回函的形式重新提交响应文件，并加盖电子签章。参加谈判的供应商未在规定时间内重新提交响应文件的，视同退出谈判，其响应文件按无效处理。</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4.5谈判中，谈判的任何一方不得透露与谈判有关的其他供应商的技术资料、价格和其他信息。</w:t>
      </w:r>
    </w:p>
    <w:p>
      <w:pPr>
        <w:widowControl/>
        <w:tabs>
          <w:tab w:val="left" w:pos="540"/>
        </w:tabs>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4.6谈判小组应对谈判过程和重要谈判内容进行记录。</w:t>
      </w:r>
    </w:p>
    <w:p>
      <w:pPr>
        <w:tabs>
          <w:tab w:val="left" w:pos="2835"/>
        </w:tabs>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4.7除本章第3.7条外，对谈判过程提交的响应文件进行有效性、完整性和响应程度审查，通过审查的合格供应商不足3家的，采购人或者采购代理机构应当重新开展采购活动。</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5. 最后报价</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5.1谈判文件能够详细列明采购标的的技术、服务要求的，谈判结束后，谈判小组应当要求所有继续参加谈判的供应商在规定时间内在</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cs="宋体"/>
          <w:color w:val="000000" w:themeColor="text1"/>
          <w:szCs w:val="21"/>
          <w:highlight w:val="none"/>
          <w14:textFill>
            <w14:solidFill>
              <w14:schemeClr w14:val="tx1"/>
            </w14:solidFill>
          </w14:textFill>
        </w:rPr>
        <w:t>开标大厅提交最后报价，除本章第3.7条外，提交最后报价的供应商不得少于3家，否则应当重新采购。</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5.2谈判文件不能详细列明采购标的的技术、服务要求，需经谈判由供应商提供最后设计方案或者解决方案的，谈判结束后，谈判小组应当按照少数服从多数的原则投票推荐3家以上供应商的设计方案或者解决方案，并要求其在规定时间内在</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cs="宋体"/>
          <w:color w:val="000000" w:themeColor="text1"/>
          <w:szCs w:val="21"/>
          <w:highlight w:val="none"/>
          <w14:textFill>
            <w14:solidFill>
              <w14:schemeClr w14:val="tx1"/>
            </w14:solidFill>
          </w14:textFill>
        </w:rPr>
        <w:t>开标大厅提交最后报价。</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5.3最后报价是供应商响应文件的有效组成部分。</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5.4已经提交响应文件的供应商，在提交最后报价之前，可以根据谈判情况退出谈判，退出谈判的供应商的响应文件按无效响应处理。采购人、采购代理机构将退还退出谈判的供应商的保证金。</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5.5供应商未在规定时间内提交最后报价的，视为退出谈判，其响应文件按无效处理。</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5.6最后报价统一开启后，谈判小组对最后报价进行有效性、完整性和响应程度的审查。</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5.7最后报价出现前后不一致的，按照本章第3.4条的规定修正。 </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5.8修正后的报价出现下列情形的，按无效响应处理：</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（1）供应商不确认的（全流程电子化评标采取在线确认）；</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（2）经供应商确认修正后的竞标报价（包含首次报价、最后报价）超过所竞标分标规定的采购预算金额或者最高限价的（如本项目公布了最高限价）；</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（3）经供应商确认修正后的竞标报价（包含首次报价、最后报价）超过分项采购预算金额或者最高限价的（如本项目公布了最高限价）。</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5.9经供应商确认修正后的最后报价作为评审及签订合同的依据。</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5.10供应商出现最后报价按无效响应处理或者响应文件按无效处理时</w:t>
      </w:r>
      <w:r>
        <w:rPr>
          <w:rFonts w:hint="eastAsia" w:ascii="宋体" w:hAnsi="宋体" w:cs="宋体"/>
          <w:color w:val="000000" w:themeColor="text1"/>
          <w:sz w:val="22"/>
          <w:szCs w:val="22"/>
          <w:highlight w:val="none"/>
          <w14:textFill>
            <w14:solidFill>
              <w14:schemeClr w14:val="tx1"/>
            </w14:solidFill>
          </w14:textFill>
        </w:rPr>
        <w:t>，谈判小组应当告知有关供应商</w:t>
      </w:r>
      <w:r>
        <w:rPr>
          <w:rFonts w:hint="eastAsia" w:ascii="宋体" w:hAnsi="宋体" w:cs="宋体"/>
          <w:color w:val="000000" w:themeColor="text1"/>
          <w:szCs w:val="21"/>
          <w:highlight w:val="none"/>
          <w14:textFill>
            <w14:solidFill>
              <w14:schemeClr w14:val="tx1"/>
            </w14:solidFill>
          </w14:textFill>
        </w:rPr>
        <w:t>。</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5.11最后报价结束后，谈判小组不得再与供应商进行任何形式的商谈。</w:t>
      </w:r>
    </w:p>
    <w:p>
      <w:pPr>
        <w:spacing w:line="360" w:lineRule="auto"/>
        <w:ind w:firstLine="472" w:firstLineChars="196"/>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6. 最后报价评审</w:t>
      </w:r>
    </w:p>
    <w:p>
      <w:pPr>
        <w:spacing w:line="33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6.1评审价为供应商的最后报价进行政策性扣除后的价格，评审价只是作为评审时使用。最终成交供应商的成交金额等于最后报价（如有修正，以确认修正后的最后报价为准）。</w:t>
      </w:r>
    </w:p>
    <w:p>
      <w:pPr>
        <w:spacing w:line="336" w:lineRule="auto"/>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6.2最后报价时，供应商须在</w:t>
      </w:r>
      <w:r>
        <w:rPr>
          <w:rFonts w:hint="eastAsia" w:ascii="宋体" w:hAnsi="宋体" w:cs="宋体"/>
          <w:b/>
          <w:bCs/>
          <w:color w:val="000000" w:themeColor="text1"/>
          <w:szCs w:val="21"/>
          <w:highlight w:val="none"/>
          <w:lang w:eastAsia="zh-CN"/>
          <w14:textFill>
            <w14:solidFill>
              <w14:schemeClr w14:val="tx1"/>
            </w14:solidFill>
          </w14:textFill>
        </w:rPr>
        <w:t>广西政府采购云平台</w:t>
      </w:r>
      <w:r>
        <w:rPr>
          <w:rFonts w:hint="eastAsia" w:ascii="宋体" w:hAnsi="宋体" w:cs="宋体"/>
          <w:b/>
          <w:bCs/>
          <w:color w:val="000000" w:themeColor="text1"/>
          <w:szCs w:val="21"/>
          <w:highlight w:val="none"/>
          <w14:textFill>
            <w14:solidFill>
              <w14:schemeClr w14:val="tx1"/>
            </w14:solidFill>
          </w14:textFill>
        </w:rPr>
        <w:t>开标系统中作为附件上传最后报价表（详见下列格式）。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6.3</w:t>
      </w:r>
      <w:r>
        <w:rPr>
          <w:rFonts w:hint="eastAsia" w:ascii="宋体" w:hAnsi="宋体" w:cs="宋体"/>
          <w:color w:val="000000" w:themeColor="text1"/>
          <w:highlight w:val="none"/>
          <w14:textFill>
            <w14:solidFill>
              <w14:schemeClr w14:val="tx1"/>
            </w14:solidFill>
          </w14:textFill>
        </w:rPr>
        <w:t>政策性扣除计算方法。</w:t>
      </w:r>
    </w:p>
    <w:p>
      <w:pPr>
        <w:keepNext w:val="0"/>
        <w:keepLines w:val="0"/>
        <w:pageBreakBefore w:val="0"/>
        <w:widowControl w:val="0"/>
        <w:kinsoku/>
        <w:wordWrap/>
        <w:overflowPunct/>
        <w:topLinePunct w:val="0"/>
        <w:autoSpaceDE/>
        <w:autoSpaceDN/>
        <w:bidi w:val="0"/>
        <w:adjustRightInd/>
        <w:snapToGrid/>
        <w:spacing w:line="360" w:lineRule="auto"/>
        <w:ind w:firstLine="369" w:firstLineChars="176"/>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根据《政府采购促进中小企业发展管理办法》（财库〔2020〕46号）及</w:t>
      </w:r>
      <w:r>
        <w:rPr>
          <w:rFonts w:hint="eastAsia" w:ascii="宋体" w:hAnsi="宋体" w:cs="宋体"/>
          <w:bCs/>
          <w:color w:val="000000" w:themeColor="text1"/>
          <w:sz w:val="21"/>
          <w:szCs w:val="21"/>
          <w:highlight w:val="none"/>
          <w:lang w:eastAsia="zh-CN"/>
          <w14:textFill>
            <w14:solidFill>
              <w14:schemeClr w14:val="tx1"/>
            </w14:solidFill>
          </w14:textFill>
        </w:rPr>
        <w:t>《广西壮族自治区财政厅关于持续优化政府采购营商环境推动高质量发展的通知》（桂财采〔2024〕55号）</w:t>
      </w:r>
      <w:r>
        <w:rPr>
          <w:rFonts w:hint="eastAsia" w:ascii="宋体" w:hAnsi="宋体" w:cs="宋体"/>
          <w:color w:val="000000" w:themeColor="text1"/>
          <w:szCs w:val="21"/>
          <w:highlight w:val="none"/>
          <w14:textFill>
            <w14:solidFill>
              <w14:schemeClr w14:val="tx1"/>
            </w14:solidFill>
          </w14:textFill>
        </w:rPr>
        <w:t>的规定，供应商在其响应文件中提供《中小企业声明函》，</w:t>
      </w:r>
      <w:r>
        <w:rPr>
          <w:rFonts w:hint="eastAsia" w:ascii="宋体" w:hAnsi="宋体" w:cs="宋体"/>
          <w:bCs/>
          <w:color w:val="000000" w:themeColor="text1"/>
          <w:szCs w:val="21"/>
          <w:highlight w:val="none"/>
          <w14:textFill>
            <w14:solidFill>
              <w14:schemeClr w14:val="tx1"/>
            </w14:solidFill>
          </w14:textFill>
        </w:rPr>
        <w:t>且其竞标全部货物由小微企业制造的</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Cs/>
          <w:color w:val="000000" w:themeColor="text1"/>
          <w:szCs w:val="21"/>
          <w:highlight w:val="none"/>
          <w14:textFill>
            <w14:solidFill>
              <w14:schemeClr w14:val="tx1"/>
            </w14:solidFill>
          </w14:textFill>
        </w:rPr>
        <w:t>对供应商的竞标报价</w:t>
      </w:r>
      <w:r>
        <w:rPr>
          <w:rFonts w:hint="eastAsia" w:ascii="宋体" w:hAnsi="宋体" w:cs="宋体"/>
          <w:color w:val="000000" w:themeColor="text1"/>
          <w:szCs w:val="21"/>
          <w:highlight w:val="none"/>
          <w14:textFill>
            <w14:solidFill>
              <w14:schemeClr w14:val="tx1"/>
            </w14:solidFill>
          </w14:textFill>
        </w:rPr>
        <w:t>给予</w:t>
      </w:r>
      <w:r>
        <w:rPr>
          <w:rFonts w:hint="eastAsia" w:ascii="宋体" w:hAnsi="宋体" w:cs="宋体"/>
          <w:color w:val="000000" w:themeColor="text1"/>
          <w:szCs w:val="21"/>
          <w:highlight w:val="none"/>
          <w:lang w:val="en-US" w:eastAsia="zh-CN"/>
          <w14:textFill>
            <w14:solidFill>
              <w14:schemeClr w14:val="tx1"/>
            </w14:solidFill>
          </w14:textFill>
        </w:rPr>
        <w:t>10</w:t>
      </w:r>
      <w:r>
        <w:rPr>
          <w:rFonts w:hint="eastAsia" w:ascii="宋体" w:hAnsi="宋体" w:cs="宋体"/>
          <w:color w:val="000000" w:themeColor="text1"/>
          <w:szCs w:val="21"/>
          <w:highlight w:val="none"/>
          <w14:textFill>
            <w14:solidFill>
              <w14:schemeClr w14:val="tx1"/>
            </w14:solidFill>
          </w14:textFill>
        </w:rPr>
        <w:t>%的扣除，扣除后的价格为评审价，即评审价=竞标报价×（1-</w:t>
      </w:r>
      <w:r>
        <w:rPr>
          <w:rFonts w:hint="eastAsia" w:ascii="宋体" w:hAnsi="宋体" w:cs="宋体"/>
          <w:color w:val="000000" w:themeColor="text1"/>
          <w:szCs w:val="21"/>
          <w:highlight w:val="none"/>
          <w:lang w:val="en-US" w:eastAsia="zh-CN"/>
          <w14:textFill>
            <w14:solidFill>
              <w14:schemeClr w14:val="tx1"/>
            </w14:solidFill>
          </w14:textFill>
        </w:rPr>
        <w:t>10</w:t>
      </w:r>
      <w:r>
        <w:rPr>
          <w:rFonts w:hint="eastAsia" w:ascii="宋体" w:hAnsi="宋体" w:cs="宋体"/>
          <w:color w:val="000000" w:themeColor="text1"/>
          <w:szCs w:val="21"/>
          <w:highlight w:val="none"/>
          <w14:textFill>
            <w14:solidFill>
              <w14:schemeClr w14:val="tx1"/>
            </w14:solidFill>
          </w14:textFill>
        </w:rPr>
        <w:t>%）。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4</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（范围为4%-6%） 的扣除，用扣除后的价格参加评审，扣除后的价格为评审价，即评审价=竞标报价×（1-</w:t>
      </w: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6.4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r>
        <w:rPr>
          <w:rFonts w:hint="eastAsia" w:ascii="宋体" w:hAnsi="宋体" w:cs="宋体"/>
          <w:bCs/>
          <w:color w:val="000000" w:themeColor="text1"/>
          <w:szCs w:val="21"/>
          <w:highlight w:val="none"/>
          <w14:textFill>
            <w14:solidFill>
              <w14:schemeClr w14:val="tx1"/>
            </w14:solidFill>
          </w14:textFill>
        </w:rPr>
        <w:t>监狱企业属于小型、微型企业的，</w:t>
      </w:r>
      <w:r>
        <w:rPr>
          <w:rFonts w:hint="eastAsia" w:ascii="宋体" w:hAnsi="宋体" w:cs="宋体"/>
          <w:color w:val="000000" w:themeColor="text1"/>
          <w:szCs w:val="21"/>
          <w:highlight w:val="none"/>
          <w14:textFill>
            <w14:solidFill>
              <w14:schemeClr w14:val="tx1"/>
            </w14:solidFill>
          </w14:textFill>
        </w:rPr>
        <w:t>不重复享受政策。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6.5按照《关于促进残疾人就业政府采购政策的通知》（财库〔2017〕141号）的规定，残疾人福利性单位视同小型、微型企业，享受预留份额、评审中价格扣除等</w:t>
      </w:r>
      <w:r>
        <w:rPr>
          <w:rFonts w:hint="eastAsia" w:ascii="宋体" w:hAnsi="宋体" w:cs="宋体"/>
          <w:color w:val="000000" w:themeColor="text1"/>
          <w:highlight w:val="none"/>
          <w14:textFill>
            <w14:solidFill>
              <w14:schemeClr w14:val="tx1"/>
            </w14:solidFill>
          </w14:textFill>
        </w:rPr>
        <w:t>促进中小企业发展的政府采购政策。残疾人福利性单位参加政府采购活动时，应当提供该通知规定的《残疾人福利性单位声明函》，并对声明的真实性负责。残疾人福利性单位属于小型、微型企业的，不重复享受政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6.6除上述情况外，评审价＝最后报价。</w:t>
      </w:r>
    </w:p>
    <w:p>
      <w:pPr>
        <w:spacing w:line="360" w:lineRule="auto"/>
        <w:jc w:val="center"/>
        <w:rPr>
          <w:rFonts w:hint="eastAsia" w:ascii="宋体" w:hAnsi="宋体" w:cs="宋体"/>
          <w:b/>
          <w:color w:val="000000" w:themeColor="text1"/>
          <w:sz w:val="32"/>
          <w:szCs w:val="32"/>
          <w:highlight w:val="none"/>
          <w14:textFill>
            <w14:solidFill>
              <w14:schemeClr w14:val="tx1"/>
            </w14:solidFill>
          </w14:textFill>
        </w:rPr>
      </w:pPr>
    </w:p>
    <w:p>
      <w:pPr>
        <w:spacing w:line="36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二、评定成交的标准</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7. 成交候选人推荐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7.1</w:t>
      </w:r>
      <w:r>
        <w:rPr>
          <w:rFonts w:hint="eastAsia" w:ascii="宋体" w:hAnsi="宋体" w:eastAsia="宋体" w:cs="宋体"/>
          <w:b/>
          <w:bCs/>
          <w:color w:val="000000" w:themeColor="text1"/>
          <w:szCs w:val="21"/>
          <w:highlight w:val="none"/>
          <w:lang w:val="en-US" w:eastAsia="zh-CN"/>
          <w14:textFill>
            <w14:solidFill>
              <w14:schemeClr w14:val="tx1"/>
            </w14:solidFill>
          </w14:textFill>
        </w:rPr>
        <w:t>本项目分为2个分</w:t>
      </w:r>
      <w:r>
        <w:rPr>
          <w:rFonts w:hint="eastAsia" w:ascii="宋体" w:hAnsi="宋体" w:cs="宋体"/>
          <w:b/>
          <w:bCs/>
          <w:color w:val="000000" w:themeColor="text1"/>
          <w:szCs w:val="21"/>
          <w:highlight w:val="none"/>
          <w:lang w:val="en-US" w:eastAsia="zh-CN"/>
          <w14:textFill>
            <w14:solidFill>
              <w14:schemeClr w14:val="tx1"/>
            </w14:solidFill>
          </w14:textFill>
        </w:rPr>
        <w:t>包</w:t>
      </w:r>
      <w:r>
        <w:rPr>
          <w:rFonts w:hint="eastAsia" w:ascii="宋体" w:hAnsi="宋体" w:eastAsia="宋体" w:cs="宋体"/>
          <w:b/>
          <w:bCs/>
          <w:color w:val="000000" w:themeColor="text1"/>
          <w:szCs w:val="21"/>
          <w:highlight w:val="none"/>
          <w:lang w:val="en-US" w:eastAsia="zh-CN"/>
          <w14:textFill>
            <w14:solidFill>
              <w14:schemeClr w14:val="tx1"/>
            </w14:solidFill>
          </w14:textFill>
        </w:rPr>
        <w:t>，供应商可以对一个或多个分</w:t>
      </w:r>
      <w:r>
        <w:rPr>
          <w:rFonts w:hint="eastAsia" w:ascii="宋体" w:hAnsi="宋体" w:cs="宋体"/>
          <w:b/>
          <w:bCs/>
          <w:color w:val="000000" w:themeColor="text1"/>
          <w:szCs w:val="21"/>
          <w:highlight w:val="none"/>
          <w:lang w:val="en-US" w:eastAsia="zh-CN"/>
          <w14:textFill>
            <w14:solidFill>
              <w14:schemeClr w14:val="tx1"/>
            </w14:solidFill>
          </w14:textFill>
        </w:rPr>
        <w:t>包</w:t>
      </w:r>
      <w:r>
        <w:rPr>
          <w:rFonts w:hint="eastAsia" w:ascii="宋体" w:hAnsi="宋体" w:eastAsia="宋体" w:cs="宋体"/>
          <w:b/>
          <w:bCs/>
          <w:color w:val="000000" w:themeColor="text1"/>
          <w:szCs w:val="21"/>
          <w:highlight w:val="none"/>
          <w:lang w:val="en-US" w:eastAsia="zh-CN"/>
          <w14:textFill>
            <w14:solidFill>
              <w14:schemeClr w14:val="tx1"/>
            </w14:solidFill>
          </w14:textFill>
        </w:rPr>
        <w:t>进行竞标，但一家供应商只能中</w:t>
      </w:r>
      <w:r>
        <w:rPr>
          <w:rFonts w:hint="eastAsia" w:ascii="宋体" w:hAnsi="宋体" w:cs="宋体"/>
          <w:b/>
          <w:bCs/>
          <w:color w:val="000000" w:themeColor="text1"/>
          <w:szCs w:val="21"/>
          <w:highlight w:val="none"/>
          <w:lang w:val="en-US" w:eastAsia="zh-CN"/>
          <w14:textFill>
            <w14:solidFill>
              <w14:schemeClr w14:val="tx1"/>
            </w14:solidFill>
          </w14:textFill>
        </w:rPr>
        <w:t>1、2</w:t>
      </w:r>
      <w:r>
        <w:rPr>
          <w:rFonts w:hint="eastAsia" w:ascii="宋体" w:hAnsi="宋体" w:eastAsia="宋体" w:cs="宋体"/>
          <w:b/>
          <w:bCs/>
          <w:color w:val="000000" w:themeColor="text1"/>
          <w:szCs w:val="21"/>
          <w:highlight w:val="none"/>
          <w:lang w:val="en-US" w:eastAsia="zh-CN"/>
          <w14:textFill>
            <w14:solidFill>
              <w14:schemeClr w14:val="tx1"/>
            </w14:solidFill>
          </w14:textFill>
        </w:rPr>
        <w:t>其中的1个分</w:t>
      </w:r>
      <w:r>
        <w:rPr>
          <w:rFonts w:hint="eastAsia" w:ascii="宋体" w:hAnsi="宋体" w:cs="宋体"/>
          <w:b/>
          <w:bCs/>
          <w:color w:val="000000" w:themeColor="text1"/>
          <w:szCs w:val="21"/>
          <w:highlight w:val="none"/>
          <w:lang w:val="en-US" w:eastAsia="zh-CN"/>
          <w14:textFill>
            <w14:solidFill>
              <w14:schemeClr w14:val="tx1"/>
            </w14:solidFill>
          </w14:textFill>
        </w:rPr>
        <w:t>包</w:t>
      </w:r>
      <w:r>
        <w:rPr>
          <w:rFonts w:hint="eastAsia" w:ascii="宋体" w:hAnsi="宋体" w:eastAsia="宋体" w:cs="宋体"/>
          <w:b/>
          <w:bCs/>
          <w:color w:val="000000" w:themeColor="text1"/>
          <w:szCs w:val="21"/>
          <w:highlight w:val="none"/>
          <w:lang w:val="en-US" w:eastAsia="zh-CN"/>
          <w14:textFill>
            <w14:solidFill>
              <w14:schemeClr w14:val="tx1"/>
            </w14:solidFill>
          </w14:textFill>
        </w:rPr>
        <w:t>。评审时按</w:t>
      </w:r>
      <w:r>
        <w:rPr>
          <w:rFonts w:hint="eastAsia" w:ascii="宋体" w:hAnsi="宋体" w:cs="宋体"/>
          <w:b/>
          <w:bCs/>
          <w:color w:val="000000" w:themeColor="text1"/>
          <w:szCs w:val="21"/>
          <w:highlight w:val="none"/>
          <w:lang w:val="en-US" w:eastAsia="zh-CN"/>
          <w14:textFill>
            <w14:solidFill>
              <w14:schemeClr w14:val="tx1"/>
            </w14:solidFill>
          </w14:textFill>
        </w:rPr>
        <w:t>1</w:t>
      </w:r>
      <w:r>
        <w:rPr>
          <w:rFonts w:hint="eastAsia" w:ascii="宋体" w:hAnsi="宋体" w:eastAsia="宋体" w:cs="宋体"/>
          <w:b/>
          <w:bCs/>
          <w:color w:val="000000" w:themeColor="text1"/>
          <w:szCs w:val="21"/>
          <w:highlight w:val="none"/>
          <w:lang w:val="en-US" w:eastAsia="zh-CN"/>
          <w14:textFill>
            <w14:solidFill>
              <w14:schemeClr w14:val="tx1"/>
            </w14:solidFill>
          </w14:textFill>
        </w:rPr>
        <w:t>→</w:t>
      </w:r>
      <w:r>
        <w:rPr>
          <w:rFonts w:hint="eastAsia" w:ascii="宋体" w:hAnsi="宋体" w:cs="宋体"/>
          <w:b/>
          <w:bCs/>
          <w:color w:val="000000" w:themeColor="text1"/>
          <w:szCs w:val="21"/>
          <w:highlight w:val="none"/>
          <w:lang w:val="en-US" w:eastAsia="zh-CN"/>
          <w14:textFill>
            <w14:solidFill>
              <w14:schemeClr w14:val="tx1"/>
            </w14:solidFill>
          </w14:textFill>
        </w:rPr>
        <w:t>2</w:t>
      </w:r>
      <w:r>
        <w:rPr>
          <w:rFonts w:hint="eastAsia" w:ascii="宋体" w:hAnsi="宋体" w:eastAsia="宋体" w:cs="宋体"/>
          <w:b/>
          <w:bCs/>
          <w:color w:val="000000" w:themeColor="text1"/>
          <w:szCs w:val="21"/>
          <w:highlight w:val="none"/>
          <w:lang w:val="en-US" w:eastAsia="zh-CN"/>
          <w14:textFill>
            <w14:solidFill>
              <w14:schemeClr w14:val="tx1"/>
            </w14:solidFill>
          </w14:textFill>
        </w:rPr>
        <w:t>分</w:t>
      </w:r>
      <w:r>
        <w:rPr>
          <w:rFonts w:hint="eastAsia" w:ascii="宋体" w:hAnsi="宋体" w:cs="宋体"/>
          <w:b/>
          <w:bCs/>
          <w:color w:val="000000" w:themeColor="text1"/>
          <w:szCs w:val="21"/>
          <w:highlight w:val="none"/>
          <w:lang w:val="en-US" w:eastAsia="zh-CN"/>
          <w14:textFill>
            <w14:solidFill>
              <w14:schemeClr w14:val="tx1"/>
            </w14:solidFill>
          </w14:textFill>
        </w:rPr>
        <w:t>包</w:t>
      </w:r>
      <w:r>
        <w:rPr>
          <w:rFonts w:hint="eastAsia" w:ascii="宋体" w:hAnsi="宋体" w:eastAsia="宋体" w:cs="宋体"/>
          <w:b/>
          <w:bCs/>
          <w:color w:val="000000" w:themeColor="text1"/>
          <w:szCs w:val="21"/>
          <w:highlight w:val="none"/>
          <w:lang w:val="en-US" w:eastAsia="zh-CN"/>
          <w14:textFill>
            <w14:solidFill>
              <w14:schemeClr w14:val="tx1"/>
            </w14:solidFill>
          </w14:textFill>
        </w:rPr>
        <w:t>的先后顺序进行评审，如某供应商成为</w:t>
      </w:r>
      <w:r>
        <w:rPr>
          <w:rFonts w:hint="eastAsia" w:ascii="宋体" w:hAnsi="宋体" w:cs="宋体"/>
          <w:b/>
          <w:bCs/>
          <w:color w:val="000000" w:themeColor="text1"/>
          <w:szCs w:val="21"/>
          <w:highlight w:val="none"/>
          <w:lang w:val="en-US" w:eastAsia="zh-CN"/>
          <w14:textFill>
            <w14:solidFill>
              <w14:schemeClr w14:val="tx1"/>
            </w14:solidFill>
          </w14:textFill>
        </w:rPr>
        <w:t>1</w:t>
      </w:r>
      <w:r>
        <w:rPr>
          <w:rFonts w:hint="eastAsia" w:ascii="宋体" w:hAnsi="宋体" w:eastAsia="宋体" w:cs="宋体"/>
          <w:b/>
          <w:bCs/>
          <w:color w:val="000000" w:themeColor="text1"/>
          <w:szCs w:val="21"/>
          <w:highlight w:val="none"/>
          <w:lang w:val="en-US" w:eastAsia="zh-CN"/>
          <w14:textFill>
            <w14:solidFill>
              <w14:schemeClr w14:val="tx1"/>
            </w14:solidFill>
          </w14:textFill>
        </w:rPr>
        <w:t>分</w:t>
      </w:r>
      <w:r>
        <w:rPr>
          <w:rFonts w:hint="eastAsia" w:ascii="宋体" w:hAnsi="宋体" w:cs="宋体"/>
          <w:b/>
          <w:bCs/>
          <w:color w:val="000000" w:themeColor="text1"/>
          <w:szCs w:val="21"/>
          <w:highlight w:val="none"/>
          <w:lang w:val="en-US" w:eastAsia="zh-CN"/>
          <w14:textFill>
            <w14:solidFill>
              <w14:schemeClr w14:val="tx1"/>
            </w14:solidFill>
          </w14:textFill>
        </w:rPr>
        <w:t>包</w:t>
      </w:r>
      <w:r>
        <w:rPr>
          <w:rFonts w:hint="eastAsia" w:ascii="宋体" w:hAnsi="宋体" w:eastAsia="宋体" w:cs="宋体"/>
          <w:b/>
          <w:bCs/>
          <w:color w:val="000000" w:themeColor="text1"/>
          <w:szCs w:val="21"/>
          <w:highlight w:val="none"/>
          <w:lang w:val="en-US" w:eastAsia="zh-CN"/>
          <w14:textFill>
            <w14:solidFill>
              <w14:schemeClr w14:val="tx1"/>
            </w14:solidFill>
          </w14:textFill>
        </w:rPr>
        <w:t>的第一成交候选人，则该供应商在进入</w:t>
      </w:r>
      <w:r>
        <w:rPr>
          <w:rFonts w:hint="eastAsia" w:ascii="宋体" w:hAnsi="宋体" w:cs="宋体"/>
          <w:b/>
          <w:bCs/>
          <w:color w:val="000000" w:themeColor="text1"/>
          <w:szCs w:val="21"/>
          <w:highlight w:val="none"/>
          <w:lang w:val="en-US" w:eastAsia="zh-CN"/>
          <w14:textFill>
            <w14:solidFill>
              <w14:schemeClr w14:val="tx1"/>
            </w14:solidFill>
          </w14:textFill>
        </w:rPr>
        <w:t>2</w:t>
      </w:r>
      <w:r>
        <w:rPr>
          <w:rFonts w:hint="eastAsia" w:ascii="宋体" w:hAnsi="宋体" w:eastAsia="宋体" w:cs="宋体"/>
          <w:b/>
          <w:bCs/>
          <w:color w:val="000000" w:themeColor="text1"/>
          <w:szCs w:val="21"/>
          <w:highlight w:val="none"/>
          <w:lang w:val="en-US" w:eastAsia="zh-CN"/>
          <w14:textFill>
            <w14:solidFill>
              <w14:schemeClr w14:val="tx1"/>
            </w14:solidFill>
          </w14:textFill>
        </w:rPr>
        <w:t>分</w:t>
      </w:r>
      <w:r>
        <w:rPr>
          <w:rFonts w:hint="eastAsia" w:ascii="宋体" w:hAnsi="宋体" w:cs="宋体"/>
          <w:b/>
          <w:bCs/>
          <w:color w:val="000000" w:themeColor="text1"/>
          <w:szCs w:val="21"/>
          <w:highlight w:val="none"/>
          <w:lang w:val="en-US" w:eastAsia="zh-CN"/>
          <w14:textFill>
            <w14:solidFill>
              <w14:schemeClr w14:val="tx1"/>
            </w14:solidFill>
          </w14:textFill>
        </w:rPr>
        <w:t>包</w:t>
      </w:r>
      <w:r>
        <w:rPr>
          <w:rFonts w:hint="eastAsia" w:ascii="宋体" w:hAnsi="宋体" w:eastAsia="宋体" w:cs="宋体"/>
          <w:b/>
          <w:bCs/>
          <w:color w:val="000000" w:themeColor="text1"/>
          <w:szCs w:val="21"/>
          <w:highlight w:val="none"/>
          <w:lang w:val="en-US" w:eastAsia="zh-CN"/>
          <w14:textFill>
            <w14:solidFill>
              <w14:schemeClr w14:val="tx1"/>
            </w14:solidFill>
          </w14:textFill>
        </w:rPr>
        <w:t>的评审时（允许进入</w:t>
      </w:r>
      <w:r>
        <w:rPr>
          <w:rFonts w:hint="eastAsia" w:ascii="宋体" w:hAnsi="宋体" w:cs="宋体"/>
          <w:b/>
          <w:bCs/>
          <w:color w:val="000000" w:themeColor="text1"/>
          <w:szCs w:val="21"/>
          <w:highlight w:val="none"/>
          <w:lang w:val="en-US" w:eastAsia="zh-CN"/>
          <w14:textFill>
            <w14:solidFill>
              <w14:schemeClr w14:val="tx1"/>
            </w14:solidFill>
          </w14:textFill>
        </w:rPr>
        <w:t>2</w:t>
      </w:r>
      <w:r>
        <w:rPr>
          <w:rFonts w:hint="eastAsia" w:ascii="宋体" w:hAnsi="宋体" w:eastAsia="宋体" w:cs="宋体"/>
          <w:b/>
          <w:bCs/>
          <w:color w:val="000000" w:themeColor="text1"/>
          <w:szCs w:val="21"/>
          <w:highlight w:val="none"/>
          <w:lang w:val="en-US" w:eastAsia="zh-CN"/>
          <w14:textFill>
            <w14:solidFill>
              <w14:schemeClr w14:val="tx1"/>
            </w14:solidFill>
          </w14:textFill>
        </w:rPr>
        <w:t>分</w:t>
      </w:r>
      <w:r>
        <w:rPr>
          <w:rFonts w:hint="eastAsia" w:ascii="宋体" w:hAnsi="宋体" w:cs="宋体"/>
          <w:b/>
          <w:bCs/>
          <w:color w:val="000000" w:themeColor="text1"/>
          <w:szCs w:val="21"/>
          <w:highlight w:val="none"/>
          <w:lang w:val="en-US" w:eastAsia="zh-CN"/>
          <w14:textFill>
            <w14:solidFill>
              <w14:schemeClr w14:val="tx1"/>
            </w14:solidFill>
          </w14:textFill>
        </w:rPr>
        <w:t>包</w:t>
      </w:r>
      <w:r>
        <w:rPr>
          <w:rFonts w:hint="eastAsia" w:ascii="宋体" w:hAnsi="宋体" w:eastAsia="宋体" w:cs="宋体"/>
          <w:b/>
          <w:bCs/>
          <w:color w:val="000000" w:themeColor="text1"/>
          <w:szCs w:val="21"/>
          <w:highlight w:val="none"/>
          <w:lang w:val="en-US" w:eastAsia="zh-CN"/>
          <w14:textFill>
            <w14:solidFill>
              <w14:schemeClr w14:val="tx1"/>
            </w14:solidFill>
          </w14:textFill>
        </w:rPr>
        <w:t>的评审），如果评审排名第一，不推荐成为第一成交候选人，由评审排名第二的供应商作为第一成交候选人。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7.2</w:t>
      </w:r>
      <w:r>
        <w:rPr>
          <w:rFonts w:hint="eastAsia" w:ascii="宋体" w:hAnsi="宋体" w:eastAsia="宋体" w:cs="宋体"/>
          <w:color w:val="000000" w:themeColor="text1"/>
          <w:highlight w:val="none"/>
          <w14:textFill>
            <w14:solidFill>
              <w14:schemeClr w14:val="tx1"/>
            </w14:solidFill>
          </w14:textFill>
        </w:rPr>
        <w:t>谈判小组应当从质量和服务均能满足谈判文件实质性响应要求的供应商中，按照评审价由低到高的顺序提出3名以上成交候选人（评审价相同时，按照最后报价由低到高顺序依次推荐；最后报价相同时，由谈判小组按“供应商须知前附表”第26条规定的顺序推荐），并编写评审报告，评审报告通过电子交易平台向采购人、采购代理机构提交。</w:t>
      </w:r>
    </w:p>
    <w:p>
      <w:pPr>
        <w:pStyle w:val="71"/>
        <w:rPr>
          <w:rFonts w:hint="eastAsia" w:ascii="宋体" w:hAnsi="宋体" w:cs="宋体"/>
          <w:b/>
          <w:bCs w:val="0"/>
          <w:color w:val="000000" w:themeColor="text1"/>
          <w:sz w:val="28"/>
          <w:szCs w:val="28"/>
          <w:highlight w:val="none"/>
          <w14:textFill>
            <w14:solidFill>
              <w14:schemeClr w14:val="tx1"/>
            </w14:solidFill>
          </w14:textFill>
        </w:rPr>
      </w:pPr>
    </w:p>
    <w:p>
      <w:pPr>
        <w:pStyle w:val="71"/>
        <w:rPr>
          <w:rFonts w:ascii="宋体" w:hAnsi="宋体" w:cs="宋体"/>
          <w:b/>
          <w:bCs w:val="0"/>
          <w:color w:val="000000" w:themeColor="text1"/>
          <w:sz w:val="28"/>
          <w:szCs w:val="28"/>
          <w:highlight w:val="none"/>
          <w14:textFill>
            <w14:solidFill>
              <w14:schemeClr w14:val="tx1"/>
            </w14:solidFill>
          </w14:textFill>
        </w:rPr>
      </w:pPr>
      <w:r>
        <w:rPr>
          <w:rFonts w:hint="eastAsia" w:ascii="宋体" w:hAnsi="宋体" w:cs="宋体"/>
          <w:b/>
          <w:bCs w:val="0"/>
          <w:color w:val="000000" w:themeColor="text1"/>
          <w:sz w:val="28"/>
          <w:szCs w:val="28"/>
          <w:highlight w:val="none"/>
          <w14:textFill>
            <w14:solidFill>
              <w14:schemeClr w14:val="tx1"/>
            </w14:solidFill>
          </w14:textFill>
        </w:rPr>
        <w:t>附件：最后报价表格式</w:t>
      </w:r>
    </w:p>
    <w:p>
      <w:pPr>
        <w:pStyle w:val="71"/>
        <w:rPr>
          <w:rFonts w:ascii="宋体" w:hAnsi="宋体" w:cs="宋体"/>
          <w:color w:val="000000" w:themeColor="text1"/>
          <w:highlight w:val="none"/>
          <w14:textFill>
            <w14:solidFill>
              <w14:schemeClr w14:val="tx1"/>
            </w14:solidFill>
          </w14:textFill>
        </w:rPr>
      </w:pPr>
    </w:p>
    <w:p>
      <w:pPr>
        <w:pStyle w:val="71"/>
        <w:jc w:val="center"/>
        <w:rPr>
          <w:rFonts w:ascii="宋体" w:hAnsi="宋体" w:cs="宋体"/>
          <w:b/>
          <w:bCs w:val="0"/>
          <w:color w:val="000000" w:themeColor="text1"/>
          <w:sz w:val="44"/>
          <w:szCs w:val="44"/>
          <w:highlight w:val="none"/>
          <w14:textFill>
            <w14:solidFill>
              <w14:schemeClr w14:val="tx1"/>
            </w14:solidFill>
          </w14:textFill>
        </w:rPr>
      </w:pPr>
      <w:r>
        <w:rPr>
          <w:rFonts w:hint="eastAsia" w:ascii="宋体" w:hAnsi="宋体" w:cs="宋体"/>
          <w:b/>
          <w:bCs w:val="0"/>
          <w:color w:val="000000" w:themeColor="text1"/>
          <w:sz w:val="44"/>
          <w:szCs w:val="44"/>
          <w:highlight w:val="none"/>
          <w14:textFill>
            <w14:solidFill>
              <w14:schemeClr w14:val="tx1"/>
            </w14:solidFill>
          </w14:textFill>
        </w:rPr>
        <w:t>最后报价表</w:t>
      </w:r>
    </w:p>
    <w:p>
      <w:pPr>
        <w:pStyle w:val="71"/>
        <w:spacing w:line="360" w:lineRule="auto"/>
        <w:jc w:val="both"/>
        <w:rPr>
          <w:rFonts w:ascii="宋体" w:hAnsi="宋体" w:cs="宋体"/>
          <w:b/>
          <w:bCs w:val="0"/>
          <w:color w:val="000000" w:themeColor="text1"/>
          <w:sz w:val="21"/>
          <w:szCs w:val="21"/>
          <w:highlight w:val="none"/>
          <w14:textFill>
            <w14:solidFill>
              <w14:schemeClr w14:val="tx1"/>
            </w14:solidFill>
          </w14:textFill>
        </w:rPr>
      </w:pPr>
      <w:r>
        <w:rPr>
          <w:rFonts w:hint="eastAsia" w:ascii="宋体" w:hAnsi="宋体" w:cs="宋体"/>
          <w:b/>
          <w:bCs w:val="0"/>
          <w:color w:val="000000" w:themeColor="text1"/>
          <w:sz w:val="21"/>
          <w:szCs w:val="21"/>
          <w:highlight w:val="none"/>
          <w14:textFill>
            <w14:solidFill>
              <w14:schemeClr w14:val="tx1"/>
            </w14:solidFill>
          </w14:textFill>
        </w:rPr>
        <w:t>项目名称：</w:t>
      </w:r>
    </w:p>
    <w:p>
      <w:pPr>
        <w:pStyle w:val="71"/>
        <w:spacing w:line="360" w:lineRule="auto"/>
        <w:jc w:val="both"/>
        <w:rPr>
          <w:rFonts w:ascii="宋体" w:hAnsi="宋体" w:cs="宋体"/>
          <w:color w:val="000000" w:themeColor="text1"/>
          <w:sz w:val="21"/>
          <w:szCs w:val="21"/>
          <w:highlight w:val="none"/>
          <w14:textFill>
            <w14:solidFill>
              <w14:schemeClr w14:val="tx1"/>
            </w14:solidFill>
          </w14:textFill>
        </w:rPr>
      </w:pPr>
      <w:r>
        <w:rPr>
          <w:rFonts w:hint="eastAsia" w:ascii="宋体" w:hAnsi="宋体" w:cs="宋体"/>
          <w:b/>
          <w:bCs w:val="0"/>
          <w:color w:val="000000" w:themeColor="text1"/>
          <w:sz w:val="21"/>
          <w:szCs w:val="21"/>
          <w:highlight w:val="none"/>
          <w14:textFill>
            <w14:solidFill>
              <w14:schemeClr w14:val="tx1"/>
            </w14:solidFill>
          </w14:textFill>
        </w:rPr>
        <w:t>项目编号：</w:t>
      </w:r>
    </w:p>
    <w:tbl>
      <w:tblPr>
        <w:tblStyle w:val="29"/>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404"/>
        <w:gridCol w:w="1215"/>
        <w:gridCol w:w="1417"/>
        <w:gridCol w:w="1050"/>
        <w:gridCol w:w="1323"/>
        <w:gridCol w:w="1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序号</w:t>
            </w:r>
          </w:p>
        </w:tc>
        <w:tc>
          <w:tcPr>
            <w:tcW w:w="1404"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r>
              <w:rPr>
                <w:rFonts w:hint="default" w:ascii="宋体" w:hAnsi="宋体" w:cs="宋体"/>
                <w:color w:val="000000" w:themeColor="text1"/>
                <w:sz w:val="21"/>
                <w:szCs w:val="21"/>
                <w:highlight w:val="none"/>
                <w:lang w:val="en-US" w:eastAsia="zh-CN"/>
                <w14:textFill>
                  <w14:solidFill>
                    <w14:schemeClr w14:val="tx1"/>
                  </w14:solidFill>
                </w14:textFill>
              </w:rPr>
              <w:t>供货序号</w:t>
            </w:r>
          </w:p>
        </w:tc>
        <w:tc>
          <w:tcPr>
            <w:tcW w:w="1215"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标的名称</w:t>
            </w:r>
          </w:p>
        </w:tc>
        <w:tc>
          <w:tcPr>
            <w:tcW w:w="1417"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生产厂家</w:t>
            </w:r>
          </w:p>
        </w:tc>
        <w:tc>
          <w:tcPr>
            <w:tcW w:w="1050"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default" w:ascii="宋体" w:hAnsi="宋体" w:cs="宋体"/>
                <w:color w:val="000000" w:themeColor="text1"/>
                <w:sz w:val="21"/>
                <w:szCs w:val="21"/>
                <w:highlight w:val="none"/>
                <w:lang w:val="en-US" w:eastAsia="zh-CN"/>
                <w14:textFill>
                  <w14:solidFill>
                    <w14:schemeClr w14:val="tx1"/>
                  </w14:solidFill>
                </w14:textFill>
              </w:rPr>
              <w:t>单位</w:t>
            </w:r>
          </w:p>
        </w:tc>
        <w:tc>
          <w:tcPr>
            <w:tcW w:w="1323"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规格</w:t>
            </w:r>
          </w:p>
        </w:tc>
        <w:tc>
          <w:tcPr>
            <w:tcW w:w="1794"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w:t>
            </w:r>
          </w:p>
        </w:tc>
        <w:tc>
          <w:tcPr>
            <w:tcW w:w="1404"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215"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050"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323"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794"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w:t>
            </w:r>
          </w:p>
        </w:tc>
        <w:tc>
          <w:tcPr>
            <w:tcW w:w="1404"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215"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050"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323"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794"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w:t>
            </w:r>
          </w:p>
        </w:tc>
        <w:tc>
          <w:tcPr>
            <w:tcW w:w="1404"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215"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050"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323"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794"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4</w:t>
            </w:r>
          </w:p>
        </w:tc>
        <w:tc>
          <w:tcPr>
            <w:tcW w:w="1404"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215"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050"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323"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794"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p>
        </w:tc>
        <w:tc>
          <w:tcPr>
            <w:tcW w:w="1404"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215"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050"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323"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794"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7"/>
            <w:tcBorders>
              <w:top w:val="single" w:color="auto" w:sz="4" w:space="0"/>
              <w:left w:val="single" w:color="auto" w:sz="4" w:space="0"/>
              <w:bottom w:val="single" w:color="auto" w:sz="4" w:space="0"/>
              <w:right w:val="single" w:color="auto" w:sz="4" w:space="0"/>
            </w:tcBorders>
          </w:tcPr>
          <w:p>
            <w:pPr>
              <w:pStyle w:val="71"/>
              <w:spacing w:line="360" w:lineRule="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整体折扣比例（%）</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 xml:space="preserve"> 大写               ；小写</w:t>
            </w:r>
            <w:r>
              <w:rPr>
                <w:rFonts w:hint="eastAsia" w:ascii="宋体" w:hAnsi="宋体" w:cs="宋体"/>
                <w:color w:val="000000" w:themeColor="text1"/>
                <w:sz w:val="21"/>
                <w:szCs w:val="21"/>
                <w:highlight w:val="none"/>
                <w14:textFill>
                  <w14:solidFill>
                    <w14:schemeClr w14:val="tx1"/>
                  </w14:solidFill>
                </w14:textFill>
              </w:rPr>
              <w:t xml:space="preserve">  </w:t>
            </w:r>
          </w:p>
        </w:tc>
      </w:tr>
    </w:tbl>
    <w:p>
      <w:pPr>
        <w:pStyle w:val="71"/>
        <w:spacing w:line="360" w:lineRule="auto"/>
        <w:rPr>
          <w:rFonts w:ascii="宋体" w:hAnsi="宋体" w:cs="宋体"/>
          <w:color w:val="000000" w:themeColor="text1"/>
          <w:sz w:val="21"/>
          <w:szCs w:val="21"/>
          <w:highlight w:val="none"/>
          <w14:textFill>
            <w14:solidFill>
              <w14:schemeClr w14:val="tx1"/>
            </w14:solidFill>
          </w14:textFill>
        </w:rPr>
      </w:pPr>
    </w:p>
    <w:p>
      <w:pPr>
        <w:pStyle w:val="71"/>
        <w:spacing w:line="360" w:lineRule="auto"/>
        <w:rPr>
          <w:rFonts w:ascii="宋体" w:hAnsi="宋体" w:cs="宋体"/>
          <w:color w:val="000000" w:themeColor="text1"/>
          <w:sz w:val="21"/>
          <w:szCs w:val="21"/>
          <w:highlight w:val="none"/>
          <w14:textFill>
            <w14:solidFill>
              <w14:schemeClr w14:val="tx1"/>
            </w14:solidFill>
          </w14:textFill>
        </w:rPr>
      </w:pPr>
    </w:p>
    <w:p>
      <w:pPr>
        <w:pStyle w:val="71"/>
        <w:spacing w:line="360" w:lineRule="auto"/>
        <w:rPr>
          <w:rFonts w:ascii="宋体" w:hAnsi="宋体" w:cs="宋体"/>
          <w:color w:val="000000" w:themeColor="text1"/>
          <w:sz w:val="21"/>
          <w:szCs w:val="21"/>
          <w:highlight w:val="none"/>
          <w14:textFill>
            <w14:solidFill>
              <w14:schemeClr w14:val="tx1"/>
            </w14:solidFill>
          </w14:textFill>
        </w:rPr>
      </w:pPr>
    </w:p>
    <w:p>
      <w:pPr>
        <w:pStyle w:val="71"/>
        <w:spacing w:line="360" w:lineRule="auto"/>
        <w:rPr>
          <w:rFonts w:ascii="宋体" w:hAnsi="宋体" w:cs="宋体"/>
          <w:color w:val="000000" w:themeColor="text1"/>
          <w:sz w:val="21"/>
          <w:szCs w:val="21"/>
          <w:highlight w:val="none"/>
          <w14:textFill>
            <w14:solidFill>
              <w14:schemeClr w14:val="tx1"/>
            </w14:solidFill>
          </w14:textFill>
        </w:rPr>
      </w:pPr>
    </w:p>
    <w:p>
      <w:pPr>
        <w:spacing w:line="360" w:lineRule="auto"/>
        <w:ind w:right="480" w:firstLine="3045" w:firstLineChars="1450"/>
        <w:contextualSpacing/>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供应商（电子签章）： </w:t>
      </w:r>
      <w:r>
        <w:rPr>
          <w:rFonts w:hint="eastAsia" w:ascii="宋体" w:hAnsi="宋体" w:cs="宋体"/>
          <w:color w:val="000000" w:themeColor="text1"/>
          <w:szCs w:val="21"/>
          <w:highlight w:val="none"/>
          <w:u w:val="single"/>
          <w14:textFill>
            <w14:solidFill>
              <w14:schemeClr w14:val="tx1"/>
            </w14:solidFill>
          </w14:textFill>
        </w:rPr>
        <w:t xml:space="preserve">                              </w:t>
      </w:r>
    </w:p>
    <w:p>
      <w:pPr>
        <w:spacing w:line="360" w:lineRule="auto"/>
        <w:ind w:right="480" w:firstLine="5250" w:firstLineChars="250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年    月    日</w:t>
      </w:r>
    </w:p>
    <w:p>
      <w:pPr>
        <w:pStyle w:val="71"/>
        <w:rPr>
          <w:rFonts w:ascii="宋体" w:hAnsi="宋体" w:cs="宋体"/>
          <w:color w:val="000000" w:themeColor="text1"/>
          <w:highlight w:val="none"/>
          <w14:textFill>
            <w14:solidFill>
              <w14:schemeClr w14:val="tx1"/>
            </w14:solidFill>
          </w14:textFill>
        </w:rPr>
      </w:pPr>
    </w:p>
    <w:p>
      <w:pPr>
        <w:pStyle w:val="71"/>
        <w:rPr>
          <w:rFonts w:ascii="宋体" w:hAnsi="宋体" w:cs="宋体"/>
          <w:color w:val="000000" w:themeColor="text1"/>
          <w:highlight w:val="none"/>
          <w14:textFill>
            <w14:solidFill>
              <w14:schemeClr w14:val="tx1"/>
            </w14:solidFill>
          </w14:textFill>
        </w:rPr>
      </w:pPr>
    </w:p>
    <w:p>
      <w:pPr>
        <w:pStyle w:val="71"/>
        <w:rPr>
          <w:rFonts w:ascii="宋体" w:hAnsi="宋体" w:cs="宋体"/>
          <w:color w:val="000000" w:themeColor="text1"/>
          <w:highlight w:val="none"/>
          <w14:textFill>
            <w14:solidFill>
              <w14:schemeClr w14:val="tx1"/>
            </w14:solidFill>
          </w14:textFill>
        </w:rPr>
      </w:pPr>
    </w:p>
    <w:p>
      <w:pPr>
        <w:pStyle w:val="71"/>
        <w:rPr>
          <w:rFonts w:ascii="宋体" w:hAnsi="宋体" w:cs="宋体"/>
          <w:color w:val="000000" w:themeColor="text1"/>
          <w:highlight w:val="none"/>
          <w14:textFill>
            <w14:solidFill>
              <w14:schemeClr w14:val="tx1"/>
            </w14:solidFill>
          </w14:textFill>
        </w:rPr>
      </w:pPr>
    </w:p>
    <w:p>
      <w:pPr>
        <w:pStyle w:val="71"/>
        <w:rPr>
          <w:rFonts w:ascii="宋体" w:hAnsi="宋体" w:cs="宋体"/>
          <w:color w:val="000000" w:themeColor="text1"/>
          <w:highlight w:val="none"/>
          <w14:textFill>
            <w14:solidFill>
              <w14:schemeClr w14:val="tx1"/>
            </w14:solidFill>
          </w14:textFill>
        </w:rPr>
      </w:pPr>
    </w:p>
    <w:p>
      <w:pPr>
        <w:pStyle w:val="71"/>
        <w:rPr>
          <w:rFonts w:ascii="宋体" w:hAnsi="宋体" w:cs="宋体"/>
          <w:color w:val="000000" w:themeColor="text1"/>
          <w:highlight w:val="none"/>
          <w14:textFill>
            <w14:solidFill>
              <w14:schemeClr w14:val="tx1"/>
            </w14:solidFill>
          </w14:textFill>
        </w:rPr>
      </w:pPr>
    </w:p>
    <w:p>
      <w:pPr>
        <w:pStyle w:val="71"/>
        <w:rPr>
          <w:rFonts w:ascii="宋体" w:hAnsi="宋体" w:cs="宋体"/>
          <w:color w:val="000000" w:themeColor="text1"/>
          <w:highlight w:val="none"/>
          <w14:textFill>
            <w14:solidFill>
              <w14:schemeClr w14:val="tx1"/>
            </w14:solidFill>
          </w14:textFill>
        </w:rPr>
      </w:pPr>
    </w:p>
    <w:p>
      <w:pPr>
        <w:pStyle w:val="71"/>
        <w:rPr>
          <w:rFonts w:ascii="宋体" w:hAnsi="宋体" w:cs="宋体"/>
          <w:color w:val="000000" w:themeColor="text1"/>
          <w:highlight w:val="none"/>
          <w14:textFill>
            <w14:solidFill>
              <w14:schemeClr w14:val="tx1"/>
            </w14:solidFill>
          </w14:textFill>
        </w:rPr>
      </w:pPr>
    </w:p>
    <w:p>
      <w:pPr>
        <w:pStyle w:val="71"/>
        <w:rPr>
          <w:rFonts w:ascii="宋体" w:hAnsi="宋体" w:cs="宋体"/>
          <w:color w:val="000000" w:themeColor="text1"/>
          <w:highlight w:val="none"/>
          <w14:textFill>
            <w14:solidFill>
              <w14:schemeClr w14:val="tx1"/>
            </w14:solidFill>
          </w14:textFill>
        </w:rPr>
      </w:pPr>
    </w:p>
    <w:p>
      <w:pPr>
        <w:pStyle w:val="71"/>
        <w:rPr>
          <w:rFonts w:ascii="宋体" w:hAnsi="宋体" w:cs="宋体"/>
          <w:color w:val="000000" w:themeColor="text1"/>
          <w:highlight w:val="none"/>
          <w14:textFill>
            <w14:solidFill>
              <w14:schemeClr w14:val="tx1"/>
            </w14:solidFill>
          </w14:textFill>
        </w:rPr>
      </w:pPr>
    </w:p>
    <w:p>
      <w:pPr>
        <w:pStyle w:val="71"/>
        <w:rPr>
          <w:rFonts w:ascii="宋体" w:hAnsi="宋体" w:cs="宋体"/>
          <w:color w:val="000000" w:themeColor="text1"/>
          <w:highlight w:val="none"/>
          <w14:textFill>
            <w14:solidFill>
              <w14:schemeClr w14:val="tx1"/>
            </w14:solidFill>
          </w14:textFill>
        </w:rPr>
      </w:pPr>
    </w:p>
    <w:p>
      <w:pPr>
        <w:pStyle w:val="71"/>
        <w:rPr>
          <w:rFonts w:ascii="宋体" w:hAnsi="宋体" w:cs="宋体"/>
          <w:color w:val="000000" w:themeColor="text1"/>
          <w:highlight w:val="none"/>
          <w14:textFill>
            <w14:solidFill>
              <w14:schemeClr w14:val="tx1"/>
            </w14:solidFill>
          </w14:textFill>
        </w:rPr>
      </w:pPr>
    </w:p>
    <w:p>
      <w:pPr>
        <w:pStyle w:val="71"/>
        <w:rPr>
          <w:rFonts w:ascii="宋体" w:hAnsi="宋体" w:cs="宋体"/>
          <w:color w:val="000000" w:themeColor="text1"/>
          <w:highlight w:val="none"/>
          <w14:textFill>
            <w14:solidFill>
              <w14:schemeClr w14:val="tx1"/>
            </w14:solidFill>
          </w14:textFill>
        </w:rPr>
      </w:pPr>
    </w:p>
    <w:p>
      <w:pPr>
        <w:pStyle w:val="71"/>
        <w:rPr>
          <w:rFonts w:ascii="宋体" w:hAnsi="宋体" w:cs="宋体"/>
          <w:color w:val="000000" w:themeColor="text1"/>
          <w:highlight w:val="none"/>
          <w14:textFill>
            <w14:solidFill>
              <w14:schemeClr w14:val="tx1"/>
            </w14:solidFill>
          </w14:textFill>
        </w:rPr>
      </w:pPr>
    </w:p>
    <w:p>
      <w:pPr>
        <w:pStyle w:val="71"/>
        <w:rPr>
          <w:rFonts w:ascii="宋体" w:hAnsi="宋体" w:cs="宋体"/>
          <w:color w:val="000000" w:themeColor="text1"/>
          <w:highlight w:val="none"/>
          <w14:textFill>
            <w14:solidFill>
              <w14:schemeClr w14:val="tx1"/>
            </w14:solidFill>
          </w14:textFill>
        </w:rPr>
      </w:pPr>
    </w:p>
    <w:p>
      <w:pPr>
        <w:pStyle w:val="71"/>
        <w:rPr>
          <w:rFonts w:ascii="宋体" w:hAnsi="宋体" w:cs="宋体"/>
          <w:color w:val="000000" w:themeColor="text1"/>
          <w:highlight w:val="none"/>
          <w14:textFill>
            <w14:solidFill>
              <w14:schemeClr w14:val="tx1"/>
            </w14:solidFill>
          </w14:textFill>
        </w:rPr>
      </w:pPr>
    </w:p>
    <w:p>
      <w:pPr>
        <w:pStyle w:val="71"/>
        <w:rPr>
          <w:rFonts w:ascii="宋体" w:hAnsi="宋体" w:cs="宋体"/>
          <w:color w:val="000000" w:themeColor="text1"/>
          <w:highlight w:val="none"/>
          <w14:textFill>
            <w14:solidFill>
              <w14:schemeClr w14:val="tx1"/>
            </w14:solidFill>
          </w14:textFill>
        </w:rPr>
      </w:pPr>
    </w:p>
    <w:p>
      <w:pPr>
        <w:pStyle w:val="71"/>
        <w:rPr>
          <w:rFonts w:ascii="宋体" w:hAnsi="宋体" w:cs="宋体"/>
          <w:color w:val="000000" w:themeColor="text1"/>
          <w:highlight w:val="none"/>
          <w14:textFill>
            <w14:solidFill>
              <w14:schemeClr w14:val="tx1"/>
            </w14:solidFill>
          </w14:textFill>
        </w:rPr>
      </w:pPr>
    </w:p>
    <w:p>
      <w:pPr>
        <w:pStyle w:val="71"/>
        <w:rPr>
          <w:rFonts w:ascii="宋体" w:hAnsi="宋体" w:cs="宋体"/>
          <w:color w:val="000000" w:themeColor="text1"/>
          <w:highlight w:val="none"/>
          <w14:textFill>
            <w14:solidFill>
              <w14:schemeClr w14:val="tx1"/>
            </w14:solidFill>
          </w14:textFill>
        </w:rPr>
      </w:pPr>
    </w:p>
    <w:p>
      <w:pPr>
        <w:pStyle w:val="71"/>
        <w:rPr>
          <w:rFonts w:ascii="宋体" w:hAnsi="宋体" w:cs="宋体"/>
          <w:color w:val="000000" w:themeColor="text1"/>
          <w:highlight w:val="none"/>
          <w14:textFill>
            <w14:solidFill>
              <w14:schemeClr w14:val="tx1"/>
            </w14:solidFill>
          </w14:textFill>
        </w:rPr>
      </w:pPr>
    </w:p>
    <w:p>
      <w:pPr>
        <w:pStyle w:val="71"/>
        <w:rPr>
          <w:rFonts w:ascii="宋体" w:hAnsi="宋体" w:cs="宋体"/>
          <w:color w:val="000000" w:themeColor="text1"/>
          <w:highlight w:val="none"/>
          <w14:textFill>
            <w14:solidFill>
              <w14:schemeClr w14:val="tx1"/>
            </w14:solidFill>
          </w14:textFill>
        </w:rPr>
      </w:pPr>
    </w:p>
    <w:p>
      <w:pPr>
        <w:pStyle w:val="2"/>
        <w:jc w:val="center"/>
        <w:rPr>
          <w:rFonts w:ascii="宋体" w:hAnsi="宋体" w:cs="宋体"/>
          <w:color w:val="000000" w:themeColor="text1"/>
          <w:highlight w:val="none"/>
          <w14:textFill>
            <w14:solidFill>
              <w14:schemeClr w14:val="tx1"/>
            </w14:solidFill>
          </w14:textFill>
        </w:rPr>
      </w:pPr>
      <w:bookmarkStart w:id="74" w:name="_Toc27681"/>
      <w:bookmarkStart w:id="75" w:name="_Toc129703552"/>
      <w:r>
        <w:rPr>
          <w:rFonts w:hint="eastAsia" w:ascii="宋体" w:hAnsi="宋体" w:cs="宋体"/>
          <w:color w:val="000000" w:themeColor="text1"/>
          <w:highlight w:val="none"/>
          <w14:textFill>
            <w14:solidFill>
              <w14:schemeClr w14:val="tx1"/>
            </w14:solidFill>
          </w14:textFill>
        </w:rPr>
        <w:t>第五章 响应文件格式</w:t>
      </w:r>
      <w:bookmarkEnd w:id="74"/>
      <w:bookmarkEnd w:id="75"/>
    </w:p>
    <w:p>
      <w:pPr>
        <w:spacing w:line="240" w:lineRule="atLeast"/>
        <w:rPr>
          <w:rFonts w:ascii="宋体" w:hAnsi="宋体" w:cs="宋体"/>
          <w:b/>
          <w:color w:val="000000" w:themeColor="text1"/>
          <w:sz w:val="32"/>
          <w:szCs w:val="32"/>
          <w:highlight w:val="none"/>
          <w14:textFill>
            <w14:solidFill>
              <w14:schemeClr w14:val="tx1"/>
            </w14:solidFill>
          </w14:textFill>
        </w:rPr>
      </w:pPr>
    </w:p>
    <w:p>
      <w:pPr>
        <w:spacing w:line="240" w:lineRule="atLeast"/>
        <w:rPr>
          <w:rFonts w:ascii="宋体" w:hAnsi="宋体" w:cs="宋体"/>
          <w:b/>
          <w:color w:val="000000" w:themeColor="text1"/>
          <w:sz w:val="32"/>
          <w:szCs w:val="32"/>
          <w:highlight w:val="none"/>
          <w14:textFill>
            <w14:solidFill>
              <w14:schemeClr w14:val="tx1"/>
            </w14:solidFill>
          </w14:textFill>
        </w:rPr>
      </w:pPr>
    </w:p>
    <w:p>
      <w:pPr>
        <w:spacing w:line="240" w:lineRule="atLeast"/>
        <w:rPr>
          <w:rFonts w:ascii="宋体" w:hAnsi="宋体" w:cs="宋体"/>
          <w:b/>
          <w:color w:val="000000" w:themeColor="text1"/>
          <w:sz w:val="32"/>
          <w:szCs w:val="32"/>
          <w:highlight w:val="none"/>
          <w14:textFill>
            <w14:solidFill>
              <w14:schemeClr w14:val="tx1"/>
            </w14:solidFill>
          </w14:textFill>
        </w:rPr>
      </w:pPr>
    </w:p>
    <w:p>
      <w:pPr>
        <w:spacing w:line="240" w:lineRule="atLeast"/>
        <w:rPr>
          <w:rFonts w:ascii="宋体" w:hAnsi="宋体" w:cs="宋体"/>
          <w:b/>
          <w:color w:val="000000" w:themeColor="text1"/>
          <w:sz w:val="32"/>
          <w:szCs w:val="32"/>
          <w:highlight w:val="none"/>
          <w14:textFill>
            <w14:solidFill>
              <w14:schemeClr w14:val="tx1"/>
            </w14:solidFill>
          </w14:textFill>
        </w:rPr>
      </w:pPr>
    </w:p>
    <w:p>
      <w:pPr>
        <w:spacing w:line="240" w:lineRule="atLeast"/>
        <w:rPr>
          <w:rFonts w:ascii="宋体" w:hAnsi="宋体" w:cs="宋体"/>
          <w:b/>
          <w:color w:val="000000" w:themeColor="text1"/>
          <w:sz w:val="32"/>
          <w:szCs w:val="32"/>
          <w:highlight w:val="none"/>
          <w14:textFill>
            <w14:solidFill>
              <w14:schemeClr w14:val="tx1"/>
            </w14:solidFill>
          </w14:textFill>
        </w:rPr>
      </w:pPr>
    </w:p>
    <w:p>
      <w:pPr>
        <w:spacing w:line="240" w:lineRule="atLeast"/>
        <w:rPr>
          <w:rFonts w:ascii="宋体" w:hAnsi="宋体" w:cs="宋体"/>
          <w:b/>
          <w:color w:val="000000" w:themeColor="text1"/>
          <w:sz w:val="32"/>
          <w:szCs w:val="32"/>
          <w:highlight w:val="none"/>
          <w14:textFill>
            <w14:solidFill>
              <w14:schemeClr w14:val="tx1"/>
            </w14:solidFill>
          </w14:textFill>
        </w:rPr>
      </w:pPr>
    </w:p>
    <w:p>
      <w:pPr>
        <w:spacing w:line="240" w:lineRule="atLeast"/>
        <w:rPr>
          <w:rFonts w:ascii="宋体" w:hAnsi="宋体" w:cs="宋体"/>
          <w:b/>
          <w:color w:val="000000" w:themeColor="text1"/>
          <w:sz w:val="32"/>
          <w:szCs w:val="32"/>
          <w:highlight w:val="none"/>
          <w14:textFill>
            <w14:solidFill>
              <w14:schemeClr w14:val="tx1"/>
            </w14:solidFill>
          </w14:textFill>
        </w:rPr>
      </w:pPr>
    </w:p>
    <w:p>
      <w:pPr>
        <w:spacing w:line="240" w:lineRule="atLeast"/>
        <w:rPr>
          <w:rFonts w:ascii="宋体" w:hAnsi="宋体" w:cs="宋体"/>
          <w:b/>
          <w:color w:val="000000" w:themeColor="text1"/>
          <w:sz w:val="32"/>
          <w:szCs w:val="32"/>
          <w:highlight w:val="none"/>
          <w14:textFill>
            <w14:solidFill>
              <w14:schemeClr w14:val="tx1"/>
            </w14:solidFill>
          </w14:textFill>
        </w:rPr>
      </w:pPr>
    </w:p>
    <w:p>
      <w:pPr>
        <w:spacing w:line="240" w:lineRule="atLeast"/>
        <w:rPr>
          <w:rFonts w:ascii="宋体" w:hAnsi="宋体" w:cs="宋体"/>
          <w:b/>
          <w:color w:val="000000" w:themeColor="text1"/>
          <w:sz w:val="32"/>
          <w:szCs w:val="32"/>
          <w:highlight w:val="none"/>
          <w14:textFill>
            <w14:solidFill>
              <w14:schemeClr w14:val="tx1"/>
            </w14:solidFill>
          </w14:textFill>
        </w:rPr>
      </w:pPr>
    </w:p>
    <w:p>
      <w:pPr>
        <w:spacing w:line="240" w:lineRule="atLeast"/>
        <w:rPr>
          <w:rFonts w:ascii="宋体" w:hAnsi="宋体" w:cs="宋体"/>
          <w:b/>
          <w:color w:val="000000" w:themeColor="text1"/>
          <w:sz w:val="32"/>
          <w:szCs w:val="32"/>
          <w:highlight w:val="none"/>
          <w14:textFill>
            <w14:solidFill>
              <w14:schemeClr w14:val="tx1"/>
            </w14:solidFill>
          </w14:textFill>
        </w:rPr>
      </w:pPr>
    </w:p>
    <w:p>
      <w:pPr>
        <w:spacing w:line="240" w:lineRule="atLeast"/>
        <w:rPr>
          <w:rFonts w:ascii="宋体" w:hAnsi="宋体" w:cs="宋体"/>
          <w:b/>
          <w:color w:val="000000" w:themeColor="text1"/>
          <w:sz w:val="32"/>
          <w:szCs w:val="32"/>
          <w:highlight w:val="none"/>
          <w14:textFill>
            <w14:solidFill>
              <w14:schemeClr w14:val="tx1"/>
            </w14:solidFill>
          </w14:textFill>
        </w:rPr>
      </w:pPr>
    </w:p>
    <w:p>
      <w:pPr>
        <w:spacing w:line="240" w:lineRule="atLeast"/>
        <w:rPr>
          <w:rFonts w:ascii="宋体" w:hAnsi="宋体" w:cs="宋体"/>
          <w:b/>
          <w:color w:val="000000" w:themeColor="text1"/>
          <w:sz w:val="32"/>
          <w:szCs w:val="32"/>
          <w:highlight w:val="none"/>
          <w14:textFill>
            <w14:solidFill>
              <w14:schemeClr w14:val="tx1"/>
            </w14:solidFill>
          </w14:textFill>
        </w:rPr>
      </w:pPr>
    </w:p>
    <w:p>
      <w:pPr>
        <w:spacing w:line="240" w:lineRule="atLeast"/>
        <w:rPr>
          <w:rFonts w:ascii="宋体" w:hAnsi="宋体" w:cs="宋体"/>
          <w:b/>
          <w:color w:val="000000" w:themeColor="text1"/>
          <w:sz w:val="32"/>
          <w:szCs w:val="32"/>
          <w:highlight w:val="none"/>
          <w14:textFill>
            <w14:solidFill>
              <w14:schemeClr w14:val="tx1"/>
            </w14:solidFill>
          </w14:textFill>
        </w:rPr>
      </w:pPr>
    </w:p>
    <w:p>
      <w:pPr>
        <w:spacing w:line="240" w:lineRule="atLeast"/>
        <w:rPr>
          <w:rFonts w:ascii="宋体" w:hAnsi="宋体" w:cs="宋体"/>
          <w:b/>
          <w:color w:val="000000" w:themeColor="text1"/>
          <w:sz w:val="32"/>
          <w:szCs w:val="32"/>
          <w:highlight w:val="none"/>
          <w14:textFill>
            <w14:solidFill>
              <w14:schemeClr w14:val="tx1"/>
            </w14:solidFill>
          </w14:textFill>
        </w:rPr>
      </w:pPr>
    </w:p>
    <w:p>
      <w:pPr>
        <w:bidi w:val="0"/>
        <w:rPr>
          <w:color w:val="000000" w:themeColor="text1"/>
          <w:highlight w:val="none"/>
          <w14:textFill>
            <w14:solidFill>
              <w14:schemeClr w14:val="tx1"/>
            </w14:solidFill>
          </w14:textFill>
        </w:rPr>
      </w:pPr>
    </w:p>
    <w:p>
      <w:pPr>
        <w:bidi w:val="0"/>
        <w:rPr>
          <w:color w:val="000000" w:themeColor="text1"/>
          <w:highlight w:val="none"/>
          <w14:textFill>
            <w14:solidFill>
              <w14:schemeClr w14:val="tx1"/>
            </w14:solidFill>
          </w14:textFill>
        </w:rPr>
      </w:pPr>
    </w:p>
    <w:p>
      <w:pPr>
        <w:rPr>
          <w:rFonts w:ascii="宋体" w:hAnsi="宋体" w:cs="宋体"/>
          <w:b/>
          <w:color w:val="000000" w:themeColor="text1"/>
          <w:sz w:val="32"/>
          <w:szCs w:val="32"/>
          <w:highlight w:val="none"/>
          <w14:textFill>
            <w14:solidFill>
              <w14:schemeClr w14:val="tx1"/>
            </w14:solidFill>
          </w14:textFill>
        </w:rPr>
      </w:pPr>
      <w:bookmarkStart w:id="76" w:name="_Toc71366060"/>
      <w:bookmarkStart w:id="77" w:name="_Toc71365382"/>
      <w:r>
        <w:rPr>
          <w:rFonts w:hint="eastAsia" w:ascii="宋体" w:hAnsi="宋体" w:cs="宋体"/>
          <w:b/>
          <w:color w:val="000000" w:themeColor="text1"/>
          <w:sz w:val="32"/>
          <w:szCs w:val="32"/>
          <w:highlight w:val="none"/>
          <w14:textFill>
            <w14:solidFill>
              <w14:schemeClr w14:val="tx1"/>
            </w14:solidFill>
          </w14:textFill>
        </w:rPr>
        <w:t>一、资格证明文件格式</w:t>
      </w:r>
      <w:bookmarkEnd w:id="76"/>
      <w:bookmarkEnd w:id="77"/>
    </w:p>
    <w:p>
      <w:pPr>
        <w:snapToGrid w:val="0"/>
        <w:spacing w:beforeLines="50" w:after="50" w:line="360" w:lineRule="auto"/>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1.资格证明文件封面格式：</w:t>
      </w:r>
      <w:r>
        <w:rPr>
          <w:rFonts w:hint="eastAsia" w:ascii="宋体" w:hAnsi="宋体" w:cs="宋体"/>
          <w:b/>
          <w:color w:val="000000" w:themeColor="text1"/>
          <w:sz w:val="24"/>
          <w:highlight w:val="none"/>
          <w14:textFill>
            <w14:solidFill>
              <w14:schemeClr w14:val="tx1"/>
            </w14:solidFill>
          </w14:textFill>
        </w:rPr>
        <w:t xml:space="preserve"> </w:t>
      </w:r>
    </w:p>
    <w:p>
      <w:pPr>
        <w:snapToGrid w:val="0"/>
        <w:spacing w:beforeLines="50" w:after="50"/>
        <w:rPr>
          <w:rFonts w:ascii="宋体" w:hAnsi="宋体" w:cs="宋体"/>
          <w:bCs/>
          <w:color w:val="000000" w:themeColor="text1"/>
          <w:sz w:val="32"/>
          <w:szCs w:val="20"/>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pPr>
        <w:snapToGrid w:val="0"/>
        <w:spacing w:beforeLines="50" w:after="50"/>
        <w:jc w:val="center"/>
        <w:rPr>
          <w:rFonts w:ascii="宋体" w:hAnsi="宋体" w:cs="宋体"/>
          <w:color w:val="000000" w:themeColor="text1"/>
          <w:sz w:val="44"/>
          <w:szCs w:val="44"/>
          <w:highlight w:val="none"/>
          <w14:textFill>
            <w14:solidFill>
              <w14:schemeClr w14:val="tx1"/>
            </w14:solidFill>
          </w14:textFill>
        </w:rPr>
      </w:pPr>
      <w:r>
        <w:rPr>
          <w:rFonts w:hint="eastAsia" w:ascii="宋体" w:hAnsi="宋体" w:cs="宋体"/>
          <w:color w:val="000000" w:themeColor="text1"/>
          <w:sz w:val="44"/>
          <w:szCs w:val="44"/>
          <w:highlight w:val="none"/>
          <w14:textFill>
            <w14:solidFill>
              <w14:schemeClr w14:val="tx1"/>
            </w14:solidFill>
          </w14:textFill>
        </w:rPr>
        <w:t>电 子 响 应 文 件</w:t>
      </w:r>
    </w:p>
    <w:p>
      <w:pPr>
        <w:snapToGrid w:val="0"/>
        <w:spacing w:beforeLines="50" w:after="50"/>
        <w:rPr>
          <w:rFonts w:ascii="宋体" w:hAnsi="宋体" w:cs="宋体"/>
          <w:color w:val="000000" w:themeColor="text1"/>
          <w:sz w:val="24"/>
          <w:szCs w:val="20"/>
          <w:highlight w:val="none"/>
          <w14:textFill>
            <w14:solidFill>
              <w14:schemeClr w14:val="tx1"/>
            </w14:solidFill>
          </w14:textFill>
        </w:rPr>
      </w:pPr>
    </w:p>
    <w:p>
      <w:pPr>
        <w:snapToGrid w:val="0"/>
        <w:spacing w:beforeLines="50" w:after="50"/>
        <w:jc w:val="center"/>
        <w:rPr>
          <w:rFonts w:ascii="宋体" w:hAnsi="宋体" w:cs="宋体"/>
          <w:bCs/>
          <w:color w:val="000000" w:themeColor="text1"/>
          <w:sz w:val="44"/>
          <w:szCs w:val="44"/>
          <w:highlight w:val="none"/>
          <w14:textFill>
            <w14:solidFill>
              <w14:schemeClr w14:val="tx1"/>
            </w14:solidFill>
          </w14:textFill>
        </w:rPr>
      </w:pPr>
      <w:r>
        <w:rPr>
          <w:rFonts w:hint="eastAsia" w:ascii="宋体" w:hAnsi="宋体" w:cs="宋体"/>
          <w:bCs/>
          <w:color w:val="000000" w:themeColor="text1"/>
          <w:sz w:val="44"/>
          <w:szCs w:val="44"/>
          <w:highlight w:val="none"/>
          <w14:textFill>
            <w14:solidFill>
              <w14:schemeClr w14:val="tx1"/>
            </w14:solidFill>
          </w14:textFill>
        </w:rPr>
        <w:t>资  格  证  明  文  件</w:t>
      </w:r>
    </w:p>
    <w:p>
      <w:pPr>
        <w:snapToGrid w:val="0"/>
        <w:spacing w:beforeLines="50" w:after="50"/>
        <w:rPr>
          <w:rFonts w:ascii="宋体" w:hAnsi="宋体" w:cs="宋体"/>
          <w:bCs/>
          <w:color w:val="000000" w:themeColor="text1"/>
          <w:sz w:val="24"/>
          <w:szCs w:val="20"/>
          <w:highlight w:val="none"/>
          <w14:textFill>
            <w14:solidFill>
              <w14:schemeClr w14:val="tx1"/>
            </w14:solidFill>
          </w14:textFill>
        </w:rPr>
      </w:pPr>
    </w:p>
    <w:p>
      <w:pPr>
        <w:snapToGrid w:val="0"/>
        <w:spacing w:beforeLines="50" w:after="50"/>
        <w:rPr>
          <w:rFonts w:ascii="宋体" w:hAnsi="宋体" w:cs="宋体"/>
          <w:bCs/>
          <w:color w:val="000000" w:themeColor="text1"/>
          <w:sz w:val="24"/>
          <w:szCs w:val="20"/>
          <w:highlight w:val="none"/>
          <w14:textFill>
            <w14:solidFill>
              <w14:schemeClr w14:val="tx1"/>
            </w14:solidFill>
          </w14:textFill>
        </w:rPr>
      </w:pPr>
    </w:p>
    <w:p>
      <w:pPr>
        <w:snapToGrid w:val="0"/>
        <w:spacing w:beforeLines="50" w:after="50"/>
        <w:rPr>
          <w:rFonts w:ascii="宋体" w:hAnsi="宋体" w:cs="宋体"/>
          <w:bCs/>
          <w:color w:val="000000" w:themeColor="text1"/>
          <w:sz w:val="24"/>
          <w:szCs w:val="20"/>
          <w:highlight w:val="none"/>
          <w14:textFill>
            <w14:solidFill>
              <w14:schemeClr w14:val="tx1"/>
            </w14:solidFill>
          </w14:textFill>
        </w:rPr>
      </w:pPr>
    </w:p>
    <w:p>
      <w:pPr>
        <w:snapToGrid w:val="0"/>
        <w:spacing w:beforeLines="50" w:after="50"/>
        <w:rPr>
          <w:rFonts w:ascii="宋体" w:hAnsi="宋体" w:cs="宋体"/>
          <w:bCs/>
          <w:color w:val="000000" w:themeColor="text1"/>
          <w:sz w:val="24"/>
          <w:szCs w:val="20"/>
          <w:highlight w:val="none"/>
          <w14:textFill>
            <w14:solidFill>
              <w14:schemeClr w14:val="tx1"/>
            </w14:solidFill>
          </w14:textFill>
        </w:rPr>
      </w:pPr>
    </w:p>
    <w:p>
      <w:pPr>
        <w:snapToGrid w:val="0"/>
        <w:spacing w:beforeLines="50" w:after="50"/>
        <w:rPr>
          <w:rFonts w:ascii="宋体" w:hAnsi="宋体" w:cs="宋体"/>
          <w:bCs/>
          <w:color w:val="000000" w:themeColor="text1"/>
          <w:sz w:val="24"/>
          <w:szCs w:val="20"/>
          <w:highlight w:val="none"/>
          <w14:textFill>
            <w14:solidFill>
              <w14:schemeClr w14:val="tx1"/>
            </w14:solidFill>
          </w14:textFill>
        </w:rPr>
      </w:pPr>
    </w:p>
    <w:p>
      <w:pPr>
        <w:snapToGrid w:val="0"/>
        <w:spacing w:beforeLines="50" w:after="50"/>
        <w:ind w:firstLine="640" w:firstLineChars="200"/>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项目名称：</w:t>
      </w:r>
    </w:p>
    <w:p>
      <w:pPr>
        <w:snapToGrid w:val="0"/>
        <w:spacing w:beforeLines="50" w:after="50"/>
        <w:ind w:firstLine="720" w:firstLineChars="225"/>
        <w:rPr>
          <w:rFonts w:ascii="宋体" w:hAnsi="宋体" w:cs="宋体"/>
          <w:bCs/>
          <w:color w:val="000000" w:themeColor="text1"/>
          <w:sz w:val="32"/>
          <w:szCs w:val="32"/>
          <w:highlight w:val="none"/>
          <w14:textFill>
            <w14:solidFill>
              <w14:schemeClr w14:val="tx1"/>
            </w14:solidFill>
          </w14:textFill>
        </w:rPr>
      </w:pPr>
    </w:p>
    <w:p>
      <w:pPr>
        <w:snapToGrid w:val="0"/>
        <w:spacing w:beforeLines="50" w:after="50"/>
        <w:ind w:firstLine="720" w:firstLineChars="225"/>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项目编号：</w:t>
      </w:r>
    </w:p>
    <w:p>
      <w:pPr>
        <w:snapToGrid w:val="0"/>
        <w:spacing w:beforeLines="50" w:after="50"/>
        <w:ind w:firstLine="720" w:firstLineChars="225"/>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 xml:space="preserve"> </w:t>
      </w:r>
    </w:p>
    <w:p>
      <w:pPr>
        <w:snapToGrid w:val="0"/>
        <w:spacing w:beforeLines="50" w:after="50"/>
        <w:ind w:firstLine="720" w:firstLineChars="225"/>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所竞分标（如有则填写，无分标时填写“无”或者留空）：</w:t>
      </w:r>
    </w:p>
    <w:p>
      <w:pPr>
        <w:snapToGrid w:val="0"/>
        <w:spacing w:beforeLines="50" w:after="50"/>
        <w:ind w:firstLine="720" w:firstLineChars="225"/>
        <w:rPr>
          <w:rFonts w:ascii="宋体" w:hAnsi="宋体" w:cs="宋体"/>
          <w:bCs/>
          <w:color w:val="000000" w:themeColor="text1"/>
          <w:sz w:val="32"/>
          <w:szCs w:val="32"/>
          <w:highlight w:val="none"/>
          <w14:textFill>
            <w14:solidFill>
              <w14:schemeClr w14:val="tx1"/>
            </w14:solidFill>
          </w14:textFill>
        </w:rPr>
      </w:pPr>
    </w:p>
    <w:p>
      <w:pPr>
        <w:pStyle w:val="7"/>
        <w:snapToGrid w:val="0"/>
        <w:spacing w:before="50" w:after="50"/>
        <w:ind w:firstLine="720" w:firstLineChars="225"/>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供应商名称：</w:t>
      </w:r>
    </w:p>
    <w:p>
      <w:pPr>
        <w:snapToGrid w:val="0"/>
        <w:spacing w:beforeLines="50" w:after="50"/>
        <w:ind w:firstLine="640" w:firstLineChars="200"/>
        <w:rPr>
          <w:rFonts w:ascii="宋体" w:hAnsi="宋体" w:cs="宋体"/>
          <w:bCs/>
          <w:color w:val="000000" w:themeColor="text1"/>
          <w:sz w:val="32"/>
          <w:szCs w:val="32"/>
          <w:highlight w:val="none"/>
          <w14:textFill>
            <w14:solidFill>
              <w14:schemeClr w14:val="tx1"/>
            </w14:solidFill>
          </w14:textFill>
        </w:rPr>
      </w:pPr>
    </w:p>
    <w:p>
      <w:pPr>
        <w:pStyle w:val="7"/>
        <w:snapToGrid w:val="0"/>
        <w:spacing w:before="50" w:after="50"/>
        <w:ind w:firstLine="720" w:firstLineChars="225"/>
        <w:rPr>
          <w:rFonts w:ascii="宋体" w:hAnsi="宋体" w:cs="宋体"/>
          <w:bCs/>
          <w:color w:val="000000" w:themeColor="text1"/>
          <w:sz w:val="32"/>
          <w:szCs w:val="32"/>
          <w:highlight w:val="none"/>
          <w14:textFill>
            <w14:solidFill>
              <w14:schemeClr w14:val="tx1"/>
            </w14:solidFill>
          </w14:textFill>
        </w:rPr>
      </w:pPr>
    </w:p>
    <w:p>
      <w:pPr>
        <w:pStyle w:val="7"/>
        <w:snapToGrid w:val="0"/>
        <w:spacing w:before="50" w:after="50"/>
        <w:ind w:firstLine="720" w:firstLineChars="225"/>
        <w:rPr>
          <w:rFonts w:ascii="宋体" w:hAnsi="宋体" w:cs="宋体"/>
          <w:bCs/>
          <w:color w:val="000000" w:themeColor="text1"/>
          <w:sz w:val="32"/>
          <w:szCs w:val="32"/>
          <w:highlight w:val="none"/>
          <w14:textFill>
            <w14:solidFill>
              <w14:schemeClr w14:val="tx1"/>
            </w14:solidFill>
          </w14:textFill>
        </w:rPr>
      </w:pPr>
    </w:p>
    <w:p>
      <w:pPr>
        <w:pStyle w:val="7"/>
        <w:snapToGrid w:val="0"/>
        <w:spacing w:before="50" w:after="50"/>
        <w:ind w:firstLine="1280" w:firstLineChars="400"/>
        <w:rPr>
          <w:rFonts w:ascii="宋体" w:hAnsi="宋体" w:cs="宋体"/>
          <w:bCs/>
          <w:color w:val="000000" w:themeColor="text1"/>
          <w:sz w:val="32"/>
          <w:szCs w:val="32"/>
          <w:highlight w:val="none"/>
          <w14:textFill>
            <w14:solidFill>
              <w14:schemeClr w14:val="tx1"/>
            </w14:solidFill>
          </w14:textFill>
        </w:rPr>
      </w:pPr>
    </w:p>
    <w:p>
      <w:pPr>
        <w:snapToGrid w:val="0"/>
        <w:spacing w:beforeLines="50" w:after="50"/>
        <w:jc w:val="center"/>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年    月    日</w:t>
      </w:r>
    </w:p>
    <w:p>
      <w:pPr>
        <w:snapToGrid w:val="0"/>
        <w:spacing w:beforeLines="50" w:after="50" w:line="360" w:lineRule="auto"/>
        <w:ind w:left="142"/>
        <w:jc w:val="left"/>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r>
        <w:rPr>
          <w:rFonts w:hint="eastAsia" w:ascii="宋体" w:hAnsi="宋体" w:cs="宋体"/>
          <w:b/>
          <w:bCs/>
          <w:color w:val="000000" w:themeColor="text1"/>
          <w:sz w:val="32"/>
          <w:szCs w:val="32"/>
          <w:highlight w:val="none"/>
          <w14:textFill>
            <w14:solidFill>
              <w14:schemeClr w14:val="tx1"/>
            </w14:solidFill>
          </w14:textFill>
        </w:rPr>
        <w:t>2.资格证明文件目录</w:t>
      </w:r>
    </w:p>
    <w:p>
      <w:pPr>
        <w:snapToGrid w:val="0"/>
        <w:spacing w:beforeLines="50" w:after="50" w:line="360" w:lineRule="auto"/>
        <w:ind w:firstLine="645"/>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根据谈判文件规定及供应商提供的材料自行编写目录（部分格式后附）。</w:t>
      </w:r>
    </w:p>
    <w:p>
      <w:pPr>
        <w:snapToGrid w:val="0"/>
        <w:spacing w:beforeLines="50" w:after="50" w:line="360" w:lineRule="auto"/>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 xml:space="preserve"> </w:t>
      </w:r>
    </w:p>
    <w:p>
      <w:pPr>
        <w:spacing w:line="360" w:lineRule="auto"/>
        <w:rPr>
          <w:rFonts w:ascii="宋体" w:hAnsi="宋体" w:cs="宋体"/>
          <w:color w:val="000000" w:themeColor="text1"/>
          <w:szCs w:val="21"/>
          <w:highlight w:val="none"/>
          <w14:textFill>
            <w14:solidFill>
              <w14:schemeClr w14:val="tx1"/>
            </w14:solidFill>
          </w14:textFill>
        </w:rPr>
      </w:pPr>
    </w:p>
    <w:p>
      <w:pPr>
        <w:spacing w:line="360" w:lineRule="auto"/>
        <w:rPr>
          <w:rFonts w:ascii="宋体" w:hAnsi="宋体" w:cs="宋体"/>
          <w:color w:val="000000" w:themeColor="text1"/>
          <w:szCs w:val="21"/>
          <w:highlight w:val="none"/>
          <w14:textFill>
            <w14:solidFill>
              <w14:schemeClr w14:val="tx1"/>
            </w14:solidFill>
          </w14:textFill>
        </w:rPr>
      </w:pPr>
    </w:p>
    <w:p>
      <w:pPr>
        <w:spacing w:line="360" w:lineRule="auto"/>
        <w:rPr>
          <w:rFonts w:ascii="宋体" w:hAnsi="宋体" w:cs="宋体"/>
          <w:color w:val="000000" w:themeColor="text1"/>
          <w:szCs w:val="21"/>
          <w:highlight w:val="none"/>
          <w14:textFill>
            <w14:solidFill>
              <w14:schemeClr w14:val="tx1"/>
            </w14:solidFill>
          </w14:textFill>
        </w:rPr>
      </w:pPr>
    </w:p>
    <w:p>
      <w:pPr>
        <w:spacing w:line="360" w:lineRule="auto"/>
        <w:rPr>
          <w:rFonts w:ascii="宋体" w:hAnsi="宋体" w:cs="宋体"/>
          <w:color w:val="000000" w:themeColor="text1"/>
          <w:szCs w:val="21"/>
          <w:highlight w:val="none"/>
          <w14:textFill>
            <w14:solidFill>
              <w14:schemeClr w14:val="tx1"/>
            </w14:solidFill>
          </w14:textFill>
        </w:rPr>
      </w:pPr>
    </w:p>
    <w:p>
      <w:pPr>
        <w:spacing w:line="300" w:lineRule="auto"/>
        <w:rPr>
          <w:rFonts w:ascii="宋体" w:hAnsi="宋体" w:cs="宋体"/>
          <w:color w:val="000000" w:themeColor="text1"/>
          <w:szCs w:val="21"/>
          <w:highlight w:val="none"/>
          <w14:textFill>
            <w14:solidFill>
              <w14:schemeClr w14:val="tx1"/>
            </w14:solidFill>
          </w14:textFill>
        </w:rPr>
      </w:pPr>
    </w:p>
    <w:p>
      <w:pPr>
        <w:spacing w:line="300" w:lineRule="auto"/>
        <w:rPr>
          <w:rFonts w:ascii="宋体" w:hAnsi="宋体" w:cs="宋体"/>
          <w:color w:val="000000" w:themeColor="text1"/>
          <w:szCs w:val="21"/>
          <w:highlight w:val="none"/>
          <w14:textFill>
            <w14:solidFill>
              <w14:schemeClr w14:val="tx1"/>
            </w14:solidFill>
          </w14:textFill>
        </w:rPr>
      </w:pPr>
    </w:p>
    <w:p>
      <w:pPr>
        <w:spacing w:line="300" w:lineRule="auto"/>
        <w:rPr>
          <w:rFonts w:ascii="宋体" w:hAnsi="宋体" w:cs="宋体"/>
          <w:color w:val="000000" w:themeColor="text1"/>
          <w:szCs w:val="21"/>
          <w:highlight w:val="none"/>
          <w14:textFill>
            <w14:solidFill>
              <w14:schemeClr w14:val="tx1"/>
            </w14:solidFill>
          </w14:textFill>
        </w:rPr>
      </w:pPr>
    </w:p>
    <w:p>
      <w:pPr>
        <w:spacing w:line="300" w:lineRule="auto"/>
        <w:rPr>
          <w:rFonts w:ascii="宋体" w:hAnsi="宋体" w:cs="宋体"/>
          <w:color w:val="000000" w:themeColor="text1"/>
          <w:szCs w:val="21"/>
          <w:highlight w:val="none"/>
          <w14:textFill>
            <w14:solidFill>
              <w14:schemeClr w14:val="tx1"/>
            </w14:solidFill>
          </w14:textFill>
        </w:rPr>
      </w:pPr>
    </w:p>
    <w:p>
      <w:pPr>
        <w:spacing w:line="300" w:lineRule="auto"/>
        <w:rPr>
          <w:rFonts w:ascii="宋体" w:hAnsi="宋体" w:cs="宋体"/>
          <w:color w:val="000000" w:themeColor="text1"/>
          <w:szCs w:val="21"/>
          <w:highlight w:val="none"/>
          <w14:textFill>
            <w14:solidFill>
              <w14:schemeClr w14:val="tx1"/>
            </w14:solidFill>
          </w14:textFill>
        </w:rPr>
      </w:pPr>
    </w:p>
    <w:p>
      <w:pPr>
        <w:spacing w:line="300" w:lineRule="auto"/>
        <w:rPr>
          <w:rFonts w:ascii="宋体" w:hAnsi="宋体" w:cs="宋体"/>
          <w:color w:val="000000" w:themeColor="text1"/>
          <w:szCs w:val="21"/>
          <w:highlight w:val="none"/>
          <w14:textFill>
            <w14:solidFill>
              <w14:schemeClr w14:val="tx1"/>
            </w14:solidFill>
          </w14:textFill>
        </w:rPr>
      </w:pPr>
    </w:p>
    <w:p>
      <w:pPr>
        <w:spacing w:line="300" w:lineRule="auto"/>
        <w:rPr>
          <w:rFonts w:ascii="宋体" w:hAnsi="宋体" w:cs="宋体"/>
          <w:color w:val="000000" w:themeColor="text1"/>
          <w:szCs w:val="21"/>
          <w:highlight w:val="none"/>
          <w14:textFill>
            <w14:solidFill>
              <w14:schemeClr w14:val="tx1"/>
            </w14:solidFill>
          </w14:textFill>
        </w:rPr>
      </w:pPr>
    </w:p>
    <w:p>
      <w:pPr>
        <w:spacing w:line="300" w:lineRule="auto"/>
        <w:rPr>
          <w:rFonts w:ascii="宋体" w:hAnsi="宋体" w:cs="宋体"/>
          <w:color w:val="000000" w:themeColor="text1"/>
          <w:szCs w:val="21"/>
          <w:highlight w:val="none"/>
          <w14:textFill>
            <w14:solidFill>
              <w14:schemeClr w14:val="tx1"/>
            </w14:solidFill>
          </w14:textFill>
        </w:rPr>
      </w:pPr>
    </w:p>
    <w:p>
      <w:pPr>
        <w:spacing w:line="300" w:lineRule="auto"/>
        <w:rPr>
          <w:rFonts w:ascii="宋体" w:hAnsi="宋体" w:cs="宋体"/>
          <w:color w:val="000000" w:themeColor="text1"/>
          <w:szCs w:val="21"/>
          <w:highlight w:val="none"/>
          <w14:textFill>
            <w14:solidFill>
              <w14:schemeClr w14:val="tx1"/>
            </w14:solidFill>
          </w14:textFill>
        </w:rPr>
      </w:pPr>
    </w:p>
    <w:p>
      <w:pPr>
        <w:spacing w:line="300" w:lineRule="auto"/>
        <w:rPr>
          <w:rFonts w:ascii="宋体" w:hAnsi="宋体" w:cs="宋体"/>
          <w:color w:val="000000" w:themeColor="text1"/>
          <w:szCs w:val="21"/>
          <w:highlight w:val="none"/>
          <w14:textFill>
            <w14:solidFill>
              <w14:schemeClr w14:val="tx1"/>
            </w14:solidFill>
          </w14:textFill>
        </w:rPr>
      </w:pPr>
    </w:p>
    <w:p>
      <w:pPr>
        <w:spacing w:line="300" w:lineRule="auto"/>
        <w:rPr>
          <w:rFonts w:ascii="宋体" w:hAnsi="宋体" w:cs="宋体"/>
          <w:color w:val="000000" w:themeColor="text1"/>
          <w:szCs w:val="21"/>
          <w:highlight w:val="none"/>
          <w14:textFill>
            <w14:solidFill>
              <w14:schemeClr w14:val="tx1"/>
            </w14:solidFill>
          </w14:textFill>
        </w:rPr>
      </w:pPr>
    </w:p>
    <w:p>
      <w:pPr>
        <w:spacing w:line="320" w:lineRule="exact"/>
        <w:jc w:val="left"/>
        <w:rPr>
          <w:rFonts w:ascii="宋体" w:hAnsi="宋体" w:cs="宋体"/>
          <w:color w:val="000000" w:themeColor="text1"/>
          <w:szCs w:val="21"/>
          <w:highlight w:val="none"/>
          <w14:textFill>
            <w14:solidFill>
              <w14:schemeClr w14:val="tx1"/>
            </w14:solidFill>
          </w14:textFill>
        </w:rPr>
      </w:pPr>
    </w:p>
    <w:p>
      <w:pPr>
        <w:snapToGrid w:val="0"/>
        <w:spacing w:beforeLines="50" w:after="50"/>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br w:type="page"/>
      </w:r>
      <w:r>
        <w:rPr>
          <w:rFonts w:hint="eastAsia" w:ascii="宋体" w:hAnsi="宋体" w:cs="宋体"/>
          <w:b/>
          <w:color w:val="000000" w:themeColor="text1"/>
          <w:sz w:val="32"/>
          <w:szCs w:val="32"/>
          <w:highlight w:val="none"/>
          <w14:textFill>
            <w14:solidFill>
              <w14:schemeClr w14:val="tx1"/>
            </w14:solidFill>
          </w14:textFill>
        </w:rPr>
        <w:t>供应商直接控股、管理关系信息表</w:t>
      </w:r>
    </w:p>
    <w:p>
      <w:pPr>
        <w:snapToGrid w:val="0"/>
        <w:spacing w:beforeLines="50" w:after="50"/>
        <w:jc w:val="center"/>
        <w:rPr>
          <w:rFonts w:ascii="宋体" w:hAnsi="宋体" w:cs="宋体"/>
          <w:b/>
          <w:color w:val="000000" w:themeColor="text1"/>
          <w:sz w:val="32"/>
          <w:szCs w:val="32"/>
          <w:highlight w:val="none"/>
          <w14:textFill>
            <w14:solidFill>
              <w14:schemeClr w14:val="tx1"/>
            </w14:solidFill>
          </w14:textFill>
        </w:rPr>
      </w:pPr>
    </w:p>
    <w:p>
      <w:pPr>
        <w:snapToGrid w:val="0"/>
        <w:spacing w:beforeLines="50" w:after="50"/>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供应商直接控股股东信息表</w:t>
      </w:r>
    </w:p>
    <w:p>
      <w:pPr>
        <w:snapToGrid w:val="0"/>
        <w:spacing w:before="50" w:afterLines="50"/>
        <w:jc w:val="center"/>
        <w:rPr>
          <w:rFonts w:ascii="宋体" w:hAnsi="宋体" w:cs="宋体"/>
          <w:b/>
          <w:color w:val="000000" w:themeColor="text1"/>
          <w:szCs w:val="21"/>
          <w:highlight w:val="none"/>
          <w14:textFill>
            <w14:solidFill>
              <w14:schemeClr w14:val="tx1"/>
            </w14:solidFill>
          </w14:textFill>
        </w:rPr>
      </w:pPr>
    </w:p>
    <w:tbl>
      <w:tblPr>
        <w:tblStyle w:val="28"/>
        <w:tblW w:w="10152" w:type="dxa"/>
        <w:jc w:val="center"/>
        <w:shd w:val="clear" w:color="auto" w:fill="FBFBFB"/>
        <w:tblLayout w:type="fixed"/>
        <w:tblCellMar>
          <w:top w:w="0" w:type="dxa"/>
          <w:left w:w="0" w:type="dxa"/>
          <w:bottom w:w="0" w:type="dxa"/>
          <w:right w:w="0" w:type="dxa"/>
        </w:tblCellMar>
      </w:tblPr>
      <w:tblGrid>
        <w:gridCol w:w="881"/>
        <w:gridCol w:w="2656"/>
        <w:gridCol w:w="1456"/>
        <w:gridCol w:w="4289"/>
        <w:gridCol w:w="870"/>
      </w:tblGrid>
      <w:tr>
        <w:tblPrEx>
          <w:shd w:val="clear" w:color="auto" w:fill="FBFBFB"/>
          <w:tblCellMar>
            <w:top w:w="0" w:type="dxa"/>
            <w:left w:w="0" w:type="dxa"/>
            <w:bottom w:w="0" w:type="dxa"/>
            <w:right w:w="0" w:type="dxa"/>
          </w:tblCellMar>
        </w:tblPrEx>
        <w:trPr>
          <w:tblHeader/>
          <w:jc w:val="center"/>
        </w:trPr>
        <w:tc>
          <w:tcPr>
            <w:tcW w:w="881"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spacing w:line="360" w:lineRule="auto"/>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序号</w:t>
            </w:r>
          </w:p>
        </w:tc>
        <w:tc>
          <w:tcPr>
            <w:tcW w:w="2656"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spacing w:line="360" w:lineRule="auto"/>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直接控股股东名称</w:t>
            </w:r>
          </w:p>
        </w:tc>
        <w:tc>
          <w:tcPr>
            <w:tcW w:w="1456"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spacing w:line="360" w:lineRule="auto"/>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出资比例</w:t>
            </w:r>
          </w:p>
        </w:tc>
        <w:tc>
          <w:tcPr>
            <w:tcW w:w="428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spacing w:line="360" w:lineRule="auto"/>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spacing w:line="360" w:lineRule="auto"/>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备注</w:t>
            </w:r>
          </w:p>
        </w:tc>
      </w:tr>
      <w:tr>
        <w:tblPrEx>
          <w:tblCellMar>
            <w:top w:w="0" w:type="dxa"/>
            <w:left w:w="0" w:type="dxa"/>
            <w:bottom w:w="0" w:type="dxa"/>
            <w:right w:w="0" w:type="dxa"/>
          </w:tblCellMar>
        </w:tblPrEx>
        <w:trPr>
          <w:jc w:val="center"/>
        </w:trPr>
        <w:tc>
          <w:tcPr>
            <w:tcW w:w="88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265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p>
        </w:tc>
        <w:tc>
          <w:tcPr>
            <w:tcW w:w="145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p>
        </w:tc>
        <w:tc>
          <w:tcPr>
            <w:tcW w:w="42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p>
        </w:tc>
      </w:tr>
      <w:tr>
        <w:tblPrEx>
          <w:tblCellMar>
            <w:top w:w="0" w:type="dxa"/>
            <w:left w:w="0" w:type="dxa"/>
            <w:bottom w:w="0" w:type="dxa"/>
            <w:right w:w="0" w:type="dxa"/>
          </w:tblCellMar>
        </w:tblPrEx>
        <w:trPr>
          <w:jc w:val="center"/>
        </w:trPr>
        <w:tc>
          <w:tcPr>
            <w:tcW w:w="88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p>
        </w:tc>
        <w:tc>
          <w:tcPr>
            <w:tcW w:w="265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p>
        </w:tc>
        <w:tc>
          <w:tcPr>
            <w:tcW w:w="145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p>
        </w:tc>
        <w:tc>
          <w:tcPr>
            <w:tcW w:w="42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p>
        </w:tc>
      </w:tr>
      <w:tr>
        <w:tblPrEx>
          <w:tblCellMar>
            <w:top w:w="0" w:type="dxa"/>
            <w:left w:w="0" w:type="dxa"/>
            <w:bottom w:w="0" w:type="dxa"/>
            <w:right w:w="0" w:type="dxa"/>
          </w:tblCellMar>
        </w:tblPrEx>
        <w:trPr>
          <w:jc w:val="center"/>
        </w:trPr>
        <w:tc>
          <w:tcPr>
            <w:tcW w:w="88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p>
        </w:tc>
        <w:tc>
          <w:tcPr>
            <w:tcW w:w="265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p>
        </w:tc>
        <w:tc>
          <w:tcPr>
            <w:tcW w:w="145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p>
        </w:tc>
        <w:tc>
          <w:tcPr>
            <w:tcW w:w="42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p>
        </w:tc>
      </w:tr>
      <w:tr>
        <w:tblPrEx>
          <w:tblCellMar>
            <w:top w:w="0" w:type="dxa"/>
            <w:left w:w="0" w:type="dxa"/>
            <w:bottom w:w="0" w:type="dxa"/>
            <w:right w:w="0" w:type="dxa"/>
          </w:tblCellMar>
        </w:tblPrEx>
        <w:trPr>
          <w:jc w:val="center"/>
        </w:trPr>
        <w:tc>
          <w:tcPr>
            <w:tcW w:w="88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p>
        </w:tc>
        <w:tc>
          <w:tcPr>
            <w:tcW w:w="265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p>
        </w:tc>
        <w:tc>
          <w:tcPr>
            <w:tcW w:w="145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p>
        </w:tc>
        <w:tc>
          <w:tcPr>
            <w:tcW w:w="42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p>
        </w:tc>
      </w:tr>
    </w:tbl>
    <w:p>
      <w:pPr>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2.本表所指的控股关系仅限于直接控股关系，不包括间接的控股关系。公司实际控制人与公司之间的关系不属于本表所指的直接控股关系。</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3.供应商不存在直接控股股东的，则在“直接控股股东名称”填“无”。</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p>
    <w:p>
      <w:pPr>
        <w:spacing w:line="360" w:lineRule="auto"/>
        <w:ind w:right="480"/>
        <w:contextualSpacing/>
        <w:jc w:val="center"/>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法定代表人或者委托代理人（签字或者电子签名）：</w:t>
      </w:r>
      <w:r>
        <w:rPr>
          <w:rFonts w:hint="eastAsia" w:ascii="宋体" w:hAnsi="宋体" w:cs="宋体"/>
          <w:color w:val="000000" w:themeColor="text1"/>
          <w:szCs w:val="21"/>
          <w:highlight w:val="none"/>
          <w:u w:val="single"/>
          <w14:textFill>
            <w14:solidFill>
              <w14:schemeClr w14:val="tx1"/>
            </w14:solidFill>
          </w14:textFill>
        </w:rPr>
        <w:t xml:space="preserve">                    </w:t>
      </w:r>
    </w:p>
    <w:p>
      <w:pPr>
        <w:spacing w:line="360" w:lineRule="auto"/>
        <w:ind w:right="480" w:firstLine="2625" w:firstLineChars="1250"/>
        <w:contextualSpacing/>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供应商（电子签章）： </w:t>
      </w:r>
      <w:r>
        <w:rPr>
          <w:rFonts w:hint="eastAsia" w:ascii="宋体" w:hAnsi="宋体" w:cs="宋体"/>
          <w:color w:val="000000" w:themeColor="text1"/>
          <w:szCs w:val="21"/>
          <w:highlight w:val="none"/>
          <w:u w:val="single"/>
          <w14:textFill>
            <w14:solidFill>
              <w14:schemeClr w14:val="tx1"/>
            </w14:solidFill>
          </w14:textFill>
        </w:rPr>
        <w:t xml:space="preserve">                              </w:t>
      </w:r>
    </w:p>
    <w:p>
      <w:pPr>
        <w:spacing w:line="360" w:lineRule="auto"/>
        <w:ind w:right="480" w:firstLine="4620" w:firstLineChars="220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年    月    日</w:t>
      </w:r>
    </w:p>
    <w:p>
      <w:pPr>
        <w:snapToGrid w:val="0"/>
        <w:jc w:val="center"/>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br w:type="page"/>
      </w:r>
    </w:p>
    <w:p>
      <w:pPr>
        <w:snapToGrid w:val="0"/>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供应商直接管理关系信息表</w:t>
      </w:r>
    </w:p>
    <w:p>
      <w:pPr>
        <w:snapToGrid w:val="0"/>
        <w:jc w:val="center"/>
        <w:rPr>
          <w:rFonts w:ascii="宋体" w:hAnsi="宋体" w:cs="宋体"/>
          <w:b/>
          <w:color w:val="000000" w:themeColor="text1"/>
          <w:sz w:val="32"/>
          <w:szCs w:val="32"/>
          <w:highlight w:val="none"/>
          <w14:textFill>
            <w14:solidFill>
              <w14:schemeClr w14:val="tx1"/>
            </w14:solidFill>
          </w14:textFill>
        </w:rPr>
      </w:pPr>
    </w:p>
    <w:tbl>
      <w:tblPr>
        <w:tblStyle w:val="28"/>
        <w:tblW w:w="9648" w:type="dxa"/>
        <w:jc w:val="center"/>
        <w:shd w:val="clear" w:color="auto" w:fill="FBFBFB"/>
        <w:tblLayout w:type="fixed"/>
        <w:tblCellMar>
          <w:top w:w="0" w:type="dxa"/>
          <w:left w:w="0" w:type="dxa"/>
          <w:bottom w:w="0" w:type="dxa"/>
          <w:right w:w="0" w:type="dxa"/>
        </w:tblCellMar>
      </w:tblPr>
      <w:tblGrid>
        <w:gridCol w:w="809"/>
        <w:gridCol w:w="3598"/>
        <w:gridCol w:w="3553"/>
        <w:gridCol w:w="1688"/>
      </w:tblGrid>
      <w:tr>
        <w:tblPrEx>
          <w:shd w:val="clear" w:color="auto" w:fill="FBFBFB"/>
          <w:tblCellMar>
            <w:top w:w="0" w:type="dxa"/>
            <w:left w:w="0" w:type="dxa"/>
            <w:bottom w:w="0" w:type="dxa"/>
            <w:right w:w="0" w:type="dxa"/>
          </w:tblCellMar>
        </w:tblPrEx>
        <w:trPr>
          <w:tblHeader/>
          <w:jc w:val="center"/>
        </w:trPr>
        <w:tc>
          <w:tcPr>
            <w:tcW w:w="80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序号</w:t>
            </w:r>
          </w:p>
        </w:tc>
        <w:tc>
          <w:tcPr>
            <w:tcW w:w="359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直接管理关系单位名称</w:t>
            </w:r>
          </w:p>
        </w:tc>
        <w:tc>
          <w:tcPr>
            <w:tcW w:w="3553"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统一社会信用代码</w:t>
            </w:r>
          </w:p>
        </w:tc>
        <w:tc>
          <w:tcPr>
            <w:tcW w:w="168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备注</w:t>
            </w:r>
          </w:p>
        </w:tc>
      </w:tr>
      <w:tr>
        <w:tblPrEx>
          <w:tblCellMar>
            <w:top w:w="0" w:type="dxa"/>
            <w:left w:w="0" w:type="dxa"/>
            <w:bottom w:w="0" w:type="dxa"/>
            <w:right w:w="0" w:type="dxa"/>
          </w:tblCellMar>
        </w:tblPrEx>
        <w:trPr>
          <w:jc w:val="center"/>
        </w:trPr>
        <w:tc>
          <w:tcPr>
            <w:tcW w:w="80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359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Cs w:val="21"/>
                <w:highlight w:val="none"/>
                <w14:textFill>
                  <w14:solidFill>
                    <w14:schemeClr w14:val="tx1"/>
                  </w14:solidFill>
                </w14:textFill>
              </w:rPr>
            </w:pPr>
          </w:p>
        </w:tc>
        <w:tc>
          <w:tcPr>
            <w:tcW w:w="355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Cs w:val="21"/>
                <w:highlight w:val="none"/>
                <w14:textFill>
                  <w14:solidFill>
                    <w14:schemeClr w14:val="tx1"/>
                  </w14:solidFill>
                </w14:textFill>
              </w:rPr>
            </w:pPr>
          </w:p>
        </w:tc>
        <w:tc>
          <w:tcPr>
            <w:tcW w:w="168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Cs w:val="21"/>
                <w:highlight w:val="none"/>
                <w14:textFill>
                  <w14:solidFill>
                    <w14:schemeClr w14:val="tx1"/>
                  </w14:solidFill>
                </w14:textFill>
              </w:rPr>
            </w:pPr>
          </w:p>
        </w:tc>
      </w:tr>
      <w:tr>
        <w:tblPrEx>
          <w:tblCellMar>
            <w:top w:w="0" w:type="dxa"/>
            <w:left w:w="0" w:type="dxa"/>
            <w:bottom w:w="0" w:type="dxa"/>
            <w:right w:w="0" w:type="dxa"/>
          </w:tblCellMar>
        </w:tblPrEx>
        <w:trPr>
          <w:jc w:val="center"/>
        </w:trPr>
        <w:tc>
          <w:tcPr>
            <w:tcW w:w="80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p>
        </w:tc>
        <w:tc>
          <w:tcPr>
            <w:tcW w:w="359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Cs w:val="21"/>
                <w:highlight w:val="none"/>
                <w14:textFill>
                  <w14:solidFill>
                    <w14:schemeClr w14:val="tx1"/>
                  </w14:solidFill>
                </w14:textFill>
              </w:rPr>
            </w:pPr>
          </w:p>
        </w:tc>
        <w:tc>
          <w:tcPr>
            <w:tcW w:w="355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Cs w:val="21"/>
                <w:highlight w:val="none"/>
                <w14:textFill>
                  <w14:solidFill>
                    <w14:schemeClr w14:val="tx1"/>
                  </w14:solidFill>
                </w14:textFill>
              </w:rPr>
            </w:pPr>
          </w:p>
        </w:tc>
        <w:tc>
          <w:tcPr>
            <w:tcW w:w="168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Cs w:val="21"/>
                <w:highlight w:val="none"/>
                <w14:textFill>
                  <w14:solidFill>
                    <w14:schemeClr w14:val="tx1"/>
                  </w14:solidFill>
                </w14:textFill>
              </w:rPr>
            </w:pPr>
          </w:p>
        </w:tc>
      </w:tr>
      <w:tr>
        <w:tblPrEx>
          <w:tblCellMar>
            <w:top w:w="0" w:type="dxa"/>
            <w:left w:w="0" w:type="dxa"/>
            <w:bottom w:w="0" w:type="dxa"/>
            <w:right w:w="0" w:type="dxa"/>
          </w:tblCellMar>
        </w:tblPrEx>
        <w:trPr>
          <w:jc w:val="center"/>
        </w:trPr>
        <w:tc>
          <w:tcPr>
            <w:tcW w:w="80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p>
        </w:tc>
        <w:tc>
          <w:tcPr>
            <w:tcW w:w="359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Cs w:val="21"/>
                <w:highlight w:val="none"/>
                <w14:textFill>
                  <w14:solidFill>
                    <w14:schemeClr w14:val="tx1"/>
                  </w14:solidFill>
                </w14:textFill>
              </w:rPr>
            </w:pPr>
          </w:p>
        </w:tc>
        <w:tc>
          <w:tcPr>
            <w:tcW w:w="355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Cs w:val="21"/>
                <w:highlight w:val="none"/>
                <w14:textFill>
                  <w14:solidFill>
                    <w14:schemeClr w14:val="tx1"/>
                  </w14:solidFill>
                </w14:textFill>
              </w:rPr>
            </w:pPr>
          </w:p>
        </w:tc>
        <w:tc>
          <w:tcPr>
            <w:tcW w:w="168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Cs w:val="21"/>
                <w:highlight w:val="none"/>
                <w14:textFill>
                  <w14:solidFill>
                    <w14:schemeClr w14:val="tx1"/>
                  </w14:solidFill>
                </w14:textFill>
              </w:rPr>
            </w:pPr>
          </w:p>
        </w:tc>
      </w:tr>
      <w:tr>
        <w:tblPrEx>
          <w:tblCellMar>
            <w:top w:w="0" w:type="dxa"/>
            <w:left w:w="0" w:type="dxa"/>
            <w:bottom w:w="0" w:type="dxa"/>
            <w:right w:w="0" w:type="dxa"/>
          </w:tblCellMar>
        </w:tblPrEx>
        <w:trPr>
          <w:jc w:val="center"/>
        </w:trPr>
        <w:tc>
          <w:tcPr>
            <w:tcW w:w="80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p>
        </w:tc>
        <w:tc>
          <w:tcPr>
            <w:tcW w:w="359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Cs w:val="21"/>
                <w:highlight w:val="none"/>
                <w14:textFill>
                  <w14:solidFill>
                    <w14:schemeClr w14:val="tx1"/>
                  </w14:solidFill>
                </w14:textFill>
              </w:rPr>
            </w:pPr>
          </w:p>
        </w:tc>
        <w:tc>
          <w:tcPr>
            <w:tcW w:w="355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Cs w:val="21"/>
                <w:highlight w:val="none"/>
                <w14:textFill>
                  <w14:solidFill>
                    <w14:schemeClr w14:val="tx1"/>
                  </w14:solidFill>
                </w14:textFill>
              </w:rPr>
            </w:pPr>
          </w:p>
        </w:tc>
        <w:tc>
          <w:tcPr>
            <w:tcW w:w="168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Cs w:val="21"/>
                <w:highlight w:val="none"/>
                <w14:textFill>
                  <w14:solidFill>
                    <w14:schemeClr w14:val="tx1"/>
                  </w14:solidFill>
                </w14:textFill>
              </w:rPr>
            </w:pPr>
          </w:p>
        </w:tc>
      </w:tr>
    </w:tbl>
    <w:p>
      <w:pPr>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1.管理关系：是指不具有出资持股关系的其他单位之间存在的管理与被管理关系，如一些上下级关系的事业单位和团体组织。</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pacing w:val="-6"/>
          <w:szCs w:val="21"/>
          <w:highlight w:val="none"/>
          <w14:textFill>
            <w14:solidFill>
              <w14:schemeClr w14:val="tx1"/>
            </w14:solidFill>
          </w14:textFill>
        </w:rPr>
        <w:t>本表所指的管理关系仅限于直接管理关系，不包括间接的管理关系。</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3.供应商不存在直接管理关系的，则在“直接管理关系单位名称”填“无”。</w:t>
      </w:r>
    </w:p>
    <w:p>
      <w:pPr>
        <w:spacing w:line="360" w:lineRule="auto"/>
        <w:jc w:val="left"/>
        <w:rPr>
          <w:rFonts w:ascii="宋体" w:hAnsi="宋体" w:cs="宋体"/>
          <w:color w:val="000000" w:themeColor="text1"/>
          <w:szCs w:val="21"/>
          <w:highlight w:val="none"/>
          <w14:textFill>
            <w14:solidFill>
              <w14:schemeClr w14:val="tx1"/>
            </w14:solidFill>
          </w14:textFill>
        </w:rPr>
      </w:pPr>
    </w:p>
    <w:p>
      <w:pPr>
        <w:spacing w:line="360" w:lineRule="auto"/>
        <w:jc w:val="left"/>
        <w:rPr>
          <w:rFonts w:ascii="宋体" w:hAnsi="宋体" w:cs="宋体"/>
          <w:color w:val="000000" w:themeColor="text1"/>
          <w:szCs w:val="21"/>
          <w:highlight w:val="none"/>
          <w14:textFill>
            <w14:solidFill>
              <w14:schemeClr w14:val="tx1"/>
            </w14:solidFill>
          </w14:textFill>
        </w:rPr>
      </w:pPr>
    </w:p>
    <w:p>
      <w:pPr>
        <w:spacing w:line="360" w:lineRule="auto"/>
        <w:jc w:val="left"/>
        <w:rPr>
          <w:rFonts w:ascii="宋体" w:hAnsi="宋体" w:cs="宋体"/>
          <w:color w:val="000000" w:themeColor="text1"/>
          <w:szCs w:val="21"/>
          <w:highlight w:val="none"/>
          <w14:textFill>
            <w14:solidFill>
              <w14:schemeClr w14:val="tx1"/>
            </w14:solidFill>
          </w14:textFill>
        </w:rPr>
      </w:pPr>
    </w:p>
    <w:p>
      <w:pPr>
        <w:spacing w:line="360" w:lineRule="auto"/>
        <w:jc w:val="left"/>
        <w:rPr>
          <w:rFonts w:ascii="宋体" w:hAnsi="宋体" w:cs="宋体"/>
          <w:color w:val="000000" w:themeColor="text1"/>
          <w:szCs w:val="21"/>
          <w:highlight w:val="none"/>
          <w14:textFill>
            <w14:solidFill>
              <w14:schemeClr w14:val="tx1"/>
            </w14:solidFill>
          </w14:textFill>
        </w:rPr>
      </w:pPr>
    </w:p>
    <w:p>
      <w:pPr>
        <w:spacing w:line="360" w:lineRule="auto"/>
        <w:jc w:val="left"/>
        <w:rPr>
          <w:rFonts w:ascii="宋体" w:hAnsi="宋体" w:cs="宋体"/>
          <w:color w:val="000000" w:themeColor="text1"/>
          <w:szCs w:val="21"/>
          <w:highlight w:val="none"/>
          <w14:textFill>
            <w14:solidFill>
              <w14:schemeClr w14:val="tx1"/>
            </w14:solidFill>
          </w14:textFill>
        </w:rPr>
      </w:pPr>
    </w:p>
    <w:p>
      <w:pPr>
        <w:spacing w:line="360" w:lineRule="auto"/>
        <w:jc w:val="left"/>
        <w:rPr>
          <w:rFonts w:ascii="宋体" w:hAnsi="宋体" w:cs="宋体"/>
          <w:color w:val="000000" w:themeColor="text1"/>
          <w:szCs w:val="21"/>
          <w:highlight w:val="none"/>
          <w14:textFill>
            <w14:solidFill>
              <w14:schemeClr w14:val="tx1"/>
            </w14:solidFill>
          </w14:textFill>
        </w:rPr>
      </w:pPr>
    </w:p>
    <w:p>
      <w:pPr>
        <w:spacing w:line="360" w:lineRule="auto"/>
        <w:ind w:right="480"/>
        <w:contextualSpacing/>
        <w:jc w:val="center"/>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法定代表人或者委托代理人（签字或者电子签名）：</w:t>
      </w:r>
      <w:r>
        <w:rPr>
          <w:rFonts w:hint="eastAsia" w:ascii="宋体" w:hAnsi="宋体" w:cs="宋体"/>
          <w:color w:val="000000" w:themeColor="text1"/>
          <w:szCs w:val="21"/>
          <w:highlight w:val="none"/>
          <w:u w:val="single"/>
          <w14:textFill>
            <w14:solidFill>
              <w14:schemeClr w14:val="tx1"/>
            </w14:solidFill>
          </w14:textFill>
        </w:rPr>
        <w:t xml:space="preserve">                   </w:t>
      </w:r>
    </w:p>
    <w:p>
      <w:pPr>
        <w:spacing w:line="360" w:lineRule="auto"/>
        <w:ind w:right="480" w:firstLine="2940" w:firstLineChars="140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供应商（电子签章）：</w:t>
      </w:r>
      <w:r>
        <w:rPr>
          <w:rFonts w:hint="eastAsia" w:ascii="宋体" w:hAnsi="宋体" w:cs="宋体"/>
          <w:color w:val="000000" w:themeColor="text1"/>
          <w:szCs w:val="21"/>
          <w:highlight w:val="none"/>
          <w:u w:val="single"/>
          <w14:textFill>
            <w14:solidFill>
              <w14:schemeClr w14:val="tx1"/>
            </w14:solidFill>
          </w14:textFill>
        </w:rPr>
        <w:t xml:space="preserve">                </w:t>
      </w:r>
    </w:p>
    <w:p>
      <w:pPr>
        <w:spacing w:line="360" w:lineRule="auto"/>
        <w:ind w:right="480" w:firstLine="210" w:firstLineChars="100"/>
        <w:contextualSpacing/>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年    月    日</w:t>
      </w:r>
    </w:p>
    <w:p>
      <w:pPr>
        <w:spacing w:line="500" w:lineRule="exact"/>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br w:type="page"/>
      </w:r>
      <w:r>
        <w:rPr>
          <w:rFonts w:hint="eastAsia" w:ascii="宋体" w:hAnsi="宋体" w:cs="宋体"/>
          <w:b/>
          <w:color w:val="000000" w:themeColor="text1"/>
          <w:sz w:val="32"/>
          <w:szCs w:val="32"/>
          <w:highlight w:val="none"/>
          <w14:textFill>
            <w14:solidFill>
              <w14:schemeClr w14:val="tx1"/>
            </w14:solidFill>
          </w14:textFill>
        </w:rPr>
        <w:t>竞标声明</w:t>
      </w:r>
    </w:p>
    <w:p>
      <w:pPr>
        <w:spacing w:line="320" w:lineRule="exact"/>
        <w:jc w:val="center"/>
        <w:rPr>
          <w:rFonts w:ascii="宋体" w:hAnsi="宋体" w:cs="宋体"/>
          <w:color w:val="000000" w:themeColor="text1"/>
          <w:sz w:val="24"/>
          <w:szCs w:val="20"/>
          <w:highlight w:val="none"/>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line="440" w:lineRule="exact"/>
        <w:ind w:left="0" w:leftChars="0" w:right="0"/>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致：</w:t>
      </w:r>
      <w:r>
        <w:rPr>
          <w:rFonts w:hint="eastAsia" w:ascii="宋体" w:hAnsi="宋体" w:cs="宋体"/>
          <w:color w:val="000000" w:themeColor="text1"/>
          <w:szCs w:val="21"/>
          <w:highlight w:val="none"/>
          <w:u w:val="single"/>
          <w14:textFill>
            <w14:solidFill>
              <w14:schemeClr w14:val="tx1"/>
            </w14:solidFill>
          </w14:textFill>
        </w:rPr>
        <w:t>（采购人名称）</w:t>
      </w:r>
      <w:r>
        <w:rPr>
          <w:rFonts w:hint="eastAsia" w:ascii="宋体" w:hAnsi="宋体" w:cs="宋体"/>
          <w:color w:val="000000" w:themeColor="text1"/>
          <w:szCs w:val="21"/>
          <w:highlight w:val="none"/>
          <w14:textFill>
            <w14:solidFill>
              <w14:schemeClr w14:val="tx1"/>
            </w14:solidFill>
          </w14:textFill>
        </w:rPr>
        <w:t>：</w:t>
      </w:r>
    </w:p>
    <w:p>
      <w:pPr>
        <w:keepNext w:val="0"/>
        <w:keepLines w:val="0"/>
        <w:pageBreakBefore w:val="0"/>
        <w:widowControl w:val="0"/>
        <w:kinsoku/>
        <w:wordWrap w:val="0"/>
        <w:overflowPunct/>
        <w:topLinePunct w:val="0"/>
        <w:autoSpaceDE/>
        <w:autoSpaceDN/>
        <w:bidi w:val="0"/>
        <w:adjustRightInd/>
        <w:snapToGrid/>
        <w:spacing w:line="440" w:lineRule="exact"/>
        <w:ind w:left="0" w:leftChars="0" w:right="0" w:firstLine="420" w:firstLineChars="200"/>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我方</w:t>
      </w:r>
      <w:r>
        <w:rPr>
          <w:rFonts w:hint="eastAsia" w:ascii="宋体" w:hAnsi="宋体" w:cs="宋体"/>
          <w:color w:val="000000" w:themeColor="text1"/>
          <w:szCs w:val="21"/>
          <w:highlight w:val="none"/>
          <w:u w:val="single"/>
          <w14:textFill>
            <w14:solidFill>
              <w14:schemeClr w14:val="tx1"/>
            </w14:solidFill>
          </w14:textFill>
        </w:rPr>
        <w:t>（供应商名称）</w:t>
      </w:r>
      <w:r>
        <w:rPr>
          <w:rFonts w:hint="eastAsia" w:ascii="宋体" w:hAnsi="宋体" w:cs="宋体"/>
          <w:color w:val="000000" w:themeColor="text1"/>
          <w:szCs w:val="21"/>
          <w:highlight w:val="none"/>
          <w14:textFill>
            <w14:solidFill>
              <w14:schemeClr w14:val="tx1"/>
            </w14:solidFill>
          </w14:textFill>
        </w:rPr>
        <w:t>系中华人民共和国合法供应商，经营地址</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pPr>
        <w:keepNext w:val="0"/>
        <w:keepLines w:val="0"/>
        <w:pageBreakBefore w:val="0"/>
        <w:widowControl w:val="0"/>
        <w:kinsoku/>
        <w:overflowPunct/>
        <w:topLinePunct w:val="0"/>
        <w:autoSpaceDE/>
        <w:autoSpaceDN/>
        <w:bidi w:val="0"/>
        <w:adjustRightInd/>
        <w:snapToGrid/>
        <w:spacing w:line="440" w:lineRule="exact"/>
        <w:ind w:left="0" w:leftChars="0" w:right="0" w:firstLine="420" w:firstLineChars="200"/>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我方愿意参加贵方组织的</w:t>
      </w:r>
      <w:r>
        <w:rPr>
          <w:rFonts w:hint="eastAsia" w:ascii="宋体" w:hAnsi="宋体" w:cs="宋体"/>
          <w:color w:val="000000" w:themeColor="text1"/>
          <w:szCs w:val="21"/>
          <w:highlight w:val="none"/>
          <w:u w:val="single"/>
          <w14:textFill>
            <w14:solidFill>
              <w14:schemeClr w14:val="tx1"/>
            </w14:solidFill>
          </w14:textFill>
        </w:rPr>
        <w:t>（项目名称）</w:t>
      </w:r>
      <w:r>
        <w:rPr>
          <w:rFonts w:hint="eastAsia" w:ascii="宋体" w:hAnsi="宋体" w:cs="宋体"/>
          <w:color w:val="000000" w:themeColor="text1"/>
          <w:szCs w:val="21"/>
          <w:highlight w:val="none"/>
          <w14:textFill>
            <w14:solidFill>
              <w14:schemeClr w14:val="tx1"/>
            </w14:solidFill>
          </w14:textFill>
        </w:rPr>
        <w:t>项目的竞标，为便于贵方公正、择优地确定成交供应商及其竞标产品和服务，我方就本次竞标有关事项郑重声明如下：</w:t>
      </w:r>
    </w:p>
    <w:p>
      <w:pPr>
        <w:keepNext w:val="0"/>
        <w:keepLines w:val="0"/>
        <w:pageBreakBefore w:val="0"/>
        <w:widowControl w:val="0"/>
        <w:kinsoku/>
        <w:overflowPunct/>
        <w:topLinePunct w:val="0"/>
        <w:autoSpaceDE/>
        <w:autoSpaceDN/>
        <w:bidi w:val="0"/>
        <w:adjustRightInd/>
        <w:snapToGrid/>
        <w:spacing w:line="440" w:lineRule="exact"/>
        <w:ind w:left="0" w:leftChars="0" w:right="0" w:firstLine="420" w:firstLineChars="200"/>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1.我方向贵方提交的所有响应文件、资料都是准确的和真实的。</w:t>
      </w:r>
    </w:p>
    <w:p>
      <w:pPr>
        <w:keepNext w:val="0"/>
        <w:keepLines w:val="0"/>
        <w:pageBreakBefore w:val="0"/>
        <w:widowControl w:val="0"/>
        <w:kinsoku/>
        <w:overflowPunct/>
        <w:topLinePunct w:val="0"/>
        <w:autoSpaceDE/>
        <w:autoSpaceDN/>
        <w:bidi w:val="0"/>
        <w:adjustRightInd/>
        <w:snapToGrid/>
        <w:spacing w:line="440" w:lineRule="exact"/>
        <w:ind w:left="0" w:leftChars="0" w:right="0" w:firstLine="420" w:firstLineChars="200"/>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2.我方不是为本次采购项目提供整体设计、规范编制或者项目管理、监理、检测等服务的供应商。</w:t>
      </w:r>
    </w:p>
    <w:p>
      <w:pPr>
        <w:keepNext w:val="0"/>
        <w:keepLines w:val="0"/>
        <w:pageBreakBefore w:val="0"/>
        <w:widowControl w:val="0"/>
        <w:kinsoku/>
        <w:overflowPunct/>
        <w:topLinePunct w:val="0"/>
        <w:autoSpaceDE/>
        <w:autoSpaceDN/>
        <w:bidi w:val="0"/>
        <w:adjustRightInd/>
        <w:snapToGrid/>
        <w:spacing w:line="440" w:lineRule="exact"/>
        <w:ind w:left="0" w:leftChars="0" w:right="0" w:firstLine="420" w:firstLineChars="200"/>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3.在此，我方宣布同意如下：</w:t>
      </w:r>
    </w:p>
    <w:p>
      <w:pPr>
        <w:keepNext w:val="0"/>
        <w:keepLines w:val="0"/>
        <w:pageBreakBefore w:val="0"/>
        <w:widowControl w:val="0"/>
        <w:kinsoku/>
        <w:overflowPunct/>
        <w:topLinePunct w:val="0"/>
        <w:autoSpaceDE/>
        <w:autoSpaceDN/>
        <w:bidi w:val="0"/>
        <w:adjustRightInd/>
        <w:snapToGrid/>
        <w:spacing w:line="440" w:lineRule="exact"/>
        <w:ind w:left="0" w:leftChars="0" w:right="0" w:firstLine="420" w:firstLineChars="200"/>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（1）将按谈判文件的约定履行合同责任和义务；</w:t>
      </w:r>
    </w:p>
    <w:p>
      <w:pPr>
        <w:keepNext w:val="0"/>
        <w:keepLines w:val="0"/>
        <w:pageBreakBefore w:val="0"/>
        <w:widowControl w:val="0"/>
        <w:kinsoku/>
        <w:overflowPunct/>
        <w:topLinePunct w:val="0"/>
        <w:autoSpaceDE/>
        <w:autoSpaceDN/>
        <w:bidi w:val="0"/>
        <w:adjustRightInd/>
        <w:snapToGrid/>
        <w:spacing w:line="440" w:lineRule="exact"/>
        <w:ind w:left="0" w:leftChars="0" w:right="0" w:firstLine="420" w:firstLineChars="200"/>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（2）已详细审查全部谈判文件，包括补遗文件（如有）；</w:t>
      </w:r>
    </w:p>
    <w:p>
      <w:pPr>
        <w:keepNext w:val="0"/>
        <w:keepLines w:val="0"/>
        <w:pageBreakBefore w:val="0"/>
        <w:widowControl w:val="0"/>
        <w:kinsoku/>
        <w:overflowPunct/>
        <w:topLinePunct w:val="0"/>
        <w:autoSpaceDE/>
        <w:autoSpaceDN/>
        <w:bidi w:val="0"/>
        <w:adjustRightInd/>
        <w:snapToGrid/>
        <w:spacing w:line="440" w:lineRule="exact"/>
        <w:ind w:left="0" w:leftChars="0" w:right="0" w:firstLine="420" w:firstLineChars="200"/>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（3）同意提供按照贵方可能要求的与谈判有关的一切数据或者资料；</w:t>
      </w:r>
    </w:p>
    <w:p>
      <w:pPr>
        <w:keepNext w:val="0"/>
        <w:keepLines w:val="0"/>
        <w:pageBreakBefore w:val="0"/>
        <w:widowControl w:val="0"/>
        <w:kinsoku/>
        <w:overflowPunct/>
        <w:topLinePunct w:val="0"/>
        <w:autoSpaceDE/>
        <w:autoSpaceDN/>
        <w:bidi w:val="0"/>
        <w:adjustRightInd/>
        <w:snapToGrid/>
        <w:spacing w:line="440" w:lineRule="exact"/>
        <w:ind w:left="0" w:leftChars="0" w:right="0" w:firstLine="420" w:firstLineChars="200"/>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（4）响应谈判文件规定的竞标有效期。</w:t>
      </w:r>
    </w:p>
    <w:p>
      <w:pPr>
        <w:keepNext w:val="0"/>
        <w:keepLines w:val="0"/>
        <w:pageBreakBefore w:val="0"/>
        <w:widowControl w:val="0"/>
        <w:kinsoku/>
        <w:overflowPunct/>
        <w:topLinePunct w:val="0"/>
        <w:autoSpaceDE/>
        <w:autoSpaceDN/>
        <w:bidi w:val="0"/>
        <w:adjustRightInd/>
        <w:snapToGrid/>
        <w:spacing w:line="440" w:lineRule="exact"/>
        <w:ind w:left="0" w:leftChars="0" w:right="0" w:firstLine="420" w:firstLineChars="200"/>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4.我方承诺符合《中华人民共和国政府采购法》第二十二条规定：</w:t>
      </w:r>
    </w:p>
    <w:p>
      <w:pPr>
        <w:keepNext w:val="0"/>
        <w:keepLines w:val="0"/>
        <w:pageBreakBefore w:val="0"/>
        <w:widowControl w:val="0"/>
        <w:kinsoku/>
        <w:overflowPunct/>
        <w:topLinePunct w:val="0"/>
        <w:autoSpaceDE/>
        <w:autoSpaceDN/>
        <w:bidi w:val="0"/>
        <w:adjustRightInd/>
        <w:snapToGrid/>
        <w:spacing w:line="440" w:lineRule="exact"/>
        <w:ind w:left="0" w:leftChars="0" w:right="0" w:firstLine="420" w:firstLineChars="200"/>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（1）具有独立承担民事责任的能力；</w:t>
      </w:r>
    </w:p>
    <w:p>
      <w:pPr>
        <w:keepNext w:val="0"/>
        <w:keepLines w:val="0"/>
        <w:pageBreakBefore w:val="0"/>
        <w:widowControl w:val="0"/>
        <w:kinsoku/>
        <w:overflowPunct/>
        <w:topLinePunct w:val="0"/>
        <w:autoSpaceDE/>
        <w:autoSpaceDN/>
        <w:bidi w:val="0"/>
        <w:adjustRightInd/>
        <w:snapToGrid/>
        <w:spacing w:line="440" w:lineRule="exact"/>
        <w:ind w:left="0" w:leftChars="0" w:right="0" w:firstLine="420" w:firstLineChars="200"/>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（2）具有良好的商业信誉和健全的财务会计制度；</w:t>
      </w:r>
    </w:p>
    <w:p>
      <w:pPr>
        <w:keepNext w:val="0"/>
        <w:keepLines w:val="0"/>
        <w:pageBreakBefore w:val="0"/>
        <w:widowControl w:val="0"/>
        <w:kinsoku/>
        <w:overflowPunct/>
        <w:topLinePunct w:val="0"/>
        <w:autoSpaceDE/>
        <w:autoSpaceDN/>
        <w:bidi w:val="0"/>
        <w:adjustRightInd/>
        <w:snapToGrid/>
        <w:spacing w:line="440" w:lineRule="exact"/>
        <w:ind w:left="0" w:leftChars="0" w:right="0" w:firstLine="420" w:firstLineChars="200"/>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（3）具有履行合同所必需的设备和专业技术能力；</w:t>
      </w:r>
    </w:p>
    <w:p>
      <w:pPr>
        <w:keepNext w:val="0"/>
        <w:keepLines w:val="0"/>
        <w:pageBreakBefore w:val="0"/>
        <w:widowControl w:val="0"/>
        <w:kinsoku/>
        <w:overflowPunct/>
        <w:topLinePunct w:val="0"/>
        <w:autoSpaceDE/>
        <w:autoSpaceDN/>
        <w:bidi w:val="0"/>
        <w:adjustRightInd/>
        <w:snapToGrid/>
        <w:spacing w:line="440" w:lineRule="exact"/>
        <w:ind w:left="0" w:leftChars="0" w:right="0" w:firstLine="420" w:firstLineChars="200"/>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（4）有依法缴纳税收和社会保障资金的良好记录；</w:t>
      </w:r>
    </w:p>
    <w:p>
      <w:pPr>
        <w:keepNext w:val="0"/>
        <w:keepLines w:val="0"/>
        <w:pageBreakBefore w:val="0"/>
        <w:widowControl w:val="0"/>
        <w:kinsoku/>
        <w:overflowPunct/>
        <w:topLinePunct w:val="0"/>
        <w:autoSpaceDE/>
        <w:autoSpaceDN/>
        <w:bidi w:val="0"/>
        <w:adjustRightInd/>
        <w:snapToGrid/>
        <w:spacing w:line="440" w:lineRule="exact"/>
        <w:ind w:left="0" w:leftChars="0" w:right="0" w:firstLine="420" w:firstLineChars="200"/>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（5）参加政府采购活动前三年内，在经营活动中没有重大违法记录；</w:t>
      </w:r>
    </w:p>
    <w:p>
      <w:pPr>
        <w:keepNext w:val="0"/>
        <w:keepLines w:val="0"/>
        <w:pageBreakBefore w:val="0"/>
        <w:widowControl w:val="0"/>
        <w:kinsoku/>
        <w:overflowPunct/>
        <w:topLinePunct w:val="0"/>
        <w:autoSpaceDE/>
        <w:autoSpaceDN/>
        <w:bidi w:val="0"/>
        <w:adjustRightInd/>
        <w:snapToGrid/>
        <w:spacing w:line="440" w:lineRule="exact"/>
        <w:ind w:left="0" w:leftChars="0" w:right="0" w:firstLine="420" w:firstLineChars="200"/>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（6）法律、行政法规规定的其他条件。</w:t>
      </w:r>
    </w:p>
    <w:p>
      <w:pPr>
        <w:keepNext w:val="0"/>
        <w:keepLines w:val="0"/>
        <w:pageBreakBefore w:val="0"/>
        <w:widowControl w:val="0"/>
        <w:kinsoku/>
        <w:overflowPunct/>
        <w:topLinePunct w:val="0"/>
        <w:autoSpaceDE/>
        <w:autoSpaceDN/>
        <w:bidi w:val="0"/>
        <w:adjustRightInd/>
        <w:snapToGrid/>
        <w:spacing w:line="440" w:lineRule="exact"/>
        <w:ind w:left="0" w:leftChars="0" w:right="0" w:firstLine="420" w:firstLineChars="200"/>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keepNext w:val="0"/>
        <w:keepLines w:val="0"/>
        <w:pageBreakBefore w:val="0"/>
        <w:widowControl w:val="0"/>
        <w:kinsoku/>
        <w:overflowPunct/>
        <w:topLinePunct w:val="0"/>
        <w:autoSpaceDE/>
        <w:autoSpaceDN/>
        <w:bidi w:val="0"/>
        <w:adjustRightInd/>
        <w:snapToGrid/>
        <w:spacing w:line="440" w:lineRule="exact"/>
        <w:ind w:left="0" w:leftChars="0" w:right="0" w:firstLine="420" w:firstLineChars="200"/>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根据《中华人民共和国政府采购法实施条例》第五十条要求对政府采购合同进行公告，但政府采购合同中涉及国家秘密、商业秘密的内容除外。我方就对本次响应文件进行注明如下：（两项内容中必须选择一项）</w:t>
      </w:r>
    </w:p>
    <w:p>
      <w:pPr>
        <w:keepNext w:val="0"/>
        <w:keepLines w:val="0"/>
        <w:pageBreakBefore w:val="0"/>
        <w:widowControl w:val="0"/>
        <w:kinsoku/>
        <w:overflowPunct/>
        <w:topLinePunct w:val="0"/>
        <w:autoSpaceDE/>
        <w:autoSpaceDN/>
        <w:bidi w:val="0"/>
        <w:adjustRightInd/>
        <w:snapToGrid/>
        <w:spacing w:line="440" w:lineRule="exact"/>
        <w:ind w:left="0" w:leftChars="0" w:right="0" w:firstLine="420" w:firstLineChars="200"/>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□我方本次响应文件</w:t>
      </w:r>
      <w:r>
        <w:rPr>
          <w:rFonts w:hint="eastAsia" w:ascii="宋体" w:hAnsi="宋体" w:cs="宋体"/>
          <w:color w:val="000000" w:themeColor="text1"/>
          <w:kern w:val="0"/>
          <w:szCs w:val="21"/>
          <w:highlight w:val="none"/>
          <w14:textFill>
            <w14:solidFill>
              <w14:schemeClr w14:val="tx1"/>
            </w14:solidFill>
          </w14:textFill>
        </w:rPr>
        <w:t>内容中</w:t>
      </w:r>
      <w:r>
        <w:rPr>
          <w:rFonts w:hint="eastAsia" w:ascii="宋体" w:hAnsi="宋体" w:cs="宋体"/>
          <w:color w:val="000000" w:themeColor="text1"/>
          <w:szCs w:val="21"/>
          <w:highlight w:val="none"/>
          <w14:textFill>
            <w14:solidFill>
              <w14:schemeClr w14:val="tx1"/>
            </w14:solidFill>
          </w14:textFill>
        </w:rPr>
        <w:t>未</w:t>
      </w:r>
      <w:r>
        <w:rPr>
          <w:rFonts w:hint="eastAsia" w:ascii="宋体" w:hAnsi="宋体" w:cs="宋体"/>
          <w:color w:val="000000" w:themeColor="text1"/>
          <w:kern w:val="0"/>
          <w:szCs w:val="21"/>
          <w:highlight w:val="none"/>
          <w14:textFill>
            <w14:solidFill>
              <w14:schemeClr w14:val="tx1"/>
            </w14:solidFill>
          </w14:textFill>
        </w:rPr>
        <w:t>涉及商业秘密；</w:t>
      </w:r>
    </w:p>
    <w:p>
      <w:pPr>
        <w:keepNext w:val="0"/>
        <w:keepLines w:val="0"/>
        <w:pageBreakBefore w:val="0"/>
        <w:widowControl w:val="0"/>
        <w:kinsoku/>
        <w:overflowPunct/>
        <w:topLinePunct w:val="0"/>
        <w:autoSpaceDE/>
        <w:autoSpaceDN/>
        <w:bidi w:val="0"/>
        <w:adjustRightInd/>
        <w:snapToGrid/>
        <w:spacing w:line="440" w:lineRule="exact"/>
        <w:ind w:left="0" w:leftChars="0" w:right="0" w:firstLine="420" w:firstLineChars="200"/>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□我方本次响应文件</w:t>
      </w:r>
      <w:r>
        <w:rPr>
          <w:rFonts w:hint="eastAsia" w:ascii="宋体" w:hAnsi="宋体" w:cs="宋体"/>
          <w:color w:val="000000" w:themeColor="text1"/>
          <w:kern w:val="0"/>
          <w:szCs w:val="21"/>
          <w:highlight w:val="none"/>
          <w14:textFill>
            <w14:solidFill>
              <w14:schemeClr w14:val="tx1"/>
            </w14:solidFill>
          </w14:textFill>
        </w:rPr>
        <w:t>涉及商业秘密的内容有：</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w:t>
      </w:r>
    </w:p>
    <w:p>
      <w:pPr>
        <w:pStyle w:val="14"/>
        <w:keepNext w:val="0"/>
        <w:keepLines w:val="0"/>
        <w:pageBreakBefore w:val="0"/>
        <w:widowControl w:val="0"/>
        <w:kinsoku/>
        <w:overflowPunct/>
        <w:topLinePunct w:val="0"/>
        <w:autoSpaceDE/>
        <w:autoSpaceDN/>
        <w:bidi w:val="0"/>
        <w:adjustRightInd/>
        <w:snapToGrid/>
        <w:spacing w:line="440" w:lineRule="exact"/>
        <w:ind w:left="0" w:leftChars="0" w:right="0" w:firstLine="420" w:firstLineChars="200"/>
        <w:textAlignment w:val="auto"/>
        <w:rPr>
          <w:rFonts w:hAnsi="宋体" w:cs="宋体"/>
          <w:color w:val="000000" w:themeColor="text1"/>
          <w:sz w:val="21"/>
          <w:highlight w:val="none"/>
          <w:u w:val="singl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7.与本谈判有关的一切正式往来信函请寄：</w:t>
      </w:r>
      <w:r>
        <w:rPr>
          <w:rFonts w:hint="eastAsia" w:hAnsi="宋体" w:cs="宋体"/>
          <w:color w:val="000000" w:themeColor="text1"/>
          <w:sz w:val="21"/>
          <w:highlight w:val="none"/>
          <w:u w:val="single"/>
          <w14:textFill>
            <w14:solidFill>
              <w14:schemeClr w14:val="tx1"/>
            </w14:solidFill>
          </w14:textFill>
        </w:rPr>
        <w:t xml:space="preserve">                  </w:t>
      </w:r>
      <w:r>
        <w:rPr>
          <w:rFonts w:hint="eastAsia" w:hAnsi="宋体" w:cs="宋体"/>
          <w:color w:val="000000" w:themeColor="text1"/>
          <w:sz w:val="21"/>
          <w:highlight w:val="none"/>
          <w14:textFill>
            <w14:solidFill>
              <w14:schemeClr w14:val="tx1"/>
            </w14:solidFill>
          </w14:textFill>
        </w:rPr>
        <w:t>邮政编号：</w:t>
      </w:r>
      <w:r>
        <w:rPr>
          <w:rFonts w:hint="eastAsia" w:hAnsi="宋体" w:cs="宋体"/>
          <w:color w:val="000000" w:themeColor="text1"/>
          <w:sz w:val="21"/>
          <w:highlight w:val="none"/>
          <w:u w:val="single"/>
          <w14:textFill>
            <w14:solidFill>
              <w14:schemeClr w14:val="tx1"/>
            </w14:solidFill>
          </w14:textFill>
        </w:rPr>
        <w:t xml:space="preserve">    </w:t>
      </w:r>
    </w:p>
    <w:p>
      <w:pPr>
        <w:pStyle w:val="14"/>
        <w:keepNext w:val="0"/>
        <w:keepLines w:val="0"/>
        <w:pageBreakBefore w:val="0"/>
        <w:widowControl w:val="0"/>
        <w:kinsoku/>
        <w:overflowPunct/>
        <w:topLinePunct w:val="0"/>
        <w:autoSpaceDE/>
        <w:autoSpaceDN/>
        <w:bidi w:val="0"/>
        <w:adjustRightInd/>
        <w:snapToGrid/>
        <w:spacing w:line="440" w:lineRule="exact"/>
        <w:ind w:left="0" w:leftChars="0" w:right="0" w:firstLine="420" w:firstLineChars="200"/>
        <w:textAlignment w:val="auto"/>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电话/传真：</w:t>
      </w:r>
      <w:r>
        <w:rPr>
          <w:rFonts w:hint="eastAsia" w:hAnsi="宋体" w:cs="宋体"/>
          <w:color w:val="000000" w:themeColor="text1"/>
          <w:sz w:val="21"/>
          <w:highlight w:val="none"/>
          <w:u w:val="single"/>
          <w14:textFill>
            <w14:solidFill>
              <w14:schemeClr w14:val="tx1"/>
            </w14:solidFill>
          </w14:textFill>
        </w:rPr>
        <w:t xml:space="preserve">                        </w:t>
      </w:r>
      <w:r>
        <w:rPr>
          <w:rFonts w:hint="eastAsia" w:hAnsi="宋体" w:cs="宋体"/>
          <w:color w:val="000000" w:themeColor="text1"/>
          <w:sz w:val="21"/>
          <w:highlight w:val="none"/>
          <w14:textFill>
            <w14:solidFill>
              <w14:schemeClr w14:val="tx1"/>
            </w14:solidFill>
          </w14:textFill>
        </w:rPr>
        <w:t xml:space="preserve"> 电子邮箱：</w:t>
      </w:r>
      <w:r>
        <w:rPr>
          <w:rFonts w:hint="eastAsia" w:hAnsi="宋体" w:cs="宋体"/>
          <w:color w:val="000000" w:themeColor="text1"/>
          <w:sz w:val="21"/>
          <w:highlight w:val="none"/>
          <w:u w:val="single"/>
          <w14:textFill>
            <w14:solidFill>
              <w14:schemeClr w14:val="tx1"/>
            </w14:solidFill>
          </w14:textFill>
        </w:rPr>
        <w:t xml:space="preserve">             </w:t>
      </w:r>
      <w:r>
        <w:rPr>
          <w:rFonts w:hint="eastAsia" w:hAnsi="宋体" w:cs="宋体"/>
          <w:color w:val="000000" w:themeColor="text1"/>
          <w:sz w:val="21"/>
          <w:highlight w:val="none"/>
          <w14:textFill>
            <w14:solidFill>
              <w14:schemeClr w14:val="tx1"/>
            </w14:solidFill>
          </w14:textFill>
        </w:rPr>
        <w:t xml:space="preserve">    </w:t>
      </w:r>
    </w:p>
    <w:p>
      <w:pPr>
        <w:pStyle w:val="13"/>
        <w:keepNext w:val="0"/>
        <w:keepLines w:val="0"/>
        <w:pageBreakBefore w:val="0"/>
        <w:widowControl w:val="0"/>
        <w:tabs>
          <w:tab w:val="left" w:pos="939"/>
        </w:tabs>
        <w:kinsoku/>
        <w:overflowPunct/>
        <w:topLinePunct w:val="0"/>
        <w:autoSpaceDE/>
        <w:autoSpaceDN/>
        <w:bidi w:val="0"/>
        <w:adjustRightInd/>
        <w:snapToGrid/>
        <w:spacing w:line="440" w:lineRule="exact"/>
        <w:ind w:left="0" w:leftChars="0" w:right="0" w:firstLine="315" w:firstLineChars="150"/>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开户银行：</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lang w:eastAsia="zh-CN"/>
          <w14:textFill>
            <w14:solidFill>
              <w14:schemeClr w14:val="tx1"/>
            </w14:solidFill>
          </w14:textFill>
        </w:rPr>
        <w:t>账</w:t>
      </w:r>
      <w:r>
        <w:rPr>
          <w:rFonts w:hint="eastAsia" w:ascii="宋体" w:hAnsi="宋体" w:cs="宋体"/>
          <w:color w:val="000000" w:themeColor="text1"/>
          <w:szCs w:val="21"/>
          <w:highlight w:val="none"/>
          <w14:textFill>
            <w14:solidFill>
              <w14:schemeClr w14:val="tx1"/>
            </w14:solidFill>
          </w14:textFill>
        </w:rPr>
        <w:t>号/行号：</w:t>
      </w:r>
      <w:r>
        <w:rPr>
          <w:rFonts w:hint="eastAsia" w:ascii="宋体" w:hAnsi="宋体" w:cs="宋体"/>
          <w:color w:val="000000" w:themeColor="text1"/>
          <w:szCs w:val="21"/>
          <w:highlight w:val="none"/>
          <w:u w:val="single"/>
          <w14:textFill>
            <w14:solidFill>
              <w14:schemeClr w14:val="tx1"/>
            </w14:solidFill>
          </w14:textFill>
        </w:rPr>
        <w:t xml:space="preserve">           </w:t>
      </w:r>
    </w:p>
    <w:p>
      <w:pPr>
        <w:pStyle w:val="13"/>
        <w:keepNext w:val="0"/>
        <w:keepLines w:val="0"/>
        <w:pageBreakBefore w:val="0"/>
        <w:widowControl w:val="0"/>
        <w:tabs>
          <w:tab w:val="left" w:pos="939"/>
        </w:tabs>
        <w:kinsoku/>
        <w:overflowPunct/>
        <w:topLinePunct w:val="0"/>
        <w:autoSpaceDE/>
        <w:autoSpaceDN/>
        <w:bidi w:val="0"/>
        <w:adjustRightInd/>
        <w:snapToGrid/>
        <w:spacing w:line="440" w:lineRule="exact"/>
        <w:ind w:left="0" w:leftChars="0" w:right="0" w:firstLine="315" w:firstLineChars="150"/>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8.以上事项如有虚假或者隐瞒，我方愿意承担一切后果，并不再寻求任何旨在减轻或者免除法律责任的辩解。</w:t>
      </w:r>
    </w:p>
    <w:p>
      <w:pPr>
        <w:pStyle w:val="13"/>
        <w:keepNext w:val="0"/>
        <w:keepLines w:val="0"/>
        <w:pageBreakBefore w:val="0"/>
        <w:widowControl w:val="0"/>
        <w:tabs>
          <w:tab w:val="left" w:pos="939"/>
        </w:tabs>
        <w:kinsoku/>
        <w:overflowPunct/>
        <w:topLinePunct w:val="0"/>
        <w:autoSpaceDE/>
        <w:autoSpaceDN/>
        <w:bidi w:val="0"/>
        <w:adjustRightInd/>
        <w:snapToGrid/>
        <w:spacing w:line="440" w:lineRule="exact"/>
        <w:ind w:left="0" w:leftChars="0" w:right="0" w:firstLine="315" w:firstLineChars="150"/>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特此承诺。</w:t>
      </w:r>
    </w:p>
    <w:p>
      <w:pPr>
        <w:keepNext w:val="0"/>
        <w:keepLines w:val="0"/>
        <w:pageBreakBefore w:val="0"/>
        <w:widowControl w:val="0"/>
        <w:kinsoku/>
        <w:overflowPunct/>
        <w:topLinePunct w:val="0"/>
        <w:autoSpaceDE/>
        <w:autoSpaceDN/>
        <w:bidi w:val="0"/>
        <w:adjustRightInd/>
        <w:snapToGrid/>
        <w:spacing w:line="440" w:lineRule="exact"/>
        <w:ind w:left="0" w:leftChars="0" w:right="0"/>
        <w:jc w:val="left"/>
        <w:textAlignment w:val="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 xml:space="preserve">    注：如为联合体竞标，盖章处须加盖联合体牵头人电子签章并由联合体牵头人法定代表人分别签字或者盖章或者电子签名，否则响应文件按无效处理。</w:t>
      </w:r>
    </w:p>
    <w:p>
      <w:pPr>
        <w:keepNext w:val="0"/>
        <w:keepLines w:val="0"/>
        <w:pageBreakBefore w:val="0"/>
        <w:widowControl w:val="0"/>
        <w:kinsoku/>
        <w:overflowPunct/>
        <w:topLinePunct w:val="0"/>
        <w:autoSpaceDE/>
        <w:autoSpaceDN/>
        <w:bidi w:val="0"/>
        <w:adjustRightInd/>
        <w:snapToGrid/>
        <w:spacing w:line="440" w:lineRule="exact"/>
        <w:ind w:left="0" w:leftChars="0" w:right="0"/>
        <w:jc w:val="left"/>
        <w:textAlignment w:val="auto"/>
        <w:rPr>
          <w:rFonts w:ascii="宋体" w:hAnsi="宋体" w:cs="宋体"/>
          <w:color w:val="000000" w:themeColor="text1"/>
          <w:szCs w:val="21"/>
          <w:highlight w:val="none"/>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line="440" w:lineRule="exact"/>
        <w:ind w:left="0" w:leftChars="0" w:right="0" w:firstLine="1575" w:firstLineChars="750"/>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法定代表人（签字或者盖章或者电子签名）：</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w:t>
      </w:r>
    </w:p>
    <w:p>
      <w:pPr>
        <w:keepNext w:val="0"/>
        <w:keepLines w:val="0"/>
        <w:pageBreakBefore w:val="0"/>
        <w:widowControl w:val="0"/>
        <w:kinsoku/>
        <w:overflowPunct/>
        <w:topLinePunct w:val="0"/>
        <w:autoSpaceDE/>
        <w:autoSpaceDN/>
        <w:bidi w:val="0"/>
        <w:adjustRightInd/>
        <w:snapToGrid/>
        <w:spacing w:line="440" w:lineRule="exact"/>
        <w:ind w:left="0" w:leftChars="0" w:right="0" w:firstLine="3780" w:firstLineChars="1800"/>
        <w:textAlignment w:val="auto"/>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供应商（电子签章）：</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w:t>
      </w:r>
    </w:p>
    <w:p>
      <w:pPr>
        <w:keepNext w:val="0"/>
        <w:keepLines w:val="0"/>
        <w:pageBreakBefore w:val="0"/>
        <w:widowControl w:val="0"/>
        <w:kinsoku/>
        <w:overflowPunct/>
        <w:topLinePunct w:val="0"/>
        <w:autoSpaceDE/>
        <w:autoSpaceDN/>
        <w:bidi w:val="0"/>
        <w:adjustRightInd/>
        <w:snapToGrid/>
        <w:spacing w:line="440" w:lineRule="exact"/>
        <w:ind w:left="0" w:leftChars="0" w:right="0" w:firstLine="210" w:firstLineChars="100"/>
        <w:contextualSpacing/>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年    月    日 </w:t>
      </w:r>
    </w:p>
    <w:p>
      <w:pPr>
        <w:pStyle w:val="7"/>
        <w:overflowPunct w:val="0"/>
        <w:spacing w:line="520" w:lineRule="exact"/>
        <w:ind w:firstLine="0"/>
        <w:jc w:val="center"/>
        <w:rPr>
          <w:rFonts w:hint="eastAsia" w:ascii="宋体" w:hAnsi="宋体" w:cs="宋体"/>
          <w:color w:val="000000" w:themeColor="text1"/>
          <w:sz w:val="32"/>
          <w:szCs w:val="32"/>
          <w:highlight w:val="none"/>
          <w14:textFill>
            <w14:solidFill>
              <w14:schemeClr w14:val="tx1"/>
            </w14:solidFill>
          </w14:textFill>
        </w:rPr>
        <w:sectPr>
          <w:pgSz w:w="11910" w:h="16840"/>
          <w:pgMar w:top="1340" w:right="1500" w:bottom="280" w:left="1680" w:header="720" w:footer="720" w:gutter="0"/>
          <w:cols w:space="720" w:num="1"/>
        </w:sectPr>
      </w:pPr>
      <w:r>
        <w:rPr>
          <w:rFonts w:hint="eastAsia" w:ascii="宋体" w:hAnsi="宋体" w:cs="宋体"/>
          <w:color w:val="000000" w:themeColor="text1"/>
          <w:sz w:val="32"/>
          <w:szCs w:val="32"/>
          <w:highlight w:val="none"/>
          <w14:textFill>
            <w14:solidFill>
              <w14:schemeClr w14:val="tx1"/>
            </w14:solidFill>
          </w14:textFill>
        </w:rPr>
        <w:br w:type="page"/>
      </w:r>
    </w:p>
    <w:p>
      <w:pPr>
        <w:pStyle w:val="7"/>
        <w:overflowPunct w:val="0"/>
        <w:spacing w:line="520" w:lineRule="exact"/>
        <w:ind w:firstLine="0"/>
        <w:jc w:val="center"/>
        <w:rPr>
          <w:rFonts w:hint="eastAsia" w:ascii="宋体" w:hAnsi="宋体" w:eastAsia="宋体" w:cs="宋体"/>
          <w:color w:val="000000" w:themeColor="text1"/>
          <w:sz w:val="32"/>
          <w:szCs w:val="32"/>
          <w:highlight w:val="none"/>
          <w:lang w:eastAsia="zh-CN"/>
          <w14:textFill>
            <w14:solidFill>
              <w14:schemeClr w14:val="tx1"/>
            </w14:solidFill>
          </w14:textFill>
        </w:rPr>
      </w:pPr>
      <w:r>
        <w:rPr>
          <w:rFonts w:hint="eastAsia" w:ascii="宋体" w:hAnsi="宋体" w:eastAsia="宋体" w:cs="宋体"/>
          <w:b/>
          <w:color w:val="000000" w:themeColor="text1"/>
          <w:kern w:val="2"/>
          <w:sz w:val="32"/>
          <w:szCs w:val="32"/>
          <w:highlight w:val="none"/>
          <w:lang w:val="en-US" w:eastAsia="zh-CN" w:bidi="ar-SA"/>
          <w14:textFill>
            <w14:solidFill>
              <w14:schemeClr w14:val="tx1"/>
            </w14:solidFill>
          </w14:textFill>
        </w:rPr>
        <w:t>4.</w:t>
      </w:r>
      <w:r>
        <w:rPr>
          <w:rFonts w:hint="eastAsia" w:ascii="宋体" w:hAnsi="宋体" w:cs="宋体"/>
          <w:color w:val="000000" w:themeColor="text1"/>
          <w:sz w:val="32"/>
          <w:szCs w:val="32"/>
          <w:highlight w:val="none"/>
          <w14:textFill>
            <w14:solidFill>
              <w14:schemeClr w14:val="tx1"/>
            </w14:solidFill>
          </w14:textFill>
        </w:rPr>
        <w:t>联合体竞标协议书</w:t>
      </w:r>
      <w:r>
        <w:rPr>
          <w:rFonts w:hint="eastAsia" w:ascii="宋体" w:hAnsi="宋体" w:cs="宋体"/>
          <w:color w:val="000000" w:themeColor="text1"/>
          <w:sz w:val="32"/>
          <w:szCs w:val="32"/>
          <w:highlight w:val="none"/>
          <w:lang w:eastAsia="zh-CN"/>
          <w14:textFill>
            <w14:solidFill>
              <w14:schemeClr w14:val="tx1"/>
            </w14:solidFill>
          </w14:textFill>
        </w:rPr>
        <w:t>（如有）</w:t>
      </w:r>
    </w:p>
    <w:p>
      <w:pPr>
        <w:pStyle w:val="7"/>
        <w:overflowPunct w:val="0"/>
        <w:spacing w:line="360" w:lineRule="auto"/>
        <w:ind w:firstLine="0"/>
        <w:rPr>
          <w:rFonts w:ascii="宋体" w:hAnsi="宋体" w:cs="宋体"/>
          <w:color w:val="000000" w:themeColor="text1"/>
          <w:sz w:val="24"/>
          <w:szCs w:val="24"/>
          <w:highlight w:val="none"/>
          <w14:textFill>
            <w14:solidFill>
              <w14:schemeClr w14:val="tx1"/>
            </w14:solidFill>
          </w14:textFill>
        </w:rPr>
      </w:pPr>
    </w:p>
    <w:p>
      <w:pPr>
        <w:pStyle w:val="7"/>
        <w:overflowPunct w:val="0"/>
        <w:spacing w:line="360" w:lineRule="auto"/>
        <w:ind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（所有成员单位名称）自愿组成</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（联合体名称）联合体，共同参加</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（项目名称）采购项目竞标。现就联合体竞标事宜订立如下协议。</w:t>
      </w:r>
    </w:p>
    <w:p>
      <w:pPr>
        <w:pStyle w:val="7"/>
        <w:overflowPunct w:val="0"/>
        <w:spacing w:line="360" w:lineRule="auto"/>
        <w:ind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ab/>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（某成员单位名称）为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（联合体名称）牵头人。</w:t>
      </w:r>
    </w:p>
    <w:p>
      <w:pPr>
        <w:pStyle w:val="7"/>
        <w:overflowPunct w:val="0"/>
        <w:spacing w:line="360" w:lineRule="auto"/>
        <w:ind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联合体各成员授权牵头人代表联合体参加竞标活动，签署文件及对文件的盖章，提交和接收相关的资料、信息及指示，进行合同谈判活动，负责合同实施阶段的组织和协调工作，以及处理与本竞标项目有关的一切事宜。</w:t>
      </w:r>
    </w:p>
    <w:p>
      <w:pPr>
        <w:pStyle w:val="7"/>
        <w:overflowPunct w:val="0"/>
        <w:spacing w:line="360" w:lineRule="auto"/>
        <w:ind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3.联合体牵头人在本项目中签署和盖章的一切文件和处理的一切事宜，联合体各成员均予以承认。联合体各成员将严格按照谈判文件、响应文件和合同的要求全面履行义务，并向采购人承担连带责任。</w:t>
      </w:r>
    </w:p>
    <w:p>
      <w:pPr>
        <w:pStyle w:val="7"/>
        <w:overflowPunct w:val="0"/>
        <w:spacing w:line="360" w:lineRule="auto"/>
        <w:ind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4.联合体各成员单位内部的职责分工如下：</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pPr>
        <w:pStyle w:val="7"/>
        <w:overflowPunct w:val="0"/>
        <w:spacing w:line="360" w:lineRule="auto"/>
        <w:ind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5.本</w:t>
      </w:r>
      <w:r>
        <w:rPr>
          <w:rFonts w:hint="eastAsia" w:ascii="宋体" w:hAnsi="宋体" w:cs="宋体"/>
          <w:color w:val="000000" w:themeColor="text1"/>
          <w:spacing w:val="-6"/>
          <w:szCs w:val="21"/>
          <w:highlight w:val="none"/>
          <w14:textFill>
            <w14:solidFill>
              <w14:schemeClr w14:val="tx1"/>
            </w14:solidFill>
          </w14:textFill>
        </w:rPr>
        <w:t>协议书自所有成员单位法定代表人或者其委托代理人签字或者盖单位章之日起生效，合同履行完毕后自动失效。</w:t>
      </w:r>
    </w:p>
    <w:p>
      <w:pPr>
        <w:pStyle w:val="7"/>
        <w:overflowPunct w:val="0"/>
        <w:spacing w:line="360" w:lineRule="auto"/>
        <w:ind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6.本协议书一式</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ab/>
      </w:r>
      <w:r>
        <w:rPr>
          <w:rFonts w:hint="eastAsia" w:ascii="宋体" w:hAnsi="宋体" w:cs="宋体"/>
          <w:color w:val="000000" w:themeColor="text1"/>
          <w:szCs w:val="21"/>
          <w:highlight w:val="none"/>
          <w14:textFill>
            <w14:solidFill>
              <w14:schemeClr w14:val="tx1"/>
            </w14:solidFill>
          </w14:textFill>
        </w:rPr>
        <w:t>份，联合体成员和采购人各执一份。</w:t>
      </w:r>
    </w:p>
    <w:p>
      <w:pPr>
        <w:pStyle w:val="7"/>
        <w:overflowPunct w:val="0"/>
        <w:spacing w:line="360" w:lineRule="auto"/>
        <w:ind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注：本协议书应附法定代表人身份证明书；有委托代理的，应附权委托书（格式自拟）。</w:t>
      </w:r>
    </w:p>
    <w:p>
      <w:pPr>
        <w:pStyle w:val="7"/>
        <w:overflowPunct w:val="0"/>
        <w:spacing w:line="360" w:lineRule="auto"/>
        <w:ind w:firstLine="367" w:firstLineChars="175"/>
        <w:rPr>
          <w:rFonts w:ascii="宋体" w:hAnsi="宋体" w:cs="宋体"/>
          <w:color w:val="000000" w:themeColor="text1"/>
          <w:szCs w:val="21"/>
          <w:highlight w:val="none"/>
          <w14:textFill>
            <w14:solidFill>
              <w14:schemeClr w14:val="tx1"/>
            </w14:solidFill>
          </w14:textFill>
        </w:rPr>
      </w:pPr>
    </w:p>
    <w:p>
      <w:pPr>
        <w:pStyle w:val="7"/>
        <w:overflowPunct w:val="0"/>
        <w:spacing w:line="360" w:lineRule="auto"/>
        <w:ind w:firstLine="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联合体牵头人名称（电子签章）：</w:t>
      </w:r>
    </w:p>
    <w:p>
      <w:pPr>
        <w:pStyle w:val="7"/>
        <w:overflowPunct w:val="0"/>
        <w:spacing w:line="360" w:lineRule="auto"/>
        <w:ind w:firstLine="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法定代表人或者其委托代理人（签字或者电子签名）：</w:t>
      </w:r>
    </w:p>
    <w:p>
      <w:pPr>
        <w:pStyle w:val="7"/>
        <w:overflowPunct w:val="0"/>
        <w:spacing w:line="360" w:lineRule="auto"/>
        <w:ind w:firstLine="0"/>
        <w:rPr>
          <w:rFonts w:ascii="宋体" w:hAnsi="宋体" w:cs="宋体"/>
          <w:color w:val="000000" w:themeColor="text1"/>
          <w:szCs w:val="21"/>
          <w:highlight w:val="none"/>
          <w14:textFill>
            <w14:solidFill>
              <w14:schemeClr w14:val="tx1"/>
            </w14:solidFill>
          </w14:textFill>
        </w:rPr>
      </w:pPr>
    </w:p>
    <w:p>
      <w:pPr>
        <w:pStyle w:val="7"/>
        <w:overflowPunct w:val="0"/>
        <w:spacing w:line="360" w:lineRule="auto"/>
        <w:ind w:firstLine="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联合体成员名称（盖公章或者电子签章）：</w:t>
      </w:r>
    </w:p>
    <w:p>
      <w:pPr>
        <w:pStyle w:val="7"/>
        <w:overflowPunct w:val="0"/>
        <w:spacing w:line="360" w:lineRule="auto"/>
        <w:ind w:firstLine="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法定代表人或者其委托代理人（签字或者电子签名）：</w:t>
      </w:r>
    </w:p>
    <w:p>
      <w:pPr>
        <w:pStyle w:val="7"/>
        <w:overflowPunct w:val="0"/>
        <w:spacing w:line="360" w:lineRule="auto"/>
        <w:ind w:firstLine="0"/>
        <w:rPr>
          <w:rFonts w:ascii="宋体" w:hAnsi="宋体" w:cs="宋体"/>
          <w:color w:val="000000" w:themeColor="text1"/>
          <w:szCs w:val="21"/>
          <w:highlight w:val="none"/>
          <w14:textFill>
            <w14:solidFill>
              <w14:schemeClr w14:val="tx1"/>
            </w14:solidFill>
          </w14:textFill>
        </w:rPr>
      </w:pPr>
    </w:p>
    <w:p>
      <w:pPr>
        <w:pStyle w:val="7"/>
        <w:overflowPunct w:val="0"/>
        <w:spacing w:line="360" w:lineRule="auto"/>
        <w:ind w:firstLine="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联合体成员名称（盖公章或者电子签章）：</w:t>
      </w:r>
    </w:p>
    <w:p>
      <w:pPr>
        <w:pStyle w:val="7"/>
        <w:overflowPunct w:val="0"/>
        <w:spacing w:line="360" w:lineRule="auto"/>
        <w:ind w:firstLine="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法定代表人或者其委托代理人（签字或者电子签名）：</w:t>
      </w:r>
    </w:p>
    <w:p>
      <w:pPr>
        <w:pStyle w:val="7"/>
        <w:overflowPunct w:val="0"/>
        <w:spacing w:line="360" w:lineRule="auto"/>
        <w:ind w:firstLine="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p>
    <w:p>
      <w:pPr>
        <w:spacing w:line="360" w:lineRule="auto"/>
        <w:rPr>
          <w:rFonts w:ascii="宋体" w:hAnsi="宋体" w:cs="宋体"/>
          <w:color w:val="000000" w:themeColor="text1"/>
          <w:szCs w:val="21"/>
          <w:highlight w:val="none"/>
          <w14:textFill>
            <w14:solidFill>
              <w14:schemeClr w14:val="tx1"/>
            </w14:solidFill>
          </w14:textFill>
        </w:rPr>
      </w:pPr>
    </w:p>
    <w:p>
      <w:pPr>
        <w:spacing w:line="360" w:lineRule="auto"/>
        <w:rPr>
          <w:rFonts w:ascii="宋体" w:hAnsi="宋体" w:cs="宋体"/>
          <w:color w:val="000000" w:themeColor="text1"/>
          <w:szCs w:val="21"/>
          <w:highlight w:val="none"/>
          <w14:textFill>
            <w14:solidFill>
              <w14:schemeClr w14:val="tx1"/>
            </w14:solidFill>
          </w14:textFill>
        </w:rPr>
      </w:pPr>
    </w:p>
    <w:p>
      <w:pPr>
        <w:spacing w:line="360" w:lineRule="auto"/>
        <w:jc w:val="righ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日期：    年   月   日 </w:t>
      </w:r>
    </w:p>
    <w:p>
      <w:pPr>
        <w:spacing w:line="360" w:lineRule="auto"/>
        <w:ind w:right="420"/>
        <w:contextualSpacing/>
        <w:jc w:val="left"/>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r>
        <w:rPr>
          <w:rFonts w:hint="eastAsia" w:ascii="宋体" w:hAnsi="宋体" w:cs="宋体"/>
          <w:b/>
          <w:bCs/>
          <w:color w:val="000000" w:themeColor="text1"/>
          <w:sz w:val="32"/>
          <w:szCs w:val="32"/>
          <w:highlight w:val="none"/>
          <w14:textFill>
            <w14:solidFill>
              <w14:schemeClr w14:val="tx1"/>
            </w14:solidFill>
          </w14:textFill>
        </w:rPr>
        <w:t>二、</w:t>
      </w:r>
      <w:r>
        <w:rPr>
          <w:rFonts w:hint="eastAsia" w:ascii="宋体" w:hAnsi="宋体" w:cs="宋体"/>
          <w:b/>
          <w:color w:val="000000" w:themeColor="text1"/>
          <w:sz w:val="32"/>
          <w:szCs w:val="32"/>
          <w:highlight w:val="none"/>
          <w14:textFill>
            <w14:solidFill>
              <w14:schemeClr w14:val="tx1"/>
            </w14:solidFill>
          </w14:textFill>
        </w:rPr>
        <w:t xml:space="preserve">报价文件格式 </w:t>
      </w:r>
    </w:p>
    <w:p>
      <w:pPr>
        <w:snapToGrid w:val="0"/>
        <w:spacing w:beforeLines="50" w:after="50" w:line="360" w:lineRule="auto"/>
        <w:jc w:val="left"/>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1.报价文件封面格式</w:t>
      </w:r>
    </w:p>
    <w:p>
      <w:pPr>
        <w:snapToGrid w:val="0"/>
        <w:spacing w:beforeLines="50" w:after="50"/>
        <w:rPr>
          <w:rFonts w:ascii="宋体" w:hAnsi="宋体" w:cs="宋体"/>
          <w:bCs/>
          <w:color w:val="000000" w:themeColor="text1"/>
          <w:sz w:val="32"/>
          <w:szCs w:val="20"/>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pPr>
        <w:snapToGrid w:val="0"/>
        <w:spacing w:beforeLines="50" w:after="50"/>
        <w:jc w:val="center"/>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44"/>
          <w:szCs w:val="44"/>
          <w:highlight w:val="none"/>
          <w14:textFill>
            <w14:solidFill>
              <w14:schemeClr w14:val="tx1"/>
            </w14:solidFill>
          </w14:textFill>
        </w:rPr>
        <w:t>电 子 响 应 文 件</w:t>
      </w:r>
    </w:p>
    <w:p>
      <w:pPr>
        <w:snapToGrid w:val="0"/>
        <w:spacing w:beforeLines="50" w:after="50"/>
        <w:rPr>
          <w:rFonts w:ascii="宋体" w:hAnsi="宋体" w:cs="宋体"/>
          <w:color w:val="000000" w:themeColor="text1"/>
          <w:sz w:val="24"/>
          <w:szCs w:val="20"/>
          <w:highlight w:val="none"/>
          <w14:textFill>
            <w14:solidFill>
              <w14:schemeClr w14:val="tx1"/>
            </w14:solidFill>
          </w14:textFill>
        </w:rPr>
      </w:pPr>
    </w:p>
    <w:p>
      <w:pPr>
        <w:snapToGrid w:val="0"/>
        <w:spacing w:beforeLines="50" w:after="50"/>
        <w:rPr>
          <w:rFonts w:ascii="宋体" w:hAnsi="宋体" w:cs="宋体"/>
          <w:color w:val="000000" w:themeColor="text1"/>
          <w:sz w:val="24"/>
          <w:szCs w:val="20"/>
          <w:highlight w:val="none"/>
          <w14:textFill>
            <w14:solidFill>
              <w14:schemeClr w14:val="tx1"/>
            </w14:solidFill>
          </w14:textFill>
        </w:rPr>
      </w:pPr>
    </w:p>
    <w:p>
      <w:pPr>
        <w:snapToGrid w:val="0"/>
        <w:spacing w:beforeLines="50" w:after="50"/>
        <w:jc w:val="center"/>
        <w:rPr>
          <w:rFonts w:ascii="宋体" w:hAnsi="宋体" w:cs="宋体"/>
          <w:bCs/>
          <w:color w:val="000000" w:themeColor="text1"/>
          <w:sz w:val="44"/>
          <w:szCs w:val="44"/>
          <w:highlight w:val="none"/>
          <w14:textFill>
            <w14:solidFill>
              <w14:schemeClr w14:val="tx1"/>
            </w14:solidFill>
          </w14:textFill>
        </w:rPr>
      </w:pPr>
      <w:r>
        <w:rPr>
          <w:rFonts w:hint="eastAsia" w:ascii="宋体" w:hAnsi="宋体" w:cs="宋体"/>
          <w:bCs/>
          <w:color w:val="000000" w:themeColor="text1"/>
          <w:sz w:val="44"/>
          <w:szCs w:val="44"/>
          <w:highlight w:val="none"/>
          <w14:textFill>
            <w14:solidFill>
              <w14:schemeClr w14:val="tx1"/>
            </w14:solidFill>
          </w14:textFill>
        </w:rPr>
        <w:t>报  价  文  件</w:t>
      </w:r>
    </w:p>
    <w:p>
      <w:pPr>
        <w:snapToGrid w:val="0"/>
        <w:spacing w:beforeLines="50" w:after="50"/>
        <w:rPr>
          <w:rFonts w:ascii="宋体" w:hAnsi="宋体" w:cs="宋体"/>
          <w:bCs/>
          <w:color w:val="000000" w:themeColor="text1"/>
          <w:sz w:val="24"/>
          <w:szCs w:val="20"/>
          <w:highlight w:val="none"/>
          <w14:textFill>
            <w14:solidFill>
              <w14:schemeClr w14:val="tx1"/>
            </w14:solidFill>
          </w14:textFill>
        </w:rPr>
      </w:pPr>
    </w:p>
    <w:p>
      <w:pPr>
        <w:snapToGrid w:val="0"/>
        <w:spacing w:beforeLines="50" w:after="50"/>
        <w:rPr>
          <w:rFonts w:ascii="宋体" w:hAnsi="宋体" w:cs="宋体"/>
          <w:bCs/>
          <w:color w:val="000000" w:themeColor="text1"/>
          <w:sz w:val="24"/>
          <w:szCs w:val="20"/>
          <w:highlight w:val="none"/>
          <w14:textFill>
            <w14:solidFill>
              <w14:schemeClr w14:val="tx1"/>
            </w14:solidFill>
          </w14:textFill>
        </w:rPr>
      </w:pPr>
    </w:p>
    <w:p>
      <w:pPr>
        <w:snapToGrid w:val="0"/>
        <w:spacing w:beforeLines="50" w:after="50"/>
        <w:rPr>
          <w:rFonts w:ascii="宋体" w:hAnsi="宋体" w:cs="宋体"/>
          <w:bCs/>
          <w:color w:val="000000" w:themeColor="text1"/>
          <w:sz w:val="24"/>
          <w:szCs w:val="20"/>
          <w:highlight w:val="none"/>
          <w14:textFill>
            <w14:solidFill>
              <w14:schemeClr w14:val="tx1"/>
            </w14:solidFill>
          </w14:textFill>
        </w:rPr>
      </w:pPr>
    </w:p>
    <w:p>
      <w:pPr>
        <w:snapToGrid w:val="0"/>
        <w:spacing w:beforeLines="50" w:after="50"/>
        <w:rPr>
          <w:rFonts w:ascii="宋体" w:hAnsi="宋体" w:cs="宋体"/>
          <w:bCs/>
          <w:color w:val="000000" w:themeColor="text1"/>
          <w:sz w:val="24"/>
          <w:szCs w:val="20"/>
          <w:highlight w:val="none"/>
          <w14:textFill>
            <w14:solidFill>
              <w14:schemeClr w14:val="tx1"/>
            </w14:solidFill>
          </w14:textFill>
        </w:rPr>
      </w:pPr>
    </w:p>
    <w:p>
      <w:pPr>
        <w:snapToGrid w:val="0"/>
        <w:spacing w:beforeLines="50" w:after="50"/>
        <w:rPr>
          <w:rFonts w:ascii="宋体" w:hAnsi="宋体" w:cs="宋体"/>
          <w:bCs/>
          <w:color w:val="000000" w:themeColor="text1"/>
          <w:sz w:val="24"/>
          <w:szCs w:val="20"/>
          <w:highlight w:val="none"/>
          <w14:textFill>
            <w14:solidFill>
              <w14:schemeClr w14:val="tx1"/>
            </w14:solidFill>
          </w14:textFill>
        </w:rPr>
      </w:pPr>
    </w:p>
    <w:p>
      <w:pPr>
        <w:snapToGrid w:val="0"/>
        <w:spacing w:beforeLines="50" w:after="50"/>
        <w:ind w:firstLine="640" w:firstLineChars="200"/>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项目名称：</w:t>
      </w:r>
    </w:p>
    <w:p>
      <w:pPr>
        <w:snapToGrid w:val="0"/>
        <w:spacing w:beforeLines="50" w:after="50"/>
        <w:ind w:firstLine="720" w:firstLineChars="225"/>
        <w:rPr>
          <w:rFonts w:ascii="宋体" w:hAnsi="宋体" w:cs="宋体"/>
          <w:bCs/>
          <w:color w:val="000000" w:themeColor="text1"/>
          <w:sz w:val="32"/>
          <w:szCs w:val="32"/>
          <w:highlight w:val="none"/>
          <w14:textFill>
            <w14:solidFill>
              <w14:schemeClr w14:val="tx1"/>
            </w14:solidFill>
          </w14:textFill>
        </w:rPr>
      </w:pPr>
    </w:p>
    <w:p>
      <w:pPr>
        <w:snapToGrid w:val="0"/>
        <w:spacing w:beforeLines="50" w:after="50"/>
        <w:ind w:firstLine="640" w:firstLineChars="200"/>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项目编号：</w:t>
      </w:r>
    </w:p>
    <w:p>
      <w:pPr>
        <w:snapToGrid w:val="0"/>
        <w:spacing w:beforeLines="50" w:after="50"/>
        <w:ind w:firstLine="720" w:firstLineChars="225"/>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 xml:space="preserve"> </w:t>
      </w:r>
    </w:p>
    <w:p>
      <w:pPr>
        <w:snapToGrid w:val="0"/>
        <w:spacing w:beforeLines="50" w:after="50"/>
        <w:ind w:firstLine="640" w:firstLineChars="200"/>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所竞分标（如有则填写，无分标时填写“无”或者留空）：</w:t>
      </w:r>
    </w:p>
    <w:p>
      <w:pPr>
        <w:snapToGrid w:val="0"/>
        <w:spacing w:beforeLines="50" w:after="50"/>
        <w:ind w:firstLine="720" w:firstLineChars="225"/>
        <w:rPr>
          <w:rFonts w:ascii="宋体" w:hAnsi="宋体" w:cs="宋体"/>
          <w:bCs/>
          <w:color w:val="000000" w:themeColor="text1"/>
          <w:sz w:val="32"/>
          <w:szCs w:val="32"/>
          <w:highlight w:val="none"/>
          <w14:textFill>
            <w14:solidFill>
              <w14:schemeClr w14:val="tx1"/>
            </w14:solidFill>
          </w14:textFill>
        </w:rPr>
      </w:pPr>
    </w:p>
    <w:p>
      <w:pPr>
        <w:pStyle w:val="7"/>
        <w:snapToGrid w:val="0"/>
        <w:spacing w:before="50" w:after="50"/>
        <w:ind w:firstLine="640" w:firstLineChars="200"/>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供应商名称：</w:t>
      </w:r>
    </w:p>
    <w:p>
      <w:pPr>
        <w:pStyle w:val="7"/>
        <w:snapToGrid w:val="0"/>
        <w:spacing w:before="50" w:after="50"/>
        <w:ind w:firstLine="640" w:firstLineChars="200"/>
        <w:rPr>
          <w:rFonts w:ascii="宋体" w:hAnsi="宋体" w:cs="宋体"/>
          <w:bCs/>
          <w:color w:val="000000" w:themeColor="text1"/>
          <w:sz w:val="32"/>
          <w:szCs w:val="32"/>
          <w:highlight w:val="none"/>
          <w14:textFill>
            <w14:solidFill>
              <w14:schemeClr w14:val="tx1"/>
            </w14:solidFill>
          </w14:textFill>
        </w:rPr>
      </w:pPr>
    </w:p>
    <w:p>
      <w:pPr>
        <w:pStyle w:val="7"/>
        <w:snapToGrid w:val="0"/>
        <w:spacing w:before="50" w:after="50"/>
        <w:ind w:firstLine="720" w:firstLineChars="225"/>
        <w:rPr>
          <w:rFonts w:ascii="宋体" w:hAnsi="宋体" w:cs="宋体"/>
          <w:bCs/>
          <w:color w:val="000000" w:themeColor="text1"/>
          <w:sz w:val="32"/>
          <w:szCs w:val="32"/>
          <w:highlight w:val="none"/>
          <w14:textFill>
            <w14:solidFill>
              <w14:schemeClr w14:val="tx1"/>
            </w14:solidFill>
          </w14:textFill>
        </w:rPr>
      </w:pPr>
    </w:p>
    <w:p>
      <w:pPr>
        <w:pStyle w:val="7"/>
        <w:snapToGrid w:val="0"/>
        <w:spacing w:before="50" w:after="50"/>
        <w:ind w:firstLine="0"/>
        <w:rPr>
          <w:rFonts w:ascii="宋体" w:hAnsi="宋体" w:cs="宋体"/>
          <w:bCs/>
          <w:color w:val="000000" w:themeColor="text1"/>
          <w:sz w:val="32"/>
          <w:szCs w:val="32"/>
          <w:highlight w:val="none"/>
          <w14:textFill>
            <w14:solidFill>
              <w14:schemeClr w14:val="tx1"/>
            </w14:solidFill>
          </w14:textFill>
        </w:rPr>
      </w:pPr>
    </w:p>
    <w:p>
      <w:pPr>
        <w:pStyle w:val="7"/>
        <w:snapToGrid w:val="0"/>
        <w:spacing w:before="50" w:after="50"/>
        <w:ind w:firstLine="1280" w:firstLineChars="400"/>
        <w:rPr>
          <w:rFonts w:ascii="宋体" w:hAnsi="宋体" w:cs="宋体"/>
          <w:bCs/>
          <w:color w:val="000000" w:themeColor="text1"/>
          <w:sz w:val="32"/>
          <w:szCs w:val="32"/>
          <w:highlight w:val="none"/>
          <w14:textFill>
            <w14:solidFill>
              <w14:schemeClr w14:val="tx1"/>
            </w14:solidFill>
          </w14:textFill>
        </w:rPr>
      </w:pPr>
    </w:p>
    <w:p>
      <w:pPr>
        <w:snapToGrid w:val="0"/>
        <w:spacing w:beforeLines="50" w:after="50"/>
        <w:jc w:val="center"/>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年    月    日</w:t>
      </w:r>
    </w:p>
    <w:p>
      <w:pPr>
        <w:snapToGrid w:val="0"/>
        <w:spacing w:beforeLines="50" w:after="50" w:line="360" w:lineRule="auto"/>
        <w:ind w:left="142"/>
        <w:jc w:val="left"/>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r>
        <w:rPr>
          <w:rFonts w:hint="eastAsia" w:ascii="宋体" w:hAnsi="宋体" w:cs="宋体"/>
          <w:b/>
          <w:bCs/>
          <w:color w:val="000000" w:themeColor="text1"/>
          <w:sz w:val="32"/>
          <w:szCs w:val="32"/>
          <w:highlight w:val="none"/>
          <w14:textFill>
            <w14:solidFill>
              <w14:schemeClr w14:val="tx1"/>
            </w14:solidFill>
          </w14:textFill>
        </w:rPr>
        <w:t>2.报价文件目录</w:t>
      </w:r>
    </w:p>
    <w:p>
      <w:pPr>
        <w:tabs>
          <w:tab w:val="left" w:pos="3479"/>
        </w:tabs>
        <w:spacing w:line="520" w:lineRule="exact"/>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根据谈判文件规定及供应商提供的材料自行编写目录（部分格式后附）。</w:t>
      </w:r>
    </w:p>
    <w:p>
      <w:pPr>
        <w:tabs>
          <w:tab w:val="left" w:pos="3479"/>
        </w:tabs>
        <w:spacing w:line="520" w:lineRule="exact"/>
        <w:jc w:val="center"/>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r>
        <w:rPr>
          <w:rFonts w:hint="eastAsia" w:ascii="宋体" w:hAnsi="宋体" w:cs="宋体"/>
          <w:bCs/>
          <w:color w:val="000000" w:themeColor="text1"/>
          <w:sz w:val="44"/>
          <w:szCs w:val="44"/>
          <w:highlight w:val="none"/>
          <w14:textFill>
            <w14:solidFill>
              <w14:schemeClr w14:val="tx1"/>
            </w14:solidFill>
          </w14:textFill>
        </w:rPr>
        <w:t>竞  标  报  价  表</w:t>
      </w:r>
    </w:p>
    <w:p>
      <w:pPr>
        <w:spacing w:line="520" w:lineRule="exact"/>
        <w:jc w:val="center"/>
        <w:rPr>
          <w:rFonts w:ascii="宋体" w:hAnsi="宋体" w:cs="宋体"/>
          <w:bCs/>
          <w:color w:val="000000" w:themeColor="text1"/>
          <w:sz w:val="32"/>
          <w:szCs w:val="32"/>
          <w:highlight w:val="none"/>
          <w14:textFill>
            <w14:solidFill>
              <w14:schemeClr w14:val="tx1"/>
            </w14:solidFill>
          </w14:textFill>
        </w:rPr>
      </w:pPr>
    </w:p>
    <w:p>
      <w:pPr>
        <w:snapToGrid w:val="0"/>
        <w:spacing w:before="50" w:after="50"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项目名称：</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项目编号：</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分标（如有）：</w:t>
      </w:r>
      <w:r>
        <w:rPr>
          <w:rFonts w:hint="eastAsia" w:ascii="宋体" w:hAnsi="宋体" w:cs="宋体"/>
          <w:color w:val="000000" w:themeColor="text1"/>
          <w:szCs w:val="21"/>
          <w:highlight w:val="none"/>
          <w:u w:val="single"/>
          <w14:textFill>
            <w14:solidFill>
              <w14:schemeClr w14:val="tx1"/>
            </w14:solidFill>
          </w14:textFill>
        </w:rPr>
        <w:t xml:space="preserve">            </w:t>
      </w:r>
    </w:p>
    <w:p>
      <w:pPr>
        <w:snapToGrid w:val="0"/>
        <w:spacing w:before="50" w:after="50"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供应商名称：</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w:t>
      </w:r>
    </w:p>
    <w:p>
      <w:pPr>
        <w:snapToGrid w:val="0"/>
        <w:spacing w:before="50" w:after="50" w:line="360" w:lineRule="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单位：</w:t>
      </w:r>
      <w:r>
        <w:rPr>
          <w:rFonts w:hint="eastAsia" w:ascii="宋体" w:hAnsi="宋体" w:cs="宋体"/>
          <w:color w:val="000000" w:themeColor="text1"/>
          <w:szCs w:val="21"/>
          <w:highlight w:val="none"/>
          <w:lang w:val="en-US" w:eastAsia="zh-CN"/>
          <w14:textFill>
            <w14:solidFill>
              <w14:schemeClr w14:val="tx1"/>
            </w14:solidFill>
          </w14:textFill>
        </w:rPr>
        <w:t>%</w:t>
      </w:r>
    </w:p>
    <w:tbl>
      <w:tblPr>
        <w:tblStyle w:val="29"/>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404"/>
        <w:gridCol w:w="1215"/>
        <w:gridCol w:w="1417"/>
        <w:gridCol w:w="1050"/>
        <w:gridCol w:w="1323"/>
        <w:gridCol w:w="1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序号</w:t>
            </w:r>
          </w:p>
        </w:tc>
        <w:tc>
          <w:tcPr>
            <w:tcW w:w="1404"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r>
              <w:rPr>
                <w:rFonts w:hint="default" w:ascii="宋体" w:hAnsi="宋体" w:cs="宋体"/>
                <w:color w:val="000000" w:themeColor="text1"/>
                <w:sz w:val="21"/>
                <w:szCs w:val="21"/>
                <w:highlight w:val="none"/>
                <w:lang w:val="en-US" w:eastAsia="zh-CN"/>
                <w14:textFill>
                  <w14:solidFill>
                    <w14:schemeClr w14:val="tx1"/>
                  </w14:solidFill>
                </w14:textFill>
              </w:rPr>
              <w:t>供货序号</w:t>
            </w:r>
          </w:p>
        </w:tc>
        <w:tc>
          <w:tcPr>
            <w:tcW w:w="1215"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标的名称</w:t>
            </w:r>
          </w:p>
        </w:tc>
        <w:tc>
          <w:tcPr>
            <w:tcW w:w="1417"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生产厂家</w:t>
            </w:r>
          </w:p>
        </w:tc>
        <w:tc>
          <w:tcPr>
            <w:tcW w:w="1050"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default" w:ascii="宋体" w:hAnsi="宋体" w:cs="宋体"/>
                <w:color w:val="000000" w:themeColor="text1"/>
                <w:sz w:val="21"/>
                <w:szCs w:val="21"/>
                <w:highlight w:val="none"/>
                <w:lang w:val="en-US" w:eastAsia="zh-CN"/>
                <w14:textFill>
                  <w14:solidFill>
                    <w14:schemeClr w14:val="tx1"/>
                  </w14:solidFill>
                </w14:textFill>
              </w:rPr>
              <w:t>单位</w:t>
            </w:r>
          </w:p>
        </w:tc>
        <w:tc>
          <w:tcPr>
            <w:tcW w:w="1323"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规格</w:t>
            </w:r>
          </w:p>
        </w:tc>
        <w:tc>
          <w:tcPr>
            <w:tcW w:w="1794"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default" w:ascii="宋体" w:hAnsi="宋体" w:eastAsia="宋体" w:cs="宋体"/>
                <w:color w:val="000000" w:themeColor="text1"/>
                <w:sz w:val="21"/>
                <w:szCs w:val="21"/>
                <w:highlight w:val="none"/>
                <w:lang w:val="en-US" w:eastAsia="zh-CN"/>
                <w14:textFill>
                  <w14:solidFill>
                    <w14:schemeClr w14:val="tx1"/>
                  </w14:solidFill>
                </w14:textFill>
              </w:rPr>
              <w:t>技术参数及性能（配置）要求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w:t>
            </w:r>
          </w:p>
        </w:tc>
        <w:tc>
          <w:tcPr>
            <w:tcW w:w="1404"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215"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050"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323"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794"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w:t>
            </w:r>
          </w:p>
        </w:tc>
        <w:tc>
          <w:tcPr>
            <w:tcW w:w="1404"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215"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050"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323"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794"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w:t>
            </w:r>
          </w:p>
        </w:tc>
        <w:tc>
          <w:tcPr>
            <w:tcW w:w="1404"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215"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050"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323"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794"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4</w:t>
            </w:r>
          </w:p>
        </w:tc>
        <w:tc>
          <w:tcPr>
            <w:tcW w:w="1404"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215"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050"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323"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794"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p>
        </w:tc>
        <w:tc>
          <w:tcPr>
            <w:tcW w:w="1404"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215"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050"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323"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794"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7"/>
            <w:tcBorders>
              <w:top w:val="single" w:color="auto" w:sz="4" w:space="0"/>
              <w:left w:val="single" w:color="auto" w:sz="4" w:space="0"/>
              <w:bottom w:val="single" w:color="auto" w:sz="4" w:space="0"/>
              <w:right w:val="single" w:color="auto" w:sz="4" w:space="0"/>
            </w:tcBorders>
          </w:tcPr>
          <w:p>
            <w:pPr>
              <w:pStyle w:val="71"/>
              <w:spacing w:line="360" w:lineRule="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整体折扣比例（%）</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 xml:space="preserve"> 大写               ；小写</w:t>
            </w:r>
            <w:r>
              <w:rPr>
                <w:rFonts w:hint="eastAsia" w:ascii="宋体" w:hAnsi="宋体" w:cs="宋体"/>
                <w:color w:val="000000" w:themeColor="text1"/>
                <w:sz w:val="21"/>
                <w:szCs w:val="21"/>
                <w:highlight w:val="none"/>
                <w14:textFill>
                  <w14:solidFill>
                    <w14:schemeClr w14:val="tx1"/>
                  </w14:solidFill>
                </w14:textFill>
              </w:rPr>
              <w:t xml:space="preserve">  </w:t>
            </w:r>
          </w:p>
        </w:tc>
      </w:tr>
    </w:tbl>
    <w:p>
      <w:pPr>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注: </w:t>
      </w:r>
    </w:p>
    <w:p>
      <w:pPr>
        <w:numPr>
          <w:ilvl w:val="0"/>
          <w:numId w:val="3"/>
        </w:numPr>
        <w:spacing w:line="360" w:lineRule="auto"/>
        <w:ind w:firstLine="420" w:firstLineChars="200"/>
        <w:jc w:val="left"/>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以上竞标报价表中“标的名称、</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生产厂家</w:t>
      </w:r>
      <w:r>
        <w:rPr>
          <w:rFonts w:hint="eastAsia" w:ascii="宋体" w:hAnsi="宋体" w:eastAsia="宋体" w:cs="宋体"/>
          <w:b w:val="0"/>
          <w:bCs w:val="0"/>
          <w:color w:val="000000" w:themeColor="text1"/>
          <w:sz w:val="21"/>
          <w:szCs w:val="21"/>
          <w:highlight w:val="none"/>
          <w14:textFill>
            <w14:solidFill>
              <w14:schemeClr w14:val="tx1"/>
            </w14:solidFill>
          </w14:textFill>
        </w:rPr>
        <w:t>、</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单位</w:t>
      </w:r>
      <w:r>
        <w:rPr>
          <w:rFonts w:hint="eastAsia" w:ascii="宋体" w:hAnsi="宋体" w:eastAsia="宋体" w:cs="宋体"/>
          <w:b w:val="0"/>
          <w:bCs w:val="0"/>
          <w:color w:val="000000" w:themeColor="text1"/>
          <w:sz w:val="21"/>
          <w:szCs w:val="21"/>
          <w:highlight w:val="none"/>
          <w14:textFill>
            <w14:solidFill>
              <w14:schemeClr w14:val="tx1"/>
            </w14:solidFill>
          </w14:textFill>
        </w:rPr>
        <w:t>、</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规格</w:t>
      </w:r>
      <w:r>
        <w:rPr>
          <w:rFonts w:hint="eastAsia" w:ascii="宋体" w:hAnsi="宋体" w:eastAsia="宋体" w:cs="宋体"/>
          <w:b w:val="0"/>
          <w:bCs w:val="0"/>
          <w:color w:val="000000" w:themeColor="text1"/>
          <w:sz w:val="21"/>
          <w:szCs w:val="21"/>
          <w:highlight w:val="none"/>
          <w14:textFill>
            <w14:solidFill>
              <w14:schemeClr w14:val="tx1"/>
            </w14:solidFill>
          </w14:textFill>
        </w:rPr>
        <w:t>、</w:t>
      </w:r>
      <w:r>
        <w:rPr>
          <w:rStyle w:val="78"/>
          <w:rFonts w:hint="eastAsia" w:ascii="宋体" w:hAnsi="宋体" w:eastAsia="宋体" w:cs="宋体"/>
          <w:color w:val="000000" w:themeColor="text1"/>
          <w:sz w:val="21"/>
          <w:szCs w:val="21"/>
          <w:highlight w:val="none"/>
          <w:lang w:bidi="ar"/>
          <w14:textFill>
            <w14:solidFill>
              <w14:schemeClr w14:val="tx1"/>
            </w14:solidFill>
          </w14:textFill>
        </w:rPr>
        <w:t>技术参数及性能（配置）要求</w:t>
      </w:r>
      <w:r>
        <w:rPr>
          <w:rFonts w:hint="eastAsia" w:ascii="宋体" w:hAnsi="宋体" w:eastAsia="宋体" w:cs="宋体"/>
          <w:b w:val="0"/>
          <w:bCs w:val="0"/>
          <w:color w:val="000000" w:themeColor="text1"/>
          <w:sz w:val="21"/>
          <w:szCs w:val="21"/>
          <w:highlight w:val="none"/>
          <w14:textFill>
            <w14:solidFill>
              <w14:schemeClr w14:val="tx1"/>
            </w14:solidFill>
          </w14:textFill>
        </w:rPr>
        <w:t>”必须如实填写完整，填写有缺漏的，其响应文件按无效处理。</w:t>
      </w:r>
    </w:p>
    <w:p>
      <w:pPr>
        <w:numPr>
          <w:ilvl w:val="0"/>
          <w:numId w:val="0"/>
        </w:num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2.供应商的报价表必须加盖供应商电子签章并由法定代表人或者委托代理人签字或者电子签名，</w:t>
      </w:r>
      <w:r>
        <w:rPr>
          <w:rFonts w:hint="eastAsia" w:ascii="宋体" w:hAnsi="宋体" w:cs="宋体"/>
          <w:b/>
          <w:color w:val="000000" w:themeColor="text1"/>
          <w:szCs w:val="21"/>
          <w:highlight w:val="none"/>
          <w14:textFill>
            <w14:solidFill>
              <w14:schemeClr w14:val="tx1"/>
            </w14:solidFill>
          </w14:textFill>
        </w:rPr>
        <w:t>否则其响应文件按无效处理</w:t>
      </w:r>
      <w:r>
        <w:rPr>
          <w:rFonts w:hint="eastAsia" w:ascii="宋体" w:hAnsi="宋体" w:cs="宋体"/>
          <w:color w:val="000000" w:themeColor="text1"/>
          <w:szCs w:val="21"/>
          <w:highlight w:val="none"/>
          <w14:textFill>
            <w14:solidFill>
              <w14:schemeClr w14:val="tx1"/>
            </w14:solidFill>
          </w14:textFill>
        </w:rPr>
        <w:t>。</w:t>
      </w:r>
    </w:p>
    <w:p>
      <w:pPr>
        <w:spacing w:line="360" w:lineRule="auto"/>
        <w:ind w:firstLine="420" w:firstLineChars="200"/>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报价一经涂改，应在涂改处加盖供应商公章或者加盖电子签章或者由法定代表人或者授权委托人签字（或者电子签名）</w:t>
      </w:r>
      <w:r>
        <w:rPr>
          <w:rFonts w:hint="eastAsia" w:ascii="宋体" w:hAnsi="宋体" w:cs="宋体"/>
          <w:b/>
          <w:color w:val="000000" w:themeColor="text1"/>
          <w:szCs w:val="21"/>
          <w:highlight w:val="none"/>
          <w14:textFill>
            <w14:solidFill>
              <w14:schemeClr w14:val="tx1"/>
            </w14:solidFill>
          </w14:textFill>
        </w:rPr>
        <w:t>，否则其响应文件按无效处理。</w:t>
      </w:r>
    </w:p>
    <w:p>
      <w:pPr>
        <w:spacing w:line="360" w:lineRule="auto"/>
        <w:ind w:firstLine="420" w:firstLineChars="200"/>
        <w:jc w:val="left"/>
        <w:rPr>
          <w:rFonts w:ascii="宋体" w:hAnsi="宋体" w:cs="宋体"/>
          <w:i/>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.如为联合体竞标，“供应商名称”处必须列明联合体各方名称，标注联合体牵头人名称，</w:t>
      </w:r>
      <w:r>
        <w:rPr>
          <w:rFonts w:hint="eastAsia" w:ascii="宋体" w:hAnsi="宋体" w:cs="宋体"/>
          <w:b/>
          <w:color w:val="000000" w:themeColor="text1"/>
          <w:szCs w:val="21"/>
          <w:highlight w:val="none"/>
          <w14:textFill>
            <w14:solidFill>
              <w14:schemeClr w14:val="tx1"/>
            </w14:solidFill>
          </w14:textFill>
        </w:rPr>
        <w:t>否则其响应文件按无效处理。</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.如为联合体竞标，</w:t>
      </w:r>
      <w:r>
        <w:rPr>
          <w:rFonts w:hint="eastAsia" w:ascii="宋体" w:hAnsi="宋体" w:cs="宋体"/>
          <w:color w:val="000000" w:themeColor="text1"/>
          <w:spacing w:val="-6"/>
          <w:szCs w:val="21"/>
          <w:highlight w:val="none"/>
          <w14:textFill>
            <w14:solidFill>
              <w14:schemeClr w14:val="tx1"/>
            </w14:solidFill>
          </w14:textFill>
        </w:rPr>
        <w:t xml:space="preserve"> 盖章处须加盖联合体牵头人电子签章</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否则其响应文件按无效处理。</w:t>
      </w:r>
    </w:p>
    <w:p>
      <w:pPr>
        <w:spacing w:line="360" w:lineRule="auto"/>
        <w:ind w:firstLine="420"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6</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pacing w:val="-6"/>
          <w:szCs w:val="21"/>
          <w:highlight w:val="none"/>
          <w14:textFill>
            <w14:solidFill>
              <w14:schemeClr w14:val="tx1"/>
            </w14:solidFill>
          </w14:textFill>
        </w:rPr>
        <w:t>如有多分标，分别列明各分标的报价表，</w:t>
      </w:r>
      <w:r>
        <w:rPr>
          <w:rFonts w:hint="eastAsia" w:ascii="宋体" w:hAnsi="宋体" w:cs="宋体"/>
          <w:b/>
          <w:color w:val="000000" w:themeColor="text1"/>
          <w:spacing w:val="-6"/>
          <w:szCs w:val="21"/>
          <w:highlight w:val="none"/>
          <w14:textFill>
            <w14:solidFill>
              <w14:schemeClr w14:val="tx1"/>
            </w14:solidFill>
          </w14:textFill>
        </w:rPr>
        <w:t>否则其响应文件按无效处理。</w:t>
      </w:r>
    </w:p>
    <w:p>
      <w:pPr>
        <w:spacing w:line="360" w:lineRule="auto"/>
        <w:ind w:right="-817" w:rightChars="-389" w:firstLine="2310" w:firstLineChars="110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法定代表人或者委托代理人（签字或者电子签名）：                    </w:t>
      </w:r>
    </w:p>
    <w:p>
      <w:pPr>
        <w:spacing w:line="360" w:lineRule="auto"/>
        <w:ind w:right="-817" w:rightChars="-389" w:firstLine="2310" w:firstLineChars="110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供应商（电子签章）：      </w:t>
      </w:r>
    </w:p>
    <w:p>
      <w:pPr>
        <w:spacing w:line="360" w:lineRule="auto"/>
        <w:ind w:right="-817" w:rightChars="-389"/>
        <w:contextualSpacing/>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日期：   年   月   日</w:t>
      </w:r>
    </w:p>
    <w:p>
      <w:pPr>
        <w:spacing w:line="360" w:lineRule="auto"/>
        <w:ind w:right="420"/>
        <w:contextualSpacing/>
        <w:jc w:val="left"/>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r>
        <w:rPr>
          <w:rFonts w:hint="eastAsia" w:ascii="宋体" w:hAnsi="宋体" w:cs="宋体"/>
          <w:b/>
          <w:bCs/>
          <w:color w:val="000000" w:themeColor="text1"/>
          <w:sz w:val="32"/>
          <w:szCs w:val="32"/>
          <w:highlight w:val="none"/>
          <w14:textFill>
            <w14:solidFill>
              <w14:schemeClr w14:val="tx1"/>
            </w14:solidFill>
          </w14:textFill>
        </w:rPr>
        <w:t>三、</w:t>
      </w:r>
      <w:r>
        <w:rPr>
          <w:rFonts w:hint="eastAsia" w:ascii="宋体" w:hAnsi="宋体" w:cs="宋体"/>
          <w:b/>
          <w:color w:val="000000" w:themeColor="text1"/>
          <w:sz w:val="32"/>
          <w:szCs w:val="32"/>
          <w:highlight w:val="none"/>
          <w14:textFill>
            <w14:solidFill>
              <w14:schemeClr w14:val="tx1"/>
            </w14:solidFill>
          </w14:textFill>
        </w:rPr>
        <w:t xml:space="preserve">商务技术文件格式 </w:t>
      </w:r>
    </w:p>
    <w:p>
      <w:pPr>
        <w:snapToGrid w:val="0"/>
        <w:spacing w:beforeLines="50" w:after="50" w:line="360" w:lineRule="auto"/>
        <w:jc w:val="left"/>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1.商务技术文件封面格式</w:t>
      </w:r>
    </w:p>
    <w:p>
      <w:pPr>
        <w:snapToGrid w:val="0"/>
        <w:spacing w:beforeLines="50" w:after="50"/>
        <w:rPr>
          <w:rFonts w:ascii="宋体" w:hAnsi="宋体" w:cs="宋体"/>
          <w:bCs/>
          <w:color w:val="000000" w:themeColor="text1"/>
          <w:sz w:val="32"/>
          <w:szCs w:val="20"/>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pPr>
        <w:snapToGrid w:val="0"/>
        <w:spacing w:beforeLines="50" w:after="50"/>
        <w:jc w:val="center"/>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44"/>
          <w:szCs w:val="44"/>
          <w:highlight w:val="none"/>
          <w14:textFill>
            <w14:solidFill>
              <w14:schemeClr w14:val="tx1"/>
            </w14:solidFill>
          </w14:textFill>
        </w:rPr>
        <w:t>电 子 响 应 文 件</w:t>
      </w:r>
    </w:p>
    <w:p>
      <w:pPr>
        <w:snapToGrid w:val="0"/>
        <w:spacing w:beforeLines="50" w:after="50"/>
        <w:rPr>
          <w:rFonts w:ascii="宋体" w:hAnsi="宋体" w:cs="宋体"/>
          <w:color w:val="000000" w:themeColor="text1"/>
          <w:sz w:val="24"/>
          <w:szCs w:val="20"/>
          <w:highlight w:val="none"/>
          <w14:textFill>
            <w14:solidFill>
              <w14:schemeClr w14:val="tx1"/>
            </w14:solidFill>
          </w14:textFill>
        </w:rPr>
      </w:pPr>
    </w:p>
    <w:p>
      <w:pPr>
        <w:snapToGrid w:val="0"/>
        <w:spacing w:beforeLines="50" w:after="50"/>
        <w:rPr>
          <w:rFonts w:ascii="宋体" w:hAnsi="宋体" w:cs="宋体"/>
          <w:color w:val="000000" w:themeColor="text1"/>
          <w:sz w:val="24"/>
          <w:szCs w:val="20"/>
          <w:highlight w:val="none"/>
          <w14:textFill>
            <w14:solidFill>
              <w14:schemeClr w14:val="tx1"/>
            </w14:solidFill>
          </w14:textFill>
        </w:rPr>
      </w:pPr>
    </w:p>
    <w:p>
      <w:pPr>
        <w:snapToGrid w:val="0"/>
        <w:spacing w:beforeLines="50" w:after="50"/>
        <w:jc w:val="center"/>
        <w:rPr>
          <w:rFonts w:ascii="宋体" w:hAnsi="宋体" w:cs="宋体"/>
          <w:bCs/>
          <w:color w:val="000000" w:themeColor="text1"/>
          <w:sz w:val="44"/>
          <w:szCs w:val="44"/>
          <w:highlight w:val="none"/>
          <w14:textFill>
            <w14:solidFill>
              <w14:schemeClr w14:val="tx1"/>
            </w14:solidFill>
          </w14:textFill>
        </w:rPr>
      </w:pPr>
      <w:r>
        <w:rPr>
          <w:rFonts w:hint="eastAsia" w:ascii="宋体" w:hAnsi="宋体" w:cs="宋体"/>
          <w:bCs/>
          <w:color w:val="000000" w:themeColor="text1"/>
          <w:sz w:val="44"/>
          <w:szCs w:val="44"/>
          <w:highlight w:val="none"/>
          <w14:textFill>
            <w14:solidFill>
              <w14:schemeClr w14:val="tx1"/>
            </w14:solidFill>
          </w14:textFill>
        </w:rPr>
        <w:t>商  务  技  术  文  件</w:t>
      </w:r>
    </w:p>
    <w:p>
      <w:pPr>
        <w:snapToGrid w:val="0"/>
        <w:spacing w:beforeLines="50" w:after="50"/>
        <w:rPr>
          <w:rFonts w:ascii="宋体" w:hAnsi="宋体" w:cs="宋体"/>
          <w:bCs/>
          <w:color w:val="000000" w:themeColor="text1"/>
          <w:sz w:val="24"/>
          <w:szCs w:val="20"/>
          <w:highlight w:val="none"/>
          <w14:textFill>
            <w14:solidFill>
              <w14:schemeClr w14:val="tx1"/>
            </w14:solidFill>
          </w14:textFill>
        </w:rPr>
      </w:pPr>
    </w:p>
    <w:p>
      <w:pPr>
        <w:snapToGrid w:val="0"/>
        <w:spacing w:beforeLines="50" w:after="50"/>
        <w:rPr>
          <w:rFonts w:ascii="宋体" w:hAnsi="宋体" w:cs="宋体"/>
          <w:bCs/>
          <w:color w:val="000000" w:themeColor="text1"/>
          <w:sz w:val="24"/>
          <w:szCs w:val="20"/>
          <w:highlight w:val="none"/>
          <w14:textFill>
            <w14:solidFill>
              <w14:schemeClr w14:val="tx1"/>
            </w14:solidFill>
          </w14:textFill>
        </w:rPr>
      </w:pPr>
    </w:p>
    <w:p>
      <w:pPr>
        <w:snapToGrid w:val="0"/>
        <w:spacing w:beforeLines="50" w:after="50"/>
        <w:rPr>
          <w:rFonts w:ascii="宋体" w:hAnsi="宋体" w:cs="宋体"/>
          <w:bCs/>
          <w:color w:val="000000" w:themeColor="text1"/>
          <w:sz w:val="24"/>
          <w:szCs w:val="20"/>
          <w:highlight w:val="none"/>
          <w14:textFill>
            <w14:solidFill>
              <w14:schemeClr w14:val="tx1"/>
            </w14:solidFill>
          </w14:textFill>
        </w:rPr>
      </w:pPr>
    </w:p>
    <w:p>
      <w:pPr>
        <w:snapToGrid w:val="0"/>
        <w:spacing w:beforeLines="50" w:after="50"/>
        <w:rPr>
          <w:rFonts w:ascii="宋体" w:hAnsi="宋体" w:cs="宋体"/>
          <w:bCs/>
          <w:color w:val="000000" w:themeColor="text1"/>
          <w:sz w:val="24"/>
          <w:szCs w:val="20"/>
          <w:highlight w:val="none"/>
          <w14:textFill>
            <w14:solidFill>
              <w14:schemeClr w14:val="tx1"/>
            </w14:solidFill>
          </w14:textFill>
        </w:rPr>
      </w:pPr>
    </w:p>
    <w:p>
      <w:pPr>
        <w:snapToGrid w:val="0"/>
        <w:spacing w:beforeLines="50" w:after="50"/>
        <w:rPr>
          <w:rFonts w:ascii="宋体" w:hAnsi="宋体" w:cs="宋体"/>
          <w:bCs/>
          <w:color w:val="000000" w:themeColor="text1"/>
          <w:sz w:val="24"/>
          <w:szCs w:val="20"/>
          <w:highlight w:val="none"/>
          <w14:textFill>
            <w14:solidFill>
              <w14:schemeClr w14:val="tx1"/>
            </w14:solidFill>
          </w14:textFill>
        </w:rPr>
      </w:pPr>
    </w:p>
    <w:p>
      <w:pPr>
        <w:snapToGrid w:val="0"/>
        <w:spacing w:beforeLines="50" w:after="50"/>
        <w:ind w:firstLine="640" w:firstLineChars="200"/>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项目名称：</w:t>
      </w:r>
    </w:p>
    <w:p>
      <w:pPr>
        <w:snapToGrid w:val="0"/>
        <w:spacing w:beforeLines="50" w:after="50"/>
        <w:ind w:firstLine="720" w:firstLineChars="225"/>
        <w:rPr>
          <w:rFonts w:ascii="宋体" w:hAnsi="宋体" w:cs="宋体"/>
          <w:bCs/>
          <w:color w:val="000000" w:themeColor="text1"/>
          <w:sz w:val="32"/>
          <w:szCs w:val="32"/>
          <w:highlight w:val="none"/>
          <w14:textFill>
            <w14:solidFill>
              <w14:schemeClr w14:val="tx1"/>
            </w14:solidFill>
          </w14:textFill>
        </w:rPr>
      </w:pPr>
    </w:p>
    <w:p>
      <w:pPr>
        <w:snapToGrid w:val="0"/>
        <w:spacing w:beforeLines="50" w:after="50"/>
        <w:ind w:firstLine="640" w:firstLineChars="200"/>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项目编号：</w:t>
      </w:r>
    </w:p>
    <w:p>
      <w:pPr>
        <w:snapToGrid w:val="0"/>
        <w:spacing w:beforeLines="50" w:after="50"/>
        <w:ind w:firstLine="720" w:firstLineChars="225"/>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 xml:space="preserve"> </w:t>
      </w:r>
    </w:p>
    <w:p>
      <w:pPr>
        <w:snapToGrid w:val="0"/>
        <w:spacing w:beforeLines="50" w:after="50"/>
        <w:ind w:firstLine="640" w:firstLineChars="200"/>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所竞分标（如有则填写，无分标时填写“无”或者留空）：</w:t>
      </w:r>
    </w:p>
    <w:p>
      <w:pPr>
        <w:snapToGrid w:val="0"/>
        <w:spacing w:beforeLines="50" w:after="50"/>
        <w:ind w:firstLine="720" w:firstLineChars="225"/>
        <w:rPr>
          <w:rFonts w:ascii="宋体" w:hAnsi="宋体" w:cs="宋体"/>
          <w:bCs/>
          <w:color w:val="000000" w:themeColor="text1"/>
          <w:sz w:val="32"/>
          <w:szCs w:val="32"/>
          <w:highlight w:val="none"/>
          <w14:textFill>
            <w14:solidFill>
              <w14:schemeClr w14:val="tx1"/>
            </w14:solidFill>
          </w14:textFill>
        </w:rPr>
      </w:pPr>
    </w:p>
    <w:p>
      <w:pPr>
        <w:pStyle w:val="7"/>
        <w:snapToGrid w:val="0"/>
        <w:spacing w:before="50" w:after="50"/>
        <w:ind w:firstLine="640" w:firstLineChars="200"/>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供应商名称：</w:t>
      </w:r>
    </w:p>
    <w:p>
      <w:pPr>
        <w:pStyle w:val="7"/>
        <w:snapToGrid w:val="0"/>
        <w:spacing w:before="50" w:after="50"/>
        <w:ind w:firstLine="640" w:firstLineChars="200"/>
        <w:rPr>
          <w:rFonts w:ascii="宋体" w:hAnsi="宋体" w:cs="宋体"/>
          <w:bCs/>
          <w:color w:val="000000" w:themeColor="text1"/>
          <w:sz w:val="32"/>
          <w:szCs w:val="32"/>
          <w:highlight w:val="none"/>
          <w14:textFill>
            <w14:solidFill>
              <w14:schemeClr w14:val="tx1"/>
            </w14:solidFill>
          </w14:textFill>
        </w:rPr>
      </w:pPr>
    </w:p>
    <w:p>
      <w:pPr>
        <w:pStyle w:val="7"/>
        <w:snapToGrid w:val="0"/>
        <w:spacing w:before="50" w:after="50"/>
        <w:ind w:firstLine="720" w:firstLineChars="225"/>
        <w:rPr>
          <w:rFonts w:ascii="宋体" w:hAnsi="宋体" w:cs="宋体"/>
          <w:bCs/>
          <w:color w:val="000000" w:themeColor="text1"/>
          <w:sz w:val="32"/>
          <w:szCs w:val="32"/>
          <w:highlight w:val="none"/>
          <w14:textFill>
            <w14:solidFill>
              <w14:schemeClr w14:val="tx1"/>
            </w14:solidFill>
          </w14:textFill>
        </w:rPr>
      </w:pPr>
    </w:p>
    <w:p>
      <w:pPr>
        <w:pStyle w:val="7"/>
        <w:snapToGrid w:val="0"/>
        <w:spacing w:before="50" w:after="50"/>
        <w:ind w:firstLine="0"/>
        <w:rPr>
          <w:rFonts w:ascii="宋体" w:hAnsi="宋体" w:cs="宋体"/>
          <w:bCs/>
          <w:color w:val="000000" w:themeColor="text1"/>
          <w:sz w:val="32"/>
          <w:szCs w:val="32"/>
          <w:highlight w:val="none"/>
          <w14:textFill>
            <w14:solidFill>
              <w14:schemeClr w14:val="tx1"/>
            </w14:solidFill>
          </w14:textFill>
        </w:rPr>
      </w:pPr>
    </w:p>
    <w:p>
      <w:pPr>
        <w:pStyle w:val="7"/>
        <w:snapToGrid w:val="0"/>
        <w:spacing w:before="50" w:after="50"/>
        <w:ind w:firstLine="1280" w:firstLineChars="400"/>
        <w:rPr>
          <w:rFonts w:ascii="宋体" w:hAnsi="宋体" w:cs="宋体"/>
          <w:bCs/>
          <w:color w:val="000000" w:themeColor="text1"/>
          <w:sz w:val="32"/>
          <w:szCs w:val="32"/>
          <w:highlight w:val="none"/>
          <w14:textFill>
            <w14:solidFill>
              <w14:schemeClr w14:val="tx1"/>
            </w14:solidFill>
          </w14:textFill>
        </w:rPr>
      </w:pPr>
    </w:p>
    <w:p>
      <w:pPr>
        <w:snapToGrid w:val="0"/>
        <w:spacing w:beforeLines="50" w:after="50"/>
        <w:jc w:val="center"/>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年    月    日</w:t>
      </w:r>
    </w:p>
    <w:p>
      <w:pPr>
        <w:snapToGrid w:val="0"/>
        <w:spacing w:beforeLines="50" w:after="50" w:line="360" w:lineRule="auto"/>
        <w:ind w:left="142"/>
        <w:jc w:val="left"/>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r>
        <w:rPr>
          <w:rFonts w:hint="eastAsia" w:ascii="宋体" w:hAnsi="宋体" w:cs="宋体"/>
          <w:b/>
          <w:bCs/>
          <w:color w:val="000000" w:themeColor="text1"/>
          <w:sz w:val="32"/>
          <w:szCs w:val="32"/>
          <w:highlight w:val="none"/>
          <w14:textFill>
            <w14:solidFill>
              <w14:schemeClr w14:val="tx1"/>
            </w14:solidFill>
          </w14:textFill>
        </w:rPr>
        <w:t>2.商务技术文件目录</w:t>
      </w:r>
    </w:p>
    <w:p>
      <w:pPr>
        <w:snapToGrid w:val="0"/>
        <w:spacing w:beforeLines="50" w:after="50"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根据谈判文件规定及供应商提供的材料自行编写目录（部分格式后附）。</w:t>
      </w:r>
    </w:p>
    <w:p>
      <w:pPr>
        <w:spacing w:line="400" w:lineRule="exact"/>
        <w:rPr>
          <w:rFonts w:ascii="宋体" w:hAnsi="宋体" w:cs="宋体"/>
          <w:color w:val="000000" w:themeColor="text1"/>
          <w:sz w:val="32"/>
          <w:szCs w:val="32"/>
          <w:highlight w:val="none"/>
          <w14:textFill>
            <w14:solidFill>
              <w14:schemeClr w14:val="tx1"/>
            </w14:solidFill>
          </w14:textFill>
        </w:rPr>
      </w:pPr>
    </w:p>
    <w:p>
      <w:pPr>
        <w:spacing w:line="520" w:lineRule="exact"/>
        <w:jc w:val="center"/>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44"/>
          <w:szCs w:val="44"/>
          <w:highlight w:val="none"/>
          <w14:textFill>
            <w14:solidFill>
              <w14:schemeClr w14:val="tx1"/>
            </w14:solidFill>
          </w14:textFill>
        </w:rPr>
        <w:br w:type="page"/>
      </w:r>
      <w:r>
        <w:rPr>
          <w:rFonts w:hint="eastAsia" w:ascii="宋体" w:hAnsi="宋体" w:cs="宋体"/>
          <w:color w:val="000000" w:themeColor="text1"/>
          <w:sz w:val="44"/>
          <w:szCs w:val="44"/>
          <w:highlight w:val="none"/>
          <w14:textFill>
            <w14:solidFill>
              <w14:schemeClr w14:val="tx1"/>
            </w14:solidFill>
          </w14:textFill>
        </w:rPr>
        <w:t>无串通竞标行为的承诺函</w:t>
      </w:r>
    </w:p>
    <w:p>
      <w:pPr>
        <w:spacing w:line="360" w:lineRule="auto"/>
        <w:ind w:firstLine="640" w:firstLineChars="200"/>
        <w:rPr>
          <w:rFonts w:ascii="宋体" w:hAnsi="宋体" w:cs="宋体"/>
          <w:color w:val="000000" w:themeColor="text1"/>
          <w:sz w:val="32"/>
          <w:szCs w:val="32"/>
          <w:highlight w:val="none"/>
          <w14:textFill>
            <w14:solidFill>
              <w14:schemeClr w14:val="tx1"/>
            </w14:solidFill>
          </w14:textFill>
        </w:rPr>
      </w:pPr>
    </w:p>
    <w:p>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一、我方承诺无下列相互串通竞标的情形：</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1.不同供应商的响应文件由同一单位或者个人编制；</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2.不同供应商委托同一单位或者个人办理竞标事宜；</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3.不同的供应商的响应文件载明的项目管理员为同一个人；</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4.不</w:t>
      </w:r>
      <w:r>
        <w:rPr>
          <w:rFonts w:hint="eastAsia" w:ascii="宋体" w:hAnsi="宋体" w:cs="宋体"/>
          <w:color w:val="000000" w:themeColor="text1"/>
          <w:spacing w:val="-6"/>
          <w:szCs w:val="21"/>
          <w:highlight w:val="none"/>
          <w14:textFill>
            <w14:solidFill>
              <w14:schemeClr w14:val="tx1"/>
            </w14:solidFill>
          </w14:textFill>
        </w:rPr>
        <w:t>同供应商的响应文件异常一致或者竞标报价呈规律性差异；</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5.不同供应商的响应文件相互混装；</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6.不同供应商的竞标保证金从同一单位或者个人账户转出。</w:t>
      </w:r>
    </w:p>
    <w:p>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二、我方承诺无下列恶意串通的情形：</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1.供应商直接或者间接从采购人或者采购代理机构处获得其他供应商的相关信息并修改其响应文件；</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2.供应商按照采购人或者采购代理机构的授意撤换、修改响应文件；</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3.供</w:t>
      </w:r>
      <w:r>
        <w:rPr>
          <w:rFonts w:hint="eastAsia" w:ascii="宋体" w:hAnsi="宋体" w:cs="宋体"/>
          <w:color w:val="000000" w:themeColor="text1"/>
          <w:spacing w:val="-6"/>
          <w:szCs w:val="21"/>
          <w:highlight w:val="none"/>
          <w14:textFill>
            <w14:solidFill>
              <w14:schemeClr w14:val="tx1"/>
            </w14:solidFill>
          </w14:textFill>
        </w:rPr>
        <w:t>应商之间协商报价、技术方案等响应文件的实质性内容；</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4.属于同一集团、协会、商会等组织成员的供应商按照该组织要求协同参加政府采购活动；</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5.供应商之间事先约定一致抬高或者压低竞标报价，或者在竞争性谈判项目中事先约定轮流以高价位或者低价位成交，或者事先约定由某一特定供应商成交，然后再参加竞标；</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6.供应商之间商定部分供应商放弃参加政府采购活动或者放弃成交；</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7.供应商与采购人或者采购代理机构之间、供应商相互之间，为</w:t>
      </w:r>
      <w:r>
        <w:rPr>
          <w:rFonts w:hint="eastAsia" w:ascii="宋体" w:hAnsi="宋体" w:cs="宋体"/>
          <w:color w:val="000000" w:themeColor="text1"/>
          <w:spacing w:val="-6"/>
          <w:szCs w:val="21"/>
          <w:highlight w:val="none"/>
          <w14:textFill>
            <w14:solidFill>
              <w14:schemeClr w14:val="tx1"/>
            </w14:solidFill>
          </w14:textFill>
        </w:rPr>
        <w:t>谋求特定供应商成交或者排斥其他供应商的其他串通行为。</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p>
    <w:p>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以上情形一经核查属实，我方愿意承担一切后果，并不再寻求任何旨在减轻或者免除法律责任的辩解。</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p>
    <w:p>
      <w:pPr>
        <w:spacing w:line="360" w:lineRule="auto"/>
        <w:rPr>
          <w:rFonts w:ascii="宋体" w:hAnsi="宋体" w:cs="宋体"/>
          <w:color w:val="000000" w:themeColor="text1"/>
          <w:szCs w:val="21"/>
          <w:highlight w:val="none"/>
          <w14:textFill>
            <w14:solidFill>
              <w14:schemeClr w14:val="tx1"/>
            </w14:solidFill>
          </w14:textFill>
        </w:rPr>
      </w:pPr>
    </w:p>
    <w:p>
      <w:pPr>
        <w:spacing w:line="360" w:lineRule="auto"/>
        <w:ind w:firstLine="3150" w:firstLineChars="1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供应商（电子签章）：</w:t>
      </w:r>
    </w:p>
    <w:p>
      <w:pPr>
        <w:spacing w:line="360" w:lineRule="auto"/>
        <w:ind w:firstLine="420" w:firstLineChars="20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年   月   日</w:t>
      </w:r>
    </w:p>
    <w:p>
      <w:pPr>
        <w:spacing w:line="360" w:lineRule="auto"/>
        <w:ind w:firstLine="640" w:firstLineChars="200"/>
        <w:jc w:val="center"/>
        <w:rPr>
          <w:rFonts w:ascii="宋体" w:hAnsi="宋体" w:cs="宋体"/>
          <w:color w:val="000000" w:themeColor="text1"/>
          <w:sz w:val="32"/>
          <w:szCs w:val="32"/>
          <w:highlight w:val="none"/>
          <w14:textFill>
            <w14:solidFill>
              <w14:schemeClr w14:val="tx1"/>
            </w14:solidFill>
          </w14:textFill>
        </w:rPr>
      </w:pPr>
    </w:p>
    <w:p>
      <w:pPr>
        <w:widowControl/>
        <w:jc w:val="left"/>
        <w:rPr>
          <w:rFonts w:ascii="宋体" w:hAnsi="宋体" w:cs="宋体"/>
          <w:bCs/>
          <w:color w:val="000000" w:themeColor="text1"/>
          <w:sz w:val="44"/>
          <w:szCs w:val="44"/>
          <w:highlight w:val="none"/>
          <w14:textFill>
            <w14:solidFill>
              <w14:schemeClr w14:val="tx1"/>
            </w14:solidFill>
          </w14:textFill>
        </w:rPr>
        <w:sectPr>
          <w:pgSz w:w="11910" w:h="16840"/>
          <w:pgMar w:top="1340" w:right="1500" w:bottom="280" w:left="1680" w:header="720" w:footer="720" w:gutter="0"/>
          <w:cols w:space="720" w:num="1"/>
        </w:sectPr>
      </w:pPr>
    </w:p>
    <w:p>
      <w:pPr>
        <w:spacing w:beforeLines="100" w:afterLines="50" w:line="520" w:lineRule="exact"/>
        <w:ind w:left="540"/>
        <w:jc w:val="center"/>
        <w:rPr>
          <w:rFonts w:ascii="宋体" w:hAnsi="宋体" w:cs="宋体"/>
          <w:color w:val="000000" w:themeColor="text1"/>
          <w:sz w:val="32"/>
          <w:szCs w:val="32"/>
          <w:highlight w:val="none"/>
          <w14:textFill>
            <w14:solidFill>
              <w14:schemeClr w14:val="tx1"/>
            </w14:solidFill>
          </w14:textFill>
        </w:rPr>
      </w:pPr>
      <w:r>
        <w:rPr>
          <w:rFonts w:hint="eastAsia" w:ascii="宋体" w:hAnsi="宋体" w:cs="宋体"/>
          <w:bCs/>
          <w:color w:val="000000" w:themeColor="text1"/>
          <w:sz w:val="44"/>
          <w:szCs w:val="44"/>
          <w:highlight w:val="none"/>
          <w14:textFill>
            <w14:solidFill>
              <w14:schemeClr w14:val="tx1"/>
            </w14:solidFill>
          </w14:textFill>
        </w:rPr>
        <w:t>法定代表人证明书</w:t>
      </w:r>
    </w:p>
    <w:p>
      <w:pPr>
        <w:spacing w:line="360" w:lineRule="auto"/>
        <w:ind w:left="540"/>
        <w:contextualSpacing/>
        <w:rPr>
          <w:rFonts w:ascii="宋体" w:hAnsi="宋体" w:cs="宋体"/>
          <w:color w:val="000000" w:themeColor="text1"/>
          <w:sz w:val="32"/>
          <w:szCs w:val="32"/>
          <w:highlight w:val="none"/>
          <w14:textFill>
            <w14:solidFill>
              <w14:schemeClr w14:val="tx1"/>
            </w14:solidFill>
          </w14:textFill>
        </w:rPr>
      </w:pPr>
    </w:p>
    <w:p>
      <w:pPr>
        <w:spacing w:line="360" w:lineRule="auto"/>
        <w:ind w:left="54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供应商名称：</w:t>
      </w:r>
      <w:r>
        <w:rPr>
          <w:rFonts w:hint="eastAsia" w:ascii="宋体" w:hAnsi="宋体" w:cs="宋体"/>
          <w:color w:val="000000" w:themeColor="text1"/>
          <w:szCs w:val="21"/>
          <w:highlight w:val="none"/>
          <w:u w:val="single"/>
          <w14:textFill>
            <w14:solidFill>
              <w14:schemeClr w14:val="tx1"/>
            </w14:solidFill>
          </w14:textFill>
        </w:rPr>
        <w:t xml:space="preserve">                                                        </w:t>
      </w:r>
    </w:p>
    <w:p>
      <w:pPr>
        <w:spacing w:line="360" w:lineRule="auto"/>
        <w:ind w:left="54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地    址：</w:t>
      </w:r>
      <w:r>
        <w:rPr>
          <w:rFonts w:hint="eastAsia" w:ascii="宋体" w:hAnsi="宋体" w:cs="宋体"/>
          <w:color w:val="000000" w:themeColor="text1"/>
          <w:szCs w:val="21"/>
          <w:highlight w:val="none"/>
          <w:u w:val="single"/>
          <w14:textFill>
            <w14:solidFill>
              <w14:schemeClr w14:val="tx1"/>
            </w14:solidFill>
          </w14:textFill>
        </w:rPr>
        <w:t xml:space="preserve">                                                        </w:t>
      </w:r>
    </w:p>
    <w:p>
      <w:pPr>
        <w:spacing w:line="360" w:lineRule="auto"/>
        <w:ind w:left="54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姓    名：</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性      别：</w:t>
      </w:r>
      <w:r>
        <w:rPr>
          <w:rFonts w:hint="eastAsia" w:ascii="宋体" w:hAnsi="宋体" w:cs="宋体"/>
          <w:color w:val="000000" w:themeColor="text1"/>
          <w:szCs w:val="21"/>
          <w:highlight w:val="none"/>
          <w:u w:val="single"/>
          <w14:textFill>
            <w14:solidFill>
              <w14:schemeClr w14:val="tx1"/>
            </w14:solidFill>
          </w14:textFill>
        </w:rPr>
        <w:t xml:space="preserve">                </w:t>
      </w:r>
    </w:p>
    <w:p>
      <w:pPr>
        <w:spacing w:line="360" w:lineRule="auto"/>
        <w:ind w:left="540"/>
        <w:contextualSpacing/>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年    龄：</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职      务：</w:t>
      </w:r>
      <w:r>
        <w:rPr>
          <w:rFonts w:hint="eastAsia" w:ascii="宋体" w:hAnsi="宋体" w:cs="宋体"/>
          <w:color w:val="000000" w:themeColor="text1"/>
          <w:szCs w:val="21"/>
          <w:highlight w:val="none"/>
          <w:u w:val="single"/>
          <w14:textFill>
            <w14:solidFill>
              <w14:schemeClr w14:val="tx1"/>
            </w14:solidFill>
          </w14:textFill>
        </w:rPr>
        <w:t xml:space="preserve">                </w:t>
      </w:r>
    </w:p>
    <w:p>
      <w:pPr>
        <w:spacing w:line="360" w:lineRule="auto"/>
        <w:ind w:left="54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身份证号码：</w:t>
      </w:r>
      <w:r>
        <w:rPr>
          <w:rFonts w:hint="eastAsia" w:ascii="宋体" w:hAnsi="宋体" w:cs="宋体"/>
          <w:color w:val="000000" w:themeColor="text1"/>
          <w:szCs w:val="21"/>
          <w:highlight w:val="none"/>
          <w:u w:val="single"/>
          <w14:textFill>
            <w14:solidFill>
              <w14:schemeClr w14:val="tx1"/>
            </w14:solidFill>
          </w14:textFill>
        </w:rPr>
        <w:t xml:space="preserve">                                        </w:t>
      </w:r>
    </w:p>
    <w:p>
      <w:pPr>
        <w:spacing w:line="360" w:lineRule="auto"/>
        <w:ind w:left="54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系</w:t>
      </w:r>
      <w:r>
        <w:rPr>
          <w:rFonts w:hint="eastAsia" w:ascii="宋体" w:hAnsi="宋体" w:cs="宋体"/>
          <w:color w:val="000000" w:themeColor="text1"/>
          <w:szCs w:val="21"/>
          <w:highlight w:val="none"/>
          <w:u w:val="single"/>
          <w14:textFill>
            <w14:solidFill>
              <w14:schemeClr w14:val="tx1"/>
            </w14:solidFill>
          </w14:textFill>
        </w:rPr>
        <w:t xml:space="preserve">    （供应商名称）   </w:t>
      </w:r>
      <w:r>
        <w:rPr>
          <w:rFonts w:hint="eastAsia" w:ascii="宋体" w:hAnsi="宋体" w:cs="宋体"/>
          <w:color w:val="000000" w:themeColor="text1"/>
          <w:szCs w:val="21"/>
          <w:highlight w:val="none"/>
          <w14:textFill>
            <w14:solidFill>
              <w14:schemeClr w14:val="tx1"/>
            </w14:solidFill>
          </w14:textFill>
        </w:rPr>
        <w:t>的法定代表人。</w:t>
      </w:r>
    </w:p>
    <w:p>
      <w:pPr>
        <w:spacing w:line="360" w:lineRule="auto"/>
        <w:ind w:left="54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特此证明。</w:t>
      </w:r>
    </w:p>
    <w:p>
      <w:pPr>
        <w:spacing w:line="360" w:lineRule="auto"/>
        <w:ind w:left="540"/>
        <w:contextualSpacing/>
        <w:rPr>
          <w:rFonts w:ascii="宋体" w:hAnsi="宋体" w:cs="宋体"/>
          <w:color w:val="000000" w:themeColor="text1"/>
          <w:szCs w:val="21"/>
          <w:highlight w:val="none"/>
          <w14:textFill>
            <w14:solidFill>
              <w14:schemeClr w14:val="tx1"/>
            </w14:solidFill>
          </w14:textFill>
        </w:rPr>
      </w:pPr>
    </w:p>
    <w:p>
      <w:pPr>
        <w:spacing w:line="360" w:lineRule="auto"/>
        <w:ind w:left="540"/>
        <w:contextualSpacing/>
        <w:rPr>
          <w:rFonts w:ascii="宋体" w:hAnsi="宋体" w:cs="宋体"/>
          <w:color w:val="000000" w:themeColor="text1"/>
          <w:szCs w:val="21"/>
          <w:highlight w:val="none"/>
          <w14:textFill>
            <w14:solidFill>
              <w14:schemeClr w14:val="tx1"/>
            </w14:solidFill>
          </w14:textFill>
        </w:rPr>
      </w:pPr>
    </w:p>
    <w:p>
      <w:pPr>
        <w:spacing w:line="360" w:lineRule="auto"/>
        <w:ind w:left="540"/>
        <w:contextualSpacing/>
        <w:rPr>
          <w:rFonts w:ascii="宋体" w:hAnsi="宋体" w:cs="宋体"/>
          <w:color w:val="000000" w:themeColor="text1"/>
          <w:szCs w:val="21"/>
          <w:highlight w:val="none"/>
          <w14:textFill>
            <w14:solidFill>
              <w14:schemeClr w14:val="tx1"/>
            </w14:solidFill>
          </w14:textFill>
        </w:rPr>
      </w:pPr>
    </w:p>
    <w:p>
      <w:pPr>
        <w:spacing w:line="360" w:lineRule="auto"/>
        <w:ind w:left="54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附件：法定代表人有效身份证正反面复印件</w:t>
      </w:r>
    </w:p>
    <w:p>
      <w:pPr>
        <w:spacing w:line="360" w:lineRule="auto"/>
        <w:ind w:left="540"/>
        <w:contextualSpacing/>
        <w:rPr>
          <w:rFonts w:ascii="宋体" w:hAnsi="宋体" w:cs="宋体"/>
          <w:color w:val="000000" w:themeColor="text1"/>
          <w:szCs w:val="21"/>
          <w:highlight w:val="none"/>
          <w14:textFill>
            <w14:solidFill>
              <w14:schemeClr w14:val="tx1"/>
            </w14:solidFill>
          </w14:textFill>
        </w:rPr>
      </w:pPr>
    </w:p>
    <w:p>
      <w:pPr>
        <w:spacing w:line="360" w:lineRule="auto"/>
        <w:ind w:left="540"/>
        <w:contextualSpacing/>
        <w:jc w:val="righ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供应商（电子签章）：</w:t>
      </w:r>
      <w:r>
        <w:rPr>
          <w:rFonts w:hint="eastAsia" w:ascii="宋体" w:hAnsi="宋体" w:cs="宋体"/>
          <w:color w:val="000000" w:themeColor="text1"/>
          <w:szCs w:val="21"/>
          <w:highlight w:val="none"/>
          <w:u w:val="single"/>
          <w14:textFill>
            <w14:solidFill>
              <w14:schemeClr w14:val="tx1"/>
            </w14:solidFill>
          </w14:textFill>
        </w:rPr>
        <w:t xml:space="preserve">               </w:t>
      </w:r>
    </w:p>
    <w:p>
      <w:pPr>
        <w:spacing w:line="360" w:lineRule="auto"/>
        <w:ind w:firstLine="3570" w:firstLineChars="17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日</w:t>
      </w:r>
    </w:p>
    <w:p>
      <w:pPr>
        <w:spacing w:line="360" w:lineRule="auto"/>
        <w:jc w:val="center"/>
        <w:rPr>
          <w:rFonts w:ascii="宋体" w:hAnsi="宋体" w:cs="宋体"/>
          <w:b/>
          <w:color w:val="000000" w:themeColor="text1"/>
          <w:szCs w:val="21"/>
          <w:highlight w:val="none"/>
          <w14:textFill>
            <w14:solidFill>
              <w14:schemeClr w14:val="tx1"/>
            </w14:solidFill>
          </w14:textFill>
        </w:rPr>
      </w:pPr>
    </w:p>
    <w:p>
      <w:pPr>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注：自然人竞标的无需提供，联合体竞标的只需牵头人出具。</w:t>
      </w:r>
    </w:p>
    <w:p>
      <w:pPr>
        <w:adjustRightInd w:val="0"/>
        <w:snapToGrid w:val="0"/>
        <w:spacing w:line="300" w:lineRule="auto"/>
        <w:jc w:val="left"/>
        <w:rPr>
          <w:rFonts w:ascii="宋体" w:hAnsi="宋体" w:cs="宋体"/>
          <w:b/>
          <w:color w:val="000000" w:themeColor="text1"/>
          <w:szCs w:val="21"/>
          <w:highlight w:val="none"/>
          <w14:textFill>
            <w14:solidFill>
              <w14:schemeClr w14:val="tx1"/>
            </w14:solidFill>
          </w14:textFill>
        </w:rPr>
      </w:pPr>
    </w:p>
    <w:p>
      <w:pPr>
        <w:spacing w:line="520" w:lineRule="exact"/>
        <w:jc w:val="center"/>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44"/>
          <w:szCs w:val="44"/>
          <w:highlight w:val="none"/>
          <w14:textFill>
            <w14:solidFill>
              <w14:schemeClr w14:val="tx1"/>
            </w14:solidFill>
          </w14:textFill>
        </w:rPr>
        <w:br w:type="page"/>
      </w:r>
      <w:r>
        <w:rPr>
          <w:rFonts w:hint="eastAsia" w:ascii="宋体" w:hAnsi="宋体" w:cs="宋体"/>
          <w:color w:val="000000" w:themeColor="text1"/>
          <w:sz w:val="32"/>
          <w:szCs w:val="32"/>
          <w:highlight w:val="none"/>
          <w14:textFill>
            <w14:solidFill>
              <w14:schemeClr w14:val="tx1"/>
            </w14:solidFill>
          </w14:textFill>
        </w:rPr>
        <w:t>授权委托书</w:t>
      </w:r>
    </w:p>
    <w:p>
      <w:pPr>
        <w:spacing w:line="520" w:lineRule="exact"/>
        <w:jc w:val="center"/>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（非联合体竞标格式）</w:t>
      </w:r>
    </w:p>
    <w:p>
      <w:pPr>
        <w:spacing w:line="520" w:lineRule="exact"/>
        <w:jc w:val="center"/>
        <w:rPr>
          <w:rFonts w:ascii="宋体" w:hAnsi="宋体" w:cs="宋体"/>
          <w:color w:val="000000" w:themeColor="text1"/>
          <w:sz w:val="44"/>
          <w:szCs w:val="44"/>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（如有委托时）</w:t>
      </w:r>
    </w:p>
    <w:p>
      <w:pPr>
        <w:spacing w:line="360" w:lineRule="auto"/>
        <w:rPr>
          <w:rFonts w:ascii="宋体" w:hAnsi="宋体" w:cs="宋体"/>
          <w:color w:val="000000" w:themeColor="text1"/>
          <w:sz w:val="32"/>
          <w:szCs w:val="32"/>
          <w:highlight w:val="none"/>
          <w14:textFill>
            <w14:solidFill>
              <w14:schemeClr w14:val="tx1"/>
            </w14:solidFill>
          </w14:textFill>
        </w:rPr>
      </w:pPr>
    </w:p>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致：</w:t>
      </w:r>
      <w:r>
        <w:rPr>
          <w:rFonts w:hint="eastAsia" w:ascii="宋体" w:hAnsi="宋体" w:cs="宋体"/>
          <w:color w:val="000000" w:themeColor="text1"/>
          <w:szCs w:val="21"/>
          <w:highlight w:val="none"/>
          <w:u w:val="single"/>
          <w14:textFill>
            <w14:solidFill>
              <w14:schemeClr w14:val="tx1"/>
            </w14:solidFill>
          </w14:textFill>
        </w:rPr>
        <w:t>（采购人名称）</w:t>
      </w:r>
      <w:r>
        <w:rPr>
          <w:rFonts w:hint="eastAsia" w:ascii="宋体" w:hAnsi="宋体" w:cs="宋体"/>
          <w:color w:val="000000" w:themeColor="text1"/>
          <w:szCs w:val="21"/>
          <w:highlight w:val="none"/>
          <w14:textFill>
            <w14:solidFill>
              <w14:schemeClr w14:val="tx1"/>
            </w14:solidFill>
          </w14:textFill>
        </w:rPr>
        <w:t>：</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我</w:t>
      </w:r>
      <w:r>
        <w:rPr>
          <w:rFonts w:hint="eastAsia" w:ascii="宋体" w:hAnsi="宋体" w:cs="宋体"/>
          <w:color w:val="000000" w:themeColor="text1"/>
          <w:szCs w:val="21"/>
          <w:highlight w:val="none"/>
          <w:u w:val="single"/>
          <w14:textFill>
            <w14:solidFill>
              <w14:schemeClr w14:val="tx1"/>
            </w14:solidFill>
          </w14:textFill>
        </w:rPr>
        <w:t xml:space="preserve">  （姓名）  </w:t>
      </w:r>
      <w:r>
        <w:rPr>
          <w:rFonts w:hint="eastAsia" w:ascii="宋体" w:hAnsi="宋体" w:cs="宋体"/>
          <w:color w:val="000000" w:themeColor="text1"/>
          <w:szCs w:val="21"/>
          <w:highlight w:val="none"/>
          <w14:textFill>
            <w14:solidFill>
              <w14:schemeClr w14:val="tx1"/>
            </w14:solidFill>
          </w14:textFill>
        </w:rPr>
        <w:t>系</w:t>
      </w:r>
      <w:r>
        <w:rPr>
          <w:rFonts w:hint="eastAsia" w:ascii="宋体" w:hAnsi="宋体" w:cs="宋体"/>
          <w:color w:val="000000" w:themeColor="text1"/>
          <w:szCs w:val="21"/>
          <w:highlight w:val="none"/>
          <w:u w:val="single"/>
          <w14:textFill>
            <w14:solidFill>
              <w14:schemeClr w14:val="tx1"/>
            </w14:solidFill>
          </w14:textFill>
        </w:rPr>
        <w:t xml:space="preserve">  （供应商名称）  </w:t>
      </w:r>
      <w:r>
        <w:rPr>
          <w:rFonts w:hint="eastAsia" w:ascii="宋体" w:hAnsi="宋体" w:cs="宋体"/>
          <w:color w:val="000000" w:themeColor="text1"/>
          <w:szCs w:val="21"/>
          <w:highlight w:val="none"/>
          <w14:textFill>
            <w14:solidFill>
              <w14:schemeClr w14:val="tx1"/>
            </w14:solidFill>
          </w14:textFill>
        </w:rPr>
        <w:t>的（</w:t>
      </w:r>
      <w:r>
        <w:rPr>
          <w:rFonts w:hint="eastAsia" w:ascii="宋体" w:hAnsi="宋体" w:cs="宋体"/>
          <w:color w:val="000000" w:themeColor="text1"/>
          <w:szCs w:val="21"/>
          <w:highlight w:val="none"/>
          <w:u w:val="single"/>
          <w:lang w:eastAsia="zh-CN"/>
          <w14:textFill>
            <w14:solidFill>
              <w14:schemeClr w14:val="tx1"/>
            </w14:solidFill>
          </w14:textFill>
        </w:rPr>
        <w:t>☑</w:t>
      </w:r>
      <w:r>
        <w:rPr>
          <w:rFonts w:hint="eastAsia" w:ascii="宋体" w:hAnsi="宋体" w:cs="宋体"/>
          <w:color w:val="000000" w:themeColor="text1"/>
          <w:szCs w:val="21"/>
          <w:highlight w:val="none"/>
          <w:u w:val="single"/>
          <w14:textFill>
            <w14:solidFill>
              <w14:schemeClr w14:val="tx1"/>
            </w14:solidFill>
          </w14:textFill>
        </w:rPr>
        <w:t>法定代表人/□负责人/□自然人本人</w:t>
      </w:r>
      <w:r>
        <w:rPr>
          <w:rFonts w:hint="eastAsia" w:ascii="宋体" w:hAnsi="宋体" w:cs="宋体"/>
          <w:color w:val="000000" w:themeColor="text1"/>
          <w:szCs w:val="21"/>
          <w:highlight w:val="none"/>
          <w14:textFill>
            <w14:solidFill>
              <w14:schemeClr w14:val="tx1"/>
            </w14:solidFill>
          </w14:textFill>
        </w:rPr>
        <w:t>），现授权</w:t>
      </w:r>
      <w:r>
        <w:rPr>
          <w:rFonts w:hint="eastAsia" w:ascii="宋体" w:hAnsi="宋体" w:cs="宋体"/>
          <w:color w:val="000000" w:themeColor="text1"/>
          <w:szCs w:val="21"/>
          <w:highlight w:val="none"/>
          <w:u w:val="single"/>
          <w14:textFill>
            <w14:solidFill>
              <w14:schemeClr w14:val="tx1"/>
            </w14:solidFill>
          </w14:textFill>
        </w:rPr>
        <w:t xml:space="preserve"> （姓名） </w:t>
      </w:r>
      <w:r>
        <w:rPr>
          <w:rFonts w:hint="eastAsia" w:ascii="宋体" w:hAnsi="宋体" w:cs="宋体"/>
          <w:color w:val="000000" w:themeColor="text1"/>
          <w:szCs w:val="21"/>
          <w:highlight w:val="none"/>
          <w14:textFill>
            <w14:solidFill>
              <w14:schemeClr w14:val="tx1"/>
            </w14:solidFill>
          </w14:textFill>
        </w:rPr>
        <w:t>以我方的名义参加</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项目的竞标活动，并代表我方全权办理针对上述项目的所有采购程序和环节的具体事务和签署相关文件。</w:t>
      </w:r>
    </w:p>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我方对委托代理人的签字或者电子签名事项负全部责任。</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委托代理人无转委托权，特此委托。</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附：法定代表人身份证明书及委托代理人有效身份证正反面复印件</w:t>
      </w:r>
    </w:p>
    <w:p>
      <w:pPr>
        <w:spacing w:line="360" w:lineRule="auto"/>
        <w:rPr>
          <w:rFonts w:ascii="宋体" w:hAnsi="宋体" w:cs="宋体"/>
          <w:color w:val="000000" w:themeColor="text1"/>
          <w:szCs w:val="21"/>
          <w:highlight w:val="none"/>
          <w14:textFill>
            <w14:solidFill>
              <w14:schemeClr w14:val="tx1"/>
            </w14:solidFill>
          </w14:textFill>
        </w:rPr>
      </w:pPr>
    </w:p>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委托代理人（签字或者电子签名）：     法定代表人（签字或者盖章或者电子签名）：                    </w:t>
      </w:r>
    </w:p>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委托代理人身份证号码：                              </w:t>
      </w:r>
    </w:p>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w:t>
      </w:r>
    </w:p>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供应商（电子签章）：                      </w:t>
      </w:r>
    </w:p>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年    月    日</w:t>
      </w:r>
    </w:p>
    <w:p>
      <w:pPr>
        <w:spacing w:line="360" w:lineRule="auto"/>
        <w:rPr>
          <w:rFonts w:ascii="宋体" w:hAnsi="宋体" w:cs="宋体"/>
          <w:color w:val="000000" w:themeColor="text1"/>
          <w:szCs w:val="21"/>
          <w:highlight w:val="none"/>
          <w14:textFill>
            <w14:solidFill>
              <w14:schemeClr w14:val="tx1"/>
            </w14:solidFill>
          </w14:textFill>
        </w:rPr>
      </w:pPr>
    </w:p>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注：1. 法定代表人必须在授权委托书上签字或者盖章或者电子签名，委托代理人必须在授权委托书上签字或者电子签名，</w:t>
      </w:r>
      <w:r>
        <w:rPr>
          <w:rFonts w:hint="eastAsia" w:ascii="宋体" w:hAnsi="宋体" w:cs="宋体"/>
          <w:b/>
          <w:color w:val="000000" w:themeColor="text1"/>
          <w:szCs w:val="21"/>
          <w:highlight w:val="none"/>
          <w14:textFill>
            <w14:solidFill>
              <w14:schemeClr w14:val="tx1"/>
            </w14:solidFill>
          </w14:textFill>
        </w:rPr>
        <w:t>否则其响应文件按无效响应处理。</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2.法人、其他组织竞标时“我方”是指“我单位”，自然人竞标时“我方”是指“本人”。</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p>
    <w:p>
      <w:pPr>
        <w:spacing w:line="520" w:lineRule="exact"/>
        <w:jc w:val="center"/>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r>
        <w:rPr>
          <w:rFonts w:hint="eastAsia" w:ascii="宋体" w:hAnsi="宋体" w:cs="宋体"/>
          <w:color w:val="000000" w:themeColor="text1"/>
          <w:sz w:val="32"/>
          <w:szCs w:val="32"/>
          <w:highlight w:val="none"/>
          <w14:textFill>
            <w14:solidFill>
              <w14:schemeClr w14:val="tx1"/>
            </w14:solidFill>
          </w14:textFill>
        </w:rPr>
        <w:t>授权委托书</w:t>
      </w:r>
    </w:p>
    <w:p>
      <w:pPr>
        <w:spacing w:line="520" w:lineRule="exact"/>
        <w:jc w:val="center"/>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（联合体竞标格式）</w:t>
      </w:r>
    </w:p>
    <w:p>
      <w:pPr>
        <w:spacing w:line="520" w:lineRule="exact"/>
        <w:jc w:val="center"/>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（如有委托时）</w:t>
      </w:r>
    </w:p>
    <w:p>
      <w:pPr>
        <w:spacing w:line="360" w:lineRule="auto"/>
        <w:rPr>
          <w:rFonts w:ascii="宋体" w:hAnsi="宋体" w:cs="宋体"/>
          <w:color w:val="000000" w:themeColor="text1"/>
          <w:sz w:val="32"/>
          <w:szCs w:val="32"/>
          <w:highlight w:val="none"/>
          <w14:textFill>
            <w14:solidFill>
              <w14:schemeClr w14:val="tx1"/>
            </w14:solidFill>
          </w14:textFill>
        </w:rPr>
      </w:pP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本授权委托书声明：根据</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（牵头人名称）与</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（联合体其他成员名称）签订的《联合体竞标协议书》的内容，</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（牵头人名称）的法定代表人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（姓名）现授权</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（姓名）为联合委托代理人，并代表我方全权办理针对上述项目的所有采购程序和环节的具体事务和签署相关文件。</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我方对委托代理人的签字或者电子签名事项负全部责任。</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委托代理人无转委托权，特此委托。</w:t>
      </w:r>
    </w:p>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附：法定代表人身份证明书及委托代理人有效身份证正反面复印件</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牵头人法定代表人（签字或者盖章或者电子签名）：</w:t>
      </w:r>
    </w:p>
    <w:p>
      <w:pPr>
        <w:spacing w:line="360" w:lineRule="auto"/>
        <w:ind w:firstLine="2730" w:firstLineChars="13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牵头人（电子签章）：</w:t>
      </w:r>
    </w:p>
    <w:p>
      <w:pPr>
        <w:spacing w:line="360" w:lineRule="auto"/>
        <w:ind w:firstLine="3360" w:firstLineChars="16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日期：    年   月   日</w:t>
      </w:r>
    </w:p>
    <w:p>
      <w:pPr>
        <w:spacing w:line="360" w:lineRule="auto"/>
        <w:rPr>
          <w:rFonts w:ascii="宋体" w:hAnsi="宋体" w:cs="宋体"/>
          <w:color w:val="000000" w:themeColor="text1"/>
          <w:szCs w:val="21"/>
          <w:highlight w:val="none"/>
          <w14:textFill>
            <w14:solidFill>
              <w14:schemeClr w14:val="tx1"/>
            </w14:solidFill>
          </w14:textFill>
        </w:rPr>
      </w:pPr>
    </w:p>
    <w:p>
      <w:pPr>
        <w:spacing w:line="360" w:lineRule="auto"/>
        <w:ind w:firstLine="2730" w:firstLineChars="13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被授权人（签字或者电子签名）：</w:t>
      </w:r>
    </w:p>
    <w:p>
      <w:pPr>
        <w:spacing w:line="360" w:lineRule="auto"/>
        <w:ind w:firstLine="3360" w:firstLineChars="16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日期：    年   月   日</w:t>
      </w:r>
    </w:p>
    <w:p>
      <w:pPr>
        <w:spacing w:line="360" w:lineRule="auto"/>
        <w:rPr>
          <w:rFonts w:ascii="宋体" w:hAnsi="宋体" w:cs="宋体"/>
          <w:color w:val="000000" w:themeColor="text1"/>
          <w:szCs w:val="21"/>
          <w:highlight w:val="none"/>
          <w14:textFill>
            <w14:solidFill>
              <w14:schemeClr w14:val="tx1"/>
            </w14:solidFill>
          </w14:textFill>
        </w:rPr>
      </w:pPr>
    </w:p>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注：1. 法定代表人必须在授权委托书上签字或者盖章或者电子签名，委托代理人必须在授权委托书上签字或者电子签名，</w:t>
      </w:r>
      <w:r>
        <w:rPr>
          <w:rFonts w:hint="eastAsia" w:ascii="宋体" w:hAnsi="宋体" w:cs="宋体"/>
          <w:b/>
          <w:color w:val="000000" w:themeColor="text1"/>
          <w:szCs w:val="21"/>
          <w:highlight w:val="none"/>
          <w14:textFill>
            <w14:solidFill>
              <w14:schemeClr w14:val="tx1"/>
            </w14:solidFill>
          </w14:textFill>
        </w:rPr>
        <w:t>否则其响应文件按无效响应处理。</w:t>
      </w:r>
    </w:p>
    <w:p>
      <w:pPr>
        <w:spacing w:line="50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2.法人、其他组织竞标时“我方”是指“我单位”，自然人竞标时“我方”是指“本人”。</w:t>
      </w:r>
    </w:p>
    <w:p>
      <w:pPr>
        <w:spacing w:line="500" w:lineRule="exact"/>
        <w:jc w:val="center"/>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br w:type="page"/>
      </w:r>
      <w:r>
        <w:rPr>
          <w:rFonts w:hint="eastAsia" w:ascii="宋体" w:hAnsi="宋体" w:cs="宋体"/>
          <w:bCs/>
          <w:color w:val="000000" w:themeColor="text1"/>
          <w:sz w:val="32"/>
          <w:szCs w:val="32"/>
          <w:highlight w:val="none"/>
          <w14:textFill>
            <w14:solidFill>
              <w14:schemeClr w14:val="tx1"/>
            </w14:solidFill>
          </w14:textFill>
        </w:rPr>
        <w:t>商务要求偏离表格式</w:t>
      </w:r>
    </w:p>
    <w:p>
      <w:pPr>
        <w:spacing w:line="500" w:lineRule="exact"/>
        <w:jc w:val="center"/>
        <w:rPr>
          <w:rFonts w:ascii="宋体" w:hAnsi="宋体" w:cs="宋体"/>
          <w:b/>
          <w:i/>
          <w:color w:val="000000" w:themeColor="text1"/>
          <w:sz w:val="32"/>
          <w:szCs w:val="32"/>
          <w:highlight w:val="none"/>
          <w14:textFill>
            <w14:solidFill>
              <w14:schemeClr w14:val="tx1"/>
            </w14:solidFill>
          </w14:textFill>
        </w:rPr>
      </w:pPr>
      <w:r>
        <w:rPr>
          <w:rFonts w:hint="eastAsia" w:ascii="宋体" w:hAnsi="宋体" w:cs="宋体"/>
          <w:bCs/>
          <w:i/>
          <w:color w:val="000000" w:themeColor="text1"/>
          <w:sz w:val="32"/>
          <w:szCs w:val="32"/>
          <w:highlight w:val="none"/>
          <w14:textFill>
            <w14:solidFill>
              <w14:schemeClr w14:val="tx1"/>
            </w14:solidFill>
          </w14:textFill>
        </w:rPr>
        <w:t>（注：按采购需求具体条款修改）</w:t>
      </w:r>
    </w:p>
    <w:p>
      <w:pPr>
        <w:snapToGrid w:val="0"/>
        <w:spacing w:before="50"/>
        <w:jc w:val="left"/>
        <w:rPr>
          <w:rFonts w:ascii="宋体" w:hAnsi="宋体" w:cs="宋体"/>
          <w:color w:val="000000" w:themeColor="text1"/>
          <w:sz w:val="24"/>
          <w:highlight w:val="none"/>
          <w14:textFill>
            <w14:solidFill>
              <w14:schemeClr w14:val="tx1"/>
            </w14:solidFill>
          </w14:textFill>
        </w:rPr>
      </w:pPr>
    </w:p>
    <w:p>
      <w:pPr>
        <w:pStyle w:val="14"/>
        <w:spacing w:line="360" w:lineRule="auto"/>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所竞分标：</w:t>
      </w:r>
      <w:r>
        <w:rPr>
          <w:rFonts w:hint="eastAsia" w:hAnsi="宋体" w:cs="宋体"/>
          <w:color w:val="000000" w:themeColor="text1"/>
          <w:sz w:val="21"/>
          <w:highlight w:val="none"/>
          <w:u w:val="single"/>
          <w14:textFill>
            <w14:solidFill>
              <w14:schemeClr w14:val="tx1"/>
            </w14:solidFill>
          </w14:textFill>
        </w:rPr>
        <w:t xml:space="preserve">              </w:t>
      </w:r>
    </w:p>
    <w:tbl>
      <w:tblPr>
        <w:tblStyle w:val="28"/>
        <w:tblpPr w:leftFromText="180" w:rightFromText="180" w:vertAnchor="text" w:horzAnchor="margin" w:tblpY="311"/>
        <w:tblOverlap w:val="never"/>
        <w:tblW w:w="931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9"/>
        <w:gridCol w:w="2669"/>
        <w:gridCol w:w="2634"/>
        <w:gridCol w:w="18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9"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w:t>
            </w:r>
          </w:p>
        </w:tc>
        <w:tc>
          <w:tcPr>
            <w:tcW w:w="2669"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谈判文件商务要求</w:t>
            </w:r>
          </w:p>
        </w:tc>
        <w:tc>
          <w:tcPr>
            <w:tcW w:w="2634"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供应商的响应</w:t>
            </w:r>
          </w:p>
        </w:tc>
        <w:tc>
          <w:tcPr>
            <w:tcW w:w="1830"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1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p>
        </w:tc>
        <w:tc>
          <w:tcPr>
            <w:tcW w:w="26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p>
        </w:tc>
        <w:tc>
          <w:tcPr>
            <w:tcW w:w="2634"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宋体"/>
                <w:color w:val="000000" w:themeColor="text1"/>
                <w:szCs w:val="21"/>
                <w:highlight w:val="none"/>
                <w14:textFill>
                  <w14:solidFill>
                    <w14:schemeClr w14:val="tx1"/>
                  </w14:solidFill>
                </w14:textFill>
              </w:rPr>
            </w:pPr>
          </w:p>
        </w:tc>
        <w:tc>
          <w:tcPr>
            <w:tcW w:w="1830"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1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p>
        </w:tc>
        <w:tc>
          <w:tcPr>
            <w:tcW w:w="26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p>
        </w:tc>
        <w:tc>
          <w:tcPr>
            <w:tcW w:w="2634"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ind w:left="43"/>
              <w:jc w:val="center"/>
              <w:rPr>
                <w:rFonts w:ascii="宋体" w:hAnsi="宋体" w:cs="宋体"/>
                <w:color w:val="000000" w:themeColor="text1"/>
                <w:szCs w:val="21"/>
                <w:highlight w:val="none"/>
                <w14:textFill>
                  <w14:solidFill>
                    <w14:schemeClr w14:val="tx1"/>
                  </w14:solidFill>
                </w14:textFill>
              </w:rPr>
            </w:pPr>
          </w:p>
        </w:tc>
        <w:tc>
          <w:tcPr>
            <w:tcW w:w="1830"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ind w:left="43"/>
              <w:jc w:val="center"/>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9"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p>
        </w:tc>
        <w:tc>
          <w:tcPr>
            <w:tcW w:w="2669"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宋体"/>
                <w:color w:val="000000" w:themeColor="text1"/>
                <w:szCs w:val="21"/>
                <w:highlight w:val="none"/>
                <w14:textFill>
                  <w14:solidFill>
                    <w14:schemeClr w14:val="tx1"/>
                  </w14:solidFill>
                </w14:textFill>
              </w:rPr>
            </w:pPr>
          </w:p>
        </w:tc>
        <w:tc>
          <w:tcPr>
            <w:tcW w:w="2634"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宋体"/>
                <w:color w:val="000000" w:themeColor="text1"/>
                <w:szCs w:val="21"/>
                <w:highlight w:val="none"/>
                <w14:textFill>
                  <w14:solidFill>
                    <w14:schemeClr w14:val="tx1"/>
                  </w14:solidFill>
                </w14:textFill>
              </w:rPr>
            </w:pPr>
          </w:p>
        </w:tc>
        <w:tc>
          <w:tcPr>
            <w:tcW w:w="1830"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宋体"/>
                <w:color w:val="000000" w:themeColor="text1"/>
                <w:szCs w:val="21"/>
                <w:highlight w:val="none"/>
                <w14:textFill>
                  <w14:solidFill>
                    <w14:schemeClr w14:val="tx1"/>
                  </w14:solidFill>
                </w14:textFill>
              </w:rPr>
            </w:pPr>
          </w:p>
        </w:tc>
      </w:tr>
    </w:tbl>
    <w:p>
      <w:pPr>
        <w:pStyle w:val="10"/>
        <w:spacing w:after="0" w:line="360" w:lineRule="auto"/>
        <w:contextualSpacing/>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注：</w:t>
      </w:r>
    </w:p>
    <w:p>
      <w:pPr>
        <w:pStyle w:val="10"/>
        <w:spacing w:after="0" w:line="360" w:lineRule="auto"/>
        <w:contextualSpacing/>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1. 说明：应对照谈判文件“第三章 采购需求”中的商务要求逐条明确响应，并作出偏离说明。</w:t>
      </w:r>
    </w:p>
    <w:p>
      <w:pPr>
        <w:pStyle w:val="10"/>
        <w:spacing w:after="0" w:line="360" w:lineRule="auto"/>
        <w:contextualSpacing/>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2.供应商应根据自身的承诺，对照谈判文件要求在“偏离说明”中注明“正偏离”、“负偏离”或者“无偏离”。既不属于“正偏离”也不属于“负偏离”即为“无偏离”。</w:t>
      </w:r>
    </w:p>
    <w:p>
      <w:pPr>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kern w:val="0"/>
          <w:szCs w:val="21"/>
          <w:highlight w:val="none"/>
          <w14:textFill>
            <w14:solidFill>
              <w14:schemeClr w14:val="tx1"/>
            </w14:solidFill>
          </w14:textFill>
        </w:rPr>
        <w:t>不按照要求填写响应内容的或者仅填写“满足或者响应”的，均按无效竞标处理。</w:t>
      </w:r>
    </w:p>
    <w:p>
      <w:pPr>
        <w:spacing w:line="360" w:lineRule="auto"/>
        <w:jc w:val="left"/>
        <w:rPr>
          <w:rFonts w:ascii="宋体" w:hAnsi="宋体" w:cs="宋体"/>
          <w:color w:val="000000" w:themeColor="text1"/>
          <w:szCs w:val="21"/>
          <w:highlight w:val="none"/>
          <w:u w:val="single"/>
          <w14:textFill>
            <w14:solidFill>
              <w14:schemeClr w14:val="tx1"/>
            </w14:solidFill>
          </w14:textFill>
        </w:rPr>
      </w:pPr>
    </w:p>
    <w:p>
      <w:pPr>
        <w:spacing w:line="360" w:lineRule="auto"/>
        <w:ind w:right="-817" w:rightChars="-389"/>
        <w:contextualSpacing/>
        <w:rPr>
          <w:rFonts w:ascii="宋体" w:hAnsi="宋体" w:cs="宋体"/>
          <w:color w:val="000000" w:themeColor="text1"/>
          <w:szCs w:val="21"/>
          <w:highlight w:val="none"/>
          <w14:textFill>
            <w14:solidFill>
              <w14:schemeClr w14:val="tx1"/>
            </w14:solidFill>
          </w14:textFill>
        </w:rPr>
      </w:pPr>
    </w:p>
    <w:p>
      <w:pPr>
        <w:spacing w:line="360" w:lineRule="auto"/>
        <w:ind w:right="-817" w:rightChars="-389"/>
        <w:contextualSpacing/>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法定代表人或者委托代理人（签字或者电子签名）：</w:t>
      </w:r>
    </w:p>
    <w:p>
      <w:pPr>
        <w:spacing w:line="360" w:lineRule="auto"/>
        <w:ind w:right="-817" w:rightChars="-389" w:firstLine="2520" w:firstLineChars="120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供应商（电子签章）：      </w:t>
      </w:r>
    </w:p>
    <w:p>
      <w:pPr>
        <w:spacing w:line="360" w:lineRule="auto"/>
        <w:ind w:right="-817" w:rightChars="-389" w:firstLine="2520" w:firstLineChars="120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日期：   年   月   日</w:t>
      </w:r>
    </w:p>
    <w:p>
      <w:pPr>
        <w:adjustRightInd w:val="0"/>
        <w:snapToGrid w:val="0"/>
        <w:spacing w:line="520" w:lineRule="exact"/>
        <w:ind w:firstLine="7040" w:firstLineChars="1600"/>
        <w:jc w:val="center"/>
        <w:rPr>
          <w:rFonts w:ascii="宋体" w:hAnsi="宋体" w:cs="宋体"/>
          <w:bCs/>
          <w:color w:val="000000" w:themeColor="text1"/>
          <w:sz w:val="44"/>
          <w:szCs w:val="44"/>
          <w:highlight w:val="none"/>
          <w14:textFill>
            <w14:solidFill>
              <w14:schemeClr w14:val="tx1"/>
            </w14:solidFill>
          </w14:textFill>
        </w:rPr>
      </w:pPr>
    </w:p>
    <w:p>
      <w:pPr>
        <w:adjustRightInd w:val="0"/>
        <w:snapToGrid w:val="0"/>
        <w:spacing w:line="520" w:lineRule="exact"/>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Cs/>
          <w:color w:val="000000" w:themeColor="text1"/>
          <w:sz w:val="44"/>
          <w:szCs w:val="44"/>
          <w:highlight w:val="none"/>
          <w14:textFill>
            <w14:solidFill>
              <w14:schemeClr w14:val="tx1"/>
            </w14:solidFill>
          </w14:textFill>
        </w:rPr>
        <w:br w:type="page"/>
      </w:r>
      <w:r>
        <w:rPr>
          <w:rFonts w:hint="eastAsia" w:ascii="宋体" w:hAnsi="宋体" w:cs="宋体"/>
          <w:bCs/>
          <w:color w:val="000000" w:themeColor="text1"/>
          <w:sz w:val="32"/>
          <w:szCs w:val="32"/>
          <w:highlight w:val="none"/>
          <w14:textFill>
            <w14:solidFill>
              <w14:schemeClr w14:val="tx1"/>
            </w14:solidFill>
          </w14:textFill>
        </w:rPr>
        <w:t>货物配置清单</w:t>
      </w:r>
    </w:p>
    <w:p>
      <w:pPr>
        <w:spacing w:line="300" w:lineRule="auto"/>
        <w:rPr>
          <w:rFonts w:ascii="宋体" w:hAnsi="宋体" w:cs="宋体"/>
          <w:color w:val="000000" w:themeColor="text1"/>
          <w:szCs w:val="21"/>
          <w:highlight w:val="none"/>
          <w14:textFill>
            <w14:solidFill>
              <w14:schemeClr w14:val="tx1"/>
            </w14:solidFill>
          </w14:textFill>
        </w:rPr>
      </w:pPr>
    </w:p>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项目编号：</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w:t>
      </w:r>
    </w:p>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项目名称：</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w:t>
      </w:r>
    </w:p>
    <w:p>
      <w:pPr>
        <w:spacing w:line="360" w:lineRule="auto"/>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所竞分标：</w:t>
      </w:r>
      <w:r>
        <w:rPr>
          <w:rFonts w:hint="eastAsia" w:ascii="宋体" w:hAnsi="宋体" w:cs="宋体"/>
          <w:color w:val="000000" w:themeColor="text1"/>
          <w:szCs w:val="21"/>
          <w:highlight w:val="none"/>
          <w:u w:val="single"/>
          <w14:textFill>
            <w14:solidFill>
              <w14:schemeClr w14:val="tx1"/>
            </w14:solidFill>
          </w14:textFill>
        </w:rPr>
        <w:t xml:space="preserve">                 </w:t>
      </w:r>
    </w:p>
    <w:tbl>
      <w:tblPr>
        <w:tblStyle w:val="29"/>
        <w:tblW w:w="89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404"/>
        <w:gridCol w:w="1215"/>
        <w:gridCol w:w="1417"/>
        <w:gridCol w:w="1050"/>
        <w:gridCol w:w="1323"/>
        <w:gridCol w:w="1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序号</w:t>
            </w:r>
          </w:p>
        </w:tc>
        <w:tc>
          <w:tcPr>
            <w:tcW w:w="1404"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r>
              <w:rPr>
                <w:rFonts w:hint="default" w:ascii="宋体" w:hAnsi="宋体" w:cs="宋体"/>
                <w:color w:val="000000" w:themeColor="text1"/>
                <w:sz w:val="21"/>
                <w:szCs w:val="21"/>
                <w:highlight w:val="none"/>
                <w:lang w:val="en-US" w:eastAsia="zh-CN"/>
                <w14:textFill>
                  <w14:solidFill>
                    <w14:schemeClr w14:val="tx1"/>
                  </w14:solidFill>
                </w14:textFill>
              </w:rPr>
              <w:t>供货序号</w:t>
            </w:r>
          </w:p>
        </w:tc>
        <w:tc>
          <w:tcPr>
            <w:tcW w:w="1215"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标的名称</w:t>
            </w:r>
          </w:p>
        </w:tc>
        <w:tc>
          <w:tcPr>
            <w:tcW w:w="1417"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生产厂家</w:t>
            </w:r>
          </w:p>
        </w:tc>
        <w:tc>
          <w:tcPr>
            <w:tcW w:w="1050"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default" w:ascii="宋体" w:hAnsi="宋体" w:cs="宋体"/>
                <w:color w:val="000000" w:themeColor="text1"/>
                <w:sz w:val="21"/>
                <w:szCs w:val="21"/>
                <w:highlight w:val="none"/>
                <w:lang w:val="en-US" w:eastAsia="zh-CN"/>
                <w14:textFill>
                  <w14:solidFill>
                    <w14:schemeClr w14:val="tx1"/>
                  </w14:solidFill>
                </w14:textFill>
              </w:rPr>
              <w:t>单位</w:t>
            </w:r>
          </w:p>
        </w:tc>
        <w:tc>
          <w:tcPr>
            <w:tcW w:w="1323"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规格</w:t>
            </w:r>
          </w:p>
        </w:tc>
        <w:tc>
          <w:tcPr>
            <w:tcW w:w="1794"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default" w:ascii="宋体" w:hAnsi="宋体" w:eastAsia="宋体" w:cs="宋体"/>
                <w:color w:val="000000" w:themeColor="text1"/>
                <w:sz w:val="21"/>
                <w:szCs w:val="21"/>
                <w:highlight w:val="none"/>
                <w:lang w:val="en-US" w:eastAsia="zh-CN"/>
                <w14:textFill>
                  <w14:solidFill>
                    <w14:schemeClr w14:val="tx1"/>
                  </w14:solidFill>
                </w14:textFill>
              </w:rPr>
              <w:t>技术参数及性能（配置）要求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w:t>
            </w:r>
          </w:p>
        </w:tc>
        <w:tc>
          <w:tcPr>
            <w:tcW w:w="1404"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215"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050"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323"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794"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w:t>
            </w:r>
          </w:p>
        </w:tc>
        <w:tc>
          <w:tcPr>
            <w:tcW w:w="1404"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215"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050"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323"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794"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w:t>
            </w:r>
          </w:p>
        </w:tc>
        <w:tc>
          <w:tcPr>
            <w:tcW w:w="1404"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215"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050"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323"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794"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4</w:t>
            </w:r>
          </w:p>
        </w:tc>
        <w:tc>
          <w:tcPr>
            <w:tcW w:w="1404"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215"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050"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323"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794"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p>
        </w:tc>
        <w:tc>
          <w:tcPr>
            <w:tcW w:w="1404"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215"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050"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323"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794"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r>
    </w:tbl>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备注：</w:t>
      </w:r>
    </w:p>
    <w:p>
      <w:pPr>
        <w:tabs>
          <w:tab w:val="left" w:pos="1065"/>
        </w:tabs>
        <w:adjustRightIn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以上货物配置清单中“标的名称、</w:t>
      </w:r>
      <w:r>
        <w:rPr>
          <w:rFonts w:hint="eastAsia" w:ascii="宋体" w:hAnsi="宋体" w:cs="宋体"/>
          <w:color w:val="000000" w:themeColor="text1"/>
          <w:sz w:val="21"/>
          <w:szCs w:val="21"/>
          <w:highlight w:val="none"/>
          <w:lang w:val="en-US" w:eastAsia="zh-CN"/>
          <w14:textFill>
            <w14:solidFill>
              <w14:schemeClr w14:val="tx1"/>
            </w14:solidFill>
          </w14:textFill>
        </w:rPr>
        <w:t>生产厂家</w:t>
      </w:r>
      <w:r>
        <w:rPr>
          <w:rFonts w:hint="eastAsia" w:ascii="宋体" w:hAnsi="宋体" w:eastAsia="宋体" w:cs="宋体"/>
          <w:b w:val="0"/>
          <w:bCs w:val="0"/>
          <w:color w:val="000000" w:themeColor="text1"/>
          <w:sz w:val="21"/>
          <w:szCs w:val="21"/>
          <w:highlight w:val="none"/>
          <w14:textFill>
            <w14:solidFill>
              <w14:schemeClr w14:val="tx1"/>
            </w14:solidFill>
          </w14:textFill>
        </w:rPr>
        <w:t>、</w:t>
      </w:r>
      <w:r>
        <w:rPr>
          <w:rFonts w:hint="default" w:ascii="宋体" w:hAnsi="宋体" w:cs="宋体"/>
          <w:color w:val="000000" w:themeColor="text1"/>
          <w:sz w:val="21"/>
          <w:szCs w:val="21"/>
          <w:highlight w:val="none"/>
          <w:lang w:val="en-US" w:eastAsia="zh-CN"/>
          <w14:textFill>
            <w14:solidFill>
              <w14:schemeClr w14:val="tx1"/>
            </w14:solidFill>
          </w14:textFill>
        </w:rPr>
        <w:t>单位</w:t>
      </w:r>
      <w:r>
        <w:rPr>
          <w:rFonts w:hint="eastAsia" w:ascii="宋体" w:hAnsi="宋体" w:eastAsia="宋体" w:cs="宋体"/>
          <w:b w:val="0"/>
          <w:bCs w:val="0"/>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规格</w:t>
      </w:r>
      <w:r>
        <w:rPr>
          <w:rFonts w:hint="eastAsia" w:ascii="宋体" w:hAnsi="宋体" w:eastAsia="宋体" w:cs="宋体"/>
          <w:b w:val="0"/>
          <w:bCs w:val="0"/>
          <w:color w:val="000000" w:themeColor="text1"/>
          <w:sz w:val="21"/>
          <w:szCs w:val="21"/>
          <w:highlight w:val="none"/>
          <w14:textFill>
            <w14:solidFill>
              <w14:schemeClr w14:val="tx1"/>
            </w14:solidFill>
          </w14:textFill>
        </w:rPr>
        <w:t>、</w:t>
      </w:r>
      <w:r>
        <w:rPr>
          <w:rFonts w:hint="default" w:ascii="宋体" w:hAnsi="宋体" w:eastAsia="宋体" w:cs="宋体"/>
          <w:color w:val="000000" w:themeColor="text1"/>
          <w:sz w:val="21"/>
          <w:szCs w:val="21"/>
          <w:highlight w:val="none"/>
          <w:lang w:val="en-US" w:eastAsia="zh-CN"/>
          <w14:textFill>
            <w14:solidFill>
              <w14:schemeClr w14:val="tx1"/>
            </w14:solidFill>
          </w14:textFill>
        </w:rPr>
        <w:t>技术参数及性能（配置）要求</w:t>
      </w:r>
      <w:r>
        <w:rPr>
          <w:rFonts w:hint="eastAsia" w:ascii="宋体" w:hAnsi="宋体" w:eastAsia="宋体" w:cs="宋体"/>
          <w:b w:val="0"/>
          <w:bCs w:val="0"/>
          <w:color w:val="000000" w:themeColor="text1"/>
          <w:sz w:val="21"/>
          <w:szCs w:val="21"/>
          <w:highlight w:val="none"/>
          <w14:textFill>
            <w14:solidFill>
              <w14:schemeClr w14:val="tx1"/>
            </w14:solidFill>
          </w14:textFill>
        </w:rPr>
        <w:t>”必须如实填写完整</w:t>
      </w:r>
      <w:r>
        <w:rPr>
          <w:rFonts w:hint="eastAsia" w:ascii="宋体" w:hAnsi="宋体" w:cs="宋体"/>
          <w:b w:val="0"/>
          <w:bCs w:val="0"/>
          <w:color w:val="000000" w:themeColor="text1"/>
          <w:sz w:val="21"/>
          <w:szCs w:val="21"/>
          <w:highlight w:val="none"/>
          <w:lang w:eastAsia="zh-CN"/>
          <w14:textFill>
            <w14:solidFill>
              <w14:schemeClr w14:val="tx1"/>
            </w14:solidFill>
          </w14:textFill>
        </w:rPr>
        <w:t>，</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且</w:t>
      </w:r>
      <w:r>
        <w:rPr>
          <w:rFonts w:hint="eastAsia" w:ascii="宋体" w:hAnsi="宋体" w:eastAsia="宋体" w:cs="宋体"/>
          <w:b w:val="0"/>
          <w:bCs w:val="0"/>
          <w:color w:val="000000" w:themeColor="text1"/>
          <w:sz w:val="21"/>
          <w:szCs w:val="21"/>
          <w:highlight w:val="none"/>
          <w14:textFill>
            <w14:solidFill>
              <w14:schemeClr w14:val="tx1"/>
            </w14:solidFill>
          </w14:textFill>
        </w:rPr>
        <w:t>与“竞标报价表”一致，否则响应文件按无效处理。</w:t>
      </w:r>
      <w:r>
        <w:rPr>
          <w:rFonts w:hint="eastAsia" w:ascii="宋体" w:hAnsi="宋体" w:cs="宋体"/>
          <w:color w:val="000000" w:themeColor="text1"/>
          <w:szCs w:val="21"/>
          <w:highlight w:val="none"/>
          <w14:textFill>
            <w14:solidFill>
              <w14:schemeClr w14:val="tx1"/>
            </w14:solidFill>
          </w14:textFill>
        </w:rPr>
        <w:tab/>
      </w:r>
    </w:p>
    <w:p>
      <w:pPr>
        <w:adjustRightInd w:val="0"/>
        <w:spacing w:line="360" w:lineRule="auto"/>
        <w:jc w:val="left"/>
        <w:rPr>
          <w:rFonts w:ascii="宋体" w:hAnsi="宋体" w:cs="宋体"/>
          <w:color w:val="000000" w:themeColor="text1"/>
          <w:szCs w:val="21"/>
          <w:highlight w:val="none"/>
          <w14:textFill>
            <w14:solidFill>
              <w14:schemeClr w14:val="tx1"/>
            </w14:solidFill>
          </w14:textFill>
        </w:rPr>
      </w:pPr>
    </w:p>
    <w:p>
      <w:pPr>
        <w:adjustRightInd w:val="0"/>
        <w:spacing w:line="360" w:lineRule="auto"/>
        <w:jc w:val="left"/>
        <w:rPr>
          <w:rFonts w:ascii="宋体" w:hAnsi="宋体" w:cs="宋体"/>
          <w:color w:val="000000" w:themeColor="text1"/>
          <w:szCs w:val="21"/>
          <w:highlight w:val="none"/>
          <w14:textFill>
            <w14:solidFill>
              <w14:schemeClr w14:val="tx1"/>
            </w14:solidFill>
          </w14:textFill>
        </w:rPr>
      </w:pPr>
    </w:p>
    <w:p>
      <w:pPr>
        <w:adjustRightInd w:val="0"/>
        <w:spacing w:line="360" w:lineRule="auto"/>
        <w:jc w:val="left"/>
        <w:rPr>
          <w:rFonts w:ascii="宋体" w:hAnsi="宋体" w:cs="宋体"/>
          <w:color w:val="000000" w:themeColor="text1"/>
          <w:szCs w:val="21"/>
          <w:highlight w:val="none"/>
          <w14:textFill>
            <w14:solidFill>
              <w14:schemeClr w14:val="tx1"/>
            </w14:solidFill>
          </w14:textFill>
        </w:rPr>
      </w:pPr>
    </w:p>
    <w:p>
      <w:pPr>
        <w:spacing w:line="360" w:lineRule="auto"/>
        <w:ind w:right="-817" w:rightChars="-389"/>
        <w:contextualSpacing/>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法定代表人或者委托代理人（签字或者电子签名）：</w:t>
      </w:r>
    </w:p>
    <w:p>
      <w:pPr>
        <w:spacing w:line="360" w:lineRule="auto"/>
        <w:ind w:right="-817" w:rightChars="-389" w:firstLine="2520" w:firstLineChars="120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供应商（电子签章）：      </w:t>
      </w:r>
    </w:p>
    <w:p>
      <w:pPr>
        <w:spacing w:line="360" w:lineRule="auto"/>
        <w:ind w:right="-817" w:rightChars="-389" w:firstLine="2520" w:firstLineChars="1200"/>
        <w:contextualSpacing/>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日期：   年   月   日</w:t>
      </w:r>
    </w:p>
    <w:p>
      <w:pPr>
        <w:adjustRightInd w:val="0"/>
        <w:snapToGrid w:val="0"/>
        <w:spacing w:line="300" w:lineRule="auto"/>
        <w:rPr>
          <w:rFonts w:ascii="宋体" w:hAnsi="宋体" w:cs="宋体"/>
          <w:color w:val="000000" w:themeColor="text1"/>
          <w:szCs w:val="21"/>
          <w:highlight w:val="none"/>
          <w:u w:val="single"/>
          <w14:textFill>
            <w14:solidFill>
              <w14:schemeClr w14:val="tx1"/>
            </w14:solidFill>
          </w14:textFill>
        </w:rPr>
      </w:pPr>
    </w:p>
    <w:p>
      <w:pPr>
        <w:adjustRightInd w:val="0"/>
        <w:snapToGrid w:val="0"/>
        <w:spacing w:line="300" w:lineRule="auto"/>
        <w:rPr>
          <w:rFonts w:ascii="宋体" w:hAnsi="宋体" w:cs="宋体"/>
          <w:color w:val="000000" w:themeColor="text1"/>
          <w:szCs w:val="21"/>
          <w:highlight w:val="none"/>
          <w:u w:val="single"/>
          <w14:textFill>
            <w14:solidFill>
              <w14:schemeClr w14:val="tx1"/>
            </w14:solidFill>
          </w14:textFill>
        </w:rPr>
      </w:pPr>
    </w:p>
    <w:p>
      <w:pPr>
        <w:adjustRightInd w:val="0"/>
        <w:snapToGrid w:val="0"/>
        <w:spacing w:line="300" w:lineRule="auto"/>
        <w:rPr>
          <w:rFonts w:ascii="宋体" w:hAnsi="宋体" w:cs="宋体"/>
          <w:color w:val="000000" w:themeColor="text1"/>
          <w:szCs w:val="21"/>
          <w:highlight w:val="none"/>
          <w:u w:val="single"/>
          <w14:textFill>
            <w14:solidFill>
              <w14:schemeClr w14:val="tx1"/>
            </w14:solidFill>
          </w14:textFill>
        </w:rPr>
      </w:pPr>
    </w:p>
    <w:p>
      <w:pPr>
        <w:adjustRightInd w:val="0"/>
        <w:snapToGrid w:val="0"/>
        <w:spacing w:line="300" w:lineRule="auto"/>
        <w:rPr>
          <w:rFonts w:ascii="宋体" w:hAnsi="宋体" w:cs="宋体"/>
          <w:color w:val="000000" w:themeColor="text1"/>
          <w:szCs w:val="21"/>
          <w:highlight w:val="none"/>
          <w:u w:val="single"/>
          <w14:textFill>
            <w14:solidFill>
              <w14:schemeClr w14:val="tx1"/>
            </w14:solidFill>
          </w14:textFill>
        </w:rPr>
      </w:pPr>
    </w:p>
    <w:p>
      <w:pPr>
        <w:adjustRightInd w:val="0"/>
        <w:snapToGrid w:val="0"/>
        <w:spacing w:line="300" w:lineRule="auto"/>
        <w:rPr>
          <w:rFonts w:ascii="宋体" w:hAnsi="宋体" w:cs="宋体"/>
          <w:color w:val="000000" w:themeColor="text1"/>
          <w:szCs w:val="21"/>
          <w:highlight w:val="none"/>
          <w:u w:val="single"/>
          <w14:textFill>
            <w14:solidFill>
              <w14:schemeClr w14:val="tx1"/>
            </w14:solidFill>
          </w14:textFill>
        </w:rPr>
      </w:pPr>
    </w:p>
    <w:p>
      <w:pPr>
        <w:adjustRightInd w:val="0"/>
        <w:snapToGrid w:val="0"/>
        <w:spacing w:line="300" w:lineRule="auto"/>
        <w:rPr>
          <w:rFonts w:ascii="宋体" w:hAnsi="宋体" w:cs="宋体"/>
          <w:color w:val="000000" w:themeColor="text1"/>
          <w:szCs w:val="21"/>
          <w:highlight w:val="none"/>
          <w:u w:val="single"/>
          <w14:textFill>
            <w14:solidFill>
              <w14:schemeClr w14:val="tx1"/>
            </w14:solidFill>
          </w14:textFill>
        </w:rPr>
      </w:pPr>
    </w:p>
    <w:p>
      <w:pPr>
        <w:adjustRightInd w:val="0"/>
        <w:snapToGrid w:val="0"/>
        <w:spacing w:line="300" w:lineRule="auto"/>
        <w:rPr>
          <w:rFonts w:ascii="宋体" w:hAnsi="宋体" w:cs="宋体"/>
          <w:color w:val="000000" w:themeColor="text1"/>
          <w:szCs w:val="21"/>
          <w:highlight w:val="none"/>
          <w:u w:val="single"/>
          <w14:textFill>
            <w14:solidFill>
              <w14:schemeClr w14:val="tx1"/>
            </w14:solidFill>
          </w14:textFill>
        </w:rPr>
      </w:pPr>
    </w:p>
    <w:p>
      <w:pPr>
        <w:adjustRightInd w:val="0"/>
        <w:snapToGrid w:val="0"/>
        <w:spacing w:line="300" w:lineRule="auto"/>
        <w:rPr>
          <w:rFonts w:ascii="宋体" w:hAnsi="宋体" w:cs="宋体"/>
          <w:color w:val="000000" w:themeColor="text1"/>
          <w:szCs w:val="21"/>
          <w:highlight w:val="none"/>
          <w:u w:val="single"/>
          <w14:textFill>
            <w14:solidFill>
              <w14:schemeClr w14:val="tx1"/>
            </w14:solidFill>
          </w14:textFill>
        </w:rPr>
      </w:pPr>
    </w:p>
    <w:p>
      <w:pPr>
        <w:adjustRightInd w:val="0"/>
        <w:snapToGrid w:val="0"/>
        <w:spacing w:line="300" w:lineRule="auto"/>
        <w:jc w:val="center"/>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44"/>
          <w:szCs w:val="44"/>
          <w:highlight w:val="none"/>
          <w14:textFill>
            <w14:solidFill>
              <w14:schemeClr w14:val="tx1"/>
            </w14:solidFill>
          </w14:textFill>
        </w:rPr>
        <w:br w:type="page"/>
      </w:r>
      <w:r>
        <w:rPr>
          <w:rFonts w:hint="eastAsia" w:ascii="宋体" w:hAnsi="宋体" w:cs="宋体"/>
          <w:bCs/>
          <w:color w:val="000000" w:themeColor="text1"/>
          <w:sz w:val="32"/>
          <w:szCs w:val="32"/>
          <w:highlight w:val="none"/>
          <w14:textFill>
            <w14:solidFill>
              <w14:schemeClr w14:val="tx1"/>
            </w14:solidFill>
          </w14:textFill>
        </w:rPr>
        <w:t>技术要求偏离表</w:t>
      </w:r>
    </w:p>
    <w:p>
      <w:pPr>
        <w:spacing w:line="520" w:lineRule="exact"/>
        <w:rPr>
          <w:rFonts w:ascii="宋体" w:hAnsi="宋体" w:cs="宋体"/>
          <w:color w:val="000000" w:themeColor="text1"/>
          <w:sz w:val="32"/>
          <w:szCs w:val="32"/>
          <w:highlight w:val="none"/>
          <w14:textFill>
            <w14:solidFill>
              <w14:schemeClr w14:val="tx1"/>
            </w14:solidFill>
          </w14:textFill>
        </w:rPr>
      </w:pPr>
    </w:p>
    <w:p>
      <w:pPr>
        <w:spacing w:line="360" w:lineRule="auto"/>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采购项目编号：</w:t>
      </w:r>
      <w:r>
        <w:rPr>
          <w:rFonts w:hint="eastAsia" w:ascii="宋体" w:hAnsi="宋体" w:cs="宋体"/>
          <w:color w:val="000000" w:themeColor="text1"/>
          <w:szCs w:val="21"/>
          <w:highlight w:val="none"/>
          <w:u w:val="single"/>
          <w14:textFill>
            <w14:solidFill>
              <w14:schemeClr w14:val="tx1"/>
            </w14:solidFill>
          </w14:textFill>
        </w:rPr>
        <w:t xml:space="preserve">                 </w:t>
      </w:r>
    </w:p>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采购项目名称：</w:t>
      </w:r>
      <w:r>
        <w:rPr>
          <w:rFonts w:hint="eastAsia" w:ascii="宋体" w:hAnsi="宋体" w:cs="宋体"/>
          <w:color w:val="000000" w:themeColor="text1"/>
          <w:szCs w:val="21"/>
          <w:highlight w:val="none"/>
          <w:u w:val="single"/>
          <w14:textFill>
            <w14:solidFill>
              <w14:schemeClr w14:val="tx1"/>
            </w14:solidFill>
          </w14:textFill>
        </w:rPr>
        <w:t xml:space="preserve">                 </w:t>
      </w:r>
    </w:p>
    <w:p>
      <w:pPr>
        <w:spacing w:line="360" w:lineRule="auto"/>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分标号：</w:t>
      </w:r>
      <w:r>
        <w:rPr>
          <w:rFonts w:hint="eastAsia" w:ascii="宋体" w:hAnsi="宋体" w:cs="宋体"/>
          <w:color w:val="000000" w:themeColor="text1"/>
          <w:szCs w:val="21"/>
          <w:highlight w:val="none"/>
          <w:u w:val="single"/>
          <w14:textFill>
            <w14:solidFill>
              <w14:schemeClr w14:val="tx1"/>
            </w14:solidFill>
          </w14:textFill>
        </w:rPr>
        <w:t xml:space="preserve">                       </w:t>
      </w:r>
    </w:p>
    <w:tbl>
      <w:tblPr>
        <w:tblStyle w:val="28"/>
        <w:tblW w:w="912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18"/>
        <w:gridCol w:w="918"/>
        <w:gridCol w:w="3048"/>
        <w:gridCol w:w="2743"/>
        <w:gridCol w:w="149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8" w:type="dxa"/>
            <w:tcBorders>
              <w:top w:val="single" w:color="auto" w:sz="4" w:space="0"/>
              <w:left w:val="single" w:color="auto" w:sz="4" w:space="0"/>
              <w:bottom w:val="single" w:color="auto" w:sz="6" w:space="0"/>
              <w:right w:val="single" w:color="auto" w:sz="6" w:space="0"/>
            </w:tcBorders>
            <w:vAlign w:val="center"/>
          </w:tcPr>
          <w:p>
            <w:pPr>
              <w:pStyle w:val="12"/>
              <w:spacing w:line="360" w:lineRule="auto"/>
              <w:ind w:firstLine="0" w:firstLineChars="0"/>
              <w:jc w:val="center"/>
              <w:rPr>
                <w:rFonts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序号</w:t>
            </w:r>
          </w:p>
        </w:tc>
        <w:tc>
          <w:tcPr>
            <w:tcW w:w="918" w:type="dxa"/>
            <w:tcBorders>
              <w:top w:val="single" w:color="auto" w:sz="4" w:space="0"/>
              <w:left w:val="single" w:color="auto" w:sz="6" w:space="0"/>
              <w:bottom w:val="single" w:color="auto" w:sz="6" w:space="0"/>
              <w:right w:val="single" w:color="auto" w:sz="4" w:space="0"/>
            </w:tcBorders>
            <w:vAlign w:val="center"/>
          </w:tcPr>
          <w:p>
            <w:pPr>
              <w:pStyle w:val="12"/>
              <w:spacing w:line="360" w:lineRule="auto"/>
              <w:ind w:firstLine="0" w:firstLineChars="0"/>
              <w:jc w:val="center"/>
              <w:rPr>
                <w:rFonts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名称</w:t>
            </w:r>
          </w:p>
        </w:tc>
        <w:tc>
          <w:tcPr>
            <w:tcW w:w="3048" w:type="dxa"/>
            <w:tcBorders>
              <w:top w:val="single" w:color="auto" w:sz="4" w:space="0"/>
              <w:left w:val="single" w:color="auto" w:sz="4" w:space="0"/>
              <w:bottom w:val="single" w:color="auto" w:sz="6" w:space="0"/>
              <w:right w:val="single" w:color="auto" w:sz="6" w:space="0"/>
            </w:tcBorders>
            <w:vAlign w:val="center"/>
          </w:tcPr>
          <w:p>
            <w:pPr>
              <w:pStyle w:val="12"/>
              <w:spacing w:line="360" w:lineRule="auto"/>
              <w:ind w:firstLine="0" w:firstLineChars="0"/>
              <w:jc w:val="center"/>
              <w:rPr>
                <w:rFonts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谈判文件要求</w:t>
            </w:r>
          </w:p>
        </w:tc>
        <w:tc>
          <w:tcPr>
            <w:tcW w:w="2743" w:type="dxa"/>
            <w:tcBorders>
              <w:top w:val="single" w:color="auto" w:sz="4" w:space="0"/>
              <w:left w:val="single" w:color="auto" w:sz="6" w:space="0"/>
              <w:bottom w:val="single" w:color="auto" w:sz="6" w:space="0"/>
              <w:right w:val="single" w:color="auto" w:sz="6" w:space="0"/>
            </w:tcBorders>
            <w:vAlign w:val="center"/>
          </w:tcPr>
          <w:p>
            <w:pPr>
              <w:pStyle w:val="12"/>
              <w:spacing w:line="360" w:lineRule="auto"/>
              <w:ind w:firstLine="0" w:firstLineChars="0"/>
              <w:jc w:val="center"/>
              <w:rPr>
                <w:rFonts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竞标响应</w:t>
            </w:r>
          </w:p>
        </w:tc>
        <w:tc>
          <w:tcPr>
            <w:tcW w:w="1497" w:type="dxa"/>
            <w:tcBorders>
              <w:top w:val="single" w:color="auto" w:sz="4" w:space="0"/>
              <w:left w:val="single" w:color="auto" w:sz="6" w:space="0"/>
              <w:bottom w:val="single" w:color="auto" w:sz="6" w:space="0"/>
              <w:right w:val="single" w:color="auto" w:sz="4" w:space="0"/>
            </w:tcBorders>
            <w:vAlign w:val="center"/>
          </w:tcPr>
          <w:p>
            <w:pPr>
              <w:pStyle w:val="12"/>
              <w:spacing w:line="360" w:lineRule="auto"/>
              <w:ind w:firstLine="0" w:firstLineChars="0"/>
              <w:jc w:val="center"/>
              <w:rPr>
                <w:rFonts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8" w:type="dxa"/>
            <w:tcBorders>
              <w:top w:val="single" w:color="auto" w:sz="6" w:space="0"/>
              <w:left w:val="single" w:color="auto" w:sz="4" w:space="0"/>
              <w:bottom w:val="single" w:color="auto" w:sz="6" w:space="0"/>
              <w:right w:val="single" w:color="auto" w:sz="6" w:space="0"/>
            </w:tcBorders>
            <w:vAlign w:val="center"/>
          </w:tcPr>
          <w:p>
            <w:pPr>
              <w:pStyle w:val="12"/>
              <w:spacing w:line="360" w:lineRule="auto"/>
              <w:ind w:firstLine="0" w:firstLineChars="0"/>
              <w:jc w:val="center"/>
              <w:rPr>
                <w:rFonts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1</w:t>
            </w:r>
          </w:p>
        </w:tc>
        <w:tc>
          <w:tcPr>
            <w:tcW w:w="918" w:type="dxa"/>
            <w:tcBorders>
              <w:top w:val="single" w:color="auto" w:sz="6" w:space="0"/>
              <w:left w:val="single" w:color="auto" w:sz="6" w:space="0"/>
              <w:bottom w:val="single" w:color="auto" w:sz="6" w:space="0"/>
              <w:right w:val="single" w:color="auto" w:sz="4" w:space="0"/>
            </w:tcBorders>
            <w:vAlign w:val="center"/>
          </w:tcPr>
          <w:p>
            <w:pPr>
              <w:pStyle w:val="12"/>
              <w:spacing w:line="360" w:lineRule="auto"/>
              <w:ind w:firstLine="0" w:firstLineChars="0"/>
              <w:jc w:val="center"/>
              <w:rPr>
                <w:rFonts w:ascii="宋体" w:hAnsi="宋体" w:eastAsia="宋体" w:cs="宋体"/>
                <w:color w:val="000000" w:themeColor="text1"/>
                <w:kern w:val="2"/>
                <w:sz w:val="21"/>
                <w:szCs w:val="21"/>
                <w:highlight w:val="none"/>
                <w14:textFill>
                  <w14:solidFill>
                    <w14:schemeClr w14:val="tx1"/>
                  </w14:solidFill>
                </w14:textFill>
              </w:rPr>
            </w:pPr>
          </w:p>
        </w:tc>
        <w:tc>
          <w:tcPr>
            <w:tcW w:w="3048" w:type="dxa"/>
            <w:tcBorders>
              <w:top w:val="single" w:color="auto" w:sz="6" w:space="0"/>
              <w:left w:val="single" w:color="auto" w:sz="4" w:space="0"/>
              <w:bottom w:val="single" w:color="auto" w:sz="6" w:space="0"/>
              <w:right w:val="single" w:color="auto" w:sz="6" w:space="0"/>
            </w:tcBorders>
            <w:vAlign w:val="center"/>
          </w:tcPr>
          <w:p>
            <w:pPr>
              <w:pStyle w:val="12"/>
              <w:spacing w:line="360" w:lineRule="auto"/>
              <w:ind w:firstLine="0" w:firstLineChars="0"/>
              <w:jc w:val="center"/>
              <w:rPr>
                <w:rFonts w:ascii="宋体" w:hAnsi="宋体" w:eastAsia="宋体" w:cs="宋体"/>
                <w:color w:val="000000" w:themeColor="text1"/>
                <w:kern w:val="2"/>
                <w:sz w:val="21"/>
                <w:szCs w:val="21"/>
                <w:highlight w:val="none"/>
                <w14:textFill>
                  <w14:solidFill>
                    <w14:schemeClr w14:val="tx1"/>
                  </w14:solidFill>
                </w14:textFill>
              </w:rPr>
            </w:pPr>
          </w:p>
        </w:tc>
        <w:tc>
          <w:tcPr>
            <w:tcW w:w="2743" w:type="dxa"/>
            <w:tcBorders>
              <w:top w:val="single" w:color="auto" w:sz="6" w:space="0"/>
              <w:left w:val="single" w:color="auto" w:sz="6" w:space="0"/>
              <w:bottom w:val="single" w:color="auto" w:sz="6" w:space="0"/>
              <w:right w:val="single" w:color="auto" w:sz="6" w:space="0"/>
            </w:tcBorders>
            <w:vAlign w:val="center"/>
          </w:tcPr>
          <w:p>
            <w:pPr>
              <w:pStyle w:val="12"/>
              <w:spacing w:line="360" w:lineRule="auto"/>
              <w:ind w:firstLine="0" w:firstLineChars="0"/>
              <w:jc w:val="center"/>
              <w:rPr>
                <w:rFonts w:ascii="宋体" w:hAnsi="宋体" w:eastAsia="宋体" w:cs="宋体"/>
                <w:color w:val="000000" w:themeColor="text1"/>
                <w:kern w:val="2"/>
                <w:sz w:val="21"/>
                <w:szCs w:val="21"/>
                <w:highlight w:val="none"/>
                <w14:textFill>
                  <w14:solidFill>
                    <w14:schemeClr w14:val="tx1"/>
                  </w14:solidFill>
                </w14:textFill>
              </w:rPr>
            </w:pPr>
          </w:p>
        </w:tc>
        <w:tc>
          <w:tcPr>
            <w:tcW w:w="1497" w:type="dxa"/>
            <w:tcBorders>
              <w:top w:val="single" w:color="auto" w:sz="6" w:space="0"/>
              <w:left w:val="single" w:color="auto" w:sz="6" w:space="0"/>
              <w:bottom w:val="single" w:color="auto" w:sz="6" w:space="0"/>
              <w:right w:val="single" w:color="auto" w:sz="4" w:space="0"/>
            </w:tcBorders>
            <w:vAlign w:val="center"/>
          </w:tcPr>
          <w:p>
            <w:pPr>
              <w:pStyle w:val="12"/>
              <w:spacing w:line="360" w:lineRule="auto"/>
              <w:ind w:firstLine="0" w:firstLineChars="0"/>
              <w:jc w:val="center"/>
              <w:rPr>
                <w:rFonts w:ascii="宋体" w:hAnsi="宋体" w:eastAsia="宋体" w:cs="宋体"/>
                <w:color w:val="000000" w:themeColor="text1"/>
                <w:kern w:val="2"/>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8" w:type="dxa"/>
            <w:tcBorders>
              <w:top w:val="single" w:color="auto" w:sz="6" w:space="0"/>
              <w:left w:val="single" w:color="auto" w:sz="4" w:space="0"/>
              <w:bottom w:val="single" w:color="auto" w:sz="6" w:space="0"/>
              <w:right w:val="single" w:color="auto" w:sz="6" w:space="0"/>
            </w:tcBorders>
            <w:vAlign w:val="center"/>
          </w:tcPr>
          <w:p>
            <w:pPr>
              <w:pStyle w:val="12"/>
              <w:spacing w:line="360" w:lineRule="auto"/>
              <w:ind w:firstLine="0" w:firstLineChars="0"/>
              <w:jc w:val="center"/>
              <w:rPr>
                <w:rFonts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2</w:t>
            </w:r>
          </w:p>
        </w:tc>
        <w:tc>
          <w:tcPr>
            <w:tcW w:w="918" w:type="dxa"/>
            <w:tcBorders>
              <w:top w:val="single" w:color="auto" w:sz="6" w:space="0"/>
              <w:left w:val="single" w:color="auto" w:sz="6" w:space="0"/>
              <w:bottom w:val="single" w:color="auto" w:sz="6" w:space="0"/>
              <w:right w:val="single" w:color="auto" w:sz="4" w:space="0"/>
            </w:tcBorders>
            <w:vAlign w:val="center"/>
          </w:tcPr>
          <w:p>
            <w:pPr>
              <w:pStyle w:val="12"/>
              <w:spacing w:line="360" w:lineRule="auto"/>
              <w:ind w:firstLine="0" w:firstLineChars="0"/>
              <w:jc w:val="center"/>
              <w:rPr>
                <w:rFonts w:ascii="宋体" w:hAnsi="宋体" w:eastAsia="宋体" w:cs="宋体"/>
                <w:color w:val="000000" w:themeColor="text1"/>
                <w:kern w:val="2"/>
                <w:sz w:val="21"/>
                <w:szCs w:val="21"/>
                <w:highlight w:val="none"/>
                <w14:textFill>
                  <w14:solidFill>
                    <w14:schemeClr w14:val="tx1"/>
                  </w14:solidFill>
                </w14:textFill>
              </w:rPr>
            </w:pPr>
          </w:p>
        </w:tc>
        <w:tc>
          <w:tcPr>
            <w:tcW w:w="3048" w:type="dxa"/>
            <w:tcBorders>
              <w:top w:val="single" w:color="auto" w:sz="6" w:space="0"/>
              <w:left w:val="single" w:color="auto" w:sz="4" w:space="0"/>
              <w:bottom w:val="single" w:color="auto" w:sz="6" w:space="0"/>
              <w:right w:val="single" w:color="auto" w:sz="6" w:space="0"/>
            </w:tcBorders>
            <w:vAlign w:val="center"/>
          </w:tcPr>
          <w:p>
            <w:pPr>
              <w:pStyle w:val="12"/>
              <w:spacing w:line="360" w:lineRule="auto"/>
              <w:ind w:firstLine="0" w:firstLineChars="0"/>
              <w:jc w:val="center"/>
              <w:rPr>
                <w:rFonts w:ascii="宋体" w:hAnsi="宋体" w:eastAsia="宋体" w:cs="宋体"/>
                <w:color w:val="000000" w:themeColor="text1"/>
                <w:kern w:val="2"/>
                <w:sz w:val="21"/>
                <w:szCs w:val="21"/>
                <w:highlight w:val="none"/>
                <w14:textFill>
                  <w14:solidFill>
                    <w14:schemeClr w14:val="tx1"/>
                  </w14:solidFill>
                </w14:textFill>
              </w:rPr>
            </w:pPr>
          </w:p>
        </w:tc>
        <w:tc>
          <w:tcPr>
            <w:tcW w:w="2743" w:type="dxa"/>
            <w:tcBorders>
              <w:top w:val="single" w:color="auto" w:sz="6" w:space="0"/>
              <w:left w:val="single" w:color="auto" w:sz="6" w:space="0"/>
              <w:bottom w:val="single" w:color="auto" w:sz="6" w:space="0"/>
              <w:right w:val="single" w:color="auto" w:sz="6" w:space="0"/>
            </w:tcBorders>
            <w:vAlign w:val="center"/>
          </w:tcPr>
          <w:p>
            <w:pPr>
              <w:pStyle w:val="12"/>
              <w:spacing w:line="360" w:lineRule="auto"/>
              <w:ind w:firstLine="0" w:firstLineChars="0"/>
              <w:jc w:val="center"/>
              <w:rPr>
                <w:rFonts w:ascii="宋体" w:hAnsi="宋体" w:eastAsia="宋体" w:cs="宋体"/>
                <w:color w:val="000000" w:themeColor="text1"/>
                <w:kern w:val="2"/>
                <w:sz w:val="21"/>
                <w:szCs w:val="21"/>
                <w:highlight w:val="none"/>
                <w14:textFill>
                  <w14:solidFill>
                    <w14:schemeClr w14:val="tx1"/>
                  </w14:solidFill>
                </w14:textFill>
              </w:rPr>
            </w:pPr>
          </w:p>
        </w:tc>
        <w:tc>
          <w:tcPr>
            <w:tcW w:w="1497" w:type="dxa"/>
            <w:tcBorders>
              <w:top w:val="single" w:color="auto" w:sz="6" w:space="0"/>
              <w:left w:val="single" w:color="auto" w:sz="6" w:space="0"/>
              <w:bottom w:val="single" w:color="auto" w:sz="6" w:space="0"/>
              <w:right w:val="single" w:color="auto" w:sz="4" w:space="0"/>
            </w:tcBorders>
            <w:vAlign w:val="center"/>
          </w:tcPr>
          <w:p>
            <w:pPr>
              <w:pStyle w:val="12"/>
              <w:spacing w:line="360" w:lineRule="auto"/>
              <w:ind w:firstLine="0" w:firstLineChars="0"/>
              <w:jc w:val="center"/>
              <w:rPr>
                <w:rFonts w:ascii="宋体" w:hAnsi="宋体" w:eastAsia="宋体" w:cs="宋体"/>
                <w:color w:val="000000" w:themeColor="text1"/>
                <w:kern w:val="2"/>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8" w:type="dxa"/>
            <w:tcBorders>
              <w:top w:val="single" w:color="auto" w:sz="6" w:space="0"/>
              <w:left w:val="single" w:color="auto" w:sz="4" w:space="0"/>
              <w:bottom w:val="single" w:color="auto" w:sz="6" w:space="0"/>
              <w:right w:val="single" w:color="auto" w:sz="6" w:space="0"/>
            </w:tcBorders>
            <w:vAlign w:val="center"/>
          </w:tcPr>
          <w:p>
            <w:pPr>
              <w:pStyle w:val="12"/>
              <w:spacing w:line="360" w:lineRule="auto"/>
              <w:ind w:firstLine="0" w:firstLineChars="0"/>
              <w:jc w:val="center"/>
              <w:rPr>
                <w:rFonts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3</w:t>
            </w:r>
          </w:p>
        </w:tc>
        <w:tc>
          <w:tcPr>
            <w:tcW w:w="918" w:type="dxa"/>
            <w:tcBorders>
              <w:top w:val="single" w:color="auto" w:sz="6" w:space="0"/>
              <w:left w:val="single" w:color="auto" w:sz="6" w:space="0"/>
              <w:bottom w:val="single" w:color="auto" w:sz="6" w:space="0"/>
              <w:right w:val="single" w:color="auto" w:sz="4" w:space="0"/>
            </w:tcBorders>
            <w:vAlign w:val="center"/>
          </w:tcPr>
          <w:p>
            <w:pPr>
              <w:pStyle w:val="12"/>
              <w:spacing w:line="360" w:lineRule="auto"/>
              <w:ind w:firstLine="0" w:firstLineChars="0"/>
              <w:jc w:val="center"/>
              <w:rPr>
                <w:rFonts w:ascii="宋体" w:hAnsi="宋体" w:eastAsia="宋体" w:cs="宋体"/>
                <w:color w:val="000000" w:themeColor="text1"/>
                <w:kern w:val="2"/>
                <w:sz w:val="21"/>
                <w:szCs w:val="21"/>
                <w:highlight w:val="none"/>
                <w14:textFill>
                  <w14:solidFill>
                    <w14:schemeClr w14:val="tx1"/>
                  </w14:solidFill>
                </w14:textFill>
              </w:rPr>
            </w:pPr>
          </w:p>
        </w:tc>
        <w:tc>
          <w:tcPr>
            <w:tcW w:w="3048" w:type="dxa"/>
            <w:tcBorders>
              <w:top w:val="single" w:color="auto" w:sz="6" w:space="0"/>
              <w:left w:val="single" w:color="auto" w:sz="4" w:space="0"/>
              <w:bottom w:val="single" w:color="auto" w:sz="6" w:space="0"/>
              <w:right w:val="single" w:color="auto" w:sz="6" w:space="0"/>
            </w:tcBorders>
            <w:vAlign w:val="center"/>
          </w:tcPr>
          <w:p>
            <w:pPr>
              <w:pStyle w:val="12"/>
              <w:spacing w:line="360" w:lineRule="auto"/>
              <w:ind w:firstLine="0" w:firstLineChars="0"/>
              <w:jc w:val="center"/>
              <w:rPr>
                <w:rFonts w:ascii="宋体" w:hAnsi="宋体" w:eastAsia="宋体" w:cs="宋体"/>
                <w:color w:val="000000" w:themeColor="text1"/>
                <w:kern w:val="2"/>
                <w:sz w:val="21"/>
                <w:szCs w:val="21"/>
                <w:highlight w:val="none"/>
                <w14:textFill>
                  <w14:solidFill>
                    <w14:schemeClr w14:val="tx1"/>
                  </w14:solidFill>
                </w14:textFill>
              </w:rPr>
            </w:pPr>
          </w:p>
        </w:tc>
        <w:tc>
          <w:tcPr>
            <w:tcW w:w="2743" w:type="dxa"/>
            <w:tcBorders>
              <w:top w:val="single" w:color="auto" w:sz="6" w:space="0"/>
              <w:left w:val="single" w:color="auto" w:sz="6" w:space="0"/>
              <w:bottom w:val="single" w:color="auto" w:sz="6" w:space="0"/>
              <w:right w:val="single" w:color="auto" w:sz="6" w:space="0"/>
            </w:tcBorders>
            <w:vAlign w:val="center"/>
          </w:tcPr>
          <w:p>
            <w:pPr>
              <w:pStyle w:val="12"/>
              <w:spacing w:line="360" w:lineRule="auto"/>
              <w:ind w:firstLine="0" w:firstLineChars="0"/>
              <w:jc w:val="center"/>
              <w:rPr>
                <w:rFonts w:ascii="宋体" w:hAnsi="宋体" w:eastAsia="宋体" w:cs="宋体"/>
                <w:color w:val="000000" w:themeColor="text1"/>
                <w:kern w:val="2"/>
                <w:sz w:val="21"/>
                <w:szCs w:val="21"/>
                <w:highlight w:val="none"/>
                <w14:textFill>
                  <w14:solidFill>
                    <w14:schemeClr w14:val="tx1"/>
                  </w14:solidFill>
                </w14:textFill>
              </w:rPr>
            </w:pPr>
          </w:p>
        </w:tc>
        <w:tc>
          <w:tcPr>
            <w:tcW w:w="1497" w:type="dxa"/>
            <w:tcBorders>
              <w:top w:val="single" w:color="auto" w:sz="6" w:space="0"/>
              <w:left w:val="single" w:color="auto" w:sz="6" w:space="0"/>
              <w:bottom w:val="single" w:color="auto" w:sz="6" w:space="0"/>
              <w:right w:val="single" w:color="auto" w:sz="4" w:space="0"/>
            </w:tcBorders>
            <w:vAlign w:val="center"/>
          </w:tcPr>
          <w:p>
            <w:pPr>
              <w:pStyle w:val="12"/>
              <w:spacing w:line="360" w:lineRule="auto"/>
              <w:ind w:firstLine="0" w:firstLineChars="0"/>
              <w:jc w:val="center"/>
              <w:rPr>
                <w:rFonts w:ascii="宋体" w:hAnsi="宋体" w:eastAsia="宋体" w:cs="宋体"/>
                <w:color w:val="000000" w:themeColor="text1"/>
                <w:kern w:val="2"/>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8" w:type="dxa"/>
            <w:tcBorders>
              <w:top w:val="single" w:color="auto" w:sz="6" w:space="0"/>
              <w:left w:val="single" w:color="auto" w:sz="4" w:space="0"/>
              <w:bottom w:val="single" w:color="auto" w:sz="6" w:space="0"/>
              <w:right w:val="single" w:color="auto" w:sz="6" w:space="0"/>
            </w:tcBorders>
            <w:vAlign w:val="center"/>
          </w:tcPr>
          <w:p>
            <w:pPr>
              <w:pStyle w:val="12"/>
              <w:spacing w:line="360" w:lineRule="auto"/>
              <w:ind w:firstLine="0" w:firstLineChars="0"/>
              <w:jc w:val="center"/>
              <w:rPr>
                <w:rFonts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4</w:t>
            </w:r>
          </w:p>
        </w:tc>
        <w:tc>
          <w:tcPr>
            <w:tcW w:w="918" w:type="dxa"/>
            <w:tcBorders>
              <w:top w:val="single" w:color="auto" w:sz="6" w:space="0"/>
              <w:left w:val="single" w:color="auto" w:sz="6" w:space="0"/>
              <w:bottom w:val="single" w:color="auto" w:sz="6" w:space="0"/>
              <w:right w:val="single" w:color="auto" w:sz="4" w:space="0"/>
            </w:tcBorders>
            <w:vAlign w:val="center"/>
          </w:tcPr>
          <w:p>
            <w:pPr>
              <w:pStyle w:val="12"/>
              <w:spacing w:line="360" w:lineRule="auto"/>
              <w:ind w:firstLine="0" w:firstLineChars="0"/>
              <w:jc w:val="center"/>
              <w:rPr>
                <w:rFonts w:ascii="宋体" w:hAnsi="宋体" w:eastAsia="宋体" w:cs="宋体"/>
                <w:color w:val="000000" w:themeColor="text1"/>
                <w:kern w:val="2"/>
                <w:sz w:val="21"/>
                <w:szCs w:val="21"/>
                <w:highlight w:val="none"/>
                <w14:textFill>
                  <w14:solidFill>
                    <w14:schemeClr w14:val="tx1"/>
                  </w14:solidFill>
                </w14:textFill>
              </w:rPr>
            </w:pPr>
          </w:p>
        </w:tc>
        <w:tc>
          <w:tcPr>
            <w:tcW w:w="3048" w:type="dxa"/>
            <w:tcBorders>
              <w:top w:val="single" w:color="auto" w:sz="6" w:space="0"/>
              <w:left w:val="single" w:color="auto" w:sz="4" w:space="0"/>
              <w:bottom w:val="single" w:color="auto" w:sz="6" w:space="0"/>
              <w:right w:val="single" w:color="auto" w:sz="6" w:space="0"/>
            </w:tcBorders>
            <w:vAlign w:val="center"/>
          </w:tcPr>
          <w:p>
            <w:pPr>
              <w:pStyle w:val="12"/>
              <w:spacing w:line="360" w:lineRule="auto"/>
              <w:ind w:firstLine="0" w:firstLineChars="0"/>
              <w:jc w:val="center"/>
              <w:rPr>
                <w:rFonts w:ascii="宋体" w:hAnsi="宋体" w:eastAsia="宋体" w:cs="宋体"/>
                <w:color w:val="000000" w:themeColor="text1"/>
                <w:kern w:val="2"/>
                <w:sz w:val="21"/>
                <w:szCs w:val="21"/>
                <w:highlight w:val="none"/>
                <w14:textFill>
                  <w14:solidFill>
                    <w14:schemeClr w14:val="tx1"/>
                  </w14:solidFill>
                </w14:textFill>
              </w:rPr>
            </w:pPr>
          </w:p>
        </w:tc>
        <w:tc>
          <w:tcPr>
            <w:tcW w:w="2743" w:type="dxa"/>
            <w:tcBorders>
              <w:top w:val="single" w:color="auto" w:sz="6" w:space="0"/>
              <w:left w:val="single" w:color="auto" w:sz="6" w:space="0"/>
              <w:bottom w:val="single" w:color="auto" w:sz="6" w:space="0"/>
              <w:right w:val="single" w:color="auto" w:sz="6" w:space="0"/>
            </w:tcBorders>
            <w:vAlign w:val="center"/>
          </w:tcPr>
          <w:p>
            <w:pPr>
              <w:pStyle w:val="12"/>
              <w:spacing w:line="360" w:lineRule="auto"/>
              <w:ind w:firstLine="0" w:firstLineChars="0"/>
              <w:jc w:val="center"/>
              <w:rPr>
                <w:rFonts w:ascii="宋体" w:hAnsi="宋体" w:eastAsia="宋体" w:cs="宋体"/>
                <w:color w:val="000000" w:themeColor="text1"/>
                <w:kern w:val="2"/>
                <w:sz w:val="21"/>
                <w:szCs w:val="21"/>
                <w:highlight w:val="none"/>
                <w14:textFill>
                  <w14:solidFill>
                    <w14:schemeClr w14:val="tx1"/>
                  </w14:solidFill>
                </w14:textFill>
              </w:rPr>
            </w:pPr>
          </w:p>
        </w:tc>
        <w:tc>
          <w:tcPr>
            <w:tcW w:w="1497" w:type="dxa"/>
            <w:tcBorders>
              <w:top w:val="single" w:color="auto" w:sz="6" w:space="0"/>
              <w:left w:val="single" w:color="auto" w:sz="6" w:space="0"/>
              <w:bottom w:val="single" w:color="auto" w:sz="6" w:space="0"/>
              <w:right w:val="single" w:color="auto" w:sz="4" w:space="0"/>
            </w:tcBorders>
            <w:vAlign w:val="center"/>
          </w:tcPr>
          <w:p>
            <w:pPr>
              <w:pStyle w:val="12"/>
              <w:spacing w:line="360" w:lineRule="auto"/>
              <w:ind w:firstLine="0" w:firstLineChars="0"/>
              <w:jc w:val="center"/>
              <w:rPr>
                <w:rFonts w:ascii="宋体" w:hAnsi="宋体" w:eastAsia="宋体" w:cs="宋体"/>
                <w:color w:val="000000" w:themeColor="text1"/>
                <w:kern w:val="2"/>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8" w:type="dxa"/>
            <w:tcBorders>
              <w:top w:val="single" w:color="auto" w:sz="6" w:space="0"/>
              <w:left w:val="single" w:color="auto" w:sz="4" w:space="0"/>
              <w:bottom w:val="single" w:color="auto" w:sz="6" w:space="0"/>
              <w:right w:val="single" w:color="auto" w:sz="6" w:space="0"/>
            </w:tcBorders>
            <w:vAlign w:val="center"/>
          </w:tcPr>
          <w:p>
            <w:pPr>
              <w:pStyle w:val="12"/>
              <w:spacing w:line="360" w:lineRule="auto"/>
              <w:ind w:firstLine="0" w:firstLineChars="0"/>
              <w:jc w:val="center"/>
              <w:rPr>
                <w:rFonts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5</w:t>
            </w:r>
          </w:p>
        </w:tc>
        <w:tc>
          <w:tcPr>
            <w:tcW w:w="918" w:type="dxa"/>
            <w:tcBorders>
              <w:top w:val="single" w:color="auto" w:sz="6" w:space="0"/>
              <w:left w:val="single" w:color="auto" w:sz="6" w:space="0"/>
              <w:bottom w:val="single" w:color="auto" w:sz="6" w:space="0"/>
              <w:right w:val="single" w:color="auto" w:sz="4" w:space="0"/>
            </w:tcBorders>
            <w:vAlign w:val="center"/>
          </w:tcPr>
          <w:p>
            <w:pPr>
              <w:pStyle w:val="12"/>
              <w:spacing w:line="360" w:lineRule="auto"/>
              <w:ind w:firstLine="0" w:firstLineChars="0"/>
              <w:jc w:val="center"/>
              <w:rPr>
                <w:rFonts w:ascii="宋体" w:hAnsi="宋体" w:eastAsia="宋体" w:cs="宋体"/>
                <w:color w:val="000000" w:themeColor="text1"/>
                <w:kern w:val="2"/>
                <w:sz w:val="21"/>
                <w:szCs w:val="21"/>
                <w:highlight w:val="none"/>
                <w14:textFill>
                  <w14:solidFill>
                    <w14:schemeClr w14:val="tx1"/>
                  </w14:solidFill>
                </w14:textFill>
              </w:rPr>
            </w:pPr>
          </w:p>
        </w:tc>
        <w:tc>
          <w:tcPr>
            <w:tcW w:w="3048" w:type="dxa"/>
            <w:tcBorders>
              <w:top w:val="single" w:color="auto" w:sz="6" w:space="0"/>
              <w:left w:val="single" w:color="auto" w:sz="4" w:space="0"/>
              <w:bottom w:val="single" w:color="auto" w:sz="6" w:space="0"/>
              <w:right w:val="single" w:color="auto" w:sz="6" w:space="0"/>
            </w:tcBorders>
            <w:vAlign w:val="center"/>
          </w:tcPr>
          <w:p>
            <w:pPr>
              <w:pStyle w:val="12"/>
              <w:spacing w:line="360" w:lineRule="auto"/>
              <w:ind w:firstLine="0" w:firstLineChars="0"/>
              <w:jc w:val="center"/>
              <w:rPr>
                <w:rFonts w:ascii="宋体" w:hAnsi="宋体" w:eastAsia="宋体" w:cs="宋体"/>
                <w:color w:val="000000" w:themeColor="text1"/>
                <w:kern w:val="2"/>
                <w:sz w:val="21"/>
                <w:szCs w:val="21"/>
                <w:highlight w:val="none"/>
                <w14:textFill>
                  <w14:solidFill>
                    <w14:schemeClr w14:val="tx1"/>
                  </w14:solidFill>
                </w14:textFill>
              </w:rPr>
            </w:pPr>
          </w:p>
        </w:tc>
        <w:tc>
          <w:tcPr>
            <w:tcW w:w="2743" w:type="dxa"/>
            <w:tcBorders>
              <w:top w:val="single" w:color="auto" w:sz="6" w:space="0"/>
              <w:left w:val="single" w:color="auto" w:sz="6" w:space="0"/>
              <w:bottom w:val="single" w:color="auto" w:sz="6" w:space="0"/>
              <w:right w:val="single" w:color="auto" w:sz="6" w:space="0"/>
            </w:tcBorders>
            <w:vAlign w:val="center"/>
          </w:tcPr>
          <w:p>
            <w:pPr>
              <w:pStyle w:val="12"/>
              <w:spacing w:line="360" w:lineRule="auto"/>
              <w:ind w:firstLine="0" w:firstLineChars="0"/>
              <w:jc w:val="center"/>
              <w:rPr>
                <w:rFonts w:ascii="宋体" w:hAnsi="宋体" w:eastAsia="宋体" w:cs="宋体"/>
                <w:color w:val="000000" w:themeColor="text1"/>
                <w:kern w:val="2"/>
                <w:sz w:val="21"/>
                <w:szCs w:val="21"/>
                <w:highlight w:val="none"/>
                <w14:textFill>
                  <w14:solidFill>
                    <w14:schemeClr w14:val="tx1"/>
                  </w14:solidFill>
                </w14:textFill>
              </w:rPr>
            </w:pPr>
          </w:p>
        </w:tc>
        <w:tc>
          <w:tcPr>
            <w:tcW w:w="1497" w:type="dxa"/>
            <w:tcBorders>
              <w:top w:val="single" w:color="auto" w:sz="6" w:space="0"/>
              <w:left w:val="single" w:color="auto" w:sz="6" w:space="0"/>
              <w:bottom w:val="single" w:color="auto" w:sz="6" w:space="0"/>
              <w:right w:val="single" w:color="auto" w:sz="4" w:space="0"/>
            </w:tcBorders>
            <w:vAlign w:val="center"/>
          </w:tcPr>
          <w:p>
            <w:pPr>
              <w:pStyle w:val="12"/>
              <w:spacing w:line="360" w:lineRule="auto"/>
              <w:ind w:firstLine="0" w:firstLineChars="0"/>
              <w:jc w:val="center"/>
              <w:rPr>
                <w:rFonts w:ascii="宋体" w:hAnsi="宋体" w:eastAsia="宋体" w:cs="宋体"/>
                <w:color w:val="000000" w:themeColor="text1"/>
                <w:kern w:val="2"/>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18" w:type="dxa"/>
            <w:tcBorders>
              <w:top w:val="single" w:color="auto" w:sz="6" w:space="0"/>
              <w:left w:val="single" w:color="auto" w:sz="4" w:space="0"/>
              <w:bottom w:val="single" w:color="auto" w:sz="4" w:space="0"/>
              <w:right w:val="single" w:color="auto" w:sz="6" w:space="0"/>
            </w:tcBorders>
            <w:vAlign w:val="center"/>
          </w:tcPr>
          <w:p>
            <w:pPr>
              <w:pStyle w:val="12"/>
              <w:spacing w:line="360" w:lineRule="auto"/>
              <w:ind w:firstLine="0" w:firstLineChars="0"/>
              <w:jc w:val="center"/>
              <w:rPr>
                <w:rFonts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w:t>
            </w:r>
          </w:p>
        </w:tc>
        <w:tc>
          <w:tcPr>
            <w:tcW w:w="918" w:type="dxa"/>
            <w:tcBorders>
              <w:top w:val="single" w:color="auto" w:sz="6" w:space="0"/>
              <w:left w:val="single" w:color="auto" w:sz="6" w:space="0"/>
              <w:bottom w:val="single" w:color="auto" w:sz="4" w:space="0"/>
              <w:right w:val="single" w:color="auto" w:sz="4" w:space="0"/>
            </w:tcBorders>
            <w:vAlign w:val="center"/>
          </w:tcPr>
          <w:p>
            <w:pPr>
              <w:pStyle w:val="12"/>
              <w:spacing w:line="360" w:lineRule="auto"/>
              <w:ind w:firstLine="0" w:firstLineChars="0"/>
              <w:jc w:val="center"/>
              <w:rPr>
                <w:rFonts w:ascii="宋体" w:hAnsi="宋体" w:eastAsia="宋体" w:cs="宋体"/>
                <w:color w:val="000000" w:themeColor="text1"/>
                <w:kern w:val="2"/>
                <w:sz w:val="21"/>
                <w:szCs w:val="21"/>
                <w:highlight w:val="none"/>
                <w14:textFill>
                  <w14:solidFill>
                    <w14:schemeClr w14:val="tx1"/>
                  </w14:solidFill>
                </w14:textFill>
              </w:rPr>
            </w:pPr>
          </w:p>
        </w:tc>
        <w:tc>
          <w:tcPr>
            <w:tcW w:w="3048" w:type="dxa"/>
            <w:tcBorders>
              <w:top w:val="single" w:color="auto" w:sz="6" w:space="0"/>
              <w:left w:val="single" w:color="auto" w:sz="4" w:space="0"/>
              <w:bottom w:val="single" w:color="auto" w:sz="4" w:space="0"/>
              <w:right w:val="single" w:color="auto" w:sz="6" w:space="0"/>
            </w:tcBorders>
            <w:vAlign w:val="center"/>
          </w:tcPr>
          <w:p>
            <w:pPr>
              <w:pStyle w:val="12"/>
              <w:spacing w:line="360" w:lineRule="auto"/>
              <w:ind w:firstLine="0" w:firstLineChars="0"/>
              <w:jc w:val="center"/>
              <w:rPr>
                <w:rFonts w:ascii="宋体" w:hAnsi="宋体" w:eastAsia="宋体" w:cs="宋体"/>
                <w:color w:val="000000" w:themeColor="text1"/>
                <w:kern w:val="2"/>
                <w:sz w:val="21"/>
                <w:szCs w:val="21"/>
                <w:highlight w:val="none"/>
                <w14:textFill>
                  <w14:solidFill>
                    <w14:schemeClr w14:val="tx1"/>
                  </w14:solidFill>
                </w14:textFill>
              </w:rPr>
            </w:pPr>
          </w:p>
        </w:tc>
        <w:tc>
          <w:tcPr>
            <w:tcW w:w="2743" w:type="dxa"/>
            <w:tcBorders>
              <w:top w:val="single" w:color="auto" w:sz="6" w:space="0"/>
              <w:left w:val="single" w:color="auto" w:sz="6" w:space="0"/>
              <w:bottom w:val="single" w:color="auto" w:sz="4" w:space="0"/>
              <w:right w:val="single" w:color="auto" w:sz="6" w:space="0"/>
            </w:tcBorders>
            <w:vAlign w:val="center"/>
          </w:tcPr>
          <w:p>
            <w:pPr>
              <w:pStyle w:val="12"/>
              <w:spacing w:line="360" w:lineRule="auto"/>
              <w:ind w:firstLine="0" w:firstLineChars="0"/>
              <w:jc w:val="center"/>
              <w:rPr>
                <w:rFonts w:ascii="宋体" w:hAnsi="宋体" w:eastAsia="宋体" w:cs="宋体"/>
                <w:color w:val="000000" w:themeColor="text1"/>
                <w:kern w:val="2"/>
                <w:sz w:val="21"/>
                <w:szCs w:val="21"/>
                <w:highlight w:val="none"/>
                <w14:textFill>
                  <w14:solidFill>
                    <w14:schemeClr w14:val="tx1"/>
                  </w14:solidFill>
                </w14:textFill>
              </w:rPr>
            </w:pPr>
          </w:p>
        </w:tc>
        <w:tc>
          <w:tcPr>
            <w:tcW w:w="1497" w:type="dxa"/>
            <w:tcBorders>
              <w:top w:val="single" w:color="auto" w:sz="6" w:space="0"/>
              <w:left w:val="single" w:color="auto" w:sz="6" w:space="0"/>
              <w:bottom w:val="single" w:color="auto" w:sz="4" w:space="0"/>
              <w:right w:val="single" w:color="auto" w:sz="4" w:space="0"/>
            </w:tcBorders>
            <w:vAlign w:val="center"/>
          </w:tcPr>
          <w:p>
            <w:pPr>
              <w:pStyle w:val="12"/>
              <w:spacing w:line="360" w:lineRule="auto"/>
              <w:ind w:firstLine="0" w:firstLineChars="0"/>
              <w:jc w:val="center"/>
              <w:rPr>
                <w:rFonts w:ascii="宋体" w:hAnsi="宋体" w:eastAsia="宋体" w:cs="宋体"/>
                <w:color w:val="000000" w:themeColor="text1"/>
                <w:kern w:val="2"/>
                <w:sz w:val="21"/>
                <w:szCs w:val="21"/>
                <w:highlight w:val="none"/>
                <w14:textFill>
                  <w14:solidFill>
                    <w14:schemeClr w14:val="tx1"/>
                  </w14:solidFill>
                </w14:textFill>
              </w:rPr>
            </w:pPr>
          </w:p>
        </w:tc>
      </w:tr>
    </w:tbl>
    <w:p>
      <w:pPr>
        <w:pStyle w:val="12"/>
        <w:spacing w:line="360" w:lineRule="auto"/>
        <w:ind w:firstLine="0" w:firstLineChars="0"/>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w:t>
      </w:r>
    </w:p>
    <w:p>
      <w:pPr>
        <w:pStyle w:val="12"/>
        <w:spacing w:line="360" w:lineRule="auto"/>
        <w:ind w:firstLine="0" w:firstLineChars="0"/>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1.说明：应对照谈判文件“第三章 采购需求”中的技术要求逐条实质性响应，并作出偏离说明。</w:t>
      </w:r>
    </w:p>
    <w:p>
      <w:pPr>
        <w:pStyle w:val="12"/>
        <w:spacing w:line="360" w:lineRule="auto"/>
        <w:ind w:firstLine="0" w:firstLineChars="0"/>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2.供应商应根据竞标设备的性能指标，对照谈判文件要求，在“偏离说明”中注明“正偏离”、“负偏离”或者“无偏离”。既不属于“正偏离”也不属于“负偏离”即为“无偏离”。</w:t>
      </w:r>
    </w:p>
    <w:p>
      <w:pPr>
        <w:pStyle w:val="12"/>
        <w:spacing w:line="360" w:lineRule="auto"/>
        <w:ind w:firstLine="0" w:firstLineChars="0"/>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供应商认为其竞标响应有正偏离的，请在技术要求偏离表中列明，且在响应文件中提供竞标产品的彩页或国家认可有资质的第三方检测机构出具的检测报告复印件或产品生产厂家出具的技术参数说明证明作为佐证，以上佐证材料均需加盖生产厂家或代理商（附生产厂家授权资料）公章。</w:t>
      </w:r>
    </w:p>
    <w:p>
      <w:pPr>
        <w:pStyle w:val="12"/>
        <w:spacing w:line="360" w:lineRule="auto"/>
        <w:ind w:firstLine="0" w:firstLineChars="0"/>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4.如技术要求偏离表中的竞标响应与佐证材料不一致的，以佐证材料为准。</w:t>
      </w:r>
    </w:p>
    <w:p>
      <w:pPr>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r>
        <w:rPr>
          <w:rFonts w:hint="eastAsia" w:ascii="宋体" w:hAnsi="宋体" w:cs="宋体"/>
          <w:color w:val="000000" w:themeColor="text1"/>
          <w:kern w:val="0"/>
          <w:szCs w:val="21"/>
          <w:highlight w:val="none"/>
          <w14:textFill>
            <w14:solidFill>
              <w14:schemeClr w14:val="tx1"/>
            </w14:solidFill>
          </w14:textFill>
        </w:rPr>
        <w:t>不按照要求填写响应内容的或者仅填写“满足或者响应”的，均按无效竞标处理。</w:t>
      </w:r>
    </w:p>
    <w:p>
      <w:pPr>
        <w:pStyle w:val="12"/>
        <w:spacing w:line="360" w:lineRule="auto"/>
        <w:ind w:firstLine="0" w:firstLineChars="0"/>
        <w:rPr>
          <w:rFonts w:ascii="宋体" w:hAnsi="宋体" w:eastAsia="宋体" w:cs="宋体"/>
          <w:color w:val="000000" w:themeColor="text1"/>
          <w:sz w:val="21"/>
          <w:szCs w:val="21"/>
          <w:highlight w:val="none"/>
          <w14:textFill>
            <w14:solidFill>
              <w14:schemeClr w14:val="tx1"/>
            </w14:solidFill>
          </w14:textFill>
        </w:rPr>
      </w:pPr>
    </w:p>
    <w:p>
      <w:pPr>
        <w:spacing w:line="360" w:lineRule="auto"/>
        <w:ind w:right="-817" w:rightChars="-389"/>
        <w:contextualSpacing/>
        <w:rPr>
          <w:rFonts w:ascii="宋体" w:hAnsi="宋体" w:cs="宋体"/>
          <w:color w:val="000000" w:themeColor="text1"/>
          <w:szCs w:val="21"/>
          <w:highlight w:val="none"/>
          <w14:textFill>
            <w14:solidFill>
              <w14:schemeClr w14:val="tx1"/>
            </w14:solidFill>
          </w14:textFill>
        </w:rPr>
      </w:pPr>
    </w:p>
    <w:p>
      <w:pPr>
        <w:spacing w:line="360" w:lineRule="auto"/>
        <w:ind w:right="-817" w:rightChars="-389"/>
        <w:contextualSpacing/>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法定代表人或者委托代理人（签字或者电子签名）：</w:t>
      </w:r>
    </w:p>
    <w:p>
      <w:pPr>
        <w:spacing w:line="360" w:lineRule="auto"/>
        <w:ind w:right="-817" w:rightChars="-389" w:firstLine="2520" w:firstLineChars="120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供应商（电子签章）：      </w:t>
      </w:r>
    </w:p>
    <w:p>
      <w:pPr>
        <w:spacing w:line="360" w:lineRule="auto"/>
        <w:ind w:right="-817" w:rightChars="-389" w:firstLine="2520" w:firstLineChars="120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日期：   年   月   日</w:t>
      </w:r>
    </w:p>
    <w:p>
      <w:pPr>
        <w:spacing w:line="30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br w:type="page"/>
      </w:r>
      <w:r>
        <w:rPr>
          <w:rFonts w:hint="eastAsia" w:ascii="宋体" w:hAnsi="宋体" w:cs="宋体"/>
          <w:b/>
          <w:bCs/>
          <w:color w:val="000000" w:themeColor="text1"/>
          <w:sz w:val="24"/>
          <w:highlight w:val="none"/>
          <w14:textFill>
            <w14:solidFill>
              <w14:schemeClr w14:val="tx1"/>
            </w14:solidFill>
          </w14:textFill>
        </w:rPr>
        <w:t>其他文书、文件格式</w:t>
      </w:r>
    </w:p>
    <w:p>
      <w:pPr>
        <w:adjustRightInd w:val="0"/>
        <w:snapToGrid w:val="0"/>
        <w:spacing w:line="300" w:lineRule="auto"/>
        <w:jc w:val="center"/>
        <w:rPr>
          <w:rFonts w:ascii="宋体" w:hAnsi="宋体" w:cs="宋体"/>
          <w:bCs/>
          <w:color w:val="000000" w:themeColor="text1"/>
          <w:sz w:val="32"/>
          <w:szCs w:val="32"/>
          <w:highlight w:val="none"/>
          <w14:textFill>
            <w14:solidFill>
              <w14:schemeClr w14:val="tx1"/>
            </w14:solidFill>
          </w14:textFill>
        </w:rPr>
      </w:pPr>
      <w:bookmarkStart w:id="78" w:name="_Toc71366061"/>
      <w:bookmarkStart w:id="79" w:name="_Toc71365383"/>
      <w:r>
        <w:rPr>
          <w:rFonts w:hint="eastAsia" w:ascii="宋体" w:hAnsi="宋体" w:cs="宋体"/>
          <w:bCs/>
          <w:color w:val="000000" w:themeColor="text1"/>
          <w:sz w:val="32"/>
          <w:szCs w:val="32"/>
          <w:highlight w:val="none"/>
          <w14:textFill>
            <w14:solidFill>
              <w14:schemeClr w14:val="tx1"/>
            </w14:solidFill>
          </w14:textFill>
        </w:rPr>
        <w:t>中小企业声明函（货物）</w:t>
      </w:r>
      <w:bookmarkEnd w:id="78"/>
      <w:bookmarkEnd w:id="79"/>
    </w:p>
    <w:p>
      <w:pPr>
        <w:rPr>
          <w:rFonts w:ascii="宋体" w:hAnsi="宋体" w:cs="宋体"/>
          <w:color w:val="000000" w:themeColor="text1"/>
          <w:szCs w:val="21"/>
          <w:highlight w:val="none"/>
          <w14:textFill>
            <w14:solidFill>
              <w14:schemeClr w14:val="tx1"/>
            </w14:solidFill>
          </w14:textFill>
        </w:rPr>
      </w:pPr>
    </w:p>
    <w:p>
      <w:pPr>
        <w:pStyle w:val="11"/>
        <w:spacing w:after="0" w:line="360" w:lineRule="auto"/>
        <w:ind w:left="-426" w:right="142" w:firstLine="64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本公司（联合体）郑重声明，根据《政府采购促进中小企业发展管理办法》（财库﹝2020﹞46号）的规定，本公司（联合体）参加</w:t>
      </w:r>
      <w:r>
        <w:rPr>
          <w:rFonts w:hint="eastAsia" w:ascii="宋体" w:hAnsi="宋体" w:cs="宋体"/>
          <w:color w:val="000000" w:themeColor="text1"/>
          <w:szCs w:val="21"/>
          <w:highlight w:val="none"/>
          <w:u w:val="single"/>
          <w14:textFill>
            <w14:solidFill>
              <w14:schemeClr w14:val="tx1"/>
            </w14:solidFill>
          </w14:textFill>
        </w:rPr>
        <w:t>（单位名称）</w:t>
      </w:r>
      <w:r>
        <w:rPr>
          <w:rFonts w:hint="eastAsia" w:ascii="宋体" w:hAnsi="宋体" w:cs="宋体"/>
          <w:color w:val="000000" w:themeColor="text1"/>
          <w:szCs w:val="21"/>
          <w:highlight w:val="none"/>
          <w14:textFill>
            <w14:solidFill>
              <w14:schemeClr w14:val="tx1"/>
            </w14:solidFill>
          </w14:textFill>
        </w:rPr>
        <w:t>的</w:t>
      </w:r>
      <w:r>
        <w:rPr>
          <w:rFonts w:hint="eastAsia" w:ascii="宋体" w:hAnsi="宋体" w:cs="宋体"/>
          <w:color w:val="000000" w:themeColor="text1"/>
          <w:szCs w:val="21"/>
          <w:highlight w:val="none"/>
          <w:u w:val="single"/>
          <w14:textFill>
            <w14:solidFill>
              <w14:schemeClr w14:val="tx1"/>
            </w14:solidFill>
          </w14:textFill>
        </w:rPr>
        <w:t>（项目名称）</w:t>
      </w:r>
      <w:r>
        <w:rPr>
          <w:rFonts w:hint="eastAsia" w:ascii="宋体" w:hAnsi="宋体" w:cs="宋体"/>
          <w:color w:val="000000" w:themeColor="text1"/>
          <w:szCs w:val="21"/>
          <w:highlight w:val="none"/>
          <w14:textFill>
            <w14:solidFill>
              <w14:schemeClr w14:val="tx1"/>
            </w14:solidFill>
          </w14:textFill>
        </w:rPr>
        <w:t>采购活动，提供的货物全部由符合政策要求的中小企业制造。相关企业（含联合体中的中小企业、签订分包意向协议的中小企业）的具体情况如下：</w:t>
      </w:r>
    </w:p>
    <w:p>
      <w:pPr>
        <w:tabs>
          <w:tab w:val="left" w:pos="1384"/>
          <w:tab w:val="left" w:pos="4562"/>
          <w:tab w:val="left" w:pos="6803"/>
        </w:tabs>
        <w:spacing w:line="360" w:lineRule="auto"/>
        <w:ind w:left="-426" w:right="-58" w:firstLine="655"/>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u w:val="single"/>
          <w14:textFill>
            <w14:solidFill>
              <w14:schemeClr w14:val="tx1"/>
            </w14:solidFill>
          </w14:textFill>
        </w:rPr>
        <w:t>（标的名称）</w:t>
      </w:r>
      <w:r>
        <w:rPr>
          <w:rFonts w:hint="eastAsia" w:ascii="宋体" w:hAnsi="宋体" w:cs="宋体"/>
          <w:color w:val="000000" w:themeColor="text1"/>
          <w:szCs w:val="21"/>
          <w:highlight w:val="none"/>
          <w14:textFill>
            <w14:solidFill>
              <w14:schemeClr w14:val="tx1"/>
            </w14:solidFill>
          </w14:textFill>
        </w:rPr>
        <w:t>，属于</w:t>
      </w:r>
      <w:r>
        <w:rPr>
          <w:rFonts w:hint="eastAsia" w:ascii="宋体" w:hAnsi="宋体" w:cs="宋体"/>
          <w:color w:val="000000" w:themeColor="text1"/>
          <w:szCs w:val="21"/>
          <w:highlight w:val="none"/>
          <w:u w:val="single"/>
          <w14:textFill>
            <w14:solidFill>
              <w14:schemeClr w14:val="tx1"/>
            </w14:solidFill>
          </w14:textFill>
        </w:rPr>
        <w:t>（采购文件中明确的所属行业）</w:t>
      </w:r>
      <w:r>
        <w:rPr>
          <w:rFonts w:hint="eastAsia" w:ascii="宋体" w:hAnsi="宋体" w:cs="宋体"/>
          <w:color w:val="000000" w:themeColor="text1"/>
          <w:szCs w:val="21"/>
          <w:highlight w:val="none"/>
          <w14:textFill>
            <w14:solidFill>
              <w14:schemeClr w14:val="tx1"/>
            </w14:solidFill>
          </w14:textFill>
        </w:rPr>
        <w:t>行业；制造商为</w:t>
      </w:r>
      <w:r>
        <w:rPr>
          <w:rFonts w:hint="eastAsia" w:ascii="宋体" w:hAnsi="宋体" w:cs="宋体"/>
          <w:color w:val="000000" w:themeColor="text1"/>
          <w:szCs w:val="21"/>
          <w:highlight w:val="none"/>
          <w:u w:val="single"/>
          <w14:textFill>
            <w14:solidFill>
              <w14:schemeClr w14:val="tx1"/>
            </w14:solidFill>
          </w14:textFill>
        </w:rPr>
        <w:t>（企业名称）</w:t>
      </w:r>
      <w:r>
        <w:rPr>
          <w:rFonts w:hint="eastAsia" w:ascii="宋体" w:hAnsi="宋体" w:cs="宋体"/>
          <w:color w:val="000000" w:themeColor="text1"/>
          <w:szCs w:val="21"/>
          <w:highlight w:val="none"/>
          <w14:textFill>
            <w14:solidFill>
              <w14:schemeClr w14:val="tx1"/>
            </w14:solidFill>
          </w14:textFill>
        </w:rPr>
        <w:t>，从业人员</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人，营业收入为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万元，资产总额为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万元，属于</w:t>
      </w:r>
      <w:r>
        <w:rPr>
          <w:rFonts w:hint="eastAsia" w:ascii="宋体" w:hAnsi="宋体" w:cs="宋体"/>
          <w:color w:val="000000" w:themeColor="text1"/>
          <w:szCs w:val="21"/>
          <w:highlight w:val="none"/>
          <w:u w:val="single"/>
          <w14:textFill>
            <w14:solidFill>
              <w14:schemeClr w14:val="tx1"/>
            </w14:solidFill>
          </w14:textFill>
        </w:rPr>
        <w:t>（中型企业、小型企业、微型企业）</w:t>
      </w:r>
      <w:r>
        <w:rPr>
          <w:rFonts w:hint="eastAsia" w:ascii="宋体" w:hAnsi="宋体" w:cs="宋体"/>
          <w:color w:val="000000" w:themeColor="text1"/>
          <w:szCs w:val="21"/>
          <w:highlight w:val="none"/>
          <w14:textFill>
            <w14:solidFill>
              <w14:schemeClr w14:val="tx1"/>
            </w14:solidFill>
          </w14:textFill>
        </w:rPr>
        <w:t>；</w:t>
      </w:r>
    </w:p>
    <w:p>
      <w:pPr>
        <w:tabs>
          <w:tab w:val="left" w:pos="1065"/>
          <w:tab w:val="left" w:pos="6477"/>
        </w:tabs>
        <w:spacing w:line="360" w:lineRule="auto"/>
        <w:ind w:left="-426" w:right="-58" w:firstLine="655"/>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u w:val="single"/>
          <w14:textFill>
            <w14:solidFill>
              <w14:schemeClr w14:val="tx1"/>
            </w14:solidFill>
          </w14:textFill>
        </w:rPr>
        <w:t>（标的名称）</w:t>
      </w:r>
      <w:r>
        <w:rPr>
          <w:rFonts w:hint="eastAsia" w:ascii="宋体" w:hAnsi="宋体" w:cs="宋体"/>
          <w:color w:val="000000" w:themeColor="text1"/>
          <w:szCs w:val="21"/>
          <w:highlight w:val="none"/>
          <w14:textFill>
            <w14:solidFill>
              <w14:schemeClr w14:val="tx1"/>
            </w14:solidFill>
          </w14:textFill>
        </w:rPr>
        <w:t>，属于</w:t>
      </w:r>
      <w:r>
        <w:rPr>
          <w:rFonts w:hint="eastAsia" w:ascii="宋体" w:hAnsi="宋体" w:cs="宋体"/>
          <w:color w:val="000000" w:themeColor="text1"/>
          <w:szCs w:val="21"/>
          <w:highlight w:val="none"/>
          <w:u w:val="single"/>
          <w14:textFill>
            <w14:solidFill>
              <w14:schemeClr w14:val="tx1"/>
            </w14:solidFill>
          </w14:textFill>
        </w:rPr>
        <w:t>（采购文件中明确的所属行业）</w:t>
      </w:r>
      <w:r>
        <w:rPr>
          <w:rFonts w:hint="eastAsia" w:ascii="宋体" w:hAnsi="宋体" w:cs="宋体"/>
          <w:color w:val="000000" w:themeColor="text1"/>
          <w:szCs w:val="21"/>
          <w:highlight w:val="none"/>
          <w14:textFill>
            <w14:solidFill>
              <w14:schemeClr w14:val="tx1"/>
            </w14:solidFill>
          </w14:textFill>
        </w:rPr>
        <w:t>行业；制造商为</w:t>
      </w:r>
      <w:r>
        <w:rPr>
          <w:rFonts w:hint="eastAsia" w:ascii="宋体" w:hAnsi="宋体" w:cs="宋体"/>
          <w:color w:val="000000" w:themeColor="text1"/>
          <w:szCs w:val="21"/>
          <w:highlight w:val="none"/>
          <w:u w:val="single"/>
          <w14:textFill>
            <w14:solidFill>
              <w14:schemeClr w14:val="tx1"/>
            </w14:solidFill>
          </w14:textFill>
        </w:rPr>
        <w:t>（企业名称）</w:t>
      </w:r>
      <w:r>
        <w:rPr>
          <w:rFonts w:hint="eastAsia" w:ascii="宋体" w:hAnsi="宋体" w:cs="宋体"/>
          <w:color w:val="000000" w:themeColor="text1"/>
          <w:szCs w:val="21"/>
          <w:highlight w:val="none"/>
          <w14:textFill>
            <w14:solidFill>
              <w14:schemeClr w14:val="tx1"/>
            </w14:solidFill>
          </w14:textFill>
        </w:rPr>
        <w:t>，从业人员</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人，营业收入为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万元，资产总额为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万元，属于</w:t>
      </w:r>
      <w:r>
        <w:rPr>
          <w:rFonts w:hint="eastAsia" w:ascii="宋体" w:hAnsi="宋体" w:cs="宋体"/>
          <w:color w:val="000000" w:themeColor="text1"/>
          <w:szCs w:val="21"/>
          <w:highlight w:val="none"/>
          <w:u w:val="single"/>
          <w14:textFill>
            <w14:solidFill>
              <w14:schemeClr w14:val="tx1"/>
            </w14:solidFill>
          </w14:textFill>
        </w:rPr>
        <w:t>（中型企业、小型企业、微型企业）</w:t>
      </w:r>
      <w:r>
        <w:rPr>
          <w:rFonts w:hint="eastAsia" w:ascii="宋体" w:hAnsi="宋体" w:cs="宋体"/>
          <w:color w:val="000000" w:themeColor="text1"/>
          <w:szCs w:val="21"/>
          <w:highlight w:val="none"/>
          <w14:textFill>
            <w14:solidFill>
              <w14:schemeClr w14:val="tx1"/>
            </w14:solidFill>
          </w14:textFill>
        </w:rPr>
        <w:t>；</w:t>
      </w:r>
    </w:p>
    <w:p>
      <w:pPr>
        <w:pStyle w:val="11"/>
        <w:spacing w:after="0" w:line="360" w:lineRule="auto"/>
        <w:ind w:left="142" w:right="142"/>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w:t>
      </w:r>
    </w:p>
    <w:p>
      <w:pPr>
        <w:pStyle w:val="11"/>
        <w:spacing w:after="0" w:line="360" w:lineRule="auto"/>
        <w:ind w:left="-405" w:leftChars="-193" w:right="142" w:firstLine="396" w:firstLineChars="189"/>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以上企业，不属于大企业的分支机构，不存在控股股东为大企业的情形，也不存在与大企业的负责人为同一人的情形。</w:t>
      </w:r>
    </w:p>
    <w:p>
      <w:pPr>
        <w:pStyle w:val="11"/>
        <w:spacing w:after="0" w:line="360" w:lineRule="auto"/>
        <w:ind w:left="-426" w:right="142" w:firstLine="567"/>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本企业对上述声明内容的真实性负责。如有虚假，将依法承担相应责任。</w:t>
      </w:r>
    </w:p>
    <w:p>
      <w:pPr>
        <w:pStyle w:val="11"/>
        <w:spacing w:after="0" w:line="360" w:lineRule="auto"/>
        <w:ind w:left="3960" w:right="1808"/>
        <w:contextualSpacing/>
        <w:rPr>
          <w:rFonts w:ascii="宋体" w:hAnsi="宋体" w:cs="宋体"/>
          <w:color w:val="000000" w:themeColor="text1"/>
          <w:szCs w:val="21"/>
          <w:highlight w:val="none"/>
          <w14:textFill>
            <w14:solidFill>
              <w14:schemeClr w14:val="tx1"/>
            </w14:solidFill>
          </w14:textFill>
        </w:rPr>
      </w:pPr>
    </w:p>
    <w:p>
      <w:pPr>
        <w:pStyle w:val="11"/>
        <w:spacing w:after="0" w:line="360" w:lineRule="auto"/>
        <w:ind w:left="3960" w:right="1808"/>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企业名称（章）： </w:t>
      </w:r>
    </w:p>
    <w:p>
      <w:pPr>
        <w:pStyle w:val="11"/>
        <w:spacing w:after="0" w:line="360" w:lineRule="auto"/>
        <w:ind w:left="3960" w:right="1808"/>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日 期：</w:t>
      </w:r>
    </w:p>
    <w:p>
      <w:pPr>
        <w:pStyle w:val="11"/>
        <w:spacing w:after="0" w:line="360" w:lineRule="auto"/>
        <w:ind w:left="3960" w:right="1808"/>
        <w:contextualSpacing/>
        <w:rPr>
          <w:rFonts w:ascii="宋体" w:hAnsi="宋体" w:cs="宋体"/>
          <w:color w:val="000000" w:themeColor="text1"/>
          <w:szCs w:val="21"/>
          <w:highlight w:val="none"/>
          <w14:textFill>
            <w14:solidFill>
              <w14:schemeClr w14:val="tx1"/>
            </w14:solidFill>
          </w14:textFill>
        </w:rPr>
      </w:pPr>
    </w:p>
    <w:p>
      <w:pPr>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pPr>
        <w:spacing w:line="360" w:lineRule="auto"/>
        <w:jc w:val="center"/>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r>
        <w:rPr>
          <w:rFonts w:hint="eastAsia" w:ascii="宋体" w:hAnsi="宋体" w:cs="宋体"/>
          <w:color w:val="000000" w:themeColor="text1"/>
          <w:sz w:val="32"/>
          <w:szCs w:val="32"/>
          <w:highlight w:val="none"/>
          <w14:textFill>
            <w14:solidFill>
              <w14:schemeClr w14:val="tx1"/>
            </w14:solidFill>
          </w14:textFill>
        </w:rPr>
        <w:t>残疾人福利性单位声明函</w:t>
      </w:r>
    </w:p>
    <w:p>
      <w:pPr>
        <w:spacing w:line="520" w:lineRule="exact"/>
        <w:rPr>
          <w:rFonts w:ascii="宋体" w:hAnsi="宋体" w:cs="宋体"/>
          <w:color w:val="000000" w:themeColor="text1"/>
          <w:sz w:val="32"/>
          <w:szCs w:val="32"/>
          <w:highlight w:val="none"/>
          <w14:textFill>
            <w14:solidFill>
              <w14:schemeClr w14:val="tx1"/>
            </w14:solidFill>
          </w14:textFill>
        </w:rPr>
      </w:pP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单位的</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本单位对上述声明的真实性负责。如有虚假，将依法承担相应责任。</w:t>
      </w:r>
    </w:p>
    <w:p>
      <w:pPr>
        <w:spacing w:line="360" w:lineRule="auto"/>
        <w:rPr>
          <w:rFonts w:ascii="宋体" w:hAnsi="宋体" w:cs="宋体"/>
          <w:color w:val="000000" w:themeColor="text1"/>
          <w:szCs w:val="21"/>
          <w:highlight w:val="none"/>
          <w14:textFill>
            <w14:solidFill>
              <w14:schemeClr w14:val="tx1"/>
            </w14:solidFill>
          </w14:textFill>
        </w:rPr>
      </w:pPr>
    </w:p>
    <w:p>
      <w:pPr>
        <w:spacing w:line="360" w:lineRule="auto"/>
        <w:rPr>
          <w:rFonts w:ascii="宋体" w:hAnsi="宋体" w:cs="宋体"/>
          <w:color w:val="000000" w:themeColor="text1"/>
          <w:szCs w:val="21"/>
          <w:highlight w:val="none"/>
          <w14:textFill>
            <w14:solidFill>
              <w14:schemeClr w14:val="tx1"/>
            </w14:solidFill>
          </w14:textFill>
        </w:rPr>
      </w:pPr>
    </w:p>
    <w:p>
      <w:pPr>
        <w:spacing w:line="360" w:lineRule="auto"/>
        <w:rPr>
          <w:rFonts w:ascii="宋体" w:hAnsi="宋体" w:cs="宋体"/>
          <w:color w:val="000000" w:themeColor="text1"/>
          <w:szCs w:val="21"/>
          <w:highlight w:val="none"/>
          <w14:textFill>
            <w14:solidFill>
              <w14:schemeClr w14:val="tx1"/>
            </w14:solidFill>
          </w14:textFill>
        </w:rPr>
      </w:pPr>
    </w:p>
    <w:p>
      <w:pPr>
        <w:spacing w:line="360" w:lineRule="auto"/>
        <w:ind w:firstLine="2100" w:firstLineChars="10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单位名称（盖章）：</w:t>
      </w:r>
    </w:p>
    <w:p>
      <w:pPr>
        <w:spacing w:line="360" w:lineRule="auto"/>
        <w:ind w:firstLine="3150" w:firstLineChars="1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日  期：</w:t>
      </w:r>
    </w:p>
    <w:p>
      <w:pPr>
        <w:spacing w:line="360" w:lineRule="auto"/>
        <w:rPr>
          <w:rFonts w:ascii="宋体" w:hAnsi="宋体" w:cs="宋体"/>
          <w:color w:val="000000" w:themeColor="text1"/>
          <w:szCs w:val="21"/>
          <w:highlight w:val="none"/>
          <w14:textFill>
            <w14:solidFill>
              <w14:schemeClr w14:val="tx1"/>
            </w14:solidFill>
          </w14:textFill>
        </w:rPr>
      </w:pPr>
    </w:p>
    <w:p>
      <w:pPr>
        <w:spacing w:line="360" w:lineRule="auto"/>
        <w:rPr>
          <w:rFonts w:ascii="宋体" w:hAnsi="宋体" w:cs="宋体"/>
          <w:color w:val="000000" w:themeColor="text1"/>
          <w:szCs w:val="21"/>
          <w:highlight w:val="none"/>
          <w14:textFill>
            <w14:solidFill>
              <w14:schemeClr w14:val="tx1"/>
            </w14:solidFill>
          </w14:textFill>
        </w:rPr>
      </w:pPr>
    </w:p>
    <w:p>
      <w:pPr>
        <w:spacing w:line="360" w:lineRule="auto"/>
        <w:rPr>
          <w:rFonts w:ascii="宋体" w:hAnsi="宋体" w:cs="宋体"/>
          <w:color w:val="000000" w:themeColor="text1"/>
          <w:szCs w:val="21"/>
          <w:highlight w:val="none"/>
          <w14:textFill>
            <w14:solidFill>
              <w14:schemeClr w14:val="tx1"/>
            </w14:solidFill>
          </w14:textFill>
        </w:rPr>
      </w:pPr>
    </w:p>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注：请根据自己的真实情况出具《残疾人福利性单位声明函》。依法享受中小企业优惠政策的，采购人或者采购代理机构在公告中标结果时，同时公告其《残疾人福利性单位声明函》，接受社会监督。</w:t>
      </w:r>
    </w:p>
    <w:p>
      <w:pPr>
        <w:spacing w:line="360" w:lineRule="auto"/>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r>
        <w:rPr>
          <w:rFonts w:hint="eastAsia" w:ascii="宋体" w:hAnsi="宋体" w:cs="宋体"/>
          <w:color w:val="000000" w:themeColor="text1"/>
          <w:sz w:val="32"/>
          <w:szCs w:val="32"/>
          <w:highlight w:val="none"/>
          <w14:textFill>
            <w14:solidFill>
              <w14:schemeClr w14:val="tx1"/>
            </w14:solidFill>
          </w14:textFill>
        </w:rPr>
        <w:t>质疑函（格式）</w:t>
      </w:r>
    </w:p>
    <w:p>
      <w:pPr>
        <w:spacing w:line="360" w:lineRule="auto"/>
        <w:jc w:val="center"/>
        <w:rPr>
          <w:rFonts w:ascii="宋体" w:hAnsi="宋体" w:cs="宋体"/>
          <w:b/>
          <w:bCs/>
          <w:color w:val="000000" w:themeColor="text1"/>
          <w:sz w:val="32"/>
          <w:szCs w:val="32"/>
          <w:highlight w:val="none"/>
          <w14:textFill>
            <w14:solidFill>
              <w14:schemeClr w14:val="tx1"/>
            </w14:solidFill>
          </w14:textFill>
        </w:rPr>
      </w:pPr>
    </w:p>
    <w:p>
      <w:pPr>
        <w:pStyle w:val="14"/>
        <w:spacing w:line="320" w:lineRule="exact"/>
        <w:ind w:firstLine="422" w:firstLineChars="200"/>
        <w:rPr>
          <w:rFonts w:hAnsi="宋体" w:cs="宋体"/>
          <w:b/>
          <w:bCs/>
          <w:color w:val="000000" w:themeColor="text1"/>
          <w:sz w:val="21"/>
          <w:highlight w:val="none"/>
          <w14:textFill>
            <w14:solidFill>
              <w14:schemeClr w14:val="tx1"/>
            </w14:solidFill>
          </w14:textFill>
        </w:rPr>
      </w:pPr>
      <w:r>
        <w:rPr>
          <w:rFonts w:hint="eastAsia" w:hAnsi="宋体" w:cs="宋体"/>
          <w:b/>
          <w:bCs/>
          <w:color w:val="000000" w:themeColor="text1"/>
          <w:sz w:val="21"/>
          <w:highlight w:val="none"/>
          <w14:textFill>
            <w14:solidFill>
              <w14:schemeClr w14:val="tx1"/>
            </w14:solidFill>
          </w14:textFill>
        </w:rPr>
        <w:t>一、质疑供应商基本信息：</w:t>
      </w:r>
    </w:p>
    <w:p>
      <w:pPr>
        <w:pStyle w:val="14"/>
        <w:spacing w:line="320" w:lineRule="exact"/>
        <w:ind w:firstLine="420" w:firstLineChars="200"/>
        <w:rPr>
          <w:rFonts w:hAnsi="宋体" w:cs="宋体"/>
          <w:bCs/>
          <w:color w:val="000000" w:themeColor="text1"/>
          <w:sz w:val="21"/>
          <w:highlight w:val="none"/>
          <w:u w:val="single"/>
          <w14:textFill>
            <w14:solidFill>
              <w14:schemeClr w14:val="tx1"/>
            </w14:solidFill>
          </w14:textFill>
        </w:rPr>
      </w:pPr>
      <w:r>
        <w:rPr>
          <w:rFonts w:hint="eastAsia" w:hAnsi="宋体" w:cs="宋体"/>
          <w:bCs/>
          <w:color w:val="000000" w:themeColor="text1"/>
          <w:sz w:val="21"/>
          <w:highlight w:val="none"/>
          <w14:textFill>
            <w14:solidFill>
              <w14:schemeClr w14:val="tx1"/>
            </w14:solidFill>
          </w14:textFill>
        </w:rPr>
        <w:t>质疑供应商：</w:t>
      </w:r>
      <w:r>
        <w:rPr>
          <w:rFonts w:hint="eastAsia" w:hAnsi="宋体" w:cs="宋体"/>
          <w:bCs/>
          <w:color w:val="000000" w:themeColor="text1"/>
          <w:sz w:val="21"/>
          <w:highlight w:val="none"/>
          <w:u w:val="single"/>
          <w14:textFill>
            <w14:solidFill>
              <w14:schemeClr w14:val="tx1"/>
            </w14:solidFill>
          </w14:textFill>
        </w:rPr>
        <w:t xml:space="preserve">                                  </w:t>
      </w:r>
      <w:r>
        <w:rPr>
          <w:rFonts w:hint="eastAsia" w:hAnsi="宋体" w:cs="宋体"/>
          <w:bCs/>
          <w:color w:val="000000" w:themeColor="text1"/>
          <w:sz w:val="21"/>
          <w:highlight w:val="none"/>
          <w:u w:val="single"/>
          <w:lang w:val="en-US" w:eastAsia="zh-CN"/>
          <w14:textFill>
            <w14:solidFill>
              <w14:schemeClr w14:val="tx1"/>
            </w14:solidFill>
          </w14:textFill>
        </w:rPr>
        <w:t xml:space="preserve">                     </w:t>
      </w:r>
      <w:r>
        <w:rPr>
          <w:rFonts w:hint="eastAsia" w:hAnsi="宋体" w:cs="宋体"/>
          <w:bCs/>
          <w:color w:val="000000" w:themeColor="text1"/>
          <w:sz w:val="21"/>
          <w:highlight w:val="none"/>
          <w:u w:val="single"/>
          <w14:textFill>
            <w14:solidFill>
              <w14:schemeClr w14:val="tx1"/>
            </w14:solidFill>
          </w14:textFill>
        </w:rPr>
        <w:t xml:space="preserve">     </w:t>
      </w:r>
      <w:r>
        <w:rPr>
          <w:rFonts w:hint="eastAsia" w:hAnsi="宋体" w:cs="宋体"/>
          <w:bCs/>
          <w:color w:val="000000" w:themeColor="text1"/>
          <w:sz w:val="21"/>
          <w:highlight w:val="none"/>
          <w14:textFill>
            <w14:solidFill>
              <w14:schemeClr w14:val="tx1"/>
            </w14:solidFill>
          </w14:textFill>
        </w:rPr>
        <w:t xml:space="preserve">                 </w:t>
      </w:r>
    </w:p>
    <w:p>
      <w:pPr>
        <w:pStyle w:val="14"/>
        <w:spacing w:line="320" w:lineRule="exact"/>
        <w:ind w:firstLine="420" w:firstLineChars="200"/>
        <w:rPr>
          <w:rFonts w:hAnsi="宋体" w:cs="宋体"/>
          <w:bCs/>
          <w:color w:val="000000" w:themeColor="text1"/>
          <w:sz w:val="21"/>
          <w:highlight w:val="none"/>
          <w14:textFill>
            <w14:solidFill>
              <w14:schemeClr w14:val="tx1"/>
            </w14:solidFill>
          </w14:textFill>
        </w:rPr>
      </w:pPr>
      <w:r>
        <w:rPr>
          <w:rFonts w:hint="eastAsia" w:hAnsi="宋体" w:cs="宋体"/>
          <w:bCs/>
          <w:color w:val="000000" w:themeColor="text1"/>
          <w:sz w:val="21"/>
          <w:highlight w:val="none"/>
          <w14:textFill>
            <w14:solidFill>
              <w14:schemeClr w14:val="tx1"/>
            </w14:solidFill>
          </w14:textFill>
        </w:rPr>
        <w:t>地址：</w:t>
      </w:r>
      <w:r>
        <w:rPr>
          <w:rFonts w:hint="eastAsia" w:hAnsi="宋体" w:cs="宋体"/>
          <w:bCs/>
          <w:color w:val="000000" w:themeColor="text1"/>
          <w:sz w:val="21"/>
          <w:highlight w:val="none"/>
          <w:u w:val="single"/>
          <w14:textFill>
            <w14:solidFill>
              <w14:schemeClr w14:val="tx1"/>
            </w14:solidFill>
          </w14:textFill>
        </w:rPr>
        <w:t xml:space="preserve">                                          </w:t>
      </w:r>
      <w:r>
        <w:rPr>
          <w:rFonts w:hint="eastAsia" w:hAnsi="宋体" w:cs="宋体"/>
          <w:bCs/>
          <w:color w:val="000000" w:themeColor="text1"/>
          <w:sz w:val="21"/>
          <w:highlight w:val="none"/>
          <w14:textFill>
            <w14:solidFill>
              <w14:schemeClr w14:val="tx1"/>
            </w14:solidFill>
          </w14:textFill>
        </w:rPr>
        <w:t>邮编：</w:t>
      </w:r>
      <w:r>
        <w:rPr>
          <w:rFonts w:hint="eastAsia" w:hAnsi="宋体" w:cs="宋体"/>
          <w:bCs/>
          <w:color w:val="000000" w:themeColor="text1"/>
          <w:sz w:val="21"/>
          <w:highlight w:val="none"/>
          <w:u w:val="single"/>
          <w14:textFill>
            <w14:solidFill>
              <w14:schemeClr w14:val="tx1"/>
            </w14:solidFill>
          </w14:textFill>
        </w:rPr>
        <w:t xml:space="preserve">                  </w:t>
      </w:r>
      <w:r>
        <w:rPr>
          <w:rFonts w:hint="eastAsia" w:hAnsi="宋体" w:cs="宋体"/>
          <w:bCs/>
          <w:color w:val="000000" w:themeColor="text1"/>
          <w:sz w:val="21"/>
          <w:highlight w:val="none"/>
          <w14:textFill>
            <w14:solidFill>
              <w14:schemeClr w14:val="tx1"/>
            </w14:solidFill>
          </w14:textFill>
        </w:rPr>
        <w:t xml:space="preserve">                 </w:t>
      </w:r>
    </w:p>
    <w:p>
      <w:pPr>
        <w:pStyle w:val="14"/>
        <w:spacing w:line="320" w:lineRule="exact"/>
        <w:ind w:firstLine="420" w:firstLineChars="200"/>
        <w:rPr>
          <w:rFonts w:hAnsi="宋体" w:cs="宋体"/>
          <w:bCs/>
          <w:color w:val="000000" w:themeColor="text1"/>
          <w:sz w:val="21"/>
          <w:highlight w:val="none"/>
          <w14:textFill>
            <w14:solidFill>
              <w14:schemeClr w14:val="tx1"/>
            </w14:solidFill>
          </w14:textFill>
        </w:rPr>
      </w:pPr>
      <w:r>
        <w:rPr>
          <w:rFonts w:hint="eastAsia" w:hAnsi="宋体" w:cs="宋体"/>
          <w:bCs/>
          <w:color w:val="000000" w:themeColor="text1"/>
          <w:sz w:val="21"/>
          <w:highlight w:val="none"/>
          <w14:textFill>
            <w14:solidFill>
              <w14:schemeClr w14:val="tx1"/>
            </w14:solidFill>
          </w14:textFill>
        </w:rPr>
        <w:t>联系人：</w:t>
      </w:r>
      <w:r>
        <w:rPr>
          <w:rFonts w:hint="eastAsia" w:hAnsi="宋体" w:cs="宋体"/>
          <w:bCs/>
          <w:color w:val="000000" w:themeColor="text1"/>
          <w:sz w:val="21"/>
          <w:highlight w:val="none"/>
          <w:u w:val="single"/>
          <w14:textFill>
            <w14:solidFill>
              <w14:schemeClr w14:val="tx1"/>
            </w14:solidFill>
          </w14:textFill>
        </w:rPr>
        <w:t xml:space="preserve">                  </w:t>
      </w:r>
      <w:r>
        <w:rPr>
          <w:rFonts w:hint="eastAsia" w:hAnsi="宋体" w:cs="宋体"/>
          <w:bCs/>
          <w:color w:val="000000" w:themeColor="text1"/>
          <w:sz w:val="21"/>
          <w:highlight w:val="none"/>
          <w:u w:val="single"/>
          <w:lang w:val="en-US" w:eastAsia="zh-CN"/>
          <w14:textFill>
            <w14:solidFill>
              <w14:schemeClr w14:val="tx1"/>
            </w14:solidFill>
          </w14:textFill>
        </w:rPr>
        <w:t xml:space="preserve">               </w:t>
      </w:r>
      <w:r>
        <w:rPr>
          <w:rFonts w:hint="eastAsia" w:hAnsi="宋体" w:cs="宋体"/>
          <w:bCs/>
          <w:color w:val="000000" w:themeColor="text1"/>
          <w:sz w:val="21"/>
          <w:highlight w:val="none"/>
          <w:u w:val="single"/>
          <w14:textFill>
            <w14:solidFill>
              <w14:schemeClr w14:val="tx1"/>
            </w14:solidFill>
          </w14:textFill>
        </w:rPr>
        <w:t xml:space="preserve">   </w:t>
      </w:r>
      <w:r>
        <w:rPr>
          <w:rFonts w:hint="eastAsia" w:hAnsi="宋体" w:cs="宋体"/>
          <w:bCs/>
          <w:color w:val="000000" w:themeColor="text1"/>
          <w:sz w:val="21"/>
          <w:highlight w:val="none"/>
          <w14:textFill>
            <w14:solidFill>
              <w14:schemeClr w14:val="tx1"/>
            </w14:solidFill>
          </w14:textFill>
        </w:rPr>
        <w:t>联系电话：</w:t>
      </w:r>
      <w:r>
        <w:rPr>
          <w:rFonts w:hint="eastAsia" w:hAnsi="宋体" w:cs="宋体"/>
          <w:bCs/>
          <w:color w:val="000000" w:themeColor="text1"/>
          <w:sz w:val="21"/>
          <w:highlight w:val="none"/>
          <w:u w:val="single"/>
          <w14:textFill>
            <w14:solidFill>
              <w14:schemeClr w14:val="tx1"/>
            </w14:solidFill>
          </w14:textFill>
        </w:rPr>
        <w:t xml:space="preserve">        </w:t>
      </w:r>
      <w:r>
        <w:rPr>
          <w:rFonts w:hint="eastAsia" w:hAnsi="宋体" w:cs="宋体"/>
          <w:bCs/>
          <w:color w:val="000000" w:themeColor="text1"/>
          <w:sz w:val="21"/>
          <w:highlight w:val="none"/>
          <w:u w:val="single"/>
          <w:lang w:val="en-US" w:eastAsia="zh-CN"/>
          <w14:textFill>
            <w14:solidFill>
              <w14:schemeClr w14:val="tx1"/>
            </w14:solidFill>
          </w14:textFill>
        </w:rPr>
        <w:t xml:space="preserve"> </w:t>
      </w:r>
      <w:r>
        <w:rPr>
          <w:rFonts w:hint="eastAsia" w:hAnsi="宋体" w:cs="宋体"/>
          <w:bCs/>
          <w:color w:val="000000" w:themeColor="text1"/>
          <w:sz w:val="21"/>
          <w:highlight w:val="none"/>
          <w:u w:val="single"/>
          <w14:textFill>
            <w14:solidFill>
              <w14:schemeClr w14:val="tx1"/>
            </w14:solidFill>
          </w14:textFill>
        </w:rPr>
        <w:t xml:space="preserve">         </w:t>
      </w:r>
    </w:p>
    <w:p>
      <w:pPr>
        <w:pStyle w:val="14"/>
        <w:spacing w:line="320" w:lineRule="exact"/>
        <w:ind w:firstLine="420" w:firstLineChars="200"/>
        <w:rPr>
          <w:rFonts w:hint="eastAsia" w:hAnsi="宋体" w:eastAsia="宋体" w:cs="宋体"/>
          <w:bCs/>
          <w:color w:val="000000" w:themeColor="text1"/>
          <w:sz w:val="21"/>
          <w:highlight w:val="none"/>
          <w:lang w:val="en-US" w:eastAsia="zh-CN"/>
          <w14:textFill>
            <w14:solidFill>
              <w14:schemeClr w14:val="tx1"/>
            </w14:solidFill>
          </w14:textFill>
        </w:rPr>
      </w:pPr>
      <w:r>
        <w:rPr>
          <w:rFonts w:hint="eastAsia" w:hAnsi="宋体" w:cs="宋体"/>
          <w:bCs/>
          <w:color w:val="000000" w:themeColor="text1"/>
          <w:sz w:val="21"/>
          <w:highlight w:val="none"/>
          <w14:textFill>
            <w14:solidFill>
              <w14:schemeClr w14:val="tx1"/>
            </w14:solidFill>
          </w14:textFill>
        </w:rPr>
        <w:t>授权代表：</w:t>
      </w:r>
      <w:r>
        <w:rPr>
          <w:rFonts w:hint="eastAsia" w:hAnsi="宋体" w:cs="宋体"/>
          <w:bCs/>
          <w:color w:val="000000" w:themeColor="text1"/>
          <w:sz w:val="21"/>
          <w:highlight w:val="none"/>
          <w:u w:val="single"/>
          <w14:textFill>
            <w14:solidFill>
              <w14:schemeClr w14:val="tx1"/>
            </w14:solidFill>
          </w14:textFill>
        </w:rPr>
        <w:t xml:space="preserve">                   </w:t>
      </w:r>
      <w:r>
        <w:rPr>
          <w:rFonts w:hint="eastAsia" w:hAnsi="宋体" w:cs="宋体"/>
          <w:bCs/>
          <w:color w:val="000000" w:themeColor="text1"/>
          <w:sz w:val="21"/>
          <w:highlight w:val="none"/>
          <w:u w:val="single"/>
          <w:lang w:val="en-US" w:eastAsia="zh-CN"/>
          <w14:textFill>
            <w14:solidFill>
              <w14:schemeClr w14:val="tx1"/>
            </w14:solidFill>
          </w14:textFill>
        </w:rPr>
        <w:t xml:space="preserve">                                       </w:t>
      </w:r>
      <w:r>
        <w:rPr>
          <w:rFonts w:hint="eastAsia" w:hAnsi="宋体" w:cs="宋体"/>
          <w:bCs/>
          <w:color w:val="000000" w:themeColor="text1"/>
          <w:sz w:val="21"/>
          <w:highlight w:val="none"/>
          <w:u w:val="single"/>
          <w14:textFill>
            <w14:solidFill>
              <w14:schemeClr w14:val="tx1"/>
            </w14:solidFill>
          </w14:textFill>
        </w:rPr>
        <w:t xml:space="preserve">   </w:t>
      </w:r>
      <w:r>
        <w:rPr>
          <w:rFonts w:hint="eastAsia" w:hAnsi="宋体" w:cs="宋体"/>
          <w:bCs/>
          <w:color w:val="000000" w:themeColor="text1"/>
          <w:sz w:val="21"/>
          <w:highlight w:val="none"/>
          <w:u w:val="single"/>
          <w:lang w:val="en-US" w:eastAsia="zh-CN"/>
          <w14:textFill>
            <w14:solidFill>
              <w14:schemeClr w14:val="tx1"/>
            </w14:solidFill>
          </w14:textFill>
        </w:rPr>
        <w:t xml:space="preserve"> </w:t>
      </w:r>
    </w:p>
    <w:p>
      <w:pPr>
        <w:pStyle w:val="14"/>
        <w:spacing w:line="320" w:lineRule="exact"/>
        <w:ind w:firstLine="420" w:firstLineChars="200"/>
        <w:rPr>
          <w:rFonts w:hAnsi="宋体" w:cs="宋体"/>
          <w:bCs/>
          <w:color w:val="000000" w:themeColor="text1"/>
          <w:sz w:val="21"/>
          <w:highlight w:val="none"/>
          <w:u w:val="single"/>
          <w14:textFill>
            <w14:solidFill>
              <w14:schemeClr w14:val="tx1"/>
            </w14:solidFill>
          </w14:textFill>
        </w:rPr>
      </w:pPr>
      <w:r>
        <w:rPr>
          <w:rFonts w:hint="eastAsia" w:hAnsi="宋体" w:cs="宋体"/>
          <w:bCs/>
          <w:color w:val="000000" w:themeColor="text1"/>
          <w:sz w:val="21"/>
          <w:highlight w:val="none"/>
          <w14:textFill>
            <w14:solidFill>
              <w14:schemeClr w14:val="tx1"/>
            </w14:solidFill>
          </w14:textFill>
        </w:rPr>
        <w:t>联系电话：</w:t>
      </w:r>
      <w:r>
        <w:rPr>
          <w:rFonts w:hint="eastAsia" w:hAnsi="宋体" w:cs="宋体"/>
          <w:bCs/>
          <w:color w:val="000000" w:themeColor="text1"/>
          <w:sz w:val="21"/>
          <w:highlight w:val="none"/>
          <w:u w:val="single"/>
          <w14:textFill>
            <w14:solidFill>
              <w14:schemeClr w14:val="tx1"/>
            </w14:solidFill>
          </w14:textFill>
        </w:rPr>
        <w:t xml:space="preserve">                     </w:t>
      </w:r>
      <w:r>
        <w:rPr>
          <w:rFonts w:hint="eastAsia" w:hAnsi="宋体" w:cs="宋体"/>
          <w:bCs/>
          <w:color w:val="000000" w:themeColor="text1"/>
          <w:sz w:val="21"/>
          <w:highlight w:val="none"/>
          <w:u w:val="single"/>
          <w:lang w:val="en-US" w:eastAsia="zh-CN"/>
          <w14:textFill>
            <w14:solidFill>
              <w14:schemeClr w14:val="tx1"/>
            </w14:solidFill>
          </w14:textFill>
        </w:rPr>
        <w:t xml:space="preserve">                                        </w:t>
      </w:r>
      <w:r>
        <w:rPr>
          <w:rFonts w:hint="eastAsia" w:hAnsi="宋体" w:cs="宋体"/>
          <w:bCs/>
          <w:color w:val="000000" w:themeColor="text1"/>
          <w:sz w:val="21"/>
          <w:highlight w:val="none"/>
          <w:u w:val="single"/>
          <w14:textFill>
            <w14:solidFill>
              <w14:schemeClr w14:val="tx1"/>
            </w14:solidFill>
          </w14:textFill>
        </w:rPr>
        <w:t xml:space="preserve"> </w:t>
      </w:r>
    </w:p>
    <w:p>
      <w:pPr>
        <w:pStyle w:val="14"/>
        <w:spacing w:line="320" w:lineRule="exact"/>
        <w:ind w:firstLine="420" w:firstLineChars="200"/>
        <w:rPr>
          <w:rFonts w:hAnsi="宋体" w:cs="宋体"/>
          <w:bCs/>
          <w:color w:val="000000" w:themeColor="text1"/>
          <w:sz w:val="21"/>
          <w:highlight w:val="none"/>
          <w14:textFill>
            <w14:solidFill>
              <w14:schemeClr w14:val="tx1"/>
            </w14:solidFill>
          </w14:textFill>
        </w:rPr>
      </w:pPr>
      <w:r>
        <w:rPr>
          <w:rFonts w:hint="eastAsia" w:hAnsi="宋体" w:cs="宋体"/>
          <w:bCs/>
          <w:color w:val="000000" w:themeColor="text1"/>
          <w:sz w:val="21"/>
          <w:highlight w:val="none"/>
          <w14:textFill>
            <w14:solidFill>
              <w14:schemeClr w14:val="tx1"/>
            </w14:solidFill>
          </w14:textFill>
        </w:rPr>
        <w:t>地址：</w:t>
      </w:r>
      <w:r>
        <w:rPr>
          <w:rFonts w:hint="eastAsia" w:hAnsi="宋体" w:cs="宋体"/>
          <w:bCs/>
          <w:color w:val="000000" w:themeColor="text1"/>
          <w:sz w:val="21"/>
          <w:highlight w:val="none"/>
          <w:u w:val="single"/>
          <w14:textFill>
            <w14:solidFill>
              <w14:schemeClr w14:val="tx1"/>
            </w14:solidFill>
          </w14:textFill>
        </w:rPr>
        <w:t xml:space="preserve">              </w:t>
      </w:r>
      <w:r>
        <w:rPr>
          <w:rFonts w:hint="eastAsia" w:hAnsi="宋体" w:cs="宋体"/>
          <w:bCs/>
          <w:color w:val="000000" w:themeColor="text1"/>
          <w:sz w:val="21"/>
          <w:highlight w:val="none"/>
          <w:u w:val="single"/>
          <w:lang w:val="en-US" w:eastAsia="zh-CN"/>
          <w14:textFill>
            <w14:solidFill>
              <w14:schemeClr w14:val="tx1"/>
            </w14:solidFill>
          </w14:textFill>
        </w:rPr>
        <w:t xml:space="preserve">                         </w:t>
      </w:r>
      <w:r>
        <w:rPr>
          <w:rFonts w:hint="eastAsia" w:hAnsi="宋体" w:cs="宋体"/>
          <w:bCs/>
          <w:color w:val="000000" w:themeColor="text1"/>
          <w:sz w:val="21"/>
          <w:highlight w:val="none"/>
          <w:u w:val="single"/>
          <w14:textFill>
            <w14:solidFill>
              <w14:schemeClr w14:val="tx1"/>
            </w14:solidFill>
          </w14:textFill>
        </w:rPr>
        <w:t xml:space="preserve">   </w:t>
      </w:r>
      <w:r>
        <w:rPr>
          <w:rFonts w:hint="eastAsia" w:hAnsi="宋体" w:cs="宋体"/>
          <w:bCs/>
          <w:color w:val="000000" w:themeColor="text1"/>
          <w:sz w:val="21"/>
          <w:highlight w:val="none"/>
          <w14:textFill>
            <w14:solidFill>
              <w14:schemeClr w14:val="tx1"/>
            </w14:solidFill>
          </w14:textFill>
        </w:rPr>
        <w:t>邮编：</w:t>
      </w:r>
      <w:r>
        <w:rPr>
          <w:rFonts w:hint="eastAsia" w:hAnsi="宋体" w:cs="宋体"/>
          <w:bCs/>
          <w:color w:val="000000" w:themeColor="text1"/>
          <w:sz w:val="21"/>
          <w:highlight w:val="none"/>
          <w:u w:val="single"/>
          <w14:textFill>
            <w14:solidFill>
              <w14:schemeClr w14:val="tx1"/>
            </w14:solidFill>
          </w14:textFill>
        </w:rPr>
        <w:t xml:space="preserve">                  </w:t>
      </w:r>
      <w:r>
        <w:rPr>
          <w:rFonts w:hint="eastAsia" w:hAnsi="宋体" w:cs="宋体"/>
          <w:bCs/>
          <w:color w:val="000000" w:themeColor="text1"/>
          <w:sz w:val="21"/>
          <w:highlight w:val="none"/>
          <w14:textFill>
            <w14:solidFill>
              <w14:schemeClr w14:val="tx1"/>
            </w14:solidFill>
          </w14:textFill>
        </w:rPr>
        <w:t xml:space="preserve">     </w:t>
      </w:r>
    </w:p>
    <w:p>
      <w:pPr>
        <w:pStyle w:val="14"/>
        <w:spacing w:line="320" w:lineRule="exact"/>
        <w:ind w:firstLine="422" w:firstLineChars="200"/>
        <w:rPr>
          <w:rFonts w:hAnsi="宋体" w:cs="宋体"/>
          <w:b/>
          <w:bCs/>
          <w:color w:val="000000" w:themeColor="text1"/>
          <w:sz w:val="21"/>
          <w:highlight w:val="none"/>
          <w14:textFill>
            <w14:solidFill>
              <w14:schemeClr w14:val="tx1"/>
            </w14:solidFill>
          </w14:textFill>
        </w:rPr>
      </w:pPr>
      <w:r>
        <w:rPr>
          <w:rFonts w:hint="eastAsia" w:hAnsi="宋体" w:cs="宋体"/>
          <w:b/>
          <w:bCs/>
          <w:color w:val="000000" w:themeColor="text1"/>
          <w:sz w:val="21"/>
          <w:highlight w:val="none"/>
          <w14:textFill>
            <w14:solidFill>
              <w14:schemeClr w14:val="tx1"/>
            </w14:solidFill>
          </w14:textFill>
        </w:rPr>
        <w:t>二、质疑项目基本情况：</w:t>
      </w:r>
    </w:p>
    <w:p>
      <w:pPr>
        <w:pStyle w:val="14"/>
        <w:spacing w:line="320" w:lineRule="exact"/>
        <w:ind w:left="25" w:leftChars="12" w:firstLine="413" w:firstLineChars="197"/>
        <w:contextualSpacing/>
        <w:rPr>
          <w:rFonts w:hAnsi="宋体" w:cs="宋体"/>
          <w:color w:val="000000" w:themeColor="text1"/>
          <w:sz w:val="21"/>
          <w:highlight w:val="none"/>
          <w14:textFill>
            <w14:solidFill>
              <w14:schemeClr w14:val="tx1"/>
            </w14:solidFill>
          </w14:textFill>
        </w:rPr>
      </w:pPr>
      <w:r>
        <w:rPr>
          <w:rFonts w:hint="eastAsia" w:hAnsi="宋体" w:cs="宋体"/>
          <w:bCs/>
          <w:color w:val="000000" w:themeColor="text1"/>
          <w:sz w:val="21"/>
          <w:highlight w:val="none"/>
          <w14:textFill>
            <w14:solidFill>
              <w14:schemeClr w14:val="tx1"/>
            </w14:solidFill>
          </w14:textFill>
        </w:rPr>
        <w:t>质疑</w:t>
      </w:r>
      <w:r>
        <w:rPr>
          <w:rFonts w:hint="eastAsia" w:hAnsi="宋体" w:cs="宋体"/>
          <w:color w:val="000000" w:themeColor="text1"/>
          <w:sz w:val="21"/>
          <w:highlight w:val="none"/>
          <w14:textFill>
            <w14:solidFill>
              <w14:schemeClr w14:val="tx1"/>
            </w14:solidFill>
          </w14:textFill>
        </w:rPr>
        <w:t>项目的名称：</w:t>
      </w:r>
      <w:r>
        <w:rPr>
          <w:rFonts w:hint="eastAsia" w:hAnsi="宋体" w:cs="宋体"/>
          <w:bCs/>
          <w:color w:val="000000" w:themeColor="text1"/>
          <w:sz w:val="21"/>
          <w:highlight w:val="none"/>
          <w:u w:val="single"/>
          <w14:textFill>
            <w14:solidFill>
              <w14:schemeClr w14:val="tx1"/>
            </w14:solidFill>
          </w14:textFill>
        </w:rPr>
        <w:t xml:space="preserve">            </w:t>
      </w:r>
      <w:r>
        <w:rPr>
          <w:rFonts w:hint="eastAsia" w:hAnsi="宋体" w:cs="宋体"/>
          <w:bCs/>
          <w:color w:val="000000" w:themeColor="text1"/>
          <w:sz w:val="21"/>
          <w:highlight w:val="none"/>
          <w:u w:val="single"/>
          <w:lang w:val="en-US" w:eastAsia="zh-CN"/>
          <w14:textFill>
            <w14:solidFill>
              <w14:schemeClr w14:val="tx1"/>
            </w14:solidFill>
          </w14:textFill>
        </w:rPr>
        <w:t xml:space="preserve">                   </w:t>
      </w:r>
      <w:r>
        <w:rPr>
          <w:rFonts w:hint="eastAsia" w:hAnsi="宋体" w:cs="宋体"/>
          <w:bCs/>
          <w:color w:val="000000" w:themeColor="text1"/>
          <w:sz w:val="21"/>
          <w:highlight w:val="none"/>
          <w:u w:val="single"/>
          <w14:textFill>
            <w14:solidFill>
              <w14:schemeClr w14:val="tx1"/>
            </w14:solidFill>
          </w14:textFill>
        </w:rPr>
        <w:t xml:space="preserve">                         </w:t>
      </w:r>
    </w:p>
    <w:p>
      <w:pPr>
        <w:pStyle w:val="14"/>
        <w:spacing w:line="320" w:lineRule="exact"/>
        <w:ind w:left="25" w:leftChars="12" w:firstLine="413" w:firstLineChars="197"/>
        <w:contextualSpacing/>
        <w:rPr>
          <w:rFonts w:hAnsi="宋体" w:cs="宋体"/>
          <w:color w:val="000000" w:themeColor="text1"/>
          <w:sz w:val="21"/>
          <w:highlight w:val="none"/>
          <w14:textFill>
            <w14:solidFill>
              <w14:schemeClr w14:val="tx1"/>
            </w14:solidFill>
          </w14:textFill>
        </w:rPr>
      </w:pPr>
      <w:r>
        <w:rPr>
          <w:rFonts w:hint="eastAsia" w:hAnsi="宋体" w:cs="宋体"/>
          <w:bCs/>
          <w:color w:val="000000" w:themeColor="text1"/>
          <w:sz w:val="21"/>
          <w:highlight w:val="none"/>
          <w14:textFill>
            <w14:solidFill>
              <w14:schemeClr w14:val="tx1"/>
            </w14:solidFill>
          </w14:textFill>
        </w:rPr>
        <w:t>质疑</w:t>
      </w:r>
      <w:r>
        <w:rPr>
          <w:rFonts w:hint="eastAsia" w:hAnsi="宋体" w:cs="宋体"/>
          <w:color w:val="000000" w:themeColor="text1"/>
          <w:sz w:val="21"/>
          <w:highlight w:val="none"/>
          <w14:textFill>
            <w14:solidFill>
              <w14:schemeClr w14:val="tx1"/>
            </w14:solidFill>
          </w14:textFill>
        </w:rPr>
        <w:t>项目的编号：</w:t>
      </w:r>
      <w:r>
        <w:rPr>
          <w:rFonts w:hint="eastAsia" w:hAnsi="宋体" w:cs="宋体"/>
          <w:bCs/>
          <w:color w:val="000000" w:themeColor="text1"/>
          <w:sz w:val="21"/>
          <w:highlight w:val="none"/>
          <w:u w:val="single"/>
          <w14:textFill>
            <w14:solidFill>
              <w14:schemeClr w14:val="tx1"/>
            </w14:solidFill>
          </w14:textFill>
        </w:rPr>
        <w:t xml:space="preserve">                  </w:t>
      </w:r>
      <w:r>
        <w:rPr>
          <w:rFonts w:hint="eastAsia" w:hAnsi="宋体" w:cs="宋体"/>
          <w:bCs/>
          <w:color w:val="000000" w:themeColor="text1"/>
          <w:sz w:val="21"/>
          <w:highlight w:val="none"/>
          <w:u w:val="single"/>
          <w:lang w:val="en-US" w:eastAsia="zh-CN"/>
          <w14:textFill>
            <w14:solidFill>
              <w14:schemeClr w14:val="tx1"/>
            </w14:solidFill>
          </w14:textFill>
        </w:rPr>
        <w:t xml:space="preserve">                   </w:t>
      </w:r>
      <w:r>
        <w:rPr>
          <w:rFonts w:hint="eastAsia" w:hAnsi="宋体" w:cs="宋体"/>
          <w:bCs/>
          <w:color w:val="000000" w:themeColor="text1"/>
          <w:sz w:val="21"/>
          <w:highlight w:val="none"/>
          <w:u w:val="single"/>
          <w14:textFill>
            <w14:solidFill>
              <w14:schemeClr w14:val="tx1"/>
            </w14:solidFill>
          </w14:textFill>
        </w:rPr>
        <w:t xml:space="preserve">                   </w:t>
      </w:r>
    </w:p>
    <w:p>
      <w:pPr>
        <w:pStyle w:val="14"/>
        <w:spacing w:line="320" w:lineRule="exact"/>
        <w:ind w:left="25" w:leftChars="12" w:firstLine="413" w:firstLineChars="197"/>
        <w:contextualSpacing/>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采购人名称：</w:t>
      </w:r>
      <w:r>
        <w:rPr>
          <w:rFonts w:hint="eastAsia" w:hAnsi="宋体" w:cs="宋体"/>
          <w:bCs/>
          <w:color w:val="000000" w:themeColor="text1"/>
          <w:sz w:val="21"/>
          <w:highlight w:val="none"/>
          <w:u w:val="single"/>
          <w14:textFill>
            <w14:solidFill>
              <w14:schemeClr w14:val="tx1"/>
            </w14:solidFill>
          </w14:textFill>
        </w:rPr>
        <w:t xml:space="preserve">                                   </w:t>
      </w:r>
      <w:r>
        <w:rPr>
          <w:rFonts w:hint="eastAsia" w:hAnsi="宋体" w:cs="宋体"/>
          <w:bCs/>
          <w:color w:val="000000" w:themeColor="text1"/>
          <w:sz w:val="21"/>
          <w:highlight w:val="none"/>
          <w:u w:val="single"/>
          <w:lang w:val="en-US" w:eastAsia="zh-CN"/>
          <w14:textFill>
            <w14:solidFill>
              <w14:schemeClr w14:val="tx1"/>
            </w14:solidFill>
          </w14:textFill>
        </w:rPr>
        <w:t xml:space="preserve">                   </w:t>
      </w:r>
      <w:r>
        <w:rPr>
          <w:rFonts w:hint="eastAsia" w:hAnsi="宋体" w:cs="宋体"/>
          <w:bCs/>
          <w:color w:val="000000" w:themeColor="text1"/>
          <w:sz w:val="21"/>
          <w:highlight w:val="none"/>
          <w:u w:val="single"/>
          <w14:textFill>
            <w14:solidFill>
              <w14:schemeClr w14:val="tx1"/>
            </w14:solidFill>
          </w14:textFill>
        </w:rPr>
        <w:t xml:space="preserve">      </w:t>
      </w:r>
    </w:p>
    <w:p>
      <w:pPr>
        <w:pStyle w:val="14"/>
        <w:spacing w:line="320" w:lineRule="exact"/>
        <w:ind w:left="25" w:leftChars="12" w:firstLine="413" w:firstLineChars="197"/>
        <w:contextualSpacing/>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质疑事项：</w:t>
      </w:r>
    </w:p>
    <w:p>
      <w:pPr>
        <w:pStyle w:val="14"/>
        <w:spacing w:line="320" w:lineRule="exact"/>
        <w:ind w:left="25" w:leftChars="12" w:firstLine="308" w:firstLineChars="147"/>
        <w:contextualSpacing/>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□采购文件   采购文件获取日期：</w:t>
      </w:r>
      <w:r>
        <w:rPr>
          <w:rFonts w:hint="eastAsia" w:hAnsi="宋体" w:cs="宋体"/>
          <w:bCs/>
          <w:color w:val="000000" w:themeColor="text1"/>
          <w:sz w:val="21"/>
          <w:highlight w:val="none"/>
          <w:u w:val="single"/>
          <w14:textFill>
            <w14:solidFill>
              <w14:schemeClr w14:val="tx1"/>
            </w14:solidFill>
          </w14:textFill>
        </w:rPr>
        <w:t xml:space="preserve">                      </w:t>
      </w:r>
      <w:r>
        <w:rPr>
          <w:rFonts w:hint="eastAsia" w:hAnsi="宋体" w:cs="宋体"/>
          <w:bCs/>
          <w:color w:val="000000" w:themeColor="text1"/>
          <w:sz w:val="21"/>
          <w:highlight w:val="none"/>
          <w:u w:val="single"/>
          <w:lang w:val="en-US" w:eastAsia="zh-CN"/>
          <w14:textFill>
            <w14:solidFill>
              <w14:schemeClr w14:val="tx1"/>
            </w14:solidFill>
          </w14:textFill>
        </w:rPr>
        <w:t xml:space="preserve">       </w:t>
      </w:r>
      <w:r>
        <w:rPr>
          <w:rFonts w:hint="eastAsia" w:hAnsi="宋体" w:cs="宋体"/>
          <w:bCs/>
          <w:color w:val="000000" w:themeColor="text1"/>
          <w:sz w:val="21"/>
          <w:highlight w:val="none"/>
          <w:u w:val="single"/>
          <w14:textFill>
            <w14:solidFill>
              <w14:schemeClr w14:val="tx1"/>
            </w14:solidFill>
          </w14:textFill>
        </w:rPr>
        <w:t xml:space="preserve">             </w:t>
      </w:r>
    </w:p>
    <w:p>
      <w:pPr>
        <w:pStyle w:val="14"/>
        <w:spacing w:line="320" w:lineRule="exact"/>
        <w:ind w:left="25" w:leftChars="12" w:firstLine="308" w:firstLineChars="147"/>
        <w:contextualSpacing/>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 xml:space="preserve">□采购过程   </w:t>
      </w:r>
    </w:p>
    <w:p>
      <w:pPr>
        <w:pStyle w:val="14"/>
        <w:spacing w:line="320" w:lineRule="exact"/>
        <w:ind w:left="25" w:leftChars="12" w:firstLine="308" w:firstLineChars="147"/>
        <w:contextualSpacing/>
        <w:rPr>
          <w:rFonts w:hAnsi="宋体" w:cs="宋体"/>
          <w:bCs/>
          <w:color w:val="000000" w:themeColor="text1"/>
          <w:sz w:val="21"/>
          <w:highlight w:val="none"/>
          <w:u w:val="singl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 xml:space="preserve">□成交结果   </w:t>
      </w:r>
    </w:p>
    <w:p>
      <w:pPr>
        <w:pStyle w:val="14"/>
        <w:spacing w:line="320" w:lineRule="exact"/>
        <w:ind w:left="25" w:leftChars="12" w:firstLine="413" w:firstLineChars="196"/>
        <w:contextualSpacing/>
        <w:rPr>
          <w:rFonts w:hAnsi="宋体" w:cs="宋体"/>
          <w:b/>
          <w:color w:val="000000" w:themeColor="text1"/>
          <w:sz w:val="21"/>
          <w:highlight w:val="none"/>
          <w14:textFill>
            <w14:solidFill>
              <w14:schemeClr w14:val="tx1"/>
            </w14:solidFill>
          </w14:textFill>
        </w:rPr>
      </w:pPr>
      <w:r>
        <w:rPr>
          <w:rFonts w:hint="eastAsia" w:hAnsi="宋体" w:cs="宋体"/>
          <w:b/>
          <w:color w:val="000000" w:themeColor="text1"/>
          <w:sz w:val="21"/>
          <w:highlight w:val="none"/>
          <w14:textFill>
            <w14:solidFill>
              <w14:schemeClr w14:val="tx1"/>
            </w14:solidFill>
          </w14:textFill>
        </w:rPr>
        <w:t>三、质疑事项具体内容</w:t>
      </w:r>
    </w:p>
    <w:p>
      <w:pPr>
        <w:pStyle w:val="14"/>
        <w:spacing w:line="320" w:lineRule="exact"/>
        <w:ind w:left="25" w:leftChars="12" w:firstLine="413" w:firstLineChars="197"/>
        <w:contextualSpacing/>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质疑事项1：</w:t>
      </w:r>
      <w:r>
        <w:rPr>
          <w:rFonts w:hint="eastAsia" w:hAnsi="宋体" w:cs="宋体"/>
          <w:bCs/>
          <w:color w:val="000000" w:themeColor="text1"/>
          <w:sz w:val="21"/>
          <w:highlight w:val="none"/>
          <w:u w:val="single"/>
          <w14:textFill>
            <w14:solidFill>
              <w14:schemeClr w14:val="tx1"/>
            </w14:solidFill>
          </w14:textFill>
        </w:rPr>
        <w:t xml:space="preserve">                                                             </w:t>
      </w:r>
    </w:p>
    <w:p>
      <w:pPr>
        <w:pStyle w:val="14"/>
        <w:spacing w:line="320" w:lineRule="exact"/>
        <w:ind w:left="25" w:leftChars="12" w:firstLine="413" w:firstLineChars="197"/>
        <w:contextualSpacing/>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事实依据：</w:t>
      </w:r>
      <w:r>
        <w:rPr>
          <w:rFonts w:hint="eastAsia" w:hAnsi="宋体" w:cs="宋体"/>
          <w:bCs/>
          <w:color w:val="000000" w:themeColor="text1"/>
          <w:sz w:val="21"/>
          <w:highlight w:val="none"/>
          <w:u w:val="single"/>
          <w14:textFill>
            <w14:solidFill>
              <w14:schemeClr w14:val="tx1"/>
            </w14:solidFill>
          </w14:textFill>
        </w:rPr>
        <w:t xml:space="preserve">                                                              </w:t>
      </w:r>
    </w:p>
    <w:p>
      <w:pPr>
        <w:pStyle w:val="14"/>
        <w:spacing w:line="320" w:lineRule="exact"/>
        <w:ind w:left="25" w:leftChars="12" w:firstLine="413" w:firstLineChars="197"/>
        <w:contextualSpacing/>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法律依据：</w:t>
      </w:r>
      <w:r>
        <w:rPr>
          <w:rFonts w:hint="eastAsia" w:hAnsi="宋体" w:cs="宋体"/>
          <w:color w:val="000000" w:themeColor="text1"/>
          <w:sz w:val="21"/>
          <w:highlight w:val="none"/>
          <w:u w:val="single"/>
          <w14:textFill>
            <w14:solidFill>
              <w14:schemeClr w14:val="tx1"/>
            </w14:solidFill>
          </w14:textFill>
        </w:rPr>
        <w:t xml:space="preserve">                                                 </w:t>
      </w:r>
      <w:r>
        <w:rPr>
          <w:rFonts w:hint="eastAsia" w:hAnsi="宋体" w:cs="宋体"/>
          <w:bCs/>
          <w:color w:val="000000" w:themeColor="text1"/>
          <w:sz w:val="21"/>
          <w:highlight w:val="none"/>
          <w:u w:val="single"/>
          <w14:textFill>
            <w14:solidFill>
              <w14:schemeClr w14:val="tx1"/>
            </w14:solidFill>
          </w14:textFill>
        </w:rPr>
        <w:t xml:space="preserve">             </w:t>
      </w:r>
    </w:p>
    <w:p>
      <w:pPr>
        <w:pStyle w:val="14"/>
        <w:spacing w:line="320" w:lineRule="exact"/>
        <w:ind w:left="25" w:leftChars="12" w:firstLine="413" w:firstLineChars="197"/>
        <w:contextualSpacing/>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质疑事项2</w:t>
      </w:r>
    </w:p>
    <w:p>
      <w:pPr>
        <w:pStyle w:val="14"/>
        <w:spacing w:line="320" w:lineRule="exact"/>
        <w:ind w:left="25" w:leftChars="12" w:firstLine="413" w:firstLineChars="197"/>
        <w:contextualSpacing/>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w:t>
      </w:r>
    </w:p>
    <w:p>
      <w:pPr>
        <w:pStyle w:val="14"/>
        <w:spacing w:line="320" w:lineRule="exact"/>
        <w:ind w:left="25" w:leftChars="12" w:firstLine="413" w:firstLineChars="197"/>
        <w:contextualSpacing/>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四、与质疑事项相关的质疑请求：</w:t>
      </w:r>
    </w:p>
    <w:p>
      <w:pPr>
        <w:pStyle w:val="14"/>
        <w:spacing w:line="320" w:lineRule="exact"/>
        <w:ind w:left="25" w:leftChars="12" w:firstLine="413" w:firstLineChars="197"/>
        <w:contextualSpacing/>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请求：</w:t>
      </w:r>
      <w:r>
        <w:rPr>
          <w:rFonts w:hint="eastAsia" w:hAnsi="宋体" w:cs="宋体"/>
          <w:bCs/>
          <w:color w:val="000000" w:themeColor="text1"/>
          <w:sz w:val="21"/>
          <w:highlight w:val="none"/>
          <w:u w:val="single"/>
          <w14:textFill>
            <w14:solidFill>
              <w14:schemeClr w14:val="tx1"/>
            </w14:solidFill>
          </w14:textFill>
        </w:rPr>
        <w:t xml:space="preserve">                                                            </w:t>
      </w:r>
      <w:r>
        <w:rPr>
          <w:rFonts w:hint="eastAsia" w:hAnsi="宋体" w:cs="宋体"/>
          <w:bCs/>
          <w:color w:val="000000" w:themeColor="text1"/>
          <w:sz w:val="21"/>
          <w:highlight w:val="none"/>
          <w:u w:val="single"/>
          <w:lang w:val="en-US" w:eastAsia="zh-CN"/>
          <w14:textFill>
            <w14:solidFill>
              <w14:schemeClr w14:val="tx1"/>
            </w14:solidFill>
          </w14:textFill>
        </w:rPr>
        <w:t xml:space="preserve"> </w:t>
      </w:r>
      <w:r>
        <w:rPr>
          <w:rFonts w:hint="eastAsia" w:hAnsi="宋体" w:cs="宋体"/>
          <w:bCs/>
          <w:color w:val="000000" w:themeColor="text1"/>
          <w:sz w:val="21"/>
          <w:highlight w:val="none"/>
          <w:u w:val="single"/>
          <w14:textFill>
            <w14:solidFill>
              <w14:schemeClr w14:val="tx1"/>
            </w14:solidFill>
          </w14:textFill>
        </w:rPr>
        <w:t xml:space="preserve">    </w:t>
      </w:r>
    </w:p>
    <w:p>
      <w:pPr>
        <w:pStyle w:val="14"/>
        <w:spacing w:line="320" w:lineRule="exact"/>
        <w:ind w:left="25" w:leftChars="12" w:firstLine="308" w:firstLineChars="147"/>
        <w:contextualSpacing/>
        <w:rPr>
          <w:rFonts w:hAnsi="宋体" w:cs="宋体"/>
          <w:color w:val="000000" w:themeColor="text1"/>
          <w:sz w:val="21"/>
          <w:highlight w:val="none"/>
          <w14:textFill>
            <w14:solidFill>
              <w14:schemeClr w14:val="tx1"/>
            </w14:solidFill>
          </w14:textFill>
        </w:rPr>
      </w:pPr>
    </w:p>
    <w:p>
      <w:pPr>
        <w:pStyle w:val="14"/>
        <w:spacing w:line="320" w:lineRule="exact"/>
        <w:ind w:left="25" w:leftChars="12" w:firstLine="413" w:firstLineChars="197"/>
        <w:contextualSpacing/>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签字（签章）：                                       公章：</w:t>
      </w:r>
    </w:p>
    <w:p>
      <w:pPr>
        <w:pStyle w:val="14"/>
        <w:spacing w:line="320" w:lineRule="exact"/>
        <w:ind w:left="25" w:leftChars="12" w:firstLine="308" w:firstLineChars="147"/>
        <w:contextualSpacing/>
        <w:rPr>
          <w:rFonts w:hAnsi="宋体" w:cs="宋体"/>
          <w:color w:val="000000" w:themeColor="text1"/>
          <w:sz w:val="21"/>
          <w:highlight w:val="none"/>
          <w14:textFill>
            <w14:solidFill>
              <w14:schemeClr w14:val="tx1"/>
            </w14:solidFill>
          </w14:textFill>
        </w:rPr>
      </w:pPr>
    </w:p>
    <w:p>
      <w:pPr>
        <w:pStyle w:val="14"/>
        <w:spacing w:line="320" w:lineRule="exact"/>
        <w:ind w:left="25" w:leftChars="12" w:firstLine="413" w:firstLineChars="197"/>
        <w:contextualSpacing/>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日期：</w:t>
      </w:r>
    </w:p>
    <w:p>
      <w:pPr>
        <w:pStyle w:val="14"/>
        <w:spacing w:line="320" w:lineRule="exact"/>
        <w:rPr>
          <w:rFonts w:hAnsi="宋体" w:cs="宋体"/>
          <w:b/>
          <w:color w:val="000000" w:themeColor="text1"/>
          <w:sz w:val="24"/>
          <w:szCs w:val="24"/>
          <w:highlight w:val="none"/>
          <w14:textFill>
            <w14:solidFill>
              <w14:schemeClr w14:val="tx1"/>
            </w14:solidFill>
          </w14:textFill>
        </w:rPr>
      </w:pPr>
    </w:p>
    <w:p>
      <w:pPr>
        <w:pStyle w:val="14"/>
        <w:spacing w:line="320" w:lineRule="exact"/>
        <w:rPr>
          <w:rFonts w:hAnsi="宋体" w:cs="宋体"/>
          <w:b/>
          <w:color w:val="000000" w:themeColor="text1"/>
          <w:sz w:val="21"/>
          <w:highlight w:val="none"/>
          <w14:textFill>
            <w14:solidFill>
              <w14:schemeClr w14:val="tx1"/>
            </w14:solidFill>
          </w14:textFill>
        </w:rPr>
      </w:pPr>
      <w:r>
        <w:rPr>
          <w:rFonts w:hint="eastAsia" w:hAnsi="宋体" w:cs="宋体"/>
          <w:b/>
          <w:color w:val="000000" w:themeColor="text1"/>
          <w:sz w:val="21"/>
          <w:highlight w:val="none"/>
          <w14:textFill>
            <w14:solidFill>
              <w14:schemeClr w14:val="tx1"/>
            </w14:solidFill>
          </w14:textFill>
        </w:rPr>
        <w:t>说明：</w:t>
      </w:r>
    </w:p>
    <w:p>
      <w:pPr>
        <w:pStyle w:val="14"/>
        <w:spacing w:line="320" w:lineRule="exact"/>
        <w:ind w:left="25" w:leftChars="12" w:firstLine="310" w:firstLineChars="147"/>
        <w:contextualSpacing/>
        <w:rPr>
          <w:rFonts w:hAnsi="宋体" w:cs="宋体"/>
          <w:b/>
          <w:bCs/>
          <w:color w:val="000000" w:themeColor="text1"/>
          <w:sz w:val="21"/>
          <w:highlight w:val="none"/>
          <w14:textFill>
            <w14:solidFill>
              <w14:schemeClr w14:val="tx1"/>
            </w14:solidFill>
          </w14:textFill>
        </w:rPr>
      </w:pPr>
      <w:r>
        <w:rPr>
          <w:rFonts w:hint="eastAsia" w:hAnsi="宋体" w:cs="宋体"/>
          <w:b/>
          <w:color w:val="000000" w:themeColor="text1"/>
          <w:sz w:val="21"/>
          <w:highlight w:val="none"/>
          <w14:textFill>
            <w14:solidFill>
              <w14:schemeClr w14:val="tx1"/>
            </w14:solidFill>
          </w14:textFill>
        </w:rPr>
        <w:t>1.供应商提出质疑时，应提交质疑函和必要的证明材料</w:t>
      </w:r>
      <w:r>
        <w:rPr>
          <w:rFonts w:hint="eastAsia" w:hAnsi="宋体" w:cs="宋体"/>
          <w:b/>
          <w:bCs/>
          <w:color w:val="000000" w:themeColor="text1"/>
          <w:sz w:val="21"/>
          <w:highlight w:val="none"/>
          <w14:textFill>
            <w14:solidFill>
              <w14:schemeClr w14:val="tx1"/>
            </w14:solidFill>
          </w14:textFill>
        </w:rPr>
        <w:t>。</w:t>
      </w:r>
    </w:p>
    <w:p>
      <w:pPr>
        <w:pStyle w:val="14"/>
        <w:spacing w:line="320" w:lineRule="exact"/>
        <w:ind w:left="25" w:leftChars="12" w:firstLine="310" w:firstLineChars="147"/>
        <w:contextualSpacing/>
        <w:rPr>
          <w:rFonts w:hAnsi="宋体" w:cs="宋体"/>
          <w:b/>
          <w:color w:val="000000" w:themeColor="text1"/>
          <w:sz w:val="21"/>
          <w:highlight w:val="none"/>
          <w14:textFill>
            <w14:solidFill>
              <w14:schemeClr w14:val="tx1"/>
            </w14:solidFill>
          </w14:textFill>
        </w:rPr>
      </w:pPr>
      <w:r>
        <w:rPr>
          <w:rFonts w:hint="eastAsia" w:hAnsi="宋体" w:cs="宋体"/>
          <w:b/>
          <w:color w:val="000000" w:themeColor="text1"/>
          <w:sz w:val="21"/>
          <w:highlight w:val="none"/>
          <w14:textFill>
            <w14:solidFill>
              <w14:schemeClr w14:val="tx1"/>
            </w14:solidFill>
          </w14:textFill>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14"/>
        <w:spacing w:line="320" w:lineRule="exact"/>
        <w:ind w:left="25" w:leftChars="12" w:firstLine="310" w:firstLineChars="147"/>
        <w:contextualSpacing/>
        <w:rPr>
          <w:rFonts w:hAnsi="宋体" w:cs="宋体"/>
          <w:b/>
          <w:color w:val="000000" w:themeColor="text1"/>
          <w:sz w:val="21"/>
          <w:highlight w:val="none"/>
          <w14:textFill>
            <w14:solidFill>
              <w14:schemeClr w14:val="tx1"/>
            </w14:solidFill>
          </w14:textFill>
        </w:rPr>
      </w:pPr>
      <w:r>
        <w:rPr>
          <w:rFonts w:hint="eastAsia" w:hAnsi="宋体" w:cs="宋体"/>
          <w:b/>
          <w:color w:val="000000" w:themeColor="text1"/>
          <w:sz w:val="21"/>
          <w:highlight w:val="none"/>
          <w14:textFill>
            <w14:solidFill>
              <w14:schemeClr w14:val="tx1"/>
            </w14:solidFill>
          </w14:textFill>
        </w:rPr>
        <w:t>3.质疑函的质疑事项应具体、明确，并有必要的事实依据和法律依据。</w:t>
      </w:r>
    </w:p>
    <w:p>
      <w:pPr>
        <w:pStyle w:val="14"/>
        <w:spacing w:line="320" w:lineRule="exact"/>
        <w:ind w:left="25" w:leftChars="12" w:firstLine="310" w:firstLineChars="147"/>
        <w:contextualSpacing/>
        <w:rPr>
          <w:rFonts w:hAnsi="宋体" w:cs="宋体"/>
          <w:b/>
          <w:color w:val="000000" w:themeColor="text1"/>
          <w:sz w:val="21"/>
          <w:highlight w:val="none"/>
          <w14:textFill>
            <w14:solidFill>
              <w14:schemeClr w14:val="tx1"/>
            </w14:solidFill>
          </w14:textFill>
        </w:rPr>
      </w:pPr>
      <w:r>
        <w:rPr>
          <w:rFonts w:hint="eastAsia" w:hAnsi="宋体" w:cs="宋体"/>
          <w:b/>
          <w:color w:val="000000" w:themeColor="text1"/>
          <w:sz w:val="21"/>
          <w:highlight w:val="none"/>
          <w14:textFill>
            <w14:solidFill>
              <w14:schemeClr w14:val="tx1"/>
            </w14:solidFill>
          </w14:textFill>
        </w:rPr>
        <w:t>4.质疑函的质疑请求应与质疑事项相关。</w:t>
      </w:r>
    </w:p>
    <w:p>
      <w:pPr>
        <w:pStyle w:val="14"/>
        <w:spacing w:line="320" w:lineRule="exact"/>
        <w:ind w:left="25" w:leftChars="12" w:firstLine="310" w:firstLineChars="147"/>
        <w:contextualSpacing/>
        <w:rPr>
          <w:rFonts w:hAnsi="宋体" w:cs="宋体"/>
          <w:b/>
          <w:color w:val="000000" w:themeColor="text1"/>
          <w:sz w:val="21"/>
          <w:highlight w:val="none"/>
          <w14:textFill>
            <w14:solidFill>
              <w14:schemeClr w14:val="tx1"/>
            </w14:solidFill>
          </w14:textFill>
        </w:rPr>
      </w:pPr>
      <w:r>
        <w:rPr>
          <w:rFonts w:hint="eastAsia" w:hAnsi="宋体" w:cs="宋体"/>
          <w:b/>
          <w:color w:val="000000" w:themeColor="text1"/>
          <w:sz w:val="21"/>
          <w:highlight w:val="none"/>
          <w14:textFill>
            <w14:solidFill>
              <w14:schemeClr w14:val="tx1"/>
            </w14:solidFill>
          </w14:textFill>
        </w:rPr>
        <w:t>5.质疑供应商为法人或者其他组织的，质疑函应由法定代表人、主要负责人，或者其授权代表签字或者盖章，并加盖公章。</w:t>
      </w:r>
    </w:p>
    <w:p>
      <w:pPr>
        <w:pStyle w:val="2"/>
        <w:jc w:val="center"/>
        <w:rPr>
          <w:rFonts w:hint="eastAsia" w:ascii="宋体" w:hAnsi="宋体" w:cs="宋体"/>
          <w:b w:val="0"/>
          <w:bCs w:val="0"/>
          <w:color w:val="000000" w:themeColor="text1"/>
          <w:highlight w:val="none"/>
          <w14:textFill>
            <w14:solidFill>
              <w14:schemeClr w14:val="tx1"/>
            </w14:solidFill>
          </w14:textFill>
        </w:rPr>
      </w:pPr>
      <w:r>
        <w:rPr>
          <w:rFonts w:hint="eastAsia" w:ascii="宋体" w:hAnsi="宋体" w:cs="宋体"/>
          <w:b w:val="0"/>
          <w:bCs w:val="0"/>
          <w:color w:val="000000" w:themeColor="text1"/>
          <w:highlight w:val="none"/>
          <w14:textFill>
            <w14:solidFill>
              <w14:schemeClr w14:val="tx1"/>
            </w14:solidFill>
          </w14:textFill>
        </w:rPr>
        <w:br w:type="page"/>
      </w:r>
      <w:bookmarkStart w:id="80" w:name="_Toc129703553"/>
      <w:bookmarkStart w:id="81" w:name="_Toc3096"/>
    </w:p>
    <w:p>
      <w:pPr>
        <w:pStyle w:val="2"/>
        <w:jc w:val="center"/>
        <w:rPr>
          <w:rFonts w:hint="eastAsia" w:ascii="宋体" w:hAnsi="宋体" w:cs="宋体"/>
          <w:b w:val="0"/>
          <w:bCs w:val="0"/>
          <w:color w:val="000000" w:themeColor="text1"/>
          <w:highlight w:val="none"/>
          <w14:textFill>
            <w14:solidFill>
              <w14:schemeClr w14:val="tx1"/>
            </w14:solidFill>
          </w14:textFill>
        </w:rPr>
      </w:pPr>
    </w:p>
    <w:p>
      <w:pPr>
        <w:pStyle w:val="2"/>
        <w:jc w:val="center"/>
        <w:rPr>
          <w:rFonts w:hint="eastAsia" w:ascii="宋体" w:hAnsi="宋体" w:cs="宋体"/>
          <w:b w:val="0"/>
          <w:bCs w:val="0"/>
          <w:color w:val="000000" w:themeColor="text1"/>
          <w:highlight w:val="none"/>
          <w14:textFill>
            <w14:solidFill>
              <w14:schemeClr w14:val="tx1"/>
            </w14:solidFill>
          </w14:textFill>
        </w:rPr>
      </w:pPr>
    </w:p>
    <w:p>
      <w:pPr>
        <w:pStyle w:val="2"/>
        <w:jc w:val="center"/>
        <w:rPr>
          <w:rFonts w:hint="eastAsia" w:ascii="宋体" w:hAnsi="宋体" w:cs="宋体"/>
          <w:b w:val="0"/>
          <w:bCs w:val="0"/>
          <w:color w:val="000000" w:themeColor="text1"/>
          <w:highlight w:val="none"/>
          <w14:textFill>
            <w14:solidFill>
              <w14:schemeClr w14:val="tx1"/>
            </w14:solidFill>
          </w14:textFill>
        </w:rPr>
      </w:pPr>
    </w:p>
    <w:p>
      <w:pPr>
        <w:pStyle w:val="2"/>
        <w:jc w:val="center"/>
        <w:rPr>
          <w:rFonts w:hint="eastAsia" w:ascii="宋体" w:hAnsi="宋体" w:cs="宋体"/>
          <w:color w:val="000000" w:themeColor="text1"/>
          <w:highlight w:val="none"/>
          <w14:textFill>
            <w14:solidFill>
              <w14:schemeClr w14:val="tx1"/>
            </w14:solidFill>
          </w14:textFill>
        </w:rPr>
        <w:sectPr>
          <w:footerReference r:id="rId10" w:type="first"/>
          <w:pgSz w:w="11910" w:h="16840"/>
          <w:pgMar w:top="1340" w:right="1500" w:bottom="1338" w:left="1502" w:header="720" w:footer="720" w:gutter="0"/>
          <w:cols w:space="720" w:num="1"/>
        </w:sectPr>
      </w:pPr>
      <w:r>
        <w:rPr>
          <w:rFonts w:hint="eastAsia" w:ascii="宋体" w:hAnsi="宋体" w:cs="宋体"/>
          <w:color w:val="000000" w:themeColor="text1"/>
          <w:highlight w:val="none"/>
          <w14:textFill>
            <w14:solidFill>
              <w14:schemeClr w14:val="tx1"/>
            </w14:solidFill>
          </w14:textFill>
        </w:rPr>
        <w:t>第六章 合同文本</w:t>
      </w:r>
      <w:bookmarkEnd w:id="80"/>
      <w:bookmarkEnd w:id="81"/>
    </w:p>
    <w:p>
      <w:pPr>
        <w:spacing w:line="600" w:lineRule="exact"/>
        <w:jc w:val="center"/>
        <w:rPr>
          <w:rFonts w:hint="eastAsia" w:ascii="方正小标宋_GBK" w:hAnsi="方正小标宋_GBK" w:eastAsia="方正小标宋_GBK" w:cs="方正小标宋_GBK"/>
          <w:b/>
          <w:bCs/>
          <w:color w:val="000000" w:themeColor="text1"/>
          <w:sz w:val="44"/>
          <w:szCs w:val="44"/>
          <w:highlight w:val="none"/>
          <w14:textFill>
            <w14:solidFill>
              <w14:schemeClr w14:val="tx1"/>
            </w14:solidFill>
          </w14:textFill>
        </w:rPr>
      </w:pPr>
      <w:r>
        <w:rPr>
          <w:rFonts w:hint="eastAsia" w:ascii="方正小标宋_GBK" w:hAnsi="方正小标宋_GBK" w:eastAsia="方正小标宋_GBK" w:cs="方正小标宋_GBK"/>
          <w:b/>
          <w:bCs/>
          <w:color w:val="000000" w:themeColor="text1"/>
          <w:sz w:val="44"/>
          <w:szCs w:val="44"/>
          <w:highlight w:val="none"/>
          <w14:textFill>
            <w14:solidFill>
              <w14:schemeClr w14:val="tx1"/>
            </w14:solidFill>
          </w14:textFill>
        </w:rPr>
        <w:t>采购项目合同</w:t>
      </w:r>
    </w:p>
    <w:p>
      <w:pPr>
        <w:spacing w:line="600" w:lineRule="exact"/>
        <w:jc w:val="center"/>
        <w:rPr>
          <w:rFonts w:hint="eastAsia" w:ascii="仿宋_GB2312" w:hAnsi="仿宋_GB2312" w:eastAsia="仿宋_GB2312" w:cs="仿宋_GB2312"/>
          <w:b/>
          <w:bCs/>
          <w:color w:val="000000" w:themeColor="text1"/>
          <w:sz w:val="32"/>
          <w:szCs w:val="32"/>
          <w:highlight w:val="none"/>
          <w14:textFill>
            <w14:solidFill>
              <w14:schemeClr w14:val="tx1"/>
            </w14:solidFill>
          </w14:textFill>
        </w:rPr>
      </w:pPr>
    </w:p>
    <w:p>
      <w:pPr>
        <w:spacing w:line="600" w:lineRule="exact"/>
        <w:ind w:firstLine="2551" w:firstLineChars="794"/>
        <w:rPr>
          <w:rFonts w:hint="eastAsia" w:ascii="仿宋_GB2312" w:hAnsi="仿宋_GB2312" w:eastAsia="仿宋_GB2312" w:cs="仿宋_GB2312"/>
          <w:b/>
          <w:bCs/>
          <w:color w:val="000000" w:themeColor="text1"/>
          <w:sz w:val="32"/>
          <w:szCs w:val="32"/>
          <w:highlight w:val="none"/>
          <w14:textFill>
            <w14:solidFill>
              <w14:schemeClr w14:val="tx1"/>
            </w14:solidFill>
          </w14:textFill>
        </w:rPr>
      </w:pPr>
    </w:p>
    <w:p>
      <w:pPr>
        <w:pStyle w:val="11"/>
        <w:rPr>
          <w:rFonts w:hint="eastAsia" w:ascii="仿宋_GB2312" w:hAnsi="仿宋_GB2312" w:eastAsia="仿宋_GB2312" w:cs="仿宋_GB2312"/>
          <w:b/>
          <w:bCs/>
          <w:color w:val="000000" w:themeColor="text1"/>
          <w:sz w:val="32"/>
          <w:szCs w:val="32"/>
          <w:highlight w:val="none"/>
          <w14:textFill>
            <w14:solidFill>
              <w14:schemeClr w14:val="tx1"/>
            </w14:solidFill>
          </w14:textFill>
        </w:rPr>
      </w:pPr>
    </w:p>
    <w:p>
      <w:pPr>
        <w:pStyle w:val="24"/>
        <w:rPr>
          <w:rFonts w:hint="eastAsia"/>
          <w:color w:val="000000" w:themeColor="text1"/>
          <w:highlight w:val="none"/>
          <w14:textFill>
            <w14:solidFill>
              <w14:schemeClr w14:val="tx1"/>
            </w14:solidFill>
          </w14:textFill>
        </w:rPr>
      </w:pPr>
    </w:p>
    <w:p>
      <w:pPr>
        <w:pStyle w:val="11"/>
        <w:rPr>
          <w:rFonts w:hint="eastAsia"/>
          <w:color w:val="000000" w:themeColor="text1"/>
          <w:highlight w:val="none"/>
          <w14:textFill>
            <w14:solidFill>
              <w14:schemeClr w14:val="tx1"/>
            </w14:solidFill>
          </w14:textFill>
        </w:rPr>
      </w:pPr>
    </w:p>
    <w:p>
      <w:pPr>
        <w:tabs>
          <w:tab w:val="left" w:pos="7200"/>
        </w:tabs>
        <w:spacing w:line="360" w:lineRule="auto"/>
        <w:ind w:firstLine="960" w:firstLineChars="300"/>
        <w:rPr>
          <w:rFonts w:hint="eastAsia" w:ascii="方正小标宋_GBK" w:hAnsi="方正小标宋_GBK" w:eastAsia="方正小标宋_GBK" w:cs="方正小标宋_GBK"/>
          <w:b w:val="0"/>
          <w:bCs/>
          <w:color w:val="000000" w:themeColor="text1"/>
          <w:sz w:val="32"/>
          <w:szCs w:val="32"/>
          <w:highlight w:val="none"/>
          <w:u w:val="single"/>
          <w:lang w:val="en-US" w:eastAsia="zh-CN"/>
          <w14:textFill>
            <w14:solidFill>
              <w14:schemeClr w14:val="tx1"/>
            </w14:solidFill>
          </w14:textFill>
        </w:rPr>
      </w:pPr>
      <w:r>
        <w:rPr>
          <w:rFonts w:hint="eastAsia" w:ascii="方正小标宋_GBK" w:hAnsi="方正小标宋_GBK" w:eastAsia="方正小标宋_GBK" w:cs="方正小标宋_GBK"/>
          <w:b w:val="0"/>
          <w:bCs/>
          <w:color w:val="000000" w:themeColor="text1"/>
          <w:sz w:val="32"/>
          <w:szCs w:val="32"/>
          <w:highlight w:val="none"/>
          <w14:textFill>
            <w14:solidFill>
              <w14:schemeClr w14:val="tx1"/>
            </w14:solidFill>
          </w14:textFill>
        </w:rPr>
        <w:t>项目名称</w:t>
      </w:r>
      <w:r>
        <w:rPr>
          <w:rFonts w:hint="eastAsia" w:ascii="方正小标宋_GBK" w:hAnsi="方正小标宋_GBK" w:eastAsia="方正小标宋_GBK" w:cs="方正小标宋_GBK"/>
          <w:b w:val="0"/>
          <w:bCs/>
          <w:color w:val="000000" w:themeColor="text1"/>
          <w:sz w:val="32"/>
          <w:szCs w:val="32"/>
          <w:highlight w:val="none"/>
          <w:u w:val="none"/>
          <w14:textFill>
            <w14:solidFill>
              <w14:schemeClr w14:val="tx1"/>
            </w14:solidFill>
          </w14:textFill>
        </w:rPr>
        <w:t>：</w:t>
      </w:r>
    </w:p>
    <w:p>
      <w:pPr>
        <w:tabs>
          <w:tab w:val="left" w:pos="7200"/>
        </w:tabs>
        <w:spacing w:line="360" w:lineRule="auto"/>
        <w:rPr>
          <w:rFonts w:hint="eastAsia" w:ascii="方正小标宋_GBK" w:hAnsi="方正小标宋_GBK" w:eastAsia="方正小标宋_GBK" w:cs="方正小标宋_GBK"/>
          <w:b w:val="0"/>
          <w:bCs/>
          <w:color w:val="000000" w:themeColor="text1"/>
          <w:sz w:val="32"/>
          <w:szCs w:val="32"/>
          <w:highlight w:val="none"/>
          <w:lang w:val="en-US" w:eastAsia="zh-CN"/>
          <w14:textFill>
            <w14:solidFill>
              <w14:schemeClr w14:val="tx1"/>
            </w14:solidFill>
          </w14:textFill>
        </w:rPr>
      </w:pPr>
      <w:r>
        <w:rPr>
          <w:rFonts w:hint="eastAsia" w:ascii="方正小标宋_GBK" w:hAnsi="方正小标宋_GBK" w:eastAsia="方正小标宋_GBK" w:cs="方正小标宋_GBK"/>
          <w:b w:val="0"/>
          <w:bCs/>
          <w:color w:val="000000" w:themeColor="text1"/>
          <w:sz w:val="32"/>
          <w:szCs w:val="32"/>
          <w:highlight w:val="none"/>
          <w:lang w:val="en-US" w:eastAsia="zh-CN"/>
          <w14:textFill>
            <w14:solidFill>
              <w14:schemeClr w14:val="tx1"/>
            </w14:solidFill>
          </w14:textFill>
        </w:rPr>
        <w:t xml:space="preserve">      </w:t>
      </w:r>
    </w:p>
    <w:p>
      <w:pPr>
        <w:tabs>
          <w:tab w:val="left" w:pos="7200"/>
        </w:tabs>
        <w:spacing w:line="360" w:lineRule="auto"/>
        <w:ind w:firstLine="960" w:firstLineChars="300"/>
        <w:rPr>
          <w:rFonts w:hint="eastAsia" w:ascii="方正小标宋_GBK" w:hAnsi="方正小标宋_GBK" w:eastAsia="方正小标宋_GBK" w:cs="方正小标宋_GBK"/>
          <w:b w:val="0"/>
          <w:bCs/>
          <w:color w:val="000000" w:themeColor="text1"/>
          <w:sz w:val="32"/>
          <w:szCs w:val="32"/>
          <w:highlight w:val="none"/>
          <w:lang w:val="en-US" w:eastAsia="zh-CN"/>
          <w14:textFill>
            <w14:solidFill>
              <w14:schemeClr w14:val="tx1"/>
            </w14:solidFill>
          </w14:textFill>
        </w:rPr>
      </w:pPr>
      <w:r>
        <w:rPr>
          <w:rFonts w:hint="eastAsia" w:ascii="方正小标宋_GBK" w:hAnsi="方正小标宋_GBK" w:eastAsia="方正小标宋_GBK" w:cs="方正小标宋_GBK"/>
          <w:b w:val="0"/>
          <w:bCs/>
          <w:color w:val="000000" w:themeColor="text1"/>
          <w:sz w:val="32"/>
          <w:szCs w:val="32"/>
          <w:highlight w:val="none"/>
          <w:lang w:val="en-US" w:eastAsia="zh-CN"/>
          <w14:textFill>
            <w14:solidFill>
              <w14:schemeClr w14:val="tx1"/>
            </w14:solidFill>
          </w14:textFill>
        </w:rPr>
        <w:t>合同编号：</w:t>
      </w:r>
    </w:p>
    <w:p>
      <w:pPr>
        <w:tabs>
          <w:tab w:val="left" w:pos="7200"/>
        </w:tabs>
        <w:spacing w:line="360" w:lineRule="auto"/>
        <w:ind w:firstLine="960" w:firstLineChars="300"/>
        <w:rPr>
          <w:rFonts w:hint="eastAsia" w:ascii="方正小标宋_GBK" w:hAnsi="方正小标宋_GBK" w:eastAsia="方正小标宋_GBK" w:cs="方正小标宋_GBK"/>
          <w:b w:val="0"/>
          <w:bCs/>
          <w:color w:val="000000" w:themeColor="text1"/>
          <w:sz w:val="32"/>
          <w:szCs w:val="32"/>
          <w:highlight w:val="none"/>
          <w14:textFill>
            <w14:solidFill>
              <w14:schemeClr w14:val="tx1"/>
            </w14:solidFill>
          </w14:textFill>
        </w:rPr>
      </w:pPr>
    </w:p>
    <w:p>
      <w:pPr>
        <w:tabs>
          <w:tab w:val="left" w:pos="7200"/>
        </w:tabs>
        <w:spacing w:line="360" w:lineRule="auto"/>
        <w:ind w:firstLine="960" w:firstLineChars="300"/>
        <w:rPr>
          <w:rFonts w:hint="default" w:ascii="方正小标宋_GBK" w:hAnsi="方正小标宋_GBK" w:eastAsia="方正小标宋_GBK" w:cs="方正小标宋_GBK"/>
          <w:b w:val="0"/>
          <w:bCs/>
          <w:color w:val="000000" w:themeColor="text1"/>
          <w:sz w:val="32"/>
          <w:szCs w:val="32"/>
          <w:highlight w:val="none"/>
          <w:u w:val="single"/>
          <w:lang w:val="en-US" w:eastAsia="zh-CN"/>
          <w14:textFill>
            <w14:solidFill>
              <w14:schemeClr w14:val="tx1"/>
            </w14:solidFill>
          </w14:textFill>
        </w:rPr>
      </w:pPr>
      <w:r>
        <w:rPr>
          <w:rFonts w:hint="eastAsia" w:ascii="方正小标宋_GBK" w:hAnsi="方正小标宋_GBK" w:eastAsia="方正小标宋_GBK" w:cs="方正小标宋_GBK"/>
          <w:b w:val="0"/>
          <w:bCs/>
          <w:color w:val="000000" w:themeColor="text1"/>
          <w:sz w:val="32"/>
          <w:szCs w:val="32"/>
          <w:highlight w:val="none"/>
          <w14:textFill>
            <w14:solidFill>
              <w14:schemeClr w14:val="tx1"/>
            </w14:solidFill>
          </w14:textFill>
        </w:rPr>
        <w:t>采</w:t>
      </w:r>
      <w:r>
        <w:rPr>
          <w:rFonts w:hint="eastAsia" w:ascii="方正小标宋_GBK" w:hAnsi="方正小标宋_GBK" w:eastAsia="方正小标宋_GBK" w:cs="方正小标宋_GBK"/>
          <w:b w:val="0"/>
          <w:bCs/>
          <w:color w:val="000000" w:themeColor="text1"/>
          <w:sz w:val="32"/>
          <w:szCs w:val="32"/>
          <w:highlight w:val="none"/>
          <w:lang w:val="en-US" w:eastAsia="zh-CN"/>
          <w14:textFill>
            <w14:solidFill>
              <w14:schemeClr w14:val="tx1"/>
            </w14:solidFill>
          </w14:textFill>
        </w:rPr>
        <w:t xml:space="preserve"> </w:t>
      </w:r>
      <w:r>
        <w:rPr>
          <w:rFonts w:hint="eastAsia" w:ascii="方正小标宋_GBK" w:hAnsi="方正小标宋_GBK" w:eastAsia="方正小标宋_GBK" w:cs="方正小标宋_GBK"/>
          <w:b w:val="0"/>
          <w:bCs/>
          <w:color w:val="000000" w:themeColor="text1"/>
          <w:sz w:val="32"/>
          <w:szCs w:val="32"/>
          <w:highlight w:val="none"/>
          <w14:textFill>
            <w14:solidFill>
              <w14:schemeClr w14:val="tx1"/>
            </w14:solidFill>
          </w14:textFill>
        </w:rPr>
        <w:t>购</w:t>
      </w:r>
      <w:r>
        <w:rPr>
          <w:rFonts w:hint="eastAsia" w:ascii="方正小标宋_GBK" w:hAnsi="方正小标宋_GBK" w:eastAsia="方正小标宋_GBK" w:cs="方正小标宋_GBK"/>
          <w:b w:val="0"/>
          <w:bCs/>
          <w:color w:val="000000" w:themeColor="text1"/>
          <w:sz w:val="32"/>
          <w:szCs w:val="32"/>
          <w:highlight w:val="none"/>
          <w:lang w:val="en-US" w:eastAsia="zh-CN"/>
          <w14:textFill>
            <w14:solidFill>
              <w14:schemeClr w14:val="tx1"/>
            </w14:solidFill>
          </w14:textFill>
        </w:rPr>
        <w:t xml:space="preserve"> </w:t>
      </w:r>
      <w:r>
        <w:rPr>
          <w:rFonts w:hint="eastAsia" w:ascii="方正小标宋_GBK" w:hAnsi="方正小标宋_GBK" w:eastAsia="方正小标宋_GBK" w:cs="方正小标宋_GBK"/>
          <w:b w:val="0"/>
          <w:bCs/>
          <w:color w:val="000000" w:themeColor="text1"/>
          <w:sz w:val="32"/>
          <w:szCs w:val="32"/>
          <w:highlight w:val="none"/>
          <w14:textFill>
            <w14:solidFill>
              <w14:schemeClr w14:val="tx1"/>
            </w14:solidFill>
          </w14:textFill>
        </w:rPr>
        <w:t>人：</w:t>
      </w:r>
    </w:p>
    <w:p>
      <w:pPr>
        <w:tabs>
          <w:tab w:val="left" w:pos="7200"/>
        </w:tabs>
        <w:spacing w:line="360" w:lineRule="auto"/>
        <w:ind w:firstLine="1766" w:firstLineChars="552"/>
        <w:rPr>
          <w:rFonts w:hint="eastAsia" w:ascii="方正小标宋_GBK" w:hAnsi="方正小标宋_GBK" w:eastAsia="方正小标宋_GBK" w:cs="方正小标宋_GBK"/>
          <w:b w:val="0"/>
          <w:bCs/>
          <w:color w:val="000000" w:themeColor="text1"/>
          <w:sz w:val="32"/>
          <w:szCs w:val="32"/>
          <w:highlight w:val="none"/>
          <w:u w:val="single"/>
          <w:lang w:val="en-US" w:eastAsia="zh-CN"/>
          <w14:textFill>
            <w14:solidFill>
              <w14:schemeClr w14:val="tx1"/>
            </w14:solidFill>
          </w14:textFill>
        </w:rPr>
      </w:pPr>
    </w:p>
    <w:p>
      <w:pPr>
        <w:pStyle w:val="11"/>
        <w:rPr>
          <w:rFonts w:hint="eastAsia" w:ascii="方正小标宋_GBK" w:hAnsi="方正小标宋_GBK" w:eastAsia="方正小标宋_GBK" w:cs="方正小标宋_GBK"/>
          <w:b w:val="0"/>
          <w:bCs/>
          <w:color w:val="000000" w:themeColor="text1"/>
          <w:highlight w:val="none"/>
          <w:lang w:val="en-US" w:eastAsia="zh-CN"/>
          <w14:textFill>
            <w14:solidFill>
              <w14:schemeClr w14:val="tx1"/>
            </w14:solidFill>
          </w14:textFill>
        </w:rPr>
      </w:pPr>
    </w:p>
    <w:p>
      <w:pPr>
        <w:tabs>
          <w:tab w:val="left" w:pos="7200"/>
        </w:tabs>
        <w:spacing w:line="360" w:lineRule="auto"/>
        <w:ind w:firstLine="960" w:firstLineChars="300"/>
        <w:rPr>
          <w:rFonts w:hint="eastAsia" w:ascii="方正小标宋_GBK" w:hAnsi="方正小标宋_GBK" w:eastAsia="方正小标宋_GBK" w:cs="方正小标宋_GBK"/>
          <w:b w:val="0"/>
          <w:bCs/>
          <w:color w:val="000000" w:themeColor="text1"/>
          <w:sz w:val="32"/>
          <w:szCs w:val="32"/>
          <w:highlight w:val="none"/>
          <w14:textFill>
            <w14:solidFill>
              <w14:schemeClr w14:val="tx1"/>
            </w14:solidFill>
          </w14:textFill>
        </w:rPr>
      </w:pPr>
      <w:r>
        <w:rPr>
          <w:rFonts w:hint="eastAsia" w:ascii="方正小标宋_GBK" w:hAnsi="方正小标宋_GBK" w:eastAsia="方正小标宋_GBK" w:cs="方正小标宋_GBK"/>
          <w:b w:val="0"/>
          <w:bCs/>
          <w:color w:val="000000" w:themeColor="text1"/>
          <w:sz w:val="32"/>
          <w:szCs w:val="32"/>
          <w:highlight w:val="none"/>
          <w:lang w:eastAsia="zh-CN"/>
          <w14:textFill>
            <w14:solidFill>
              <w14:schemeClr w14:val="tx1"/>
            </w14:solidFill>
          </w14:textFill>
        </w:rPr>
        <w:t>成交</w:t>
      </w:r>
      <w:r>
        <w:rPr>
          <w:rFonts w:hint="eastAsia" w:ascii="方正小标宋_GBK" w:hAnsi="方正小标宋_GBK" w:eastAsia="方正小标宋_GBK" w:cs="方正小标宋_GBK"/>
          <w:b w:val="0"/>
          <w:bCs/>
          <w:color w:val="000000" w:themeColor="text1"/>
          <w:sz w:val="32"/>
          <w:szCs w:val="32"/>
          <w:highlight w:val="none"/>
          <w14:textFill>
            <w14:solidFill>
              <w14:schemeClr w14:val="tx1"/>
            </w14:solidFill>
          </w14:textFill>
        </w:rPr>
        <w:t>供应商：</w:t>
      </w:r>
    </w:p>
    <w:p>
      <w:pPr>
        <w:tabs>
          <w:tab w:val="left" w:pos="7380"/>
        </w:tabs>
        <w:spacing w:line="600" w:lineRule="exact"/>
        <w:rPr>
          <w:rFonts w:hint="eastAsia" w:ascii="方正小标宋_GBK" w:hAnsi="方正小标宋_GBK" w:eastAsia="方正小标宋_GBK" w:cs="方正小标宋_GBK"/>
          <w:b/>
          <w:bCs/>
          <w:color w:val="000000" w:themeColor="text1"/>
          <w:sz w:val="32"/>
          <w:szCs w:val="32"/>
          <w:highlight w:val="none"/>
          <w14:textFill>
            <w14:solidFill>
              <w14:schemeClr w14:val="tx1"/>
            </w14:solidFill>
          </w14:textFill>
        </w:rPr>
      </w:pPr>
    </w:p>
    <w:p>
      <w:pPr>
        <w:pStyle w:val="11"/>
        <w:rPr>
          <w:rFonts w:hint="eastAsia" w:ascii="方正小标宋_GBK" w:hAnsi="方正小标宋_GBK" w:eastAsia="方正小标宋_GBK" w:cs="方正小标宋_GBK"/>
          <w:b/>
          <w:bCs/>
          <w:color w:val="000000" w:themeColor="text1"/>
          <w:sz w:val="32"/>
          <w:szCs w:val="32"/>
          <w:highlight w:val="none"/>
          <w14:textFill>
            <w14:solidFill>
              <w14:schemeClr w14:val="tx1"/>
            </w14:solidFill>
          </w14:textFill>
        </w:rPr>
      </w:pPr>
    </w:p>
    <w:p>
      <w:pPr>
        <w:spacing w:line="600" w:lineRule="exact"/>
        <w:ind w:firstLine="1280" w:firstLineChars="400"/>
        <w:rPr>
          <w:rFonts w:hint="eastAsia" w:ascii="方正小标宋_GBK" w:hAnsi="方正小标宋_GBK" w:eastAsia="方正小标宋_GBK" w:cs="方正小标宋_GBK"/>
          <w:color w:val="000000" w:themeColor="text1"/>
          <w:sz w:val="32"/>
          <w:szCs w:val="32"/>
          <w:highlight w:val="none"/>
          <w14:textFill>
            <w14:solidFill>
              <w14:schemeClr w14:val="tx1"/>
            </w14:solidFill>
          </w14:textFill>
        </w:rPr>
      </w:pPr>
    </w:p>
    <w:p>
      <w:pPr>
        <w:spacing w:line="600" w:lineRule="exact"/>
        <w:ind w:firstLine="1600" w:firstLineChars="500"/>
        <w:rPr>
          <w:rFonts w:hint="eastAsia" w:ascii="方正小标宋_GBK" w:hAnsi="方正小标宋_GBK" w:eastAsia="方正小标宋_GBK" w:cs="方正小标宋_GBK"/>
          <w:b/>
          <w:bCs/>
          <w:color w:val="000000" w:themeColor="text1"/>
          <w:sz w:val="32"/>
          <w:szCs w:val="32"/>
          <w:highlight w:val="none"/>
          <w14:textFill>
            <w14:solidFill>
              <w14:schemeClr w14:val="tx1"/>
            </w14:solidFill>
          </w14:textFill>
        </w:rPr>
      </w:pPr>
      <w:r>
        <w:rPr>
          <w:rFonts w:hint="eastAsia" w:ascii="方正小标宋_GBK" w:hAnsi="方正小标宋_GBK" w:eastAsia="方正小标宋_GBK" w:cs="方正小标宋_GBK"/>
          <w:color w:val="000000" w:themeColor="text1"/>
          <w:sz w:val="32"/>
          <w:szCs w:val="32"/>
          <w:highlight w:val="none"/>
          <w14:textFill>
            <w14:solidFill>
              <w14:schemeClr w14:val="tx1"/>
            </w14:solidFill>
          </w14:textFill>
        </w:rPr>
        <w:t>签订日期：</w:t>
      </w:r>
      <w:r>
        <w:rPr>
          <w:rFonts w:hint="eastAsia" w:ascii="方正小标宋_GBK" w:hAnsi="方正小标宋_GBK" w:eastAsia="方正小标宋_GBK" w:cs="方正小标宋_GBK"/>
          <w:color w:val="000000" w:themeColor="text1"/>
          <w:sz w:val="32"/>
          <w:szCs w:val="32"/>
          <w:highlight w:val="none"/>
          <w:u w:val="single"/>
          <w:lang w:val="en-US" w:eastAsia="zh-CN"/>
          <w14:textFill>
            <w14:solidFill>
              <w14:schemeClr w14:val="tx1"/>
            </w14:solidFill>
          </w14:textFill>
        </w:rPr>
        <w:t xml:space="preserve">      </w:t>
      </w:r>
      <w:r>
        <w:rPr>
          <w:rFonts w:hint="eastAsia" w:ascii="方正小标宋_GBK" w:hAnsi="方正小标宋_GBK" w:eastAsia="方正小标宋_GBK" w:cs="方正小标宋_GBK"/>
          <w:color w:val="000000" w:themeColor="text1"/>
          <w:sz w:val="32"/>
          <w:szCs w:val="32"/>
          <w:highlight w:val="none"/>
          <w:lang w:val="en-US" w:eastAsia="zh-CN"/>
          <w14:textFill>
            <w14:solidFill>
              <w14:schemeClr w14:val="tx1"/>
            </w14:solidFill>
          </w14:textFill>
        </w:rPr>
        <w:t xml:space="preserve"> </w:t>
      </w:r>
      <w:r>
        <w:rPr>
          <w:rFonts w:hint="eastAsia" w:ascii="方正小标宋_GBK" w:hAnsi="方正小标宋_GBK" w:eastAsia="方正小标宋_GBK" w:cs="方正小标宋_GBK"/>
          <w:color w:val="000000" w:themeColor="text1"/>
          <w:sz w:val="32"/>
          <w:szCs w:val="32"/>
          <w:highlight w:val="none"/>
          <w14:textFill>
            <w14:solidFill>
              <w14:schemeClr w14:val="tx1"/>
            </w14:solidFill>
          </w14:textFill>
        </w:rPr>
        <w:t>年</w:t>
      </w:r>
      <w:r>
        <w:rPr>
          <w:rFonts w:hint="eastAsia" w:ascii="方正小标宋_GBK" w:hAnsi="方正小标宋_GBK" w:eastAsia="方正小标宋_GBK" w:cs="方正小标宋_GBK"/>
          <w:color w:val="000000" w:themeColor="text1"/>
          <w:sz w:val="32"/>
          <w:szCs w:val="32"/>
          <w:highlight w:val="none"/>
          <w:u w:val="single"/>
          <w14:textFill>
            <w14:solidFill>
              <w14:schemeClr w14:val="tx1"/>
            </w14:solidFill>
          </w14:textFill>
        </w:rPr>
        <w:t xml:space="preserve">     </w:t>
      </w:r>
      <w:r>
        <w:rPr>
          <w:rFonts w:hint="eastAsia" w:ascii="方正小标宋_GBK" w:hAnsi="方正小标宋_GBK" w:eastAsia="方正小标宋_GBK" w:cs="方正小标宋_GBK"/>
          <w:color w:val="000000" w:themeColor="text1"/>
          <w:sz w:val="32"/>
          <w:szCs w:val="32"/>
          <w:highlight w:val="none"/>
          <w14:textFill>
            <w14:solidFill>
              <w14:schemeClr w14:val="tx1"/>
            </w14:solidFill>
          </w14:textFill>
        </w:rPr>
        <w:t>月</w:t>
      </w:r>
      <w:r>
        <w:rPr>
          <w:rFonts w:hint="eastAsia" w:ascii="方正小标宋_GBK" w:hAnsi="方正小标宋_GBK" w:eastAsia="方正小标宋_GBK" w:cs="方正小标宋_GBK"/>
          <w:color w:val="000000" w:themeColor="text1"/>
          <w:sz w:val="32"/>
          <w:szCs w:val="32"/>
          <w:highlight w:val="none"/>
          <w:u w:val="single"/>
          <w14:textFill>
            <w14:solidFill>
              <w14:schemeClr w14:val="tx1"/>
            </w14:solidFill>
          </w14:textFill>
        </w:rPr>
        <w:t xml:space="preserve">     </w:t>
      </w:r>
      <w:r>
        <w:rPr>
          <w:rFonts w:hint="eastAsia" w:ascii="方正小标宋_GBK" w:hAnsi="方正小标宋_GBK" w:eastAsia="方正小标宋_GBK" w:cs="方正小标宋_GBK"/>
          <w:color w:val="000000" w:themeColor="text1"/>
          <w:sz w:val="32"/>
          <w:szCs w:val="32"/>
          <w:highlight w:val="none"/>
          <w14:textFill>
            <w14:solidFill>
              <w14:schemeClr w14:val="tx1"/>
            </w14:solidFill>
          </w14:textFill>
        </w:rPr>
        <w:t>日</w:t>
      </w:r>
    </w:p>
    <w:p>
      <w:pPr>
        <w:bidi w:val="0"/>
        <w:spacing w:line="360" w:lineRule="auto"/>
        <w:rPr>
          <w:color w:val="000000" w:themeColor="text1"/>
          <w:highlight w:val="none"/>
          <w14:textFill>
            <w14:solidFill>
              <w14:schemeClr w14:val="tx1"/>
            </w14:solidFill>
          </w14:textFill>
        </w:rPr>
      </w:pPr>
    </w:p>
    <w:p>
      <w:pPr>
        <w:pStyle w:val="35"/>
        <w:rPr>
          <w:color w:val="000000" w:themeColor="text1"/>
          <w:highlight w:val="none"/>
          <w14:textFill>
            <w14:solidFill>
              <w14:schemeClr w14:val="tx1"/>
            </w14:solidFill>
          </w14:textFill>
        </w:rPr>
      </w:pPr>
    </w:p>
    <w:p>
      <w:pPr>
        <w:pStyle w:val="11"/>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35"/>
        <w:rPr>
          <w:color w:val="000000" w:themeColor="text1"/>
          <w:highlight w:val="none"/>
          <w14:textFill>
            <w14:solidFill>
              <w14:schemeClr w14:val="tx1"/>
            </w14:solidFill>
          </w14:textFill>
        </w:rPr>
      </w:pPr>
    </w:p>
    <w:p>
      <w:pPr>
        <w:pStyle w:val="11"/>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小标宋_GBK" w:hAnsi="方正小标宋_GBK" w:eastAsia="方正小标宋_GBK" w:cs="方正小标宋_GBK"/>
          <w:color w:val="000000" w:themeColor="text1"/>
          <w:sz w:val="44"/>
          <w:szCs w:val="44"/>
          <w:highlight w:val="none"/>
          <w:u w:val="none"/>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highlight w:val="none"/>
          <w:u w:val="none"/>
          <w:lang w:val="en-US" w:eastAsia="zh-CN"/>
          <w14:textFill>
            <w14:solidFill>
              <w14:schemeClr w14:val="tx1"/>
            </w14:solidFill>
          </w14:textFill>
        </w:rPr>
        <w:t>政府采购货物</w:t>
      </w:r>
      <w:r>
        <w:rPr>
          <w:rFonts w:hint="eastAsia" w:ascii="方正小标宋_GBK" w:hAnsi="方正小标宋_GBK" w:eastAsia="方正小标宋_GBK" w:cs="方正小标宋_GBK"/>
          <w:color w:val="000000" w:themeColor="text1"/>
          <w:sz w:val="44"/>
          <w:szCs w:val="44"/>
          <w:highlight w:val="none"/>
          <w:u w:val="none"/>
          <w14:textFill>
            <w14:solidFill>
              <w14:schemeClr w14:val="tx1"/>
            </w14:solidFill>
          </w14:textFill>
        </w:rPr>
        <w:t>合同</w:t>
      </w:r>
    </w:p>
    <w:p>
      <w:pPr>
        <w:widowControl w:val="0"/>
        <w:spacing w:line="600" w:lineRule="exact"/>
        <w:rPr>
          <w:rFonts w:ascii="Times New Roman" w:hAnsi="Times New Roman" w:eastAsia="仿宋"/>
          <w:color w:val="000000" w:themeColor="text1"/>
          <w:kern w:val="0"/>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snapToGrid/>
        <w:spacing w:line="600" w:lineRule="exact"/>
        <w:rPr>
          <w:rFonts w:hint="eastAsia" w:ascii="宋体" w:hAnsi="宋体" w:eastAsia="宋体" w:cs="宋体"/>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kern w:val="0"/>
          <w:sz w:val="32"/>
          <w:szCs w:val="32"/>
          <w:highlight w:val="none"/>
          <w14:textFill>
            <w14:solidFill>
              <w14:schemeClr w14:val="tx1"/>
            </w14:solidFill>
          </w14:textFill>
        </w:rPr>
        <w:t>采购计划号：</w:t>
      </w:r>
      <w:r>
        <w:rPr>
          <w:rFonts w:hint="eastAsia" w:ascii="宋体" w:hAnsi="宋体" w:eastAsia="宋体" w:cs="宋体"/>
          <w:color w:val="000000" w:themeColor="text1"/>
          <w:sz w:val="32"/>
          <w:szCs w:val="32"/>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napToGrid/>
        <w:spacing w:line="600" w:lineRule="exact"/>
        <w:rPr>
          <w:rFonts w:hint="eastAsia" w:ascii="宋体" w:hAnsi="宋体" w:eastAsia="宋体" w:cs="宋体"/>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kern w:val="0"/>
          <w:sz w:val="32"/>
          <w:szCs w:val="32"/>
          <w:highlight w:val="none"/>
          <w14:textFill>
            <w14:solidFill>
              <w14:schemeClr w14:val="tx1"/>
            </w14:solidFill>
          </w14:textFill>
        </w:rPr>
        <w:t>项目名称：</w:t>
      </w:r>
      <w:r>
        <w:rPr>
          <w:rFonts w:hint="eastAsia" w:ascii="宋体" w:hAnsi="宋体" w:eastAsia="宋体" w:cs="宋体"/>
          <w:color w:val="000000" w:themeColor="text1"/>
          <w:sz w:val="32"/>
          <w:szCs w:val="32"/>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napToGrid/>
        <w:spacing w:line="600" w:lineRule="exact"/>
        <w:rPr>
          <w:rFonts w:hint="eastAsia" w:ascii="宋体" w:hAnsi="宋体" w:eastAsia="宋体" w:cs="宋体"/>
          <w:color w:val="000000" w:themeColor="text1"/>
          <w:kern w:val="0"/>
          <w:sz w:val="32"/>
          <w:szCs w:val="32"/>
          <w:highlight w:val="none"/>
          <w:u w:val="single"/>
          <w14:textFill>
            <w14:solidFill>
              <w14:schemeClr w14:val="tx1"/>
            </w14:solidFill>
          </w14:textFill>
        </w:rPr>
      </w:pPr>
      <w:r>
        <w:rPr>
          <w:rFonts w:hint="eastAsia" w:ascii="宋体" w:hAnsi="宋体" w:eastAsia="宋体" w:cs="宋体"/>
          <w:color w:val="000000" w:themeColor="text1"/>
          <w:kern w:val="0"/>
          <w:sz w:val="32"/>
          <w:szCs w:val="32"/>
          <w:highlight w:val="none"/>
          <w14:textFill>
            <w14:solidFill>
              <w14:schemeClr w14:val="tx1"/>
            </w14:solidFill>
          </w14:textFill>
        </w:rPr>
        <w:t>项目编号：</w:t>
      </w:r>
      <w:r>
        <w:rPr>
          <w:rFonts w:hint="eastAsia" w:ascii="宋体" w:hAnsi="宋体" w:eastAsia="宋体" w:cs="宋体"/>
          <w:color w:val="000000" w:themeColor="text1"/>
          <w:kern w:val="0"/>
          <w:sz w:val="32"/>
          <w:szCs w:val="32"/>
          <w:highlight w:val="none"/>
          <w:u w:val="single"/>
          <w14:textFill>
            <w14:solidFill>
              <w14:schemeClr w14:val="tx1"/>
            </w14:solidFill>
          </w14:textFill>
        </w:rPr>
        <w:t xml:space="preserve"> </w:t>
      </w:r>
      <w:r>
        <w:rPr>
          <w:rFonts w:hint="eastAsia" w:ascii="宋体" w:hAnsi="宋体" w:eastAsia="宋体" w:cs="宋体"/>
          <w:color w:val="000000" w:themeColor="text1"/>
          <w:sz w:val="32"/>
          <w:szCs w:val="32"/>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napToGrid/>
        <w:spacing w:line="600" w:lineRule="exact"/>
        <w:rPr>
          <w:rFonts w:hint="eastAsia" w:ascii="宋体" w:hAnsi="宋体" w:eastAsia="宋体" w:cs="宋体"/>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kern w:val="0"/>
          <w:sz w:val="32"/>
          <w:szCs w:val="32"/>
          <w:highlight w:val="none"/>
          <w14:textFill>
            <w14:solidFill>
              <w14:schemeClr w14:val="tx1"/>
            </w14:solidFill>
          </w14:textFill>
        </w:rPr>
        <w:t>签订地点：</w:t>
      </w:r>
      <w:r>
        <w:rPr>
          <w:rFonts w:hint="eastAsia" w:ascii="宋体" w:hAnsi="宋体" w:eastAsia="宋体" w:cs="宋体"/>
          <w:color w:val="000000" w:themeColor="text1"/>
          <w:sz w:val="32"/>
          <w:szCs w:val="32"/>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napToGrid/>
        <w:spacing w:line="600" w:lineRule="exact"/>
        <w:rPr>
          <w:rFonts w:hint="eastAsia" w:ascii="宋体" w:hAnsi="宋体" w:eastAsia="宋体" w:cs="宋体"/>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kern w:val="0"/>
          <w:sz w:val="32"/>
          <w:szCs w:val="32"/>
          <w:highlight w:val="none"/>
          <w14:textFill>
            <w14:solidFill>
              <w14:schemeClr w14:val="tx1"/>
            </w14:solidFill>
          </w14:textFill>
        </w:rPr>
        <w:t>签订时间：</w:t>
      </w:r>
      <w:r>
        <w:rPr>
          <w:rFonts w:hint="eastAsia" w:ascii="宋体" w:hAnsi="宋体" w:eastAsia="宋体" w:cs="宋体"/>
          <w:color w:val="000000" w:themeColor="text1"/>
          <w:sz w:val="32"/>
          <w:szCs w:val="32"/>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napToGrid/>
        <w:spacing w:line="600" w:lineRule="exact"/>
        <w:rPr>
          <w:rFonts w:hint="eastAsia" w:ascii="宋体" w:hAnsi="宋体" w:eastAsia="宋体" w:cs="宋体"/>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kern w:val="0"/>
          <w:sz w:val="32"/>
          <w:szCs w:val="32"/>
          <w:highlight w:val="none"/>
          <w14:textFill>
            <w14:solidFill>
              <w14:schemeClr w14:val="tx1"/>
            </w14:solidFill>
          </w14:textFill>
        </w:rPr>
        <w:t>甲方（采购人）：</w:t>
      </w:r>
      <w:r>
        <w:rPr>
          <w:rFonts w:hint="eastAsia" w:ascii="宋体" w:hAnsi="宋体" w:eastAsia="宋体" w:cs="宋体"/>
          <w:color w:val="000000" w:themeColor="text1"/>
          <w:kern w:val="0"/>
          <w:sz w:val="32"/>
          <w:szCs w:val="32"/>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napToGrid/>
        <w:spacing w:line="600" w:lineRule="exact"/>
        <w:rPr>
          <w:rFonts w:hint="eastAsia" w:ascii="宋体" w:hAnsi="宋体" w:eastAsia="宋体" w:cs="宋体"/>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kern w:val="0"/>
          <w:sz w:val="32"/>
          <w:szCs w:val="32"/>
          <w:highlight w:val="none"/>
          <w14:textFill>
            <w14:solidFill>
              <w14:schemeClr w14:val="tx1"/>
            </w14:solidFill>
          </w14:textFill>
        </w:rPr>
        <w:t>住所地：</w:t>
      </w:r>
      <w:r>
        <w:rPr>
          <w:rFonts w:hint="eastAsia" w:ascii="宋体" w:hAnsi="宋体" w:eastAsia="宋体" w:cs="宋体"/>
          <w:color w:val="000000" w:themeColor="text1"/>
          <w:kern w:val="0"/>
          <w:sz w:val="32"/>
          <w:szCs w:val="32"/>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napToGrid/>
        <w:spacing w:line="600" w:lineRule="exact"/>
        <w:rPr>
          <w:rFonts w:hint="eastAsia" w:ascii="宋体" w:hAnsi="宋体" w:eastAsia="宋体" w:cs="宋体"/>
          <w:color w:val="000000" w:themeColor="text1"/>
          <w:kern w:val="0"/>
          <w:sz w:val="32"/>
          <w:szCs w:val="32"/>
          <w:highlight w:val="none"/>
          <w:u w:val="single"/>
          <w14:textFill>
            <w14:solidFill>
              <w14:schemeClr w14:val="tx1"/>
            </w14:solidFill>
          </w14:textFill>
        </w:rPr>
      </w:pPr>
      <w:r>
        <w:rPr>
          <w:rFonts w:hint="eastAsia" w:ascii="宋体" w:hAnsi="宋体" w:eastAsia="宋体" w:cs="宋体"/>
          <w:color w:val="000000" w:themeColor="text1"/>
          <w:kern w:val="0"/>
          <w:sz w:val="32"/>
          <w:szCs w:val="32"/>
          <w:highlight w:val="none"/>
          <w14:textFill>
            <w14:solidFill>
              <w14:schemeClr w14:val="tx1"/>
            </w14:solidFill>
          </w14:textFill>
        </w:rPr>
        <w:t>法定代表人：</w:t>
      </w:r>
      <w:r>
        <w:rPr>
          <w:rFonts w:hint="eastAsia" w:ascii="宋体" w:hAnsi="宋体" w:eastAsia="宋体" w:cs="宋体"/>
          <w:color w:val="000000" w:themeColor="text1"/>
          <w:kern w:val="0"/>
          <w:sz w:val="32"/>
          <w:szCs w:val="32"/>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napToGrid/>
        <w:spacing w:line="600" w:lineRule="exact"/>
        <w:rPr>
          <w:rFonts w:hint="eastAsia" w:ascii="宋体" w:hAnsi="宋体" w:eastAsia="宋体" w:cs="宋体"/>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kern w:val="0"/>
          <w:sz w:val="32"/>
          <w:szCs w:val="32"/>
          <w:highlight w:val="none"/>
          <w14:textFill>
            <w14:solidFill>
              <w14:schemeClr w14:val="tx1"/>
            </w14:solidFill>
          </w14:textFill>
        </w:rPr>
        <w:t>通讯地址：</w:t>
      </w:r>
      <w:r>
        <w:rPr>
          <w:rFonts w:hint="eastAsia" w:ascii="宋体" w:hAnsi="宋体" w:eastAsia="宋体" w:cs="宋体"/>
          <w:color w:val="000000" w:themeColor="text1"/>
          <w:kern w:val="0"/>
          <w:sz w:val="32"/>
          <w:szCs w:val="32"/>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napToGrid/>
        <w:spacing w:line="600" w:lineRule="exact"/>
        <w:rPr>
          <w:rFonts w:hint="eastAsia" w:ascii="宋体" w:hAnsi="宋体" w:eastAsia="宋体" w:cs="宋体"/>
          <w:color w:val="000000" w:themeColor="text1"/>
          <w:kern w:val="0"/>
          <w:sz w:val="32"/>
          <w:szCs w:val="32"/>
          <w:highlight w:val="none"/>
          <w:u w:val="single"/>
          <w14:textFill>
            <w14:solidFill>
              <w14:schemeClr w14:val="tx1"/>
            </w14:solidFill>
          </w14:textFill>
        </w:rPr>
      </w:pPr>
      <w:r>
        <w:rPr>
          <w:rFonts w:hint="eastAsia" w:ascii="宋体" w:hAnsi="宋体" w:eastAsia="宋体" w:cs="宋体"/>
          <w:color w:val="000000" w:themeColor="text1"/>
          <w:kern w:val="0"/>
          <w:sz w:val="32"/>
          <w:szCs w:val="32"/>
          <w:highlight w:val="none"/>
          <w14:textFill>
            <w14:solidFill>
              <w14:schemeClr w14:val="tx1"/>
            </w14:solidFill>
          </w14:textFill>
        </w:rPr>
        <w:t>联系电话：</w:t>
      </w:r>
      <w:r>
        <w:rPr>
          <w:rFonts w:hint="eastAsia" w:ascii="宋体" w:hAnsi="宋体" w:eastAsia="宋体" w:cs="宋体"/>
          <w:color w:val="000000" w:themeColor="text1"/>
          <w:kern w:val="0"/>
          <w:sz w:val="32"/>
          <w:szCs w:val="32"/>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napToGrid/>
        <w:spacing w:line="600" w:lineRule="exact"/>
        <w:rPr>
          <w:rFonts w:hint="eastAsia" w:ascii="宋体" w:hAnsi="宋体" w:eastAsia="宋体" w:cs="宋体"/>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kern w:val="0"/>
          <w:sz w:val="32"/>
          <w:szCs w:val="32"/>
          <w:highlight w:val="none"/>
          <w14:textFill>
            <w14:solidFill>
              <w14:schemeClr w14:val="tx1"/>
            </w14:solidFill>
          </w14:textFill>
        </w:rPr>
        <w:t>电子邮箱：</w:t>
      </w:r>
      <w:r>
        <w:rPr>
          <w:rFonts w:hint="eastAsia" w:ascii="宋体" w:hAnsi="宋体" w:eastAsia="宋体" w:cs="宋体"/>
          <w:color w:val="000000" w:themeColor="text1"/>
          <w:kern w:val="0"/>
          <w:sz w:val="32"/>
          <w:szCs w:val="32"/>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napToGrid/>
        <w:spacing w:line="600" w:lineRule="exact"/>
        <w:rPr>
          <w:rFonts w:hint="eastAsia" w:ascii="宋体" w:hAnsi="宋体" w:eastAsia="宋体" w:cs="宋体"/>
          <w:color w:val="000000" w:themeColor="text1"/>
          <w:kern w:val="0"/>
          <w:sz w:val="32"/>
          <w:szCs w:val="32"/>
          <w:highlight w:val="none"/>
          <w:u w:val="single"/>
          <w14:textFill>
            <w14:solidFill>
              <w14:schemeClr w14:val="tx1"/>
            </w14:solidFill>
          </w14:textFill>
        </w:rPr>
      </w:pPr>
      <w:r>
        <w:rPr>
          <w:rFonts w:hint="eastAsia" w:ascii="宋体" w:hAnsi="宋体" w:eastAsia="宋体" w:cs="宋体"/>
          <w:color w:val="000000" w:themeColor="text1"/>
          <w:kern w:val="0"/>
          <w:sz w:val="32"/>
          <w:szCs w:val="32"/>
          <w:highlight w:val="none"/>
          <w14:textFill>
            <w14:solidFill>
              <w14:schemeClr w14:val="tx1"/>
            </w14:solidFill>
          </w14:textFill>
        </w:rPr>
        <w:t>乙方（供应商）：</w:t>
      </w:r>
      <w:r>
        <w:rPr>
          <w:rFonts w:hint="eastAsia" w:ascii="宋体" w:hAnsi="宋体" w:eastAsia="宋体" w:cs="宋体"/>
          <w:color w:val="000000" w:themeColor="text1"/>
          <w:kern w:val="0"/>
          <w:sz w:val="32"/>
          <w:szCs w:val="32"/>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napToGrid/>
        <w:spacing w:line="600" w:lineRule="exact"/>
        <w:rPr>
          <w:rFonts w:hint="eastAsia" w:ascii="宋体" w:hAnsi="宋体" w:eastAsia="宋体" w:cs="宋体"/>
          <w:color w:val="000000" w:themeColor="text1"/>
          <w:kern w:val="0"/>
          <w:sz w:val="32"/>
          <w:szCs w:val="32"/>
          <w:highlight w:val="none"/>
          <w:u w:val="single"/>
          <w14:textFill>
            <w14:solidFill>
              <w14:schemeClr w14:val="tx1"/>
            </w14:solidFill>
          </w14:textFill>
        </w:rPr>
      </w:pPr>
      <w:r>
        <w:rPr>
          <w:rFonts w:hint="eastAsia" w:ascii="宋体" w:hAnsi="宋体" w:eastAsia="宋体" w:cs="宋体"/>
          <w:color w:val="000000" w:themeColor="text1"/>
          <w:kern w:val="0"/>
          <w:sz w:val="32"/>
          <w:szCs w:val="32"/>
          <w:highlight w:val="none"/>
          <w14:textFill>
            <w14:solidFill>
              <w14:schemeClr w14:val="tx1"/>
            </w14:solidFill>
          </w14:textFill>
        </w:rPr>
        <w:t>住所地：</w:t>
      </w:r>
      <w:r>
        <w:rPr>
          <w:rFonts w:hint="eastAsia" w:ascii="宋体" w:hAnsi="宋体" w:eastAsia="宋体" w:cs="宋体"/>
          <w:color w:val="000000" w:themeColor="text1"/>
          <w:kern w:val="0"/>
          <w:sz w:val="32"/>
          <w:szCs w:val="32"/>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napToGrid/>
        <w:spacing w:line="600" w:lineRule="exact"/>
        <w:rPr>
          <w:rFonts w:hint="eastAsia" w:ascii="宋体" w:hAnsi="宋体" w:eastAsia="宋体" w:cs="宋体"/>
          <w:color w:val="000000" w:themeColor="text1"/>
          <w:kern w:val="0"/>
          <w:sz w:val="32"/>
          <w:szCs w:val="32"/>
          <w:highlight w:val="none"/>
          <w:u w:val="single"/>
          <w14:textFill>
            <w14:solidFill>
              <w14:schemeClr w14:val="tx1"/>
            </w14:solidFill>
          </w14:textFill>
        </w:rPr>
      </w:pPr>
      <w:r>
        <w:rPr>
          <w:rFonts w:hint="eastAsia" w:ascii="宋体" w:hAnsi="宋体" w:eastAsia="宋体" w:cs="宋体"/>
          <w:color w:val="000000" w:themeColor="text1"/>
          <w:kern w:val="0"/>
          <w:sz w:val="32"/>
          <w:szCs w:val="32"/>
          <w:highlight w:val="none"/>
          <w14:textFill>
            <w14:solidFill>
              <w14:schemeClr w14:val="tx1"/>
            </w14:solidFill>
          </w14:textFill>
        </w:rPr>
        <w:t>法定代表人：</w:t>
      </w:r>
      <w:r>
        <w:rPr>
          <w:rFonts w:hint="eastAsia" w:ascii="宋体" w:hAnsi="宋体" w:eastAsia="宋体" w:cs="宋体"/>
          <w:color w:val="000000" w:themeColor="text1"/>
          <w:kern w:val="0"/>
          <w:sz w:val="32"/>
          <w:szCs w:val="32"/>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napToGrid/>
        <w:spacing w:line="600" w:lineRule="exact"/>
        <w:rPr>
          <w:rFonts w:hint="eastAsia" w:ascii="宋体" w:hAnsi="宋体" w:eastAsia="宋体" w:cs="宋体"/>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kern w:val="0"/>
          <w:sz w:val="32"/>
          <w:szCs w:val="32"/>
          <w:highlight w:val="none"/>
          <w14:textFill>
            <w14:solidFill>
              <w14:schemeClr w14:val="tx1"/>
            </w14:solidFill>
          </w14:textFill>
        </w:rPr>
        <w:t>通讯地址：</w:t>
      </w:r>
      <w:r>
        <w:rPr>
          <w:rFonts w:hint="eastAsia" w:ascii="宋体" w:hAnsi="宋体" w:eastAsia="宋体" w:cs="宋体"/>
          <w:color w:val="000000" w:themeColor="text1"/>
          <w:kern w:val="0"/>
          <w:sz w:val="32"/>
          <w:szCs w:val="32"/>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napToGrid/>
        <w:spacing w:line="600" w:lineRule="exact"/>
        <w:rPr>
          <w:rFonts w:hint="eastAsia" w:ascii="宋体" w:hAnsi="宋体" w:eastAsia="宋体" w:cs="宋体"/>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kern w:val="0"/>
          <w:sz w:val="32"/>
          <w:szCs w:val="32"/>
          <w:highlight w:val="none"/>
          <w14:textFill>
            <w14:solidFill>
              <w14:schemeClr w14:val="tx1"/>
            </w14:solidFill>
          </w14:textFill>
        </w:rPr>
        <w:t>联系电话：</w:t>
      </w:r>
      <w:r>
        <w:rPr>
          <w:rFonts w:hint="eastAsia" w:ascii="宋体" w:hAnsi="宋体" w:eastAsia="宋体" w:cs="宋体"/>
          <w:color w:val="000000" w:themeColor="text1"/>
          <w:kern w:val="0"/>
          <w:sz w:val="32"/>
          <w:szCs w:val="32"/>
          <w:highlight w:val="none"/>
          <w:u w:val="single"/>
          <w14:textFill>
            <w14:solidFill>
              <w14:schemeClr w14:val="tx1"/>
            </w14:solidFill>
          </w14:textFill>
        </w:rPr>
        <w:t xml:space="preserve">                                              </w:t>
      </w:r>
    </w:p>
    <w:p>
      <w:pPr>
        <w:pStyle w:val="35"/>
        <w:keepNext w:val="0"/>
        <w:keepLines w:val="0"/>
        <w:pageBreakBefore w:val="0"/>
        <w:kinsoku/>
        <w:wordWrap/>
        <w:overflowPunct/>
        <w:topLinePunct w:val="0"/>
        <w:autoSpaceDE/>
        <w:autoSpaceDN/>
        <w:bidi w:val="0"/>
        <w:snapToGrid/>
        <w:spacing w:afterLines="0" w:line="600" w:lineRule="exact"/>
        <w:ind w:left="0" w:leftChars="0" w:firstLine="0" w:firstLineChars="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kern w:val="0"/>
          <w:sz w:val="32"/>
          <w:szCs w:val="32"/>
          <w:highlight w:val="none"/>
          <w14:textFill>
            <w14:solidFill>
              <w14:schemeClr w14:val="tx1"/>
            </w14:solidFill>
          </w14:textFill>
        </w:rPr>
        <w:t>电子邮箱：</w:t>
      </w:r>
      <w:r>
        <w:rPr>
          <w:rFonts w:hint="eastAsia" w:ascii="宋体" w:hAnsi="宋体" w:eastAsia="宋体" w:cs="宋体"/>
          <w:color w:val="000000" w:themeColor="text1"/>
          <w:kern w:val="0"/>
          <w:sz w:val="32"/>
          <w:szCs w:val="32"/>
          <w:highlight w:val="none"/>
          <w:u w:val="single"/>
          <w14:textFill>
            <w14:solidFill>
              <w14:schemeClr w14:val="tx1"/>
            </w14:solidFill>
          </w14:textFill>
        </w:rPr>
        <w:t xml:space="preserve">                                              </w:t>
      </w:r>
      <w:r>
        <w:rPr>
          <w:rFonts w:hint="eastAsia" w:ascii="宋体" w:hAnsi="宋体" w:eastAsia="宋体" w:cs="宋体"/>
          <w:color w:val="000000" w:themeColor="text1"/>
          <w:sz w:val="32"/>
          <w:szCs w:val="32"/>
          <w:highlight w:val="none"/>
          <w14:textFill>
            <w14:solidFill>
              <w14:schemeClr w14:val="tx1"/>
            </w14:solidFill>
          </w14:textFill>
        </w:rPr>
        <w:t xml:space="preserve">    </w:t>
      </w:r>
    </w:p>
    <w:p>
      <w:pPr>
        <w:bidi w:val="0"/>
        <w:rPr>
          <w:rFonts w:hint="eastAsia"/>
          <w:color w:val="000000" w:themeColor="text1"/>
          <w:highlight w:val="none"/>
          <w14:textFill>
            <w14:solidFill>
              <w14:schemeClr w14:val="tx1"/>
            </w14:solidFill>
          </w14:textFill>
        </w:rPr>
      </w:pPr>
    </w:p>
    <w:p>
      <w:pPr>
        <w:bidi w:val="0"/>
        <w:rPr>
          <w:rFonts w:hint="eastAsia"/>
          <w:color w:val="000000" w:themeColor="text1"/>
          <w:highlight w:val="none"/>
          <w14:textFill>
            <w14:solidFill>
              <w14:schemeClr w14:val="tx1"/>
            </w14:solidFill>
          </w14:textFill>
        </w:rPr>
      </w:pPr>
    </w:p>
    <w:p>
      <w:pPr>
        <w:bidi w:val="0"/>
        <w:rPr>
          <w:rFonts w:hint="eastAsia"/>
          <w:color w:val="000000" w:themeColor="text1"/>
          <w:highlight w:val="none"/>
          <w14:textFill>
            <w14:solidFill>
              <w14:schemeClr w14:val="tx1"/>
            </w14:solidFill>
          </w14:textFill>
        </w:rPr>
      </w:pPr>
    </w:p>
    <w:p>
      <w:pPr>
        <w:bidi w:val="0"/>
        <w:rPr>
          <w:rFonts w:hint="eastAsia"/>
          <w:color w:val="000000" w:themeColor="text1"/>
          <w:highlight w:val="none"/>
          <w14:textFill>
            <w14:solidFill>
              <w14:schemeClr w14:val="tx1"/>
            </w14:solidFill>
          </w14:textFill>
        </w:rPr>
      </w:pPr>
    </w:p>
    <w:p>
      <w:pPr>
        <w:pStyle w:val="5"/>
        <w:rPr>
          <w:rFonts w:hint="eastAsia"/>
          <w:color w:val="000000" w:themeColor="text1"/>
          <w:highlight w:val="none"/>
          <w14:textFill>
            <w14:solidFill>
              <w14:schemeClr w14:val="tx1"/>
            </w14:solidFill>
          </w14:textFill>
        </w:rPr>
      </w:pPr>
    </w:p>
    <w:p>
      <w:pPr>
        <w:tabs>
          <w:tab w:val="left" w:pos="5526"/>
        </w:tabs>
        <w:bidi w:val="0"/>
        <w:jc w:val="left"/>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ab/>
      </w:r>
    </w:p>
    <w:p>
      <w:pPr>
        <w:spacing w:line="600" w:lineRule="exact"/>
        <w:ind w:firstLine="643" w:firstLineChars="200"/>
        <w:jc w:val="center"/>
        <w:rPr>
          <w:rFonts w:hint="eastAsia" w:ascii="方正小标宋_GBK" w:hAnsi="方正小标宋_GBK" w:eastAsia="方正小标宋_GBK" w:cs="方正小标宋_GBK"/>
          <w:b/>
          <w:bCs/>
          <w:color w:val="000000" w:themeColor="text1"/>
          <w:sz w:val="32"/>
          <w:szCs w:val="32"/>
          <w:highlight w:val="none"/>
          <w:lang w:val="en-US" w:eastAsia="zh-CN"/>
          <w14:textFill>
            <w14:solidFill>
              <w14:schemeClr w14:val="tx1"/>
            </w14:solidFill>
          </w14:textFill>
        </w:rPr>
      </w:pPr>
      <w:bookmarkStart w:id="82" w:name="_Toc23449"/>
      <w:r>
        <w:rPr>
          <w:rFonts w:hint="eastAsia" w:ascii="方正小标宋_GBK" w:hAnsi="方正小标宋_GBK" w:eastAsia="方正小标宋_GBK" w:cs="方正小标宋_GBK"/>
          <w:b/>
          <w:bCs/>
          <w:color w:val="000000" w:themeColor="text1"/>
          <w:sz w:val="32"/>
          <w:szCs w:val="32"/>
          <w:highlight w:val="none"/>
          <w:lang w:val="en-US" w:eastAsia="zh-CN"/>
          <w14:textFill>
            <w14:solidFill>
              <w14:schemeClr w14:val="tx1"/>
            </w14:solidFill>
          </w14:textFill>
        </w:rPr>
        <w:t>合同书正文</w:t>
      </w:r>
      <w:bookmarkEnd w:id="82"/>
    </w:p>
    <w:p>
      <w:pPr>
        <w:pStyle w:val="5"/>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color w:val="000000" w:themeColor="text1"/>
          <w:highlight w:val="none"/>
          <w14:textFill>
            <w14:solidFill>
              <w14:schemeClr w14:val="tx1"/>
            </w14:solidFill>
          </w14:textFill>
        </w:rPr>
      </w:pP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根据《中华人民共和国政府采购法》《中华人民共和国民法典》等法律、法规规定，按照采购文件规定条款和</w:t>
      </w:r>
      <w:r>
        <w:rPr>
          <w:rFonts w:hint="eastAsia" w:ascii="宋体" w:hAnsi="宋体" w:eastAsia="宋体" w:cs="宋体"/>
          <w:color w:val="000000" w:themeColor="text1"/>
          <w:sz w:val="21"/>
          <w:szCs w:val="21"/>
          <w:highlight w:val="none"/>
          <w:lang w:val="en-US" w:eastAsia="zh-CN"/>
          <w14:textFill>
            <w14:solidFill>
              <w14:schemeClr w14:val="tx1"/>
            </w14:solidFill>
          </w14:textFill>
        </w:rPr>
        <w:t>响应</w:t>
      </w:r>
      <w:r>
        <w:rPr>
          <w:rFonts w:hint="eastAsia" w:ascii="宋体" w:hAnsi="宋体" w:eastAsia="宋体" w:cs="宋体"/>
          <w:color w:val="000000" w:themeColor="text1"/>
          <w:sz w:val="21"/>
          <w:szCs w:val="21"/>
          <w:highlight w:val="none"/>
          <w14:textFill>
            <w14:solidFill>
              <w14:schemeClr w14:val="tx1"/>
            </w14:solidFill>
          </w14:textFill>
        </w:rPr>
        <w:t>文件及承诺，甲乙双方签订本合同。</w:t>
      </w:r>
    </w:p>
    <w:p>
      <w:pPr>
        <w:pageBreakBefore w:val="0"/>
        <w:widowControl w:val="0"/>
        <w:kinsoku/>
        <w:wordWrap/>
        <w:overflowPunct/>
        <w:topLinePunct w:val="0"/>
        <w:autoSpaceDE/>
        <w:autoSpaceDN/>
        <w:bidi w:val="0"/>
        <w:adjustRightInd/>
        <w:snapToGrid/>
        <w:spacing w:line="400" w:lineRule="exact"/>
        <w:ind w:left="0" w:firstLine="422" w:firstLineChars="20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第一条  合同标的</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1.供货一览表</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合同为甲方需使用到的所有产品，包含该分包所列详细分类产品（具体详见</w:t>
      </w:r>
      <w:r>
        <w:rPr>
          <w:rFonts w:hint="eastAsia" w:ascii="宋体" w:hAnsi="宋体" w:eastAsia="宋体" w:cs="宋体"/>
          <w:strike w:val="0"/>
          <w:dstrike w:val="0"/>
          <w:color w:val="000000" w:themeColor="text1"/>
          <w:sz w:val="21"/>
          <w:szCs w:val="21"/>
          <w:highlight w:val="none"/>
          <w:lang w:val="en-US" w:eastAsia="zh-CN"/>
          <w14:textFill>
            <w14:solidFill>
              <w14:schemeClr w14:val="tx1"/>
            </w14:solidFill>
          </w14:textFill>
        </w:rPr>
        <w:t>采购需求表</w:t>
      </w:r>
      <w:r>
        <w:rPr>
          <w:rFonts w:hint="eastAsia" w:ascii="宋体" w:hAnsi="宋体" w:eastAsia="宋体" w:cs="宋体"/>
          <w:color w:val="000000" w:themeColor="text1"/>
          <w:sz w:val="21"/>
          <w:szCs w:val="21"/>
          <w:highlight w:val="none"/>
          <w:lang w:val="en-US" w:eastAsia="zh-CN"/>
          <w14:textFill>
            <w14:solidFill>
              <w14:schemeClr w14:val="tx1"/>
            </w14:solidFill>
          </w14:textFill>
        </w:rPr>
        <w:t>）。实际结算金额=所购买产品的采购预算价×</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整体折扣比例</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val="en-US" w:eastAsia="zh-CN"/>
          <w14:textFill>
            <w14:solidFill>
              <w14:schemeClr w14:val="tx1"/>
            </w14:solidFill>
          </w14:textFill>
        </w:rPr>
        <w:t>%）×实际购买数量。</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2.合同金额为（</w:t>
      </w:r>
      <w:r>
        <w:rPr>
          <w:rFonts w:hint="eastAsia" w:ascii="宋体" w:hAnsi="宋体" w:cs="宋体"/>
          <w:color w:val="000000" w:themeColor="text1"/>
          <w:sz w:val="21"/>
          <w:szCs w:val="21"/>
          <w:highlight w:val="none"/>
          <w:lang w:val="en-US" w:eastAsia="zh-CN"/>
          <w14:textFill>
            <w14:solidFill>
              <w14:schemeClr w14:val="tx1"/>
            </w14:solidFill>
          </w14:textFill>
        </w:rPr>
        <w:t>1/2</w:t>
      </w:r>
      <w:r>
        <w:rPr>
          <w:rFonts w:hint="eastAsia" w:ascii="宋体" w:hAnsi="宋体" w:eastAsia="宋体" w:cs="宋体"/>
          <w:color w:val="000000" w:themeColor="text1"/>
          <w:sz w:val="21"/>
          <w:szCs w:val="21"/>
          <w:highlight w:val="none"/>
          <w:lang w:val="en-US" w:eastAsia="zh-CN"/>
          <w14:textFill>
            <w14:solidFill>
              <w14:schemeClr w14:val="tx1"/>
            </w14:solidFill>
          </w14:textFill>
        </w:rPr>
        <w:t>分</w:t>
      </w:r>
      <w:r>
        <w:rPr>
          <w:rFonts w:hint="eastAsia" w:ascii="宋体" w:hAnsi="宋体" w:cs="宋体"/>
          <w:color w:val="000000" w:themeColor="text1"/>
          <w:sz w:val="21"/>
          <w:szCs w:val="21"/>
          <w:highlight w:val="none"/>
          <w:lang w:val="en-US" w:eastAsia="zh-CN"/>
          <w14:textFill>
            <w14:solidFill>
              <w14:schemeClr w14:val="tx1"/>
            </w14:solidFill>
          </w14:textFill>
        </w:rPr>
        <w:t>包</w:t>
      </w:r>
      <w:r>
        <w:rPr>
          <w:rFonts w:hint="eastAsia" w:ascii="宋体" w:hAnsi="宋体" w:eastAsia="宋体" w:cs="宋体"/>
          <w:color w:val="000000" w:themeColor="text1"/>
          <w:sz w:val="21"/>
          <w:szCs w:val="21"/>
          <w:highlight w:val="none"/>
          <w14:textFill>
            <w14:solidFill>
              <w14:schemeClr w14:val="tx1"/>
            </w14:solidFill>
          </w14:textFill>
        </w:rPr>
        <w:t>的预算金额）人民币合计金额（大写）</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（小写）</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，甲方按实际金额进行结算并不超过本合同金额。 </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合同合计金额包括货物到达甲方并能正常使用所需的一切费用，包括但不限于采购货物的货物购置费、质保费、售后服务费及将货物运至指定地点所发生的运输费、装卸费、安装调试费、人工费等货物伴随服务的费用以及辅助服务费用、包装费、保险费、技术服务费、培训费、保修费和所需缴纳的一切相关税、费等。</w:t>
      </w:r>
    </w:p>
    <w:p>
      <w:pPr>
        <w:pageBreakBefore w:val="0"/>
        <w:widowControl w:val="0"/>
        <w:kinsoku/>
        <w:wordWrap/>
        <w:overflowPunct/>
        <w:topLinePunct w:val="0"/>
        <w:autoSpaceDE/>
        <w:autoSpaceDN/>
        <w:bidi w:val="0"/>
        <w:adjustRightInd/>
        <w:snapToGrid/>
        <w:spacing w:line="400" w:lineRule="exact"/>
        <w:ind w:left="0" w:firstLine="422" w:firstLineChars="20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第二条  质量保证</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1.乙方所提供的产品名称、商标品牌、生产厂家、规格型号、技术参数、质量等必须与</w:t>
      </w:r>
      <w:r>
        <w:rPr>
          <w:rFonts w:hint="eastAsia" w:ascii="宋体" w:hAnsi="宋体" w:eastAsia="宋体" w:cs="宋体"/>
          <w:color w:val="000000" w:themeColor="text1"/>
          <w:sz w:val="21"/>
          <w:szCs w:val="21"/>
          <w:highlight w:val="none"/>
          <w:lang w:val="en-US" w:eastAsia="zh-CN"/>
          <w14:textFill>
            <w14:solidFill>
              <w14:schemeClr w14:val="tx1"/>
            </w14:solidFill>
          </w14:textFill>
        </w:rPr>
        <w:t>采购</w:t>
      </w:r>
      <w:r>
        <w:rPr>
          <w:rFonts w:hint="eastAsia" w:ascii="宋体" w:hAnsi="宋体" w:eastAsia="宋体" w:cs="宋体"/>
          <w:color w:val="000000" w:themeColor="text1"/>
          <w:sz w:val="21"/>
          <w:szCs w:val="21"/>
          <w:highlight w:val="none"/>
          <w14:textFill>
            <w14:solidFill>
              <w14:schemeClr w14:val="tx1"/>
            </w14:solidFill>
          </w14:textFill>
        </w:rPr>
        <w:t>文件规定、</w:t>
      </w:r>
      <w:r>
        <w:rPr>
          <w:rFonts w:hint="eastAsia" w:ascii="宋体" w:hAnsi="宋体" w:eastAsia="宋体" w:cs="宋体"/>
          <w:color w:val="000000" w:themeColor="text1"/>
          <w:sz w:val="21"/>
          <w:szCs w:val="21"/>
          <w:highlight w:val="none"/>
          <w:lang w:val="en-US" w:eastAsia="zh-CN"/>
          <w14:textFill>
            <w14:solidFill>
              <w14:schemeClr w14:val="tx1"/>
            </w14:solidFill>
          </w14:textFill>
        </w:rPr>
        <w:t>响应</w:t>
      </w:r>
      <w:r>
        <w:rPr>
          <w:rFonts w:hint="eastAsia" w:ascii="宋体" w:hAnsi="宋体" w:eastAsia="宋体" w:cs="宋体"/>
          <w:color w:val="000000" w:themeColor="text1"/>
          <w:sz w:val="21"/>
          <w:szCs w:val="21"/>
          <w:highlight w:val="none"/>
          <w14:textFill>
            <w14:solidFill>
              <w14:schemeClr w14:val="tx1"/>
            </w14:solidFill>
          </w14:textFill>
        </w:rPr>
        <w:t>文件及承诺相一致，并符合国家标准和行业标准对货物质量的规定。未制定国家标准、行业标准的，按照通常标准或者符合合同目的的特定标准确定，符合保障人体健康和人身、财产安全的要求。</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2.乙方所提供的货物必须是全新、未使用的原装产品，且在正常安装、使用和保养条件下，其使用寿命期内各项指标均达到</w:t>
      </w:r>
      <w:r>
        <w:rPr>
          <w:rFonts w:hint="eastAsia" w:ascii="宋体" w:hAnsi="宋体" w:eastAsia="宋体" w:cs="宋体"/>
          <w:color w:val="000000" w:themeColor="text1"/>
          <w:sz w:val="21"/>
          <w:szCs w:val="21"/>
          <w:highlight w:val="none"/>
          <w:lang w:eastAsia="zh-CN"/>
          <w14:textFill>
            <w14:solidFill>
              <w14:schemeClr w14:val="tx1"/>
            </w14:solidFill>
          </w14:textFill>
        </w:rPr>
        <w:t>响应</w:t>
      </w:r>
      <w:r>
        <w:rPr>
          <w:rFonts w:hint="eastAsia" w:ascii="宋体" w:hAnsi="宋体" w:eastAsia="宋体" w:cs="宋体"/>
          <w:color w:val="000000" w:themeColor="text1"/>
          <w:sz w:val="21"/>
          <w:szCs w:val="21"/>
          <w:highlight w:val="none"/>
          <w14:textFill>
            <w14:solidFill>
              <w14:schemeClr w14:val="tx1"/>
            </w14:solidFill>
          </w14:textFill>
        </w:rPr>
        <w:t>文件及承诺的质量要求。</w:t>
      </w:r>
    </w:p>
    <w:p>
      <w:pPr>
        <w:pageBreakBefore w:val="0"/>
        <w:widowControl w:val="0"/>
        <w:kinsoku/>
        <w:wordWrap/>
        <w:overflowPunct/>
        <w:topLinePunct w:val="0"/>
        <w:autoSpaceDE/>
        <w:autoSpaceDN/>
        <w:bidi w:val="0"/>
        <w:adjustRightInd/>
        <w:snapToGrid/>
        <w:spacing w:line="400" w:lineRule="exact"/>
        <w:ind w:left="0" w:firstLine="422" w:firstLineChars="200"/>
        <w:textAlignment w:val="auto"/>
        <w:rPr>
          <w:rFonts w:hint="eastAsia" w:ascii="宋体" w:hAnsi="宋体" w:eastAsia="宋体" w:cs="宋体"/>
          <w:b/>
          <w:bCs/>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第三条  权利保证</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乙方应保证所提供货物在使用时不会侵犯任何第三方的专利权、商标权、工业设计权或者其他权利。如乙方违反上述规定，则乙方应负责消除甲方拥有并使用乙方交付的货物、软件、技术资料等所存在的全部法律障碍，并赔偿甲方的损失。如甲方因使用乙方交付的货物构成侵权的，则由乙方承担全部责任。</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2.乙方应按</w:t>
      </w:r>
      <w:r>
        <w:rPr>
          <w:rFonts w:hint="eastAsia" w:ascii="宋体" w:hAnsi="宋体" w:eastAsia="宋体" w:cs="宋体"/>
          <w:color w:val="000000" w:themeColor="text1"/>
          <w:sz w:val="21"/>
          <w:szCs w:val="21"/>
          <w:highlight w:val="none"/>
          <w:lang w:val="en-US" w:eastAsia="zh-CN"/>
          <w14:textFill>
            <w14:solidFill>
              <w14:schemeClr w14:val="tx1"/>
            </w14:solidFill>
          </w14:textFill>
        </w:rPr>
        <w:t>采购</w:t>
      </w:r>
      <w:r>
        <w:rPr>
          <w:rFonts w:hint="eastAsia" w:ascii="宋体" w:hAnsi="宋体" w:eastAsia="宋体" w:cs="宋体"/>
          <w:color w:val="000000" w:themeColor="text1"/>
          <w:sz w:val="21"/>
          <w:szCs w:val="21"/>
          <w:highlight w:val="none"/>
          <w14:textFill>
            <w14:solidFill>
              <w14:schemeClr w14:val="tx1"/>
            </w14:solidFill>
          </w14:textFill>
        </w:rPr>
        <w:t>文件规定或者</w:t>
      </w:r>
      <w:r>
        <w:rPr>
          <w:rFonts w:hint="eastAsia" w:ascii="宋体" w:hAnsi="宋体" w:eastAsia="宋体" w:cs="宋体"/>
          <w:color w:val="000000" w:themeColor="text1"/>
          <w:sz w:val="21"/>
          <w:szCs w:val="21"/>
          <w:highlight w:val="none"/>
          <w:lang w:val="en-US" w:eastAsia="zh-CN"/>
          <w14:textFill>
            <w14:solidFill>
              <w14:schemeClr w14:val="tx1"/>
            </w14:solidFill>
          </w14:textFill>
        </w:rPr>
        <w:t>响应</w:t>
      </w:r>
      <w:r>
        <w:rPr>
          <w:rFonts w:hint="eastAsia" w:ascii="宋体" w:hAnsi="宋体" w:eastAsia="宋体" w:cs="宋体"/>
          <w:color w:val="000000" w:themeColor="text1"/>
          <w:sz w:val="21"/>
          <w:szCs w:val="21"/>
          <w:highlight w:val="none"/>
          <w14:textFill>
            <w14:solidFill>
              <w14:schemeClr w14:val="tx1"/>
            </w14:solidFill>
          </w14:textFill>
        </w:rPr>
        <w:t>文件承诺的时间向甲方提供使用货物的有关技术资料。</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无</w:t>
      </w:r>
      <w:r>
        <w:rPr>
          <w:rFonts w:hint="eastAsia" w:ascii="宋体" w:hAnsi="宋体" w:eastAsia="宋体" w:cs="宋体"/>
          <w:color w:val="000000" w:themeColor="text1"/>
          <w:sz w:val="21"/>
          <w:szCs w:val="21"/>
          <w:highlight w:val="none"/>
          <w14:textFill>
            <w14:solidFill>
              <w14:schemeClr w14:val="tx1"/>
            </w14:solidFill>
          </w14:textFill>
        </w:rPr>
        <w:t>甲方事先书面同意，乙方不得将由甲方提供的有关合同或者任何合同条文、规格、计划、图纸、样品或者资料提供给与履行本合同无关的任何其他人。即使向履行本合同有关的人员提供，也应注意保密并限于履行合同的必需范围。</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4.乙方保证将要交付的货物的所有权完全属于乙方且无任何抵押、质押、查封等产权瑕疵，否则乙方须承担因此给甲方造成的一切损失。</w:t>
      </w:r>
    </w:p>
    <w:p>
      <w:pPr>
        <w:pageBreakBefore w:val="0"/>
        <w:widowControl w:val="0"/>
        <w:kinsoku/>
        <w:wordWrap/>
        <w:overflowPunct/>
        <w:topLinePunct w:val="0"/>
        <w:autoSpaceDE/>
        <w:autoSpaceDN/>
        <w:bidi w:val="0"/>
        <w:adjustRightInd/>
        <w:snapToGrid/>
        <w:spacing w:line="400" w:lineRule="exact"/>
        <w:ind w:left="0" w:firstLine="422" w:firstLineChars="20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第四条  包装和运输</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1.乙方提供的货物均应按</w:t>
      </w:r>
      <w:r>
        <w:rPr>
          <w:rFonts w:hint="eastAsia" w:ascii="宋体" w:hAnsi="宋体" w:eastAsia="宋体" w:cs="宋体"/>
          <w:color w:val="000000" w:themeColor="text1"/>
          <w:sz w:val="21"/>
          <w:szCs w:val="21"/>
          <w:highlight w:val="none"/>
          <w:lang w:eastAsia="zh-CN"/>
          <w14:textFill>
            <w14:solidFill>
              <w14:schemeClr w14:val="tx1"/>
            </w14:solidFill>
          </w14:textFill>
        </w:rPr>
        <w:t>响应</w:t>
      </w:r>
      <w:r>
        <w:rPr>
          <w:rFonts w:hint="eastAsia" w:ascii="宋体" w:hAnsi="宋体" w:eastAsia="宋体" w:cs="宋体"/>
          <w:color w:val="000000" w:themeColor="text1"/>
          <w:sz w:val="21"/>
          <w:szCs w:val="21"/>
          <w:highlight w:val="none"/>
          <w14:textFill>
            <w14:solidFill>
              <w14:schemeClr w14:val="tx1"/>
            </w14:solidFill>
          </w14:textFill>
        </w:rPr>
        <w:t>文件规定或者</w:t>
      </w:r>
      <w:r>
        <w:rPr>
          <w:rFonts w:hint="eastAsia" w:ascii="宋体" w:hAnsi="宋体" w:eastAsia="宋体" w:cs="宋体"/>
          <w:color w:val="000000" w:themeColor="text1"/>
          <w:sz w:val="21"/>
          <w:szCs w:val="21"/>
          <w:highlight w:val="none"/>
          <w:lang w:eastAsia="zh-CN"/>
          <w14:textFill>
            <w14:solidFill>
              <w14:schemeClr w14:val="tx1"/>
            </w14:solidFill>
          </w14:textFill>
        </w:rPr>
        <w:t>响应</w:t>
      </w:r>
      <w:r>
        <w:rPr>
          <w:rFonts w:hint="eastAsia" w:ascii="宋体" w:hAnsi="宋体" w:eastAsia="宋体" w:cs="宋体"/>
          <w:color w:val="000000" w:themeColor="text1"/>
          <w:sz w:val="21"/>
          <w:szCs w:val="21"/>
          <w:highlight w:val="none"/>
          <w14:textFill>
            <w14:solidFill>
              <w14:schemeClr w14:val="tx1"/>
            </w14:solidFill>
          </w14:textFill>
        </w:rPr>
        <w:t>文件承诺的要求的包装材料、包装标准、包装方式进行包装，有原厂家包装的均应采用原厂家包装，每一包装单元内应附详细的装箱单。</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2.货物的运输方式：</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按甲方需求</w:t>
      </w:r>
      <w:r>
        <w:rPr>
          <w:rFonts w:hint="eastAsia" w:ascii="宋体" w:hAnsi="宋体" w:eastAsia="宋体" w:cs="宋体"/>
          <w:color w:val="000000" w:themeColor="text1"/>
          <w:sz w:val="21"/>
          <w:szCs w:val="21"/>
          <w:highlight w:val="none"/>
          <w:u w:val="singl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乙方应采用保证货物安全的运输方式进行运输，运费、装卸费等由乙方承担，由于包装或运输不当所造成的损坏或损失均由乙方承担。</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3.货物的包装应适于长途运输和反复装卸，并且乙方应根据货物不同的特性和要求采取防潮、防雨、防锈、防震、防腐等保护措施，以保证货物安全无损地到达甲方指定地点。</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4.乙方在货物发运手续办理完毕后24小时内或者货到甲方48小时前通知甲方，以准备接货。</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5.货物应在规定的交付期限内由乙方送达甲方指定的地点。</w:t>
      </w:r>
    </w:p>
    <w:p>
      <w:pPr>
        <w:pageBreakBefore w:val="0"/>
        <w:widowControl w:val="0"/>
        <w:kinsoku/>
        <w:wordWrap/>
        <w:overflowPunct/>
        <w:topLinePunct w:val="0"/>
        <w:autoSpaceDE/>
        <w:autoSpaceDN/>
        <w:bidi w:val="0"/>
        <w:adjustRightInd/>
        <w:snapToGrid/>
        <w:spacing w:line="400" w:lineRule="exact"/>
        <w:ind w:left="0" w:firstLine="422" w:firstLineChars="20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第五条  交付和验收</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1.合同履行期限：</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自签订合同并生效之日起至2025年12月31日</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.交付时间：</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接到采购人供货通知后15天内按采购人要求的物品及数量完成供货。如遇特殊情况按采购人要求的时间供货。</w:t>
      </w:r>
      <w:r>
        <w:rPr>
          <w:rFonts w:hint="eastAsia" w:ascii="宋体" w:hAnsi="宋体" w:eastAsia="宋体" w:cs="宋体"/>
          <w:color w:val="000000" w:themeColor="text1"/>
          <w:sz w:val="21"/>
          <w:szCs w:val="21"/>
          <w:highlight w:val="none"/>
          <w14:textFill>
            <w14:solidFill>
              <w14:schemeClr w14:val="tx1"/>
            </w14:solidFill>
          </w14:textFill>
        </w:rPr>
        <w:t xml:space="preserve">                     </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.交付地点：</w:t>
      </w:r>
      <w:r>
        <w:rPr>
          <w:rFonts w:hint="eastAsia" w:ascii="宋体" w:hAnsi="宋体" w:eastAsia="宋体" w:cs="宋体"/>
          <w:color w:val="000000" w:themeColor="text1"/>
          <w:sz w:val="21"/>
          <w:szCs w:val="21"/>
          <w:highlight w:val="none"/>
          <w:u w:val="single"/>
          <w14:textFill>
            <w14:solidFill>
              <w14:schemeClr w14:val="tx1"/>
            </w14:solidFill>
          </w14:textFill>
        </w:rPr>
        <w:t>广西壮族自治区南宁生态环境监测中心指定</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地点</w:t>
      </w:r>
      <w:r>
        <w:rPr>
          <w:rFonts w:hint="eastAsia" w:ascii="宋体" w:hAnsi="宋体" w:eastAsia="宋体" w:cs="宋体"/>
          <w:color w:val="000000" w:themeColor="text1"/>
          <w:sz w:val="21"/>
          <w:szCs w:val="21"/>
          <w:highlight w:val="none"/>
          <w14:textFill>
            <w14:solidFill>
              <w14:schemeClr w14:val="tx1"/>
            </w14:solidFill>
          </w14:textFill>
        </w:rPr>
        <w:t>。</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.乙方应按合同、</w:t>
      </w:r>
      <w:r>
        <w:rPr>
          <w:rFonts w:hint="eastAsia" w:ascii="宋体" w:hAnsi="宋体" w:eastAsia="宋体" w:cs="宋体"/>
          <w:color w:val="000000" w:themeColor="text1"/>
          <w:sz w:val="21"/>
          <w:szCs w:val="21"/>
          <w:highlight w:val="none"/>
          <w:lang w:val="en-US" w:eastAsia="zh-CN"/>
          <w14:textFill>
            <w14:solidFill>
              <w14:schemeClr w14:val="tx1"/>
            </w14:solidFill>
          </w14:textFill>
        </w:rPr>
        <w:t>采购</w:t>
      </w:r>
      <w:r>
        <w:rPr>
          <w:rFonts w:hint="eastAsia" w:ascii="宋体" w:hAnsi="宋体" w:eastAsia="宋体" w:cs="宋体"/>
          <w:color w:val="000000" w:themeColor="text1"/>
          <w:sz w:val="21"/>
          <w:szCs w:val="21"/>
          <w:highlight w:val="none"/>
          <w14:textFill>
            <w14:solidFill>
              <w14:schemeClr w14:val="tx1"/>
            </w14:solidFill>
          </w14:textFill>
        </w:rPr>
        <w:t>文件、</w:t>
      </w:r>
      <w:r>
        <w:rPr>
          <w:rFonts w:hint="eastAsia" w:ascii="宋体" w:hAnsi="宋体" w:eastAsia="宋体" w:cs="宋体"/>
          <w:color w:val="000000" w:themeColor="text1"/>
          <w:sz w:val="21"/>
          <w:szCs w:val="21"/>
          <w:highlight w:val="none"/>
          <w:lang w:val="en-US" w:eastAsia="zh-CN"/>
          <w14:textFill>
            <w14:solidFill>
              <w14:schemeClr w14:val="tx1"/>
            </w14:solidFill>
          </w14:textFill>
        </w:rPr>
        <w:t>响应</w:t>
      </w:r>
      <w:r>
        <w:rPr>
          <w:rFonts w:hint="eastAsia" w:ascii="宋体" w:hAnsi="宋体" w:eastAsia="宋体" w:cs="宋体"/>
          <w:color w:val="000000" w:themeColor="text1"/>
          <w:sz w:val="21"/>
          <w:szCs w:val="21"/>
          <w:highlight w:val="none"/>
          <w14:textFill>
            <w14:solidFill>
              <w14:schemeClr w14:val="tx1"/>
            </w14:solidFill>
          </w14:textFill>
        </w:rPr>
        <w:t>文件及承诺向甲方提供相应的</w:t>
      </w:r>
      <w:r>
        <w:rPr>
          <w:rFonts w:hint="eastAsia" w:ascii="宋体" w:hAnsi="宋体" w:eastAsia="宋体" w:cs="宋体"/>
          <w:color w:val="000000" w:themeColor="text1"/>
          <w:sz w:val="21"/>
          <w:szCs w:val="21"/>
          <w:highlight w:val="none"/>
          <w:lang w:val="en-US" w:eastAsia="zh-CN"/>
          <w14:textFill>
            <w14:solidFill>
              <w14:schemeClr w14:val="tx1"/>
            </w14:solidFill>
          </w14:textFill>
        </w:rPr>
        <w:t>货物</w:t>
      </w:r>
      <w:r>
        <w:rPr>
          <w:rFonts w:hint="eastAsia" w:ascii="宋体" w:hAnsi="宋体" w:eastAsia="宋体" w:cs="宋体"/>
          <w:color w:val="000000" w:themeColor="text1"/>
          <w:sz w:val="21"/>
          <w:szCs w:val="21"/>
          <w:highlight w:val="none"/>
          <w14:textFill>
            <w14:solidFill>
              <w14:schemeClr w14:val="tx1"/>
            </w14:solidFill>
          </w14:textFill>
        </w:rPr>
        <w:t>，并提供</w:t>
      </w:r>
      <w:r>
        <w:rPr>
          <w:rFonts w:hint="eastAsia" w:ascii="宋体" w:hAnsi="宋体" w:eastAsia="宋体" w:cs="宋体"/>
          <w:color w:val="000000" w:themeColor="text1"/>
          <w:sz w:val="21"/>
          <w:szCs w:val="21"/>
          <w:highlight w:val="none"/>
          <w:lang w:val="en-US" w:eastAsia="zh-CN"/>
          <w14:textFill>
            <w14:solidFill>
              <w14:schemeClr w14:val="tx1"/>
            </w14:solidFill>
          </w14:textFill>
        </w:rPr>
        <w:t>货物质量和货物</w:t>
      </w:r>
      <w:r>
        <w:rPr>
          <w:rFonts w:hint="eastAsia" w:ascii="宋体" w:hAnsi="宋体" w:eastAsia="宋体" w:cs="宋体"/>
          <w:color w:val="000000" w:themeColor="text1"/>
          <w:sz w:val="21"/>
          <w:szCs w:val="21"/>
          <w:highlight w:val="none"/>
          <w14:textFill>
            <w14:solidFill>
              <w14:schemeClr w14:val="tx1"/>
            </w14:solidFill>
          </w14:textFill>
        </w:rPr>
        <w:t>内容的相关技术资料。</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.乙方提供不符合</w:t>
      </w:r>
      <w:r>
        <w:rPr>
          <w:rFonts w:hint="eastAsia" w:ascii="宋体" w:hAnsi="宋体" w:eastAsia="宋体" w:cs="宋体"/>
          <w:color w:val="000000" w:themeColor="text1"/>
          <w:sz w:val="21"/>
          <w:szCs w:val="21"/>
          <w:highlight w:val="none"/>
          <w:lang w:val="en-US" w:eastAsia="zh-CN"/>
          <w14:textFill>
            <w14:solidFill>
              <w14:schemeClr w14:val="tx1"/>
            </w14:solidFill>
          </w14:textFill>
        </w:rPr>
        <w:t>采购</w:t>
      </w:r>
      <w:r>
        <w:rPr>
          <w:rFonts w:hint="eastAsia" w:ascii="宋体" w:hAnsi="宋体" w:eastAsia="宋体" w:cs="宋体"/>
          <w:color w:val="000000" w:themeColor="text1"/>
          <w:sz w:val="21"/>
          <w:szCs w:val="21"/>
          <w:highlight w:val="none"/>
          <w14:textFill>
            <w14:solidFill>
              <w14:schemeClr w14:val="tx1"/>
            </w14:solidFill>
          </w14:textFill>
        </w:rPr>
        <w:t>文件规定或者</w:t>
      </w:r>
      <w:r>
        <w:rPr>
          <w:rFonts w:hint="eastAsia" w:ascii="宋体" w:hAnsi="宋体" w:eastAsia="宋体" w:cs="宋体"/>
          <w:color w:val="000000" w:themeColor="text1"/>
          <w:sz w:val="21"/>
          <w:szCs w:val="21"/>
          <w:highlight w:val="none"/>
          <w:lang w:eastAsia="zh-CN"/>
          <w14:textFill>
            <w14:solidFill>
              <w14:schemeClr w14:val="tx1"/>
            </w14:solidFill>
          </w14:textFill>
        </w:rPr>
        <w:t>响应</w:t>
      </w:r>
      <w:r>
        <w:rPr>
          <w:rFonts w:hint="eastAsia" w:ascii="宋体" w:hAnsi="宋体" w:eastAsia="宋体" w:cs="宋体"/>
          <w:color w:val="000000" w:themeColor="text1"/>
          <w:sz w:val="21"/>
          <w:szCs w:val="21"/>
          <w:highlight w:val="none"/>
          <w14:textFill>
            <w14:solidFill>
              <w14:schemeClr w14:val="tx1"/>
            </w14:solidFill>
          </w14:textFill>
        </w:rPr>
        <w:t>文件承诺的和本合同规定的货物，甲方有权拒绝接受。</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.乙方在交付货物的同时需向甲方提供有关货物的附随资料，包括但不限于：货物目录、装箱清单、质量合格证书、使用说明书、技术资料等，如有缺失应在合理的规定时间内补齐，否则视为逾期交货。</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甲方应在收到货物后立即开展验货，每批货物全部到货后7个工作日内完成分阶段验收。</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strike w:val="0"/>
          <w:dstrike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8.甲乙双方应按照《广西壮族自治区政府采购项目履约验收管理办法》、合同、采购文件、响应文件验收。</w:t>
      </w:r>
      <w:r>
        <w:rPr>
          <w:rFonts w:hint="eastAsia" w:ascii="宋体" w:hAnsi="宋体" w:eastAsia="宋体" w:cs="宋体"/>
          <w:strike w:val="0"/>
          <w:dstrike w:val="0"/>
          <w:color w:val="000000" w:themeColor="text1"/>
          <w:sz w:val="21"/>
          <w:szCs w:val="21"/>
          <w:highlight w:val="none"/>
          <w:lang w:val="en-US" w:eastAsia="zh-CN"/>
          <w14:textFill>
            <w14:solidFill>
              <w14:schemeClr w14:val="tx1"/>
            </w14:solidFill>
          </w14:textFill>
        </w:rPr>
        <w:t>货物内容符合合同、采购文件、响应文件规定的要求的，由甲乙双方签署验收合格单并加盖甲方公章，甲乙双方各执一份。</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w:t>
      </w:r>
      <w:r>
        <w:rPr>
          <w:rFonts w:hint="eastAsia" w:ascii="宋体" w:hAnsi="宋体" w:eastAsia="宋体" w:cs="宋体"/>
          <w:color w:val="000000" w:themeColor="text1"/>
          <w:sz w:val="21"/>
          <w:szCs w:val="21"/>
          <w:highlight w:val="none"/>
          <w14:textFill>
            <w14:solidFill>
              <w14:schemeClr w14:val="tx1"/>
            </w14:solidFill>
          </w14:textFill>
        </w:rPr>
        <w:t>.甲方对乙方提交的货物依据</w:t>
      </w:r>
      <w:r>
        <w:rPr>
          <w:rFonts w:hint="eastAsia" w:ascii="宋体" w:hAnsi="宋体" w:eastAsia="宋体" w:cs="宋体"/>
          <w:color w:val="000000" w:themeColor="text1"/>
          <w:sz w:val="21"/>
          <w:szCs w:val="21"/>
          <w:highlight w:val="none"/>
          <w:lang w:val="en-US" w:eastAsia="zh-CN"/>
          <w14:textFill>
            <w14:solidFill>
              <w14:schemeClr w14:val="tx1"/>
            </w14:solidFill>
          </w14:textFill>
        </w:rPr>
        <w:t>响应</w:t>
      </w:r>
      <w:r>
        <w:rPr>
          <w:rFonts w:hint="eastAsia" w:ascii="宋体" w:hAnsi="宋体" w:eastAsia="宋体" w:cs="宋体"/>
          <w:color w:val="000000" w:themeColor="text1"/>
          <w:sz w:val="21"/>
          <w:szCs w:val="21"/>
          <w:highlight w:val="none"/>
          <w14:textFill>
            <w14:solidFill>
              <w14:schemeClr w14:val="tx1"/>
            </w14:solidFill>
          </w14:textFill>
        </w:rPr>
        <w:t>文件上的技术规格要求、</w:t>
      </w:r>
      <w:r>
        <w:rPr>
          <w:rFonts w:hint="eastAsia" w:ascii="宋体" w:hAnsi="宋体" w:eastAsia="宋体" w:cs="宋体"/>
          <w:color w:val="000000" w:themeColor="text1"/>
          <w:sz w:val="21"/>
          <w:szCs w:val="21"/>
          <w:highlight w:val="none"/>
          <w:lang w:eastAsia="zh-CN"/>
          <w14:textFill>
            <w14:solidFill>
              <w14:schemeClr w14:val="tx1"/>
            </w14:solidFill>
          </w14:textFill>
        </w:rPr>
        <w:t>响应</w:t>
      </w:r>
      <w:r>
        <w:rPr>
          <w:rFonts w:hint="eastAsia" w:ascii="宋体" w:hAnsi="宋体" w:eastAsia="宋体" w:cs="宋体"/>
          <w:color w:val="000000" w:themeColor="text1"/>
          <w:sz w:val="21"/>
          <w:szCs w:val="21"/>
          <w:highlight w:val="none"/>
          <w14:textFill>
            <w14:solidFill>
              <w14:schemeClr w14:val="tx1"/>
            </w14:solidFill>
          </w14:textFill>
        </w:rPr>
        <w:t>文件及承诺、国家有关质量标准进行现场初步验收，外观、说明书符合要求的，给予签收，初步验收不合格的不予签收。</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14:textFill>
            <w14:solidFill>
              <w14:schemeClr w14:val="tx1"/>
            </w14:solidFill>
          </w14:textFill>
        </w:rPr>
        <w:t>.乙方交货前应对货物做出全面检查和对验收文件进行整理，并列出清单，作为甲方收货验收和使用的技术条件依据，检验的结果应随货物交甲方。</w:t>
      </w:r>
    </w:p>
    <w:p>
      <w:pPr>
        <w:pageBreakBefore w:val="0"/>
        <w:widowControl w:val="0"/>
        <w:kinsoku/>
        <w:wordWrap/>
        <w:overflowPunct/>
        <w:topLinePunct w:val="0"/>
        <w:autoSpaceDE/>
        <w:autoSpaceDN/>
        <w:bidi w:val="0"/>
        <w:adjustRightInd/>
        <w:snapToGrid/>
        <w:spacing w:line="400" w:lineRule="exact"/>
        <w:ind w:left="0"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w:t>
      </w:r>
      <w:r>
        <w:rPr>
          <w:rFonts w:hint="eastAsia" w:ascii="宋体" w:hAnsi="宋体" w:eastAsia="宋体" w:cs="宋体"/>
          <w:color w:val="000000" w:themeColor="text1"/>
          <w:sz w:val="21"/>
          <w:szCs w:val="21"/>
          <w:highlight w:val="none"/>
          <w14:textFill>
            <w14:solidFill>
              <w14:schemeClr w14:val="tx1"/>
            </w14:solidFill>
          </w14:textFill>
        </w:rPr>
        <w:t>.甲方在验收过程中发现乙方提供的货物不满足</w:t>
      </w:r>
      <w:r>
        <w:rPr>
          <w:rFonts w:hint="eastAsia" w:ascii="宋体" w:hAnsi="宋体" w:eastAsia="宋体" w:cs="宋体"/>
          <w:color w:val="000000" w:themeColor="text1"/>
          <w:sz w:val="21"/>
          <w:szCs w:val="21"/>
          <w:highlight w:val="none"/>
          <w:lang w:eastAsia="zh-CN"/>
          <w14:textFill>
            <w14:solidFill>
              <w14:schemeClr w14:val="tx1"/>
            </w14:solidFill>
          </w14:textFill>
        </w:rPr>
        <w:t>响应</w:t>
      </w:r>
      <w:r>
        <w:rPr>
          <w:rFonts w:hint="eastAsia" w:ascii="宋体" w:hAnsi="宋体" w:eastAsia="宋体" w:cs="宋体"/>
          <w:color w:val="000000" w:themeColor="text1"/>
          <w:sz w:val="21"/>
          <w:szCs w:val="21"/>
          <w:highlight w:val="none"/>
          <w14:textFill>
            <w14:solidFill>
              <w14:schemeClr w14:val="tx1"/>
            </w14:solidFill>
          </w14:textFill>
        </w:rPr>
        <w:t>文件、</w:t>
      </w:r>
      <w:r>
        <w:rPr>
          <w:rFonts w:hint="eastAsia" w:ascii="宋体" w:hAnsi="宋体" w:eastAsia="宋体" w:cs="宋体"/>
          <w:color w:val="000000" w:themeColor="text1"/>
          <w:sz w:val="21"/>
          <w:szCs w:val="21"/>
          <w:highlight w:val="none"/>
          <w:lang w:eastAsia="zh-CN"/>
          <w14:textFill>
            <w14:solidFill>
              <w14:schemeClr w14:val="tx1"/>
            </w14:solidFill>
          </w14:textFill>
        </w:rPr>
        <w:t>响应</w:t>
      </w:r>
      <w:r>
        <w:rPr>
          <w:rFonts w:hint="eastAsia" w:ascii="宋体" w:hAnsi="宋体" w:eastAsia="宋体" w:cs="宋体"/>
          <w:color w:val="000000" w:themeColor="text1"/>
          <w:sz w:val="21"/>
          <w:szCs w:val="21"/>
          <w:highlight w:val="none"/>
          <w14:textFill>
            <w14:solidFill>
              <w14:schemeClr w14:val="tx1"/>
            </w14:solidFill>
          </w14:textFill>
        </w:rPr>
        <w:t>文件及合同规定的，可暂缓资金结算，直到乙方及时改正并经甲方验收合格后，方可办理资金结算事宜。</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w:t>
      </w:r>
      <w:r>
        <w:rPr>
          <w:rFonts w:hint="eastAsia" w:ascii="宋体" w:hAnsi="宋体" w:eastAsia="宋体" w:cs="宋体"/>
          <w:color w:val="000000" w:themeColor="text1"/>
          <w:sz w:val="21"/>
          <w:szCs w:val="21"/>
          <w:highlight w:val="none"/>
          <w14:textFill>
            <w14:solidFill>
              <w14:schemeClr w14:val="tx1"/>
            </w14:solidFill>
          </w14:textFill>
        </w:rPr>
        <w:t>.甲方在验货、验收过程中，如发现货物的品种、型号、规格、数量、质量等不符合合同、采购文件、响应文件及承诺规定或关于货物配置的描述或存在其他问题的，有权拒绝接收货物，</w:t>
      </w:r>
      <w:r>
        <w:rPr>
          <w:rFonts w:hint="eastAsia" w:ascii="宋体" w:hAnsi="宋体" w:eastAsia="宋体" w:cs="宋体"/>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应在收到</w:t>
      </w:r>
      <w:r>
        <w:rPr>
          <w:rFonts w:hint="eastAsia" w:ascii="宋体" w:hAnsi="宋体" w:eastAsia="宋体" w:cs="宋体"/>
          <w:color w:val="000000" w:themeColor="text1"/>
          <w:sz w:val="21"/>
          <w:szCs w:val="21"/>
          <w:highlight w:val="none"/>
          <w:lang w:val="en-US"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通知后在</w:t>
      </w:r>
      <w:r>
        <w:rPr>
          <w:rFonts w:hint="eastAsia" w:ascii="宋体" w:hAnsi="宋体" w:eastAsia="宋体" w:cs="宋体"/>
          <w:color w:val="000000" w:themeColor="text1"/>
          <w:sz w:val="21"/>
          <w:szCs w:val="21"/>
          <w:highlight w:val="none"/>
          <w:lang w:val="en-US"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指定的期限内按照</w:t>
      </w:r>
      <w:r>
        <w:rPr>
          <w:rFonts w:hint="eastAsia" w:ascii="宋体" w:hAnsi="宋体" w:eastAsia="宋体" w:cs="宋体"/>
          <w:color w:val="000000" w:themeColor="text1"/>
          <w:sz w:val="21"/>
          <w:szCs w:val="21"/>
          <w:highlight w:val="none"/>
          <w:lang w:val="en-US"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的要求采取补足、更换或退货等处理措施予以解决。</w:t>
      </w:r>
    </w:p>
    <w:p>
      <w:pPr>
        <w:pageBreakBefore w:val="0"/>
        <w:widowControl w:val="0"/>
        <w:kinsoku/>
        <w:wordWrap/>
        <w:overflowPunct/>
        <w:topLinePunct w:val="0"/>
        <w:autoSpaceDE/>
        <w:autoSpaceDN/>
        <w:bidi w:val="0"/>
        <w:adjustRightInd/>
        <w:snapToGrid/>
        <w:spacing w:line="400" w:lineRule="exact"/>
        <w:ind w:left="0" w:firstLine="422" w:firstLineChars="20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第六条 售后服务、服务质量保证期</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1.乙方应按响应文件中的产品名称、商标品牌、生产厂家、规格型号、技术参数、质量标准向甲方提供未经使用的全新产品。不符合要求的，根据实际情况双方协商，可按以下办法处理：</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（1）更换：由</w:t>
      </w:r>
      <w:r>
        <w:rPr>
          <w:rFonts w:hint="eastAsia" w:ascii="宋体" w:hAnsi="宋体" w:eastAsia="宋体" w:cs="宋体"/>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承担所发生的全部费用。</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（2）退货处理：</w:t>
      </w:r>
      <w:r>
        <w:rPr>
          <w:rFonts w:hint="eastAsia" w:ascii="宋体" w:hAnsi="宋体" w:eastAsia="宋体" w:cs="宋体"/>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应退还</w:t>
      </w:r>
      <w:r>
        <w:rPr>
          <w:rFonts w:hint="eastAsia" w:ascii="宋体" w:hAnsi="宋体" w:eastAsia="宋体" w:cs="宋体"/>
          <w:color w:val="000000" w:themeColor="text1"/>
          <w:sz w:val="21"/>
          <w:szCs w:val="21"/>
          <w:highlight w:val="none"/>
          <w:lang w:val="en-US"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已支付的合同款，同时应承担该货物的直接费用（运输、保险、检验、货款利息及银行手续费等）。</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2.乙方应按照国家有关法律法规、</w:t>
      </w:r>
      <w:r>
        <w:rPr>
          <w:rFonts w:hint="eastAsia" w:ascii="宋体" w:hAnsi="宋体" w:eastAsia="宋体" w:cs="宋体"/>
          <w:color w:val="000000" w:themeColor="text1"/>
          <w:sz w:val="21"/>
          <w:szCs w:val="21"/>
          <w:highlight w:val="none"/>
          <w:lang w:eastAsia="zh-CN"/>
          <w14:textFill>
            <w14:solidFill>
              <w14:schemeClr w14:val="tx1"/>
            </w14:solidFill>
          </w14:textFill>
        </w:rPr>
        <w:t>响应</w:t>
      </w:r>
      <w:r>
        <w:rPr>
          <w:rFonts w:hint="eastAsia" w:ascii="宋体" w:hAnsi="宋体" w:eastAsia="宋体" w:cs="宋体"/>
          <w:color w:val="000000" w:themeColor="text1"/>
          <w:sz w:val="21"/>
          <w:szCs w:val="21"/>
          <w:highlight w:val="none"/>
          <w14:textFill>
            <w14:solidFill>
              <w14:schemeClr w14:val="tx1"/>
            </w14:solidFill>
          </w14:textFill>
        </w:rPr>
        <w:t>文件和合同所附的《售后服务承诺》要求为甲方提供相应的售后服务。</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3.如在使用过程中发生质量问题，乙方在接到甲方通知后到达甲方现场处理的时间</w:t>
      </w:r>
      <w:r>
        <w:rPr>
          <w:rFonts w:hint="eastAsia" w:ascii="宋体" w:hAnsi="宋体" w:eastAsia="宋体" w:cs="宋体"/>
          <w:color w:val="000000" w:themeColor="text1"/>
          <w:sz w:val="21"/>
          <w:szCs w:val="21"/>
          <w:highlight w:val="none"/>
          <w:u w:val="single"/>
          <w14:textFill>
            <w14:solidFill>
              <w14:schemeClr w14:val="tx1"/>
            </w14:solidFill>
          </w14:textFill>
        </w:rPr>
        <w:t>（按</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响应文件</w:t>
      </w:r>
      <w:r>
        <w:rPr>
          <w:rFonts w:hint="eastAsia" w:ascii="宋体" w:hAnsi="宋体" w:eastAsia="宋体" w:cs="宋体"/>
          <w:color w:val="000000" w:themeColor="text1"/>
          <w:sz w:val="21"/>
          <w:szCs w:val="21"/>
          <w:highlight w:val="none"/>
          <w:u w:val="single"/>
          <w14:textFill>
            <w14:solidFill>
              <w14:schemeClr w14:val="tx1"/>
            </w14:solidFill>
          </w14:textFill>
        </w:rPr>
        <w:t>承诺的数据填写）</w:t>
      </w:r>
      <w:r>
        <w:rPr>
          <w:rFonts w:hint="eastAsia" w:ascii="宋体" w:hAnsi="宋体" w:eastAsia="宋体" w:cs="宋体"/>
          <w:color w:val="000000" w:themeColor="text1"/>
          <w:sz w:val="21"/>
          <w:szCs w:val="21"/>
          <w:highlight w:val="none"/>
          <w14:textFill>
            <w14:solidFill>
              <w14:schemeClr w14:val="tx1"/>
            </w14:solidFill>
          </w14:textFill>
        </w:rPr>
        <w:t>小时内</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按国家有关产品“三包”规定执行“三包”，包修、包换、包退，质保期自验收合格之日起不少于</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90</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天</w:t>
      </w:r>
      <w:r>
        <w:rPr>
          <w:rFonts w:hint="eastAsia" w:ascii="宋体" w:hAnsi="宋体" w:eastAsia="宋体" w:cs="宋体"/>
          <w:color w:val="000000" w:themeColor="text1"/>
          <w:sz w:val="21"/>
          <w:szCs w:val="21"/>
          <w:highlight w:val="none"/>
          <w14:textFill>
            <w14:solidFill>
              <w14:schemeClr w14:val="tx1"/>
            </w14:solidFill>
          </w14:textFill>
        </w:rPr>
        <w:t>，质保期承诺如优于采购文件规定的，按</w:t>
      </w:r>
      <w:r>
        <w:rPr>
          <w:rFonts w:hint="eastAsia" w:ascii="宋体" w:hAnsi="宋体" w:eastAsia="宋体" w:cs="宋体"/>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实际承诺质保期执行。在质保期内，乙方应对货物出现的质量及安全问题负责处理解决并承担一切费用。</w:t>
      </w:r>
    </w:p>
    <w:p>
      <w:pPr>
        <w:pageBreakBefore w:val="0"/>
        <w:widowControl w:val="0"/>
        <w:kinsoku/>
        <w:wordWrap/>
        <w:overflowPunct/>
        <w:topLinePunct w:val="0"/>
        <w:autoSpaceDE/>
        <w:autoSpaceDN/>
        <w:bidi w:val="0"/>
        <w:adjustRightInd/>
        <w:snapToGrid/>
        <w:spacing w:line="400" w:lineRule="exact"/>
        <w:ind w:left="0" w:firstLine="422" w:firstLineChars="20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第七条  辅助服务</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1.乙方应提供下列服务：</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（1）货物</w:t>
      </w:r>
      <w:r>
        <w:rPr>
          <w:rFonts w:hint="eastAsia" w:ascii="宋体" w:hAnsi="宋体" w:eastAsia="宋体" w:cs="宋体"/>
          <w:color w:val="000000" w:themeColor="text1"/>
          <w:sz w:val="21"/>
          <w:szCs w:val="21"/>
          <w:highlight w:val="none"/>
          <w:lang w:val="en-US" w:eastAsia="zh-CN"/>
          <w14:textFill>
            <w14:solidFill>
              <w14:schemeClr w14:val="tx1"/>
            </w14:solidFill>
          </w14:textFill>
        </w:rPr>
        <w:t>运输至甲方指定实验室</w:t>
      </w:r>
      <w:r>
        <w:rPr>
          <w:rFonts w:hint="eastAsia" w:ascii="宋体" w:hAnsi="宋体" w:eastAsia="宋体" w:cs="宋体"/>
          <w:color w:val="000000" w:themeColor="text1"/>
          <w:sz w:val="21"/>
          <w:szCs w:val="21"/>
          <w:highlight w:val="none"/>
          <w14:textFill>
            <w14:solidFill>
              <w14:schemeClr w14:val="tx1"/>
            </w14:solidFill>
          </w14:textFill>
        </w:rPr>
        <w:t>；</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（2）乙方送货上门，并当面清点货物。</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2.辅助服务的费用已经包含在合同总价中，甲方不再另行支付。</w:t>
      </w:r>
    </w:p>
    <w:p>
      <w:pPr>
        <w:pageBreakBefore w:val="0"/>
        <w:widowControl w:val="0"/>
        <w:kinsoku/>
        <w:wordWrap/>
        <w:overflowPunct/>
        <w:topLinePunct w:val="0"/>
        <w:autoSpaceDE/>
        <w:autoSpaceDN/>
        <w:bidi w:val="0"/>
        <w:adjustRightInd/>
        <w:snapToGrid/>
        <w:spacing w:line="400" w:lineRule="exact"/>
        <w:ind w:left="0" w:firstLine="422" w:firstLineChars="20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第八条  货物保管及风险承担</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在货物交付前，货物保管责任及损毁、灭失的风险由乙方承担，货物验收合格后的风险转由甲方承担。</w:t>
      </w:r>
    </w:p>
    <w:p>
      <w:pPr>
        <w:pageBreakBefore w:val="0"/>
        <w:widowControl w:val="0"/>
        <w:kinsoku/>
        <w:wordWrap/>
        <w:overflowPunct/>
        <w:topLinePunct w:val="0"/>
        <w:autoSpaceDE/>
        <w:autoSpaceDN/>
        <w:bidi w:val="0"/>
        <w:adjustRightInd/>
        <w:snapToGrid/>
        <w:spacing w:line="400" w:lineRule="exact"/>
        <w:ind w:left="0" w:firstLine="422" w:firstLineChars="20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第九条 付款方式</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1.付款方式：</w:t>
      </w:r>
    </w:p>
    <w:p>
      <w:pPr>
        <w:pageBreakBefore w:val="0"/>
        <w:widowControl w:val="0"/>
        <w:kinsoku/>
        <w:wordWrap/>
        <w:overflowPunct/>
        <w:topLinePunct w:val="0"/>
        <w:autoSpaceDE/>
        <w:autoSpaceDN/>
        <w:bidi w:val="0"/>
        <w:adjustRightInd/>
        <w:snapToGrid/>
        <w:spacing w:line="400" w:lineRule="exact"/>
        <w:ind w:left="0"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（1）定期支付：</w:t>
      </w:r>
      <w:r>
        <w:rPr>
          <w:rFonts w:hint="eastAsia" w:ascii="宋体" w:hAnsi="宋体" w:eastAsia="宋体" w:cs="宋体"/>
          <w:color w:val="000000" w:themeColor="text1"/>
          <w:sz w:val="21"/>
          <w:szCs w:val="21"/>
          <w:highlight w:val="none"/>
          <w:lang w:val="en-US"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根据实际供货情况定期向</w:t>
      </w:r>
      <w:r>
        <w:rPr>
          <w:rFonts w:hint="eastAsia" w:ascii="宋体" w:hAnsi="宋体" w:eastAsia="宋体" w:cs="宋体"/>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支付货款，根据送货单据、验收单及成交供应商开具该次结算金额的合法发票办理结算。</w:t>
      </w:r>
    </w:p>
    <w:p>
      <w:pPr>
        <w:pageBreakBefore w:val="0"/>
        <w:widowControl w:val="0"/>
        <w:kinsoku/>
        <w:wordWrap/>
        <w:overflowPunct/>
        <w:topLinePunct w:val="0"/>
        <w:autoSpaceDE/>
        <w:autoSpaceDN/>
        <w:bidi w:val="0"/>
        <w:adjustRightInd/>
        <w:snapToGrid/>
        <w:spacing w:line="400" w:lineRule="exact"/>
        <w:ind w:left="0"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（2）在支付每笔款项前，</w:t>
      </w:r>
      <w:r>
        <w:rPr>
          <w:rFonts w:hint="eastAsia" w:ascii="宋体" w:hAnsi="宋体" w:eastAsia="宋体" w:cs="宋体"/>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应当提供请款函及可供政府审计并且符合税务规定的增值税普通发票。</w:t>
      </w:r>
    </w:p>
    <w:p>
      <w:pPr>
        <w:pageBreakBefore w:val="0"/>
        <w:widowControl w:val="0"/>
        <w:kinsoku/>
        <w:wordWrap/>
        <w:overflowPunct/>
        <w:topLinePunct w:val="0"/>
        <w:autoSpaceDE/>
        <w:autoSpaceDN/>
        <w:bidi w:val="0"/>
        <w:adjustRightInd/>
        <w:snapToGrid/>
        <w:spacing w:line="400" w:lineRule="exact"/>
        <w:ind w:left="0"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当次付款金额=所购买产品的采购预算价×</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整体折扣比例</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val="en-US" w:eastAsia="zh-CN"/>
          <w14:textFill>
            <w14:solidFill>
              <w14:schemeClr w14:val="tx1"/>
            </w14:solidFill>
          </w14:textFill>
        </w:rPr>
        <w:t>%）×当次实际购买数量。</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2.乙方指定以下账户为接受本合同价款的账户，并对其指定的下列账户信息真实性、安全性、准确性负责。</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账户名称：                                     ；</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开户银行：                                     ；</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银行账号：                                     ；</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联系人：                                       ；</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联系电话：                                     。</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如乙方上述账户信息发生变更，乙方应及时向甲方发送书面通知，未能及时书面通知而产生的不利后果由乙方自行承担。</w:t>
      </w:r>
    </w:p>
    <w:p>
      <w:pPr>
        <w:pageBreakBefore w:val="0"/>
        <w:widowControl w:val="0"/>
        <w:tabs>
          <w:tab w:val="left" w:pos="312"/>
        </w:tabs>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3.乙方应持甲方签字确认的验收合格单结算货款。</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4.甲方在支付每笔款项前，乙方应当提供请款函及可供政府审计并且符合税务规定的</w:t>
      </w:r>
      <w:bookmarkStart w:id="83" w:name="_Hlk153273005"/>
      <w:r>
        <w:rPr>
          <w:rFonts w:hint="eastAsia" w:ascii="宋体" w:hAnsi="宋体" w:eastAsia="宋体" w:cs="宋体"/>
          <w:color w:val="000000" w:themeColor="text1"/>
          <w:sz w:val="21"/>
          <w:szCs w:val="21"/>
          <w:highlight w:val="none"/>
          <w14:textFill>
            <w14:solidFill>
              <w14:schemeClr w14:val="tx1"/>
            </w14:solidFill>
          </w14:textFill>
        </w:rPr>
        <w:t>增值税</w:t>
      </w:r>
      <w:bookmarkEnd w:id="83"/>
      <w:r>
        <w:rPr>
          <w:rFonts w:hint="eastAsia" w:ascii="宋体" w:hAnsi="宋体" w:eastAsia="宋体" w:cs="宋体"/>
          <w:color w:val="000000" w:themeColor="text1"/>
          <w:sz w:val="21"/>
          <w:szCs w:val="21"/>
          <w:highlight w:val="none"/>
          <w14:textFill>
            <w14:solidFill>
              <w14:schemeClr w14:val="tx1"/>
            </w14:solidFill>
          </w14:textFill>
        </w:rPr>
        <w:t>普通发票，否则甲方有权拒付相应款项直至乙方能提供符合规定的发票为止。</w:t>
      </w:r>
    </w:p>
    <w:p>
      <w:pPr>
        <w:pageBreakBefore w:val="0"/>
        <w:widowControl w:val="0"/>
        <w:kinsoku/>
        <w:wordWrap/>
        <w:overflowPunct/>
        <w:topLinePunct w:val="0"/>
        <w:autoSpaceDE/>
        <w:autoSpaceDN/>
        <w:bidi w:val="0"/>
        <w:adjustRightInd/>
        <w:snapToGrid/>
        <w:spacing w:line="400" w:lineRule="exact"/>
        <w:ind w:left="0" w:firstLine="422" w:firstLineChars="20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第十条  履约保证金</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1.乙方提供的履约保证金金额为</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分标预算金额×整体折扣比例</w:t>
      </w:r>
      <w:r>
        <w:rPr>
          <w:rFonts w:hint="eastAsia" w:ascii="宋体" w:hAnsi="宋体" w:eastAsia="宋体" w:cs="宋体"/>
          <w:color w:val="000000" w:themeColor="text1"/>
          <w:sz w:val="21"/>
          <w:szCs w:val="21"/>
          <w:highlight w:val="none"/>
          <w:u w:val="single"/>
          <w14:textFill>
            <w14:solidFill>
              <w14:schemeClr w14:val="tx1"/>
            </w14:solidFill>
          </w14:textFill>
        </w:rPr>
        <w:t>的</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u w:val="single"/>
          <w14:textFill>
            <w14:solidFill>
              <w14:schemeClr w14:val="tx1"/>
            </w14:solidFill>
          </w14:textFill>
        </w:rPr>
        <w:t>%</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：人民币   元整(</w:t>
      </w:r>
      <w:r>
        <w:rPr>
          <w:rFonts w:hint="default" w:ascii="Arial" w:hAnsi="Arial" w:eastAsia="宋体" w:cs="Arial"/>
          <w:color w:val="000000" w:themeColor="text1"/>
          <w:sz w:val="21"/>
          <w:szCs w:val="21"/>
          <w:highlight w:val="none"/>
          <w:u w:val="single"/>
          <w:lang w:val="en-US" w:eastAsia="zh-CN"/>
          <w14:textFill>
            <w14:solidFill>
              <w14:schemeClr w14:val="tx1"/>
            </w14:solidFill>
          </w14:textFill>
        </w:rPr>
        <w:t>¥</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元)；</w:t>
      </w:r>
    </w:p>
    <w:p>
      <w:pPr>
        <w:pageBreakBefore w:val="0"/>
        <w:widowControl w:val="0"/>
        <w:kinsoku/>
        <w:wordWrap/>
        <w:overflowPunct/>
        <w:topLinePunct w:val="0"/>
        <w:autoSpaceDE/>
        <w:autoSpaceDN/>
        <w:bidi w:val="0"/>
        <w:adjustRightInd/>
        <w:snapToGrid/>
        <w:spacing w:line="400" w:lineRule="exact"/>
        <w:ind w:left="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未按时缴纳履约保证金的，不能签订合同。供货完成后无息退还。</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2.履约保证金递交方式：支票、汇票、本票或者金融、</w:t>
      </w:r>
      <w:r>
        <w:rPr>
          <w:rFonts w:hint="eastAsia" w:ascii="宋体" w:hAnsi="宋体" w:eastAsia="宋体" w:cs="宋体"/>
          <w:color w:val="000000" w:themeColor="text1"/>
          <w:sz w:val="21"/>
          <w:szCs w:val="21"/>
          <w:highlight w:val="none"/>
          <w:lang w:val="en-US" w:eastAsia="zh-CN"/>
          <w14:textFill>
            <w14:solidFill>
              <w14:schemeClr w14:val="tx1"/>
            </w14:solidFill>
          </w14:textFill>
        </w:rPr>
        <w:t>甲方认可的</w:t>
      </w:r>
      <w:r>
        <w:rPr>
          <w:rFonts w:hint="eastAsia" w:ascii="宋体" w:hAnsi="宋体" w:eastAsia="宋体" w:cs="宋体"/>
          <w:color w:val="000000" w:themeColor="text1"/>
          <w:sz w:val="21"/>
          <w:szCs w:val="21"/>
          <w:highlight w:val="none"/>
          <w14:textFill>
            <w14:solidFill>
              <w14:schemeClr w14:val="tx1"/>
            </w14:solidFill>
          </w14:textFill>
        </w:rPr>
        <w:t>担保机构出具的保函等非现金方式。</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履约保证金退付方式、时间及条件：由乙方向甲方提供《广西壮族自治区政府采购项目合同验收书》及《政府采购项目履约保证金退付意见书》，甲方在收到合格材料后五个工作日内办理退还手续（不计利息）。</w:t>
      </w:r>
    </w:p>
    <w:p>
      <w:pPr>
        <w:pageBreakBefore w:val="0"/>
        <w:widowControl w:val="0"/>
        <w:kinsoku/>
        <w:wordWrap/>
        <w:overflowPunct/>
        <w:topLinePunct w:val="0"/>
        <w:autoSpaceDE/>
        <w:autoSpaceDN/>
        <w:bidi w:val="0"/>
        <w:adjustRightInd/>
        <w:snapToGrid/>
        <w:spacing w:line="400" w:lineRule="exact"/>
        <w:ind w:left="0" w:firstLine="422" w:firstLineChars="20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第十一条  税费</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本合同执行中相关的一切税费均由乙方负担。</w:t>
      </w:r>
    </w:p>
    <w:p>
      <w:pPr>
        <w:pageBreakBefore w:val="0"/>
        <w:widowControl w:val="0"/>
        <w:kinsoku/>
        <w:wordWrap/>
        <w:overflowPunct/>
        <w:topLinePunct w:val="0"/>
        <w:autoSpaceDE/>
        <w:autoSpaceDN/>
        <w:bidi w:val="0"/>
        <w:adjustRightInd/>
        <w:snapToGrid/>
        <w:spacing w:line="400" w:lineRule="exact"/>
        <w:ind w:left="0" w:firstLine="422" w:firstLineChars="200"/>
        <w:textAlignment w:val="auto"/>
        <w:rPr>
          <w:rFonts w:hint="eastAsia" w:ascii="宋体" w:hAnsi="宋体" w:eastAsia="宋体" w:cs="宋体"/>
          <w:b/>
          <w:bCs/>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第十二条  违约责任</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乙方所提供的产品名称、商标品牌、生产厂家、规格型号、技术参数等质量不合格的，应及时更换，更换不及时的按逾期交货处罚；因质量问题甲方不同意接收的或者特殊情况甲方同意接收的，乙方应向甲方支付违约货款额5%违约金并赔偿甲方经济损失。</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2.乙方逾期交付货物的，每逾期一日，应按合同合计金额的3‰向甲方支付逾期交付的违约金，但违约金累计不得超过违约货款额5%</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如乙方因政策等客观情况无法按时供货的，需及时书面告知甲方，经甲方确认后决定是否免除或减免乙方的违约责任；逾期超过十日的，甲方有权单方解除合同，并要求乙方退还已收取的款项，同时乙方应按照合同合计金额的30%向甲方支付违约金并承担因此给甲方造成的经济损失。</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乙方提供的货物如侵犯了第三方合法权益而引发的任何纠纷或者诉讼，均由乙方负责交涉并承担全部责任，如甲方为解决纠纷矛盾先期支付了费用的，乙方应当自收到甲方要求偿还费用的函之日起五日内向甲方偿还完毕。</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.乙方明示不履行或不能履行合同，或交付的货物存在严重瑕疵，不具有正常使用功能或不能满足本合同目的，甲方有权解除合同，要求乙方退还已收取的货款，并要求乙方按合同合计金额的30%支付违约金。</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.因包装、运输引起的货物损坏，按质量不合格处罚。</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.乙方未按本合同和</w:t>
      </w:r>
      <w:r>
        <w:rPr>
          <w:rFonts w:hint="eastAsia" w:ascii="宋体" w:hAnsi="宋体" w:eastAsia="宋体" w:cs="宋体"/>
          <w:color w:val="000000" w:themeColor="text1"/>
          <w:sz w:val="21"/>
          <w:szCs w:val="21"/>
          <w:highlight w:val="none"/>
          <w:lang w:val="en-US" w:eastAsia="zh-CN"/>
          <w14:textFill>
            <w14:solidFill>
              <w14:schemeClr w14:val="tx1"/>
            </w14:solidFill>
          </w14:textFill>
        </w:rPr>
        <w:t>采购</w:t>
      </w:r>
      <w:r>
        <w:rPr>
          <w:rFonts w:hint="eastAsia" w:ascii="宋体" w:hAnsi="宋体" w:eastAsia="宋体" w:cs="宋体"/>
          <w:color w:val="000000" w:themeColor="text1"/>
          <w:sz w:val="21"/>
          <w:szCs w:val="21"/>
          <w:highlight w:val="none"/>
          <w14:textFill>
            <w14:solidFill>
              <w14:schemeClr w14:val="tx1"/>
            </w14:solidFill>
          </w14:textFill>
        </w:rPr>
        <w:t>文件、</w:t>
      </w:r>
      <w:r>
        <w:rPr>
          <w:rFonts w:hint="eastAsia" w:ascii="宋体" w:hAnsi="宋体" w:eastAsia="宋体" w:cs="宋体"/>
          <w:color w:val="000000" w:themeColor="text1"/>
          <w:sz w:val="21"/>
          <w:szCs w:val="21"/>
          <w:highlight w:val="none"/>
          <w:lang w:eastAsia="zh-CN"/>
          <w14:textFill>
            <w14:solidFill>
              <w14:schemeClr w14:val="tx1"/>
            </w14:solidFill>
          </w14:textFill>
        </w:rPr>
        <w:t>响应</w:t>
      </w:r>
      <w:r>
        <w:rPr>
          <w:rFonts w:hint="eastAsia" w:ascii="宋体" w:hAnsi="宋体" w:eastAsia="宋体" w:cs="宋体"/>
          <w:color w:val="000000" w:themeColor="text1"/>
          <w:sz w:val="21"/>
          <w:szCs w:val="21"/>
          <w:highlight w:val="none"/>
          <w14:textFill>
            <w14:solidFill>
              <w14:schemeClr w14:val="tx1"/>
            </w14:solidFill>
          </w14:textFill>
        </w:rPr>
        <w:t>文件中规定的服务承诺提供售后服务的，每违约一次，应按合同合计金额的</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%向甲方支付违约金。</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.乙方提供的货物在质量保证期内，因设计、工艺或者材料的缺陷和其它质量原因造成的问题，由乙方负责。</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14:textFill>
            <w14:solidFill>
              <w14:schemeClr w14:val="tx1"/>
            </w14:solidFill>
          </w14:textFill>
        </w:rPr>
        <w:t>.乙方支付的违约金不足以弥补甲方损失的，应承担赔偿责任，甲方有权继续向乙方追偿。乙方应支付给甲方的任何款项，甲方有权从任何应支付未支付给乙方的款项中直接抵扣。</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w:t>
      </w:r>
      <w:r>
        <w:rPr>
          <w:rFonts w:hint="eastAsia" w:ascii="宋体" w:hAnsi="宋体" w:eastAsia="宋体" w:cs="宋体"/>
          <w:color w:val="000000" w:themeColor="text1"/>
          <w:sz w:val="21"/>
          <w:szCs w:val="21"/>
          <w:highlight w:val="none"/>
          <w14:textFill>
            <w14:solidFill>
              <w14:schemeClr w14:val="tx1"/>
            </w14:solidFill>
          </w14:textFill>
        </w:rPr>
        <w:t>.甲方</w:t>
      </w:r>
      <w:r>
        <w:rPr>
          <w:rFonts w:hint="eastAsia" w:ascii="宋体" w:hAnsi="宋体" w:eastAsia="宋体" w:cs="宋体"/>
          <w:color w:val="000000" w:themeColor="text1"/>
          <w:sz w:val="21"/>
          <w:szCs w:val="21"/>
          <w:highlight w:val="none"/>
          <w:lang w:val="en-US" w:eastAsia="zh-CN"/>
          <w14:textFill>
            <w14:solidFill>
              <w14:schemeClr w14:val="tx1"/>
            </w14:solidFill>
          </w14:textFill>
        </w:rPr>
        <w:t>无故</w:t>
      </w:r>
      <w:r>
        <w:rPr>
          <w:rFonts w:hint="eastAsia" w:ascii="宋体" w:hAnsi="宋体" w:eastAsia="宋体" w:cs="宋体"/>
          <w:color w:val="000000" w:themeColor="text1"/>
          <w:sz w:val="21"/>
          <w:szCs w:val="21"/>
          <w:highlight w:val="none"/>
          <w14:textFill>
            <w14:solidFill>
              <w14:schemeClr w14:val="tx1"/>
            </w14:solidFill>
          </w14:textFill>
        </w:rPr>
        <w:t>延期付货款的，每天向乙方偿付延期货款额3‰的违约金，但违约金累计不得超过延期货款额的5%。</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14:textFill>
            <w14:solidFill>
              <w14:schemeClr w14:val="tx1"/>
            </w14:solidFill>
          </w14:textFill>
        </w:rPr>
        <w:t>.本合同所称的甲方经济损失或者甲方损失，包括甲方遭受的全部直接经济损失及为此支出的合理费用（包括但不限于为此支出的调查费、诉讼费、保全费、律师费、差旅费等）。</w:t>
      </w:r>
    </w:p>
    <w:p>
      <w:pPr>
        <w:pageBreakBefore w:val="0"/>
        <w:widowControl w:val="0"/>
        <w:kinsoku/>
        <w:wordWrap/>
        <w:overflowPunct/>
        <w:topLinePunct w:val="0"/>
        <w:autoSpaceDE/>
        <w:autoSpaceDN/>
        <w:bidi w:val="0"/>
        <w:adjustRightInd/>
        <w:snapToGrid/>
        <w:spacing w:line="400" w:lineRule="exact"/>
        <w:ind w:left="0" w:firstLine="422" w:firstLineChars="20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第十三条  不可抗力事件处理</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1.在合同有效期内，任何一方因不可抗力事件导致不能履行合同，则合同履行期可延长，其延长期与不可抗力影响期相同。</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2.不可抗力事件发生后，应立即通知对方，并寄送有关权威机构出具的证明。</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3.不可抗力事件延续一百二十天以上，甲乙双方应通过友好协商，确定是否继续履行合同。</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4.合同履行过程中，因接受政府行政指令而无法履行的，接受政府行政指令的一方可以免除违约责任。</w:t>
      </w:r>
    </w:p>
    <w:p>
      <w:pPr>
        <w:pageBreakBefore w:val="0"/>
        <w:widowControl w:val="0"/>
        <w:kinsoku/>
        <w:wordWrap/>
        <w:overflowPunct/>
        <w:topLinePunct w:val="0"/>
        <w:autoSpaceDE/>
        <w:autoSpaceDN/>
        <w:bidi w:val="0"/>
        <w:adjustRightInd/>
        <w:snapToGrid/>
        <w:spacing w:line="400" w:lineRule="exact"/>
        <w:ind w:left="0" w:firstLine="422" w:firstLineChars="20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第十四条  合同争议解决</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1.因货物质量问题发生争议的，应提交具有相应资质的机构进行鉴定。货物符合标准的，鉴定费由甲方承担；货物不符合标准的，鉴定费由乙方承担。</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因履行本合同引起的或者与本合同有关的争议，甲乙双方应首先通过友好协商解决，如果协商不能解决，可向甲方所在地有管辖权的人民法院提起诉讼，产生的诉讼费、因财产保全产保险费用、律师服务费由责任方承担。</w:t>
      </w:r>
    </w:p>
    <w:p>
      <w:pPr>
        <w:pageBreakBefore w:val="0"/>
        <w:widowControl w:val="0"/>
        <w:kinsoku/>
        <w:wordWrap/>
        <w:overflowPunct/>
        <w:topLinePunct w:val="0"/>
        <w:autoSpaceDE/>
        <w:autoSpaceDN/>
        <w:bidi w:val="0"/>
        <w:adjustRightInd/>
        <w:snapToGrid/>
        <w:spacing w:line="400" w:lineRule="exact"/>
        <w:ind w:left="0" w:firstLine="422" w:firstLineChars="20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第十五条  合同生效及其他</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1.合同经甲乙双方法定代表人或者授权代表签字并加盖单位公章后生效。</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2.合同执行中涉及采购资金和采购内容修改或者补充的，须经政府采购监管部门审批，并签书面补充协议报政府采购监管部门备案，方可作为主合同不可分割的一部分。</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3.合同未尽事宜，遵照《中华人民共和国民法典》等相关法律、法规规定有关条文执行。</w:t>
      </w:r>
    </w:p>
    <w:p>
      <w:pPr>
        <w:pageBreakBefore w:val="0"/>
        <w:widowControl w:val="0"/>
        <w:kinsoku/>
        <w:wordWrap/>
        <w:overflowPunct/>
        <w:topLinePunct w:val="0"/>
        <w:autoSpaceDE/>
        <w:autoSpaceDN/>
        <w:bidi w:val="0"/>
        <w:adjustRightInd/>
        <w:snapToGrid/>
        <w:spacing w:line="400" w:lineRule="exact"/>
        <w:ind w:left="0" w:firstLine="422" w:firstLineChars="20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第十六条  合同的变更、终止与转让</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1.除《中华人民共和国政府采购法》第五十条规定的情形外，本合同一经签订，甲乙双方不得擅自变更、中止或者终止。</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2.未经甲方书面同意，乙方不得擅自转让其应履行的合同义务。</w:t>
      </w:r>
    </w:p>
    <w:p>
      <w:pPr>
        <w:pageBreakBefore w:val="0"/>
        <w:widowControl w:val="0"/>
        <w:kinsoku/>
        <w:wordWrap/>
        <w:overflowPunct/>
        <w:topLinePunct w:val="0"/>
        <w:autoSpaceDE/>
        <w:autoSpaceDN/>
        <w:bidi w:val="0"/>
        <w:adjustRightInd/>
        <w:snapToGrid/>
        <w:spacing w:line="400" w:lineRule="exact"/>
        <w:ind w:left="0" w:firstLine="422" w:firstLineChars="20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第十七条  本合同与下列文件一起构成合同文件</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1.成交通知书；</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竞标报价表、最终报价表</w:t>
      </w:r>
      <w:r>
        <w:rPr>
          <w:rFonts w:hint="eastAsia" w:ascii="宋体" w:hAnsi="宋体" w:eastAsia="宋体" w:cs="宋体"/>
          <w:color w:val="000000" w:themeColor="text1"/>
          <w:sz w:val="21"/>
          <w:szCs w:val="21"/>
          <w:highlight w:val="none"/>
          <w14:textFill>
            <w14:solidFill>
              <w14:schemeClr w14:val="tx1"/>
            </w14:solidFill>
          </w14:textFill>
        </w:rPr>
        <w:t>；</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3.采购需求；</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r>
        <w:rPr>
          <w:rFonts w:hint="eastAsia" w:ascii="宋体" w:hAnsi="宋体" w:eastAsia="宋体" w:cs="宋体"/>
          <w:color w:val="000000" w:themeColor="text1"/>
          <w:sz w:val="21"/>
          <w:szCs w:val="21"/>
          <w:highlight w:val="none"/>
          <w:lang w:val="en-US" w:eastAsia="zh-CN"/>
          <w14:textFill>
            <w14:solidFill>
              <w14:schemeClr w14:val="tx1"/>
            </w14:solidFill>
          </w14:textFill>
        </w:rPr>
        <w:t>竞标声明</w:t>
      </w:r>
      <w:r>
        <w:rPr>
          <w:rFonts w:hint="eastAsia" w:ascii="宋体" w:hAnsi="宋体" w:eastAsia="宋体" w:cs="宋体"/>
          <w:color w:val="000000" w:themeColor="text1"/>
          <w:sz w:val="21"/>
          <w:szCs w:val="21"/>
          <w:highlight w:val="none"/>
          <w14:textFill>
            <w14:solidFill>
              <w14:schemeClr w14:val="tx1"/>
            </w14:solidFill>
          </w14:textFill>
        </w:rPr>
        <w:t>；</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5.商务</w:t>
      </w:r>
      <w:r>
        <w:rPr>
          <w:rFonts w:hint="eastAsia" w:ascii="宋体" w:hAnsi="宋体" w:eastAsia="宋体" w:cs="宋体"/>
          <w:color w:val="000000" w:themeColor="text1"/>
          <w:sz w:val="21"/>
          <w:szCs w:val="21"/>
          <w:highlight w:val="none"/>
          <w:lang w:val="en-US" w:eastAsia="zh-CN"/>
          <w14:textFill>
            <w14:solidFill>
              <w14:schemeClr w14:val="tx1"/>
            </w14:solidFill>
          </w14:textFill>
        </w:rPr>
        <w:t>要求</w:t>
      </w:r>
      <w:r>
        <w:rPr>
          <w:rFonts w:hint="eastAsia" w:ascii="宋体" w:hAnsi="宋体" w:eastAsia="宋体" w:cs="宋体"/>
          <w:color w:val="000000" w:themeColor="text1"/>
          <w:sz w:val="21"/>
          <w:szCs w:val="21"/>
          <w:highlight w:val="none"/>
          <w14:textFill>
            <w14:solidFill>
              <w14:schemeClr w14:val="tx1"/>
            </w14:solidFill>
          </w14:textFill>
        </w:rPr>
        <w:t>偏离表和技术</w:t>
      </w:r>
      <w:r>
        <w:rPr>
          <w:rFonts w:hint="eastAsia" w:ascii="宋体" w:hAnsi="宋体" w:eastAsia="宋体" w:cs="宋体"/>
          <w:color w:val="000000" w:themeColor="text1"/>
          <w:sz w:val="21"/>
          <w:szCs w:val="21"/>
          <w:highlight w:val="none"/>
          <w:lang w:val="en-US" w:eastAsia="zh-CN"/>
          <w14:textFill>
            <w14:solidFill>
              <w14:schemeClr w14:val="tx1"/>
            </w14:solidFill>
          </w14:textFill>
        </w:rPr>
        <w:t>要求</w:t>
      </w:r>
      <w:r>
        <w:rPr>
          <w:rFonts w:hint="eastAsia" w:ascii="宋体" w:hAnsi="宋体" w:eastAsia="宋体" w:cs="宋体"/>
          <w:color w:val="000000" w:themeColor="text1"/>
          <w:sz w:val="21"/>
          <w:szCs w:val="21"/>
          <w:highlight w:val="none"/>
          <w14:textFill>
            <w14:solidFill>
              <w14:schemeClr w14:val="tx1"/>
            </w14:solidFill>
          </w14:textFill>
        </w:rPr>
        <w:t>偏离表；</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w:t>
      </w:r>
      <w:r>
        <w:rPr>
          <w:rFonts w:hint="eastAsia" w:ascii="宋体" w:hAnsi="宋体" w:eastAsia="宋体" w:cs="宋体"/>
          <w:color w:val="000000" w:themeColor="text1"/>
          <w:sz w:val="21"/>
          <w:szCs w:val="21"/>
          <w:highlight w:val="none"/>
          <w:lang w:val="en-US" w:eastAsia="zh-CN"/>
          <w14:textFill>
            <w14:solidFill>
              <w14:schemeClr w14:val="tx1"/>
            </w14:solidFill>
          </w14:textFill>
        </w:rPr>
        <w:t>货物</w:t>
      </w:r>
      <w:r>
        <w:rPr>
          <w:rFonts w:hint="eastAsia" w:ascii="宋体" w:hAnsi="宋体" w:eastAsia="宋体" w:cs="宋体"/>
          <w:color w:val="000000" w:themeColor="text1"/>
          <w:sz w:val="21"/>
          <w:szCs w:val="21"/>
          <w:highlight w:val="none"/>
          <w14:textFill>
            <w14:solidFill>
              <w14:schemeClr w14:val="tx1"/>
            </w14:solidFill>
          </w14:textFill>
        </w:rPr>
        <w:t>配置清单；</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响应</w:t>
      </w:r>
      <w:r>
        <w:rPr>
          <w:rFonts w:hint="eastAsia" w:ascii="宋体" w:hAnsi="宋体" w:eastAsia="宋体" w:cs="宋体"/>
          <w:color w:val="000000" w:themeColor="text1"/>
          <w:sz w:val="21"/>
          <w:szCs w:val="21"/>
          <w:highlight w:val="none"/>
          <w14:textFill>
            <w14:solidFill>
              <w14:schemeClr w14:val="tx1"/>
            </w14:solidFill>
          </w14:textFill>
        </w:rPr>
        <w:t>文件中的其他相关文件。</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上述合同文件互相补充和解释。如果合同文件之间存在矛盾或者不一致之处，以本合同、上述文件的排列顺序在先者为准。</w:t>
      </w:r>
    </w:p>
    <w:p>
      <w:pPr>
        <w:pageBreakBefore w:val="0"/>
        <w:widowControl w:val="0"/>
        <w:kinsoku/>
        <w:wordWrap/>
        <w:overflowPunct/>
        <w:topLinePunct w:val="0"/>
        <w:autoSpaceDE/>
        <w:autoSpaceDN/>
        <w:bidi w:val="0"/>
        <w:adjustRightInd/>
        <w:snapToGrid/>
        <w:spacing w:line="400" w:lineRule="exact"/>
        <w:ind w:left="0" w:firstLine="422" w:firstLineChars="20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第十八条  其他约定事项</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1.本合同所有附件及相关文件均为本合同的有效组成部分，与本合同具有同等法律效力。若合同附件与本合同存在不一致的，则以本合同为准。</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2.在履行本合同过程中，所有经甲乙双方签署确认的文件（包括会议纪要、补充协议、往来信函、电子邮件等） 即成为本合同的有效组成部分。</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3.甲乙双方确认，以下为各方真实有效通讯地址：</w:t>
      </w:r>
    </w:p>
    <w:p>
      <w:pPr>
        <w:pageBreakBefore w:val="0"/>
        <w:widowControl w:val="0"/>
        <w:kinsoku/>
        <w:wordWrap/>
        <w:overflowPunct/>
        <w:topLinePunct w:val="0"/>
        <w:autoSpaceDE/>
        <w:autoSpaceDN/>
        <w:bidi w:val="0"/>
        <w:adjustRightInd/>
        <w:snapToGrid/>
        <w:spacing w:line="400" w:lineRule="exact"/>
        <w:ind w:left="0" w:firstLine="420" w:firstLineChars="200"/>
        <w:jc w:val="left"/>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甲方：</w:t>
      </w:r>
      <w:r>
        <w:rPr>
          <w:rFonts w:hint="eastAsia" w:ascii="宋体" w:hAnsi="宋体" w:eastAsia="宋体" w:cs="宋体"/>
          <w:color w:val="000000" w:themeColor="text1"/>
          <w:sz w:val="21"/>
          <w:szCs w:val="21"/>
          <w:highlight w:val="none"/>
          <w:u w:val="single"/>
          <w14:textFill>
            <w14:solidFill>
              <w14:schemeClr w14:val="tx1"/>
            </w14:solidFill>
          </w14:textFill>
        </w:rPr>
        <w:t>广西壮族自治区南宁生态环境监测中心，</w:t>
      </w:r>
      <w:r>
        <w:rPr>
          <w:rFonts w:hint="eastAsia" w:ascii="宋体" w:hAnsi="宋体" w:eastAsia="宋体" w:cs="宋体"/>
          <w:color w:val="000000" w:themeColor="text1"/>
          <w:sz w:val="21"/>
          <w:szCs w:val="21"/>
          <w:highlight w:val="none"/>
          <w14:textFill>
            <w14:solidFill>
              <w14:schemeClr w14:val="tx1"/>
            </w14:solidFill>
          </w14:textFill>
        </w:rPr>
        <w:t>地址：</w:t>
      </w:r>
      <w:r>
        <w:rPr>
          <w:rFonts w:hint="eastAsia" w:ascii="宋体" w:hAnsi="宋体" w:eastAsia="宋体" w:cs="宋体"/>
          <w:color w:val="000000" w:themeColor="text1"/>
          <w:sz w:val="21"/>
          <w:szCs w:val="21"/>
          <w:highlight w:val="none"/>
          <w:u w:val="single"/>
          <w14:textFill>
            <w14:solidFill>
              <w14:schemeClr w14:val="tx1"/>
            </w14:solidFill>
          </w14:textFill>
        </w:rPr>
        <w:t>南宁市兴宁区民主路45 号 ，</w:t>
      </w:r>
      <w:r>
        <w:rPr>
          <w:rFonts w:hint="eastAsia" w:ascii="宋体" w:hAnsi="宋体" w:eastAsia="宋体" w:cs="宋体"/>
          <w:color w:val="000000" w:themeColor="text1"/>
          <w:sz w:val="21"/>
          <w:szCs w:val="21"/>
          <w:highlight w:val="none"/>
          <w14:textFill>
            <w14:solidFill>
              <w14:schemeClr w14:val="tx1"/>
            </w14:solidFill>
          </w14:textFill>
        </w:rPr>
        <w:t>收件人 ：</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  联系电话 ：</w:t>
      </w:r>
      <w:r>
        <w:rPr>
          <w:rFonts w:hint="eastAsia" w:ascii="宋体" w:hAnsi="宋体" w:eastAsia="宋体" w:cs="宋体"/>
          <w:color w:val="000000" w:themeColor="text1"/>
          <w:sz w:val="21"/>
          <w:szCs w:val="21"/>
          <w:highlight w:val="none"/>
          <w:u w:val="single"/>
          <w14:textFill>
            <w14:solidFill>
              <w14:schemeClr w14:val="tx1"/>
            </w14:solidFill>
          </w14:textFill>
        </w:rPr>
        <w:t xml:space="preserve">0771-2828826 ， </w:t>
      </w:r>
      <w:r>
        <w:rPr>
          <w:rFonts w:hint="eastAsia" w:ascii="宋体" w:hAnsi="宋体" w:eastAsia="宋体" w:cs="宋体"/>
          <w:color w:val="000000" w:themeColor="text1"/>
          <w:sz w:val="21"/>
          <w:szCs w:val="21"/>
          <w:highlight w:val="none"/>
          <w14:textFill>
            <w14:solidFill>
              <w14:schemeClr w14:val="tx1"/>
            </w14:solidFill>
          </w14:textFill>
        </w:rPr>
        <w:t xml:space="preserve"> 电子邮箱 ：</w:t>
      </w:r>
      <w:r>
        <w:rPr>
          <w:rFonts w:hint="eastAsia" w:ascii="宋体" w:hAnsi="宋体" w:eastAsia="宋体" w:cs="宋体"/>
          <w:color w:val="000000" w:themeColor="text1"/>
          <w:sz w:val="21"/>
          <w:szCs w:val="21"/>
          <w:highlight w:val="none"/>
          <w:u w:val="single"/>
          <w14:textFill>
            <w14:solidFill>
              <w14:schemeClr w14:val="tx1"/>
            </w14:solidFill>
          </w14:textFill>
        </w:rPr>
        <w:t>nnsthjjczx_cg@163.com。</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乙方：</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，地址：</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 ，收件人：</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联系电话：</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，电子邮箱：</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方向对方发出的任何通知、信函和文件，以挂号信函或快递信函方式向对方地址邮寄有关通知、信函和文件的，自发出之日起第三日视为送达对方，挂号信函或快递信函的邮寄凭证即视为成功送达的有效凭证。一方地址变更的，应及时书面通知对方，否则上述地址仍为真实有效通讯地址。</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4.本合同一式</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陆</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份，具有同等法律效力，采购代理机构各</w:t>
      </w:r>
      <w:r>
        <w:rPr>
          <w:rFonts w:hint="eastAsia" w:ascii="宋体" w:hAnsi="宋体" w:eastAsia="宋体" w:cs="宋体"/>
          <w:color w:val="000000" w:themeColor="text1"/>
          <w:sz w:val="21"/>
          <w:szCs w:val="21"/>
          <w:highlight w:val="none"/>
          <w:lang w:val="en-US" w:eastAsia="zh-CN"/>
          <w14:textFill>
            <w14:solidFill>
              <w14:schemeClr w14:val="tx1"/>
            </w14:solidFill>
          </w14:textFill>
        </w:rPr>
        <w:t>贰</w:t>
      </w:r>
      <w:r>
        <w:rPr>
          <w:rFonts w:hint="eastAsia" w:ascii="宋体" w:hAnsi="宋体" w:eastAsia="宋体" w:cs="宋体"/>
          <w:color w:val="000000" w:themeColor="text1"/>
          <w:sz w:val="21"/>
          <w:szCs w:val="21"/>
          <w:highlight w:val="none"/>
          <w14:textFill>
            <w14:solidFill>
              <w14:schemeClr w14:val="tx1"/>
            </w14:solidFill>
          </w14:textFill>
        </w:rPr>
        <w:t>份，甲乙双方各贰份。</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本条款不因合同的变更、解除和终止而失效。</w:t>
      </w:r>
    </w:p>
    <w:p>
      <w:pPr>
        <w:pageBreakBefore w:val="0"/>
        <w:widowControl w:val="0"/>
        <w:kinsoku/>
        <w:wordWrap/>
        <w:overflowPunct/>
        <w:topLinePunct w:val="0"/>
        <w:autoSpaceDE/>
        <w:autoSpaceDN/>
        <w:bidi w:val="0"/>
        <w:adjustRightInd/>
        <w:snapToGrid/>
        <w:spacing w:line="400" w:lineRule="exact"/>
        <w:ind w:left="0" w:firstLine="422" w:firstLineChars="20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第十九条  合同附件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t>附件一：保密协议</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t>附件二：采购需求</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t>附件三：</w:t>
      </w:r>
      <w:r>
        <w:rPr>
          <w:rFonts w:hint="eastAsia" w:ascii="宋体" w:hAnsi="宋体" w:eastAsia="宋体" w:cs="宋体"/>
          <w:color w:val="000000" w:themeColor="text1"/>
          <w:sz w:val="21"/>
          <w:szCs w:val="21"/>
          <w:highlight w:val="none"/>
          <w:lang w:val="en-US" w:eastAsia="zh-CN"/>
          <w14:textFill>
            <w14:solidFill>
              <w14:schemeClr w14:val="tx1"/>
            </w14:solidFill>
          </w14:textFill>
        </w:rPr>
        <w:t>竞标声明</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t>附件四：</w:t>
      </w:r>
      <w:r>
        <w:rPr>
          <w:rFonts w:hint="eastAsia" w:ascii="宋体" w:hAnsi="宋体" w:eastAsia="宋体" w:cs="宋体"/>
          <w:color w:val="000000" w:themeColor="text1"/>
          <w:sz w:val="21"/>
          <w:szCs w:val="21"/>
          <w:highlight w:val="none"/>
          <w:lang w:val="en-US" w:eastAsia="zh-CN"/>
          <w14:textFill>
            <w14:solidFill>
              <w14:schemeClr w14:val="tx1"/>
            </w14:solidFill>
          </w14:textFill>
        </w:rPr>
        <w:t>竞标报价表及最后报价表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t>附件五：</w:t>
      </w:r>
      <w:r>
        <w:rPr>
          <w:rFonts w:hint="eastAsia" w:ascii="宋体" w:hAnsi="宋体" w:eastAsia="宋体" w:cs="宋体"/>
          <w:color w:val="000000" w:themeColor="text1"/>
          <w:sz w:val="21"/>
          <w:szCs w:val="21"/>
          <w:highlight w:val="none"/>
          <w14:textFill>
            <w14:solidFill>
              <w14:schemeClr w14:val="tx1"/>
            </w14:solidFill>
          </w14:textFill>
        </w:rPr>
        <w:t>商务</w:t>
      </w:r>
      <w:r>
        <w:rPr>
          <w:rFonts w:hint="eastAsia" w:ascii="宋体" w:hAnsi="宋体" w:eastAsia="宋体" w:cs="宋体"/>
          <w:color w:val="000000" w:themeColor="text1"/>
          <w:sz w:val="21"/>
          <w:szCs w:val="21"/>
          <w:highlight w:val="none"/>
          <w:lang w:val="en-US" w:eastAsia="zh-CN"/>
          <w14:textFill>
            <w14:solidFill>
              <w14:schemeClr w14:val="tx1"/>
            </w14:solidFill>
          </w14:textFill>
        </w:rPr>
        <w:t>要求</w:t>
      </w:r>
      <w:r>
        <w:rPr>
          <w:rFonts w:hint="eastAsia" w:ascii="宋体" w:hAnsi="宋体" w:eastAsia="宋体" w:cs="宋体"/>
          <w:color w:val="000000" w:themeColor="text1"/>
          <w:sz w:val="21"/>
          <w:szCs w:val="21"/>
          <w:highlight w:val="none"/>
          <w14:textFill>
            <w14:solidFill>
              <w14:schemeClr w14:val="tx1"/>
            </w14:solidFill>
          </w14:textFill>
        </w:rPr>
        <w:t>偏离表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t>附件六：</w:t>
      </w:r>
      <w:r>
        <w:rPr>
          <w:rFonts w:hint="eastAsia" w:ascii="宋体" w:hAnsi="宋体" w:eastAsia="宋体" w:cs="宋体"/>
          <w:color w:val="000000" w:themeColor="text1"/>
          <w:sz w:val="21"/>
          <w:szCs w:val="21"/>
          <w:highlight w:val="none"/>
          <w:lang w:val="en-US" w:eastAsia="zh-CN"/>
          <w14:textFill>
            <w14:solidFill>
              <w14:schemeClr w14:val="tx1"/>
            </w14:solidFill>
          </w14:textFill>
        </w:rPr>
        <w:t>技术要求</w:t>
      </w:r>
      <w:r>
        <w:rPr>
          <w:rFonts w:hint="eastAsia" w:ascii="宋体" w:hAnsi="宋体" w:eastAsia="宋体" w:cs="宋体"/>
          <w:color w:val="000000" w:themeColor="text1"/>
          <w:sz w:val="21"/>
          <w:szCs w:val="21"/>
          <w:highlight w:val="none"/>
          <w14:textFill>
            <w14:solidFill>
              <w14:schemeClr w14:val="tx1"/>
            </w14:solidFill>
          </w14:textFill>
        </w:rPr>
        <w:t>偏离表</w:t>
      </w:r>
    </w:p>
    <w:p>
      <w:pPr>
        <w:pStyle w:val="11"/>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t>附件七：</w:t>
      </w:r>
      <w:r>
        <w:rPr>
          <w:rFonts w:hint="eastAsia" w:ascii="宋体" w:hAnsi="宋体" w:eastAsia="宋体" w:cs="宋体"/>
          <w:color w:val="000000" w:themeColor="text1"/>
          <w:sz w:val="21"/>
          <w:szCs w:val="21"/>
          <w:highlight w:val="none"/>
          <w:lang w:eastAsia="zh-CN"/>
          <w14:textFill>
            <w14:solidFill>
              <w14:schemeClr w14:val="tx1"/>
            </w14:solidFill>
          </w14:textFill>
        </w:rPr>
        <w:t>成交通知书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附件八：售后服务承诺</w:t>
      </w:r>
    </w:p>
    <w:p>
      <w:pPr>
        <w:rPr>
          <w:rFonts w:hint="eastAsia"/>
          <w:color w:val="000000" w:themeColor="text1"/>
          <w:highlight w:val="none"/>
          <w:lang w:eastAsia="zh-CN"/>
          <w14:textFill>
            <w14:solidFill>
              <w14:schemeClr w14:val="tx1"/>
            </w14:solidFill>
          </w14:textFill>
        </w:rPr>
      </w:pPr>
    </w:p>
    <w:tbl>
      <w:tblPr>
        <w:tblStyle w:val="28"/>
        <w:tblW w:w="9034" w:type="dxa"/>
        <w:tblInd w:w="12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17"/>
        <w:gridCol w:w="42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1" w:hRule="atLeast"/>
        </w:trPr>
        <w:tc>
          <w:tcPr>
            <w:tcW w:w="4817" w:type="dxa"/>
            <w:noWrap w:val="0"/>
            <w:vAlign w:val="top"/>
          </w:tcPr>
          <w:p>
            <w:pPr>
              <w:pStyle w:val="17"/>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甲方：广西壮族自治区南宁生态环境监测中心</w:t>
            </w:r>
          </w:p>
        </w:tc>
        <w:tc>
          <w:tcPr>
            <w:tcW w:w="4217" w:type="dxa"/>
            <w:noWrap w:val="0"/>
            <w:vAlign w:val="top"/>
          </w:tcPr>
          <w:p>
            <w:pPr>
              <w:pStyle w:val="17"/>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3" w:hRule="atLeast"/>
        </w:trPr>
        <w:tc>
          <w:tcPr>
            <w:tcW w:w="4817" w:type="dxa"/>
            <w:noWrap w:val="0"/>
            <w:vAlign w:val="top"/>
          </w:tcPr>
          <w:p>
            <w:pPr>
              <w:pStyle w:val="17"/>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bCs/>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法定代表人（负责人）：</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 xml:space="preserve"> </w:t>
            </w:r>
          </w:p>
          <w:p>
            <w:pPr>
              <w:pStyle w:val="17"/>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bCs/>
                <w:color w:val="000000" w:themeColor="text1"/>
                <w:sz w:val="21"/>
                <w:szCs w:val="21"/>
                <w:highlight w:val="none"/>
                <w14:textFill>
                  <w14:solidFill>
                    <w14:schemeClr w14:val="tx1"/>
                  </w14:solidFill>
                </w14:textFill>
              </w:rPr>
            </w:pPr>
          </w:p>
        </w:tc>
        <w:tc>
          <w:tcPr>
            <w:tcW w:w="4217" w:type="dxa"/>
            <w:noWrap w:val="0"/>
            <w:vAlign w:val="top"/>
          </w:tcPr>
          <w:p>
            <w:pPr>
              <w:pStyle w:val="17"/>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法定代表人（负责人）：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8" w:hRule="atLeast"/>
        </w:trPr>
        <w:tc>
          <w:tcPr>
            <w:tcW w:w="4817" w:type="dxa"/>
            <w:noWrap w:val="0"/>
            <w:vAlign w:val="top"/>
          </w:tcPr>
          <w:p>
            <w:pPr>
              <w:pStyle w:val="17"/>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授权代表：</w:t>
            </w:r>
          </w:p>
        </w:tc>
        <w:tc>
          <w:tcPr>
            <w:tcW w:w="4217" w:type="dxa"/>
            <w:noWrap w:val="0"/>
            <w:vAlign w:val="top"/>
          </w:tcPr>
          <w:p>
            <w:pPr>
              <w:pStyle w:val="17"/>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授权代表：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1" w:hRule="atLeast"/>
        </w:trPr>
        <w:tc>
          <w:tcPr>
            <w:tcW w:w="4817" w:type="dxa"/>
            <w:noWrap w:val="0"/>
            <w:vAlign w:val="top"/>
          </w:tcPr>
          <w:p>
            <w:pPr>
              <w:pStyle w:val="17"/>
              <w:keepNext w:val="0"/>
              <w:keepLines w:val="0"/>
              <w:pageBreakBefore w:val="0"/>
              <w:widowControl w:val="0"/>
              <w:kinsoku/>
              <w:wordWrap/>
              <w:overflowPunct/>
              <w:topLinePunct w:val="0"/>
              <w:autoSpaceDE/>
              <w:autoSpaceDN/>
              <w:bidi w:val="0"/>
              <w:adjustRightInd/>
              <w:spacing w:line="400" w:lineRule="exact"/>
              <w:jc w:val="right"/>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年  月  日</w:t>
            </w:r>
          </w:p>
        </w:tc>
        <w:tc>
          <w:tcPr>
            <w:tcW w:w="4217" w:type="dxa"/>
            <w:noWrap w:val="0"/>
            <w:vAlign w:val="top"/>
          </w:tcPr>
          <w:p>
            <w:pPr>
              <w:pStyle w:val="17"/>
              <w:keepNext w:val="0"/>
              <w:keepLines w:val="0"/>
              <w:pageBreakBefore w:val="0"/>
              <w:widowControl w:val="0"/>
              <w:kinsoku/>
              <w:wordWrap/>
              <w:overflowPunct/>
              <w:topLinePunct w:val="0"/>
              <w:autoSpaceDE/>
              <w:autoSpaceDN/>
              <w:bidi w:val="0"/>
              <w:adjustRightInd/>
              <w:spacing w:line="400" w:lineRule="exact"/>
              <w:jc w:val="right"/>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年  月  日</w:t>
            </w:r>
          </w:p>
        </w:tc>
      </w:tr>
    </w:tbl>
    <w:p>
      <w:pPr>
        <w:keepNext w:val="0"/>
        <w:keepLines w:val="0"/>
        <w:pageBreakBefore/>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附件一</w:t>
      </w:r>
      <w:r>
        <w:rPr>
          <w:rFonts w:hint="eastAsia" w:ascii="宋体" w:hAnsi="宋体" w:eastAsia="宋体" w:cs="宋体"/>
          <w:b/>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保密协议</w:t>
      </w:r>
    </w:p>
    <w:p>
      <w:pPr>
        <w:keepNext/>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2"/>
        <w:rPr>
          <w:rFonts w:hint="eastAsia" w:ascii="方正小标宋_GBK" w:hAnsi="方正小标宋_GBK" w:eastAsia="方正小标宋_GBK" w:cs="方正小标宋_GBK"/>
          <w:b/>
          <w:bCs w:val="0"/>
          <w:color w:val="000000" w:themeColor="text1"/>
          <w:sz w:val="44"/>
          <w:szCs w:val="44"/>
          <w:highlight w:val="none"/>
          <w14:textFill>
            <w14:solidFill>
              <w14:schemeClr w14:val="tx1"/>
            </w14:solidFill>
          </w14:textFill>
        </w:rPr>
      </w:pPr>
      <w:bookmarkStart w:id="84" w:name="_Toc19167"/>
      <w:bookmarkStart w:id="85" w:name="_Toc132707357"/>
      <w:r>
        <w:rPr>
          <w:rFonts w:hint="eastAsia" w:ascii="方正小标宋_GBK" w:hAnsi="方正小标宋_GBK" w:eastAsia="方正小标宋_GBK" w:cs="方正小标宋_GBK"/>
          <w:b/>
          <w:bCs w:val="0"/>
          <w:color w:val="000000" w:themeColor="text1"/>
          <w:sz w:val="44"/>
          <w:szCs w:val="44"/>
          <w:highlight w:val="none"/>
          <w14:textFill>
            <w14:solidFill>
              <w14:schemeClr w14:val="tx1"/>
            </w14:solidFill>
          </w14:textFill>
        </w:rPr>
        <w:t>保密协议</w:t>
      </w:r>
      <w:bookmarkEnd w:id="84"/>
      <w:bookmarkEnd w:id="85"/>
    </w:p>
    <w:p>
      <w:pPr>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21"/>
          <w:szCs w:val="21"/>
          <w:highlight w:val="none"/>
          <w14:textFill>
            <w14:solidFill>
              <w14:schemeClr w14:val="tx1"/>
            </w14:solidFill>
          </w14:textFill>
        </w:rPr>
        <w:t>甲方：</w:t>
      </w:r>
    </w:p>
    <w:p>
      <w:pPr>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负责人：</w:t>
      </w:r>
    </w:p>
    <w:p>
      <w:pPr>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地址：</w:t>
      </w:r>
    </w:p>
    <w:p>
      <w:pPr>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21"/>
          <w:szCs w:val="21"/>
          <w:highlight w:val="none"/>
          <w14:textFill>
            <w14:solidFill>
              <w14:schemeClr w14:val="tx1"/>
            </w14:solidFill>
          </w14:textFill>
        </w:rPr>
        <w:t xml:space="preserve">乙方： </w:t>
      </w:r>
    </w:p>
    <w:p>
      <w:pPr>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法定代表人： </w:t>
      </w:r>
    </w:p>
    <w:p>
      <w:pPr>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地址： </w:t>
      </w:r>
    </w:p>
    <w:p>
      <w:pPr>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鉴于：</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本协议甲乙双方就双方签订的编号为</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的</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及其等开展业务/合作；在开展业务/合作的合过程中，预计甲方将为上述之目的向乙方披露甲方的专有信息且此等信息均被视为保密信息；因此，双方在此达成如下保密协议：</w:t>
      </w:r>
    </w:p>
    <w:p>
      <w:pPr>
        <w:pStyle w:val="82"/>
        <w:keepNext w:val="0"/>
        <w:keepLines w:val="0"/>
        <w:pageBreakBefore w:val="0"/>
        <w:widowControl w:val="0"/>
        <w:tabs>
          <w:tab w:val="left" w:pos="709"/>
        </w:tabs>
        <w:kinsoku/>
        <w:wordWrap/>
        <w:overflowPunct/>
        <w:topLinePunct w:val="0"/>
        <w:autoSpaceDE/>
        <w:autoSpaceDN/>
        <w:bidi w:val="0"/>
        <w:adjustRightInd w:val="0"/>
        <w:snapToGrid w:val="0"/>
        <w:spacing w:after="0" w:line="400" w:lineRule="exact"/>
        <w:ind w:firstLine="422" w:firstLineChars="200"/>
        <w:textAlignment w:val="auto"/>
        <w:outlineLvl w:val="9"/>
        <w:rPr>
          <w:rFonts w:hint="eastAsia" w:ascii="宋体" w:hAnsi="宋体" w:eastAsia="宋体" w:cs="宋体"/>
          <w:b/>
          <w:color w:val="000000" w:themeColor="text1"/>
          <w:sz w:val="21"/>
          <w:szCs w:val="21"/>
          <w:highlight w:val="none"/>
          <w:lang w:eastAsia="zh-CN"/>
          <w14:textFill>
            <w14:solidFill>
              <w14:schemeClr w14:val="tx1"/>
            </w14:solidFill>
          </w14:textFill>
        </w:rPr>
      </w:pPr>
      <w:bookmarkStart w:id="86" w:name="_Toc132707358"/>
      <w:bookmarkStart w:id="87" w:name="_Toc1584680693"/>
      <w:r>
        <w:rPr>
          <w:rFonts w:hint="eastAsia" w:ascii="宋体" w:hAnsi="宋体" w:eastAsia="宋体" w:cs="宋体"/>
          <w:b/>
          <w:color w:val="000000" w:themeColor="text1"/>
          <w:sz w:val="21"/>
          <w:szCs w:val="21"/>
          <w:highlight w:val="none"/>
          <w:lang w:eastAsia="zh-CN"/>
          <w14:textFill>
            <w14:solidFill>
              <w14:schemeClr w14:val="tx1"/>
            </w14:solidFill>
          </w14:textFill>
        </w:rPr>
        <w:t>一、本协议保密信息的界定</w:t>
      </w:r>
      <w:bookmarkEnd w:id="86"/>
      <w:bookmarkEnd w:id="87"/>
    </w:p>
    <w:p>
      <w:pPr>
        <w:pStyle w:val="82"/>
        <w:keepLines w:val="0"/>
        <w:pageBreakBefore w:val="0"/>
        <w:widowControl w:val="0"/>
        <w:tabs>
          <w:tab w:val="left" w:pos="709"/>
        </w:tabs>
        <w:kinsoku/>
        <w:wordWrap/>
        <w:overflowPunct/>
        <w:topLinePunct w:val="0"/>
        <w:autoSpaceDE/>
        <w:autoSpaceDN/>
        <w:bidi w:val="0"/>
        <w:adjustRightInd w:val="0"/>
        <w:snapToGrid w:val="0"/>
        <w:spacing w:after="0" w:line="400" w:lineRule="exact"/>
        <w:ind w:firstLine="420" w:firstLineChars="200"/>
        <w:textAlignment w:val="auto"/>
        <w:outlineLvl w:val="9"/>
        <w:rPr>
          <w:rFonts w:hint="eastAsia" w:ascii="宋体" w:hAnsi="宋体" w:eastAsia="宋体" w:cs="宋体"/>
          <w:color w:val="000000" w:themeColor="text1"/>
          <w:kern w:val="2"/>
          <w:sz w:val="21"/>
          <w:szCs w:val="21"/>
          <w:highlight w:val="none"/>
          <w:lang w:eastAsia="zh-CN"/>
          <w14:textFill>
            <w14:solidFill>
              <w14:schemeClr w14:val="tx1"/>
            </w14:solidFill>
          </w14:textFill>
        </w:rPr>
      </w:pPr>
      <w:bookmarkStart w:id="88" w:name="_Toc1710318546"/>
      <w:bookmarkStart w:id="89" w:name="_Toc132707359"/>
      <w:r>
        <w:rPr>
          <w:rFonts w:hint="eastAsia" w:ascii="宋体" w:hAnsi="宋体" w:eastAsia="宋体" w:cs="宋体"/>
          <w:color w:val="000000" w:themeColor="text1"/>
          <w:sz w:val="21"/>
          <w:szCs w:val="21"/>
          <w:highlight w:val="none"/>
          <w:lang w:eastAsia="zh-CN"/>
          <w14:textFill>
            <w14:solidFill>
              <w14:schemeClr w14:val="tx1"/>
            </w14:solidFill>
          </w14:textFill>
        </w:rPr>
        <w:t>（一）为本协议之目的，“保密信息”是指为实现前述业务/合作目的，甲方向乙方提供或披露的任何甲方不欲公开的机密信息，或者任何其它非公开或专有的信息、数据、设想或概念、标准，和/或其中的任何知识产权，无论该等信息或数据的载体形式、也不论披露是在本协议生效之前或之后。</w:t>
      </w:r>
      <w:r>
        <w:rPr>
          <w:rFonts w:hint="eastAsia" w:ascii="宋体" w:hAnsi="宋体" w:eastAsia="宋体" w:cs="宋体"/>
          <w:color w:val="000000" w:themeColor="text1"/>
          <w:kern w:val="2"/>
          <w:sz w:val="21"/>
          <w:szCs w:val="21"/>
          <w:highlight w:val="none"/>
          <w:lang w:eastAsia="zh-CN"/>
          <w14:textFill>
            <w14:solidFill>
              <w14:schemeClr w14:val="tx1"/>
            </w14:solidFill>
          </w14:textFill>
        </w:rPr>
        <w:t>本协议所指保密信息包括但不限于以下内容：</w:t>
      </w:r>
      <w:bookmarkEnd w:id="88"/>
      <w:bookmarkEnd w:id="89"/>
    </w:p>
    <w:p>
      <w:pPr>
        <w:pStyle w:val="82"/>
        <w:keepLines w:val="0"/>
        <w:pageBreakBefore w:val="0"/>
        <w:widowControl w:val="0"/>
        <w:tabs>
          <w:tab w:val="left" w:pos="709"/>
        </w:tabs>
        <w:kinsoku/>
        <w:wordWrap/>
        <w:overflowPunct/>
        <w:topLinePunct w:val="0"/>
        <w:autoSpaceDE/>
        <w:autoSpaceDN/>
        <w:bidi w:val="0"/>
        <w:adjustRightInd w:val="0"/>
        <w:snapToGrid w:val="0"/>
        <w:spacing w:after="0" w:line="400" w:lineRule="exact"/>
        <w:ind w:firstLine="422" w:firstLineChars="200"/>
        <w:textAlignment w:val="auto"/>
        <w:outlineLvl w:val="9"/>
        <w:rPr>
          <w:rFonts w:hint="eastAsia" w:ascii="宋体" w:hAnsi="宋体" w:eastAsia="宋体" w:cs="宋体"/>
          <w:color w:val="000000" w:themeColor="text1"/>
          <w:kern w:val="2"/>
          <w:sz w:val="21"/>
          <w:szCs w:val="21"/>
          <w:highlight w:val="none"/>
          <w:lang w:eastAsia="zh-CN"/>
          <w14:textFill>
            <w14:solidFill>
              <w14:schemeClr w14:val="tx1"/>
            </w14:solidFill>
          </w14:textFill>
        </w:rPr>
      </w:pPr>
      <w:bookmarkStart w:id="90" w:name="_Toc1676583173"/>
      <w:bookmarkStart w:id="91" w:name="_Toc132707360"/>
      <w:r>
        <w:rPr>
          <w:rFonts w:hint="eastAsia" w:ascii="宋体" w:hAnsi="宋体" w:eastAsia="宋体" w:cs="宋体"/>
          <w:b/>
          <w:bCs/>
          <w:color w:val="000000" w:themeColor="text1"/>
          <w:kern w:val="2"/>
          <w:sz w:val="21"/>
          <w:szCs w:val="21"/>
          <w:highlight w:val="none"/>
          <w:lang w:eastAsia="zh-CN"/>
          <w14:textFill>
            <w14:solidFill>
              <w14:schemeClr w14:val="tx1"/>
            </w14:solidFill>
          </w14:textFill>
        </w:rPr>
        <w:t>技术信息</w:t>
      </w:r>
      <w:r>
        <w:rPr>
          <w:rFonts w:hint="eastAsia" w:ascii="宋体" w:hAnsi="宋体" w:eastAsia="宋体" w:cs="宋体"/>
          <w:color w:val="000000" w:themeColor="text1"/>
          <w:kern w:val="2"/>
          <w:sz w:val="21"/>
          <w:szCs w:val="21"/>
          <w:highlight w:val="none"/>
          <w:lang w:eastAsia="zh-CN"/>
          <w14:textFill>
            <w14:solidFill>
              <w14:schemeClr w14:val="tx1"/>
            </w14:solidFill>
          </w14:textFill>
        </w:rPr>
        <w:t>：包括甲方专有的技术方案、网络组织、系统及应用软件、数据库、未公开的具有国内先进水平以上的科技成果、技术文档、商务合同、招标方案、评标结果、涉及商业秘密的业务函电等。</w:t>
      </w:r>
      <w:bookmarkEnd w:id="90"/>
      <w:bookmarkEnd w:id="91"/>
    </w:p>
    <w:p>
      <w:pPr>
        <w:pStyle w:val="82"/>
        <w:keepLines w:val="0"/>
        <w:pageBreakBefore w:val="0"/>
        <w:widowControl w:val="0"/>
        <w:tabs>
          <w:tab w:val="left" w:pos="709"/>
        </w:tabs>
        <w:kinsoku/>
        <w:wordWrap/>
        <w:overflowPunct/>
        <w:topLinePunct w:val="0"/>
        <w:autoSpaceDE/>
        <w:autoSpaceDN/>
        <w:bidi w:val="0"/>
        <w:adjustRightInd w:val="0"/>
        <w:snapToGrid w:val="0"/>
        <w:spacing w:after="0" w:line="400" w:lineRule="exact"/>
        <w:ind w:firstLine="422" w:firstLineChars="200"/>
        <w:textAlignment w:val="auto"/>
        <w:outlineLvl w:val="9"/>
        <w:rPr>
          <w:rFonts w:hint="eastAsia" w:ascii="宋体" w:hAnsi="宋体" w:eastAsia="宋体" w:cs="宋体"/>
          <w:color w:val="000000" w:themeColor="text1"/>
          <w:kern w:val="2"/>
          <w:sz w:val="21"/>
          <w:szCs w:val="21"/>
          <w:highlight w:val="none"/>
          <w:lang w:eastAsia="zh-CN"/>
          <w14:textFill>
            <w14:solidFill>
              <w14:schemeClr w14:val="tx1"/>
            </w14:solidFill>
          </w14:textFill>
        </w:rPr>
      </w:pPr>
      <w:bookmarkStart w:id="92" w:name="_Toc1177140318"/>
      <w:bookmarkStart w:id="93" w:name="_Toc132707361"/>
      <w:r>
        <w:rPr>
          <w:rFonts w:hint="eastAsia" w:ascii="宋体" w:hAnsi="宋体" w:eastAsia="宋体" w:cs="宋体"/>
          <w:b/>
          <w:bCs/>
          <w:color w:val="000000" w:themeColor="text1"/>
          <w:kern w:val="2"/>
          <w:sz w:val="21"/>
          <w:szCs w:val="21"/>
          <w:highlight w:val="none"/>
          <w:lang w:eastAsia="zh-CN"/>
          <w14:textFill>
            <w14:solidFill>
              <w14:schemeClr w14:val="tx1"/>
            </w14:solidFill>
          </w14:textFill>
        </w:rPr>
        <w:t>经营信息：</w:t>
      </w:r>
      <w:r>
        <w:rPr>
          <w:rFonts w:hint="eastAsia" w:ascii="宋体" w:hAnsi="宋体" w:eastAsia="宋体" w:cs="宋体"/>
          <w:color w:val="000000" w:themeColor="text1"/>
          <w:kern w:val="2"/>
          <w:sz w:val="21"/>
          <w:szCs w:val="21"/>
          <w:highlight w:val="none"/>
          <w:lang w:eastAsia="zh-CN"/>
          <w14:textFill>
            <w14:solidFill>
              <w14:schemeClr w14:val="tx1"/>
            </w14:solidFill>
          </w14:textFill>
        </w:rPr>
        <w:t>包括甲方发展战略规划、投资计划及年度计划；甲方策略、资料、重大活动计划及安排、暂不公开或不公开的对接单位、合作伙伴相关信息；甲方重要会议内容及记录、以及管理相关文件。</w:t>
      </w:r>
      <w:bookmarkEnd w:id="92"/>
      <w:bookmarkEnd w:id="93"/>
    </w:p>
    <w:p>
      <w:pPr>
        <w:pStyle w:val="82"/>
        <w:keepLines w:val="0"/>
        <w:pageBreakBefore w:val="0"/>
        <w:widowControl w:val="0"/>
        <w:tabs>
          <w:tab w:val="left" w:pos="709"/>
        </w:tabs>
        <w:kinsoku/>
        <w:wordWrap/>
        <w:overflowPunct/>
        <w:topLinePunct w:val="0"/>
        <w:autoSpaceDE/>
        <w:autoSpaceDN/>
        <w:bidi w:val="0"/>
        <w:adjustRightInd w:val="0"/>
        <w:snapToGrid w:val="0"/>
        <w:spacing w:after="0" w:line="400" w:lineRule="exact"/>
        <w:ind w:firstLine="422" w:firstLineChars="200"/>
        <w:textAlignment w:val="auto"/>
        <w:outlineLvl w:val="9"/>
        <w:rPr>
          <w:rFonts w:hint="eastAsia" w:ascii="宋体" w:hAnsi="宋体" w:eastAsia="宋体" w:cs="宋体"/>
          <w:color w:val="000000" w:themeColor="text1"/>
          <w:kern w:val="2"/>
          <w:sz w:val="21"/>
          <w:szCs w:val="21"/>
          <w:highlight w:val="none"/>
          <w:lang w:eastAsia="zh-CN"/>
          <w14:textFill>
            <w14:solidFill>
              <w14:schemeClr w14:val="tx1"/>
            </w14:solidFill>
          </w14:textFill>
        </w:rPr>
      </w:pPr>
      <w:bookmarkStart w:id="94" w:name="_Toc2119817172"/>
      <w:bookmarkStart w:id="95" w:name="_Toc132707362"/>
      <w:r>
        <w:rPr>
          <w:rFonts w:hint="eastAsia" w:ascii="宋体" w:hAnsi="宋体" w:eastAsia="宋体" w:cs="宋体"/>
          <w:b/>
          <w:bCs/>
          <w:color w:val="000000" w:themeColor="text1"/>
          <w:kern w:val="2"/>
          <w:sz w:val="21"/>
          <w:szCs w:val="21"/>
          <w:highlight w:val="none"/>
          <w:lang w:eastAsia="zh-CN"/>
          <w14:textFill>
            <w14:solidFill>
              <w14:schemeClr w14:val="tx1"/>
            </w14:solidFill>
          </w14:textFill>
        </w:rPr>
        <w:t>其他：</w:t>
      </w:r>
      <w:r>
        <w:rPr>
          <w:rFonts w:hint="eastAsia" w:ascii="宋体" w:hAnsi="宋体" w:eastAsia="宋体" w:cs="宋体"/>
          <w:color w:val="000000" w:themeColor="text1"/>
          <w:kern w:val="2"/>
          <w:sz w:val="21"/>
          <w:szCs w:val="21"/>
          <w:highlight w:val="none"/>
          <w:lang w:eastAsia="zh-CN"/>
          <w14:textFill>
            <w14:solidFill>
              <w14:schemeClr w14:val="tx1"/>
            </w14:solidFill>
          </w14:textFill>
        </w:rPr>
        <w:t>针对</w:t>
      </w:r>
      <w:r>
        <w:rPr>
          <w:rFonts w:hint="eastAsia" w:ascii="宋体" w:hAnsi="宋体" w:eastAsia="宋体" w:cs="宋体"/>
          <w:color w:val="000000" w:themeColor="text1"/>
          <w:sz w:val="21"/>
          <w:szCs w:val="21"/>
          <w:highlight w:val="none"/>
          <w:lang w:eastAsia="zh-CN"/>
          <w14:textFill>
            <w14:solidFill>
              <w14:schemeClr w14:val="tx1"/>
            </w14:solidFill>
          </w14:textFill>
        </w:rPr>
        <w:t>业务/合作</w:t>
      </w:r>
      <w:r>
        <w:rPr>
          <w:rFonts w:hint="eastAsia" w:ascii="宋体" w:hAnsi="宋体" w:eastAsia="宋体" w:cs="宋体"/>
          <w:color w:val="000000" w:themeColor="text1"/>
          <w:kern w:val="2"/>
          <w:sz w:val="21"/>
          <w:szCs w:val="21"/>
          <w:highlight w:val="none"/>
          <w:lang w:eastAsia="zh-CN"/>
          <w14:textFill>
            <w14:solidFill>
              <w14:schemeClr w14:val="tx1"/>
            </w14:solidFill>
          </w14:textFill>
        </w:rPr>
        <w:t>需要，甲方向乙方提供的所有相关资料和数据。</w:t>
      </w:r>
      <w:bookmarkEnd w:id="94"/>
      <w:bookmarkEnd w:id="95"/>
    </w:p>
    <w:p>
      <w:pPr>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（二）上述保密信息的披露，包括但不限于以数据、文字、录音及记载上述内容的文档、光盘、软件、图书等有形介质体现，也可通过口头等视听方式传递。</w:t>
      </w:r>
    </w:p>
    <w:p>
      <w:pPr>
        <w:pStyle w:val="82"/>
        <w:keepLines w:val="0"/>
        <w:pageBreakBefore w:val="0"/>
        <w:widowControl w:val="0"/>
        <w:tabs>
          <w:tab w:val="left" w:pos="709"/>
        </w:tabs>
        <w:kinsoku/>
        <w:wordWrap/>
        <w:overflowPunct/>
        <w:topLinePunct w:val="0"/>
        <w:autoSpaceDE/>
        <w:autoSpaceDN/>
        <w:bidi w:val="0"/>
        <w:adjustRightInd w:val="0"/>
        <w:snapToGrid w:val="0"/>
        <w:spacing w:after="0" w:line="400" w:lineRule="exact"/>
        <w:ind w:firstLine="422" w:firstLineChars="200"/>
        <w:textAlignment w:val="auto"/>
        <w:outlineLvl w:val="9"/>
        <w:rPr>
          <w:rFonts w:hint="eastAsia" w:ascii="宋体" w:hAnsi="宋体" w:eastAsia="宋体" w:cs="宋体"/>
          <w:b/>
          <w:color w:val="000000" w:themeColor="text1"/>
          <w:kern w:val="2"/>
          <w:sz w:val="21"/>
          <w:szCs w:val="21"/>
          <w:highlight w:val="none"/>
          <w:lang w:eastAsia="zh-CN"/>
          <w14:textFill>
            <w14:solidFill>
              <w14:schemeClr w14:val="tx1"/>
            </w14:solidFill>
          </w14:textFill>
        </w:rPr>
      </w:pPr>
      <w:bookmarkStart w:id="96" w:name="_Toc132707363"/>
      <w:bookmarkStart w:id="97" w:name="_Toc1121355855"/>
      <w:r>
        <w:rPr>
          <w:rFonts w:hint="eastAsia" w:ascii="宋体" w:hAnsi="宋体" w:eastAsia="宋体" w:cs="宋体"/>
          <w:b/>
          <w:color w:val="000000" w:themeColor="text1"/>
          <w:kern w:val="2"/>
          <w:sz w:val="21"/>
          <w:szCs w:val="21"/>
          <w:highlight w:val="none"/>
          <w:lang w:eastAsia="zh-CN"/>
          <w14:textFill>
            <w14:solidFill>
              <w14:schemeClr w14:val="tx1"/>
            </w14:solidFill>
          </w14:textFill>
        </w:rPr>
        <w:t>二、以下信息不属于本协议所定义的保密信息，不受本协议的约束：</w:t>
      </w:r>
      <w:bookmarkEnd w:id="96"/>
      <w:bookmarkEnd w:id="97"/>
    </w:p>
    <w:p>
      <w:pPr>
        <w:pStyle w:val="82"/>
        <w:keepLines w:val="0"/>
        <w:pageBreakBefore w:val="0"/>
        <w:tabs>
          <w:tab w:val="left" w:pos="709"/>
        </w:tabs>
        <w:kinsoku/>
        <w:wordWrap/>
        <w:overflowPunct/>
        <w:topLinePunct w:val="0"/>
        <w:autoSpaceDE/>
        <w:autoSpaceDN/>
        <w:bidi w:val="0"/>
        <w:adjustRightInd w:val="0"/>
        <w:snapToGrid w:val="0"/>
        <w:spacing w:after="0" w:line="400" w:lineRule="exact"/>
        <w:ind w:firstLine="420" w:firstLineChars="200"/>
        <w:textAlignment w:val="auto"/>
        <w:outlineLvl w:val="9"/>
        <w:rPr>
          <w:rFonts w:hint="eastAsia" w:ascii="宋体" w:hAnsi="宋体" w:eastAsia="宋体" w:cs="宋体"/>
          <w:color w:val="000000" w:themeColor="text1"/>
          <w:kern w:val="2"/>
          <w:sz w:val="21"/>
          <w:szCs w:val="21"/>
          <w:highlight w:val="none"/>
          <w:lang w:eastAsia="zh-CN"/>
          <w14:textFill>
            <w14:solidFill>
              <w14:schemeClr w14:val="tx1"/>
            </w14:solidFill>
          </w14:textFill>
        </w:rPr>
      </w:pPr>
      <w:bookmarkStart w:id="98" w:name="_Toc1638646153"/>
      <w:bookmarkStart w:id="99" w:name="_Toc132707364"/>
      <w:r>
        <w:rPr>
          <w:rFonts w:hint="eastAsia" w:ascii="宋体" w:hAnsi="宋体" w:eastAsia="宋体" w:cs="宋体"/>
          <w:color w:val="000000" w:themeColor="text1"/>
          <w:kern w:val="2"/>
          <w:sz w:val="21"/>
          <w:szCs w:val="21"/>
          <w:highlight w:val="none"/>
          <w:lang w:eastAsia="zh-CN"/>
          <w14:textFill>
            <w14:solidFill>
              <w14:schemeClr w14:val="tx1"/>
            </w14:solidFill>
          </w14:textFill>
        </w:rPr>
        <w:t>（一）乙方能够证明已处于公开状态或并不违反本协议即可获得的任何信息；</w:t>
      </w:r>
      <w:bookmarkEnd w:id="98"/>
      <w:bookmarkEnd w:id="99"/>
    </w:p>
    <w:p>
      <w:pPr>
        <w:pStyle w:val="82"/>
        <w:keepLines w:val="0"/>
        <w:pageBreakBefore w:val="0"/>
        <w:tabs>
          <w:tab w:val="left" w:pos="709"/>
        </w:tabs>
        <w:kinsoku/>
        <w:wordWrap/>
        <w:overflowPunct/>
        <w:topLinePunct w:val="0"/>
        <w:autoSpaceDE/>
        <w:autoSpaceDN/>
        <w:bidi w:val="0"/>
        <w:adjustRightInd w:val="0"/>
        <w:snapToGrid w:val="0"/>
        <w:spacing w:after="0" w:line="400" w:lineRule="exact"/>
        <w:ind w:firstLine="420" w:firstLineChars="200"/>
        <w:textAlignment w:val="auto"/>
        <w:outlineLvl w:val="9"/>
        <w:rPr>
          <w:rFonts w:hint="eastAsia" w:ascii="宋体" w:hAnsi="宋体" w:eastAsia="宋体" w:cs="宋体"/>
          <w:color w:val="000000" w:themeColor="text1"/>
          <w:sz w:val="21"/>
          <w:szCs w:val="21"/>
          <w:highlight w:val="none"/>
          <w:lang w:eastAsia="zh-CN"/>
          <w14:textFill>
            <w14:solidFill>
              <w14:schemeClr w14:val="tx1"/>
            </w14:solidFill>
          </w14:textFill>
        </w:rPr>
      </w:pPr>
      <w:bookmarkStart w:id="100" w:name="_Toc132707365"/>
      <w:bookmarkStart w:id="101" w:name="_Toc1676986016"/>
      <w:r>
        <w:rPr>
          <w:rFonts w:hint="eastAsia" w:ascii="宋体" w:hAnsi="宋体" w:eastAsia="宋体" w:cs="宋体"/>
          <w:color w:val="000000" w:themeColor="text1"/>
          <w:sz w:val="21"/>
          <w:szCs w:val="21"/>
          <w:highlight w:val="none"/>
          <w:lang w:eastAsia="zh-CN"/>
          <w14:textFill>
            <w14:solidFill>
              <w14:schemeClr w14:val="tx1"/>
            </w14:solidFill>
          </w14:textFill>
        </w:rPr>
        <w:t>（二）书面记录能够证明从甲方收到前乙方已经掌握的信息；</w:t>
      </w:r>
      <w:bookmarkEnd w:id="100"/>
      <w:bookmarkEnd w:id="101"/>
    </w:p>
    <w:p>
      <w:pPr>
        <w:pStyle w:val="82"/>
        <w:keepLines w:val="0"/>
        <w:pageBreakBefore w:val="0"/>
        <w:tabs>
          <w:tab w:val="left" w:pos="709"/>
        </w:tabs>
        <w:kinsoku/>
        <w:wordWrap/>
        <w:overflowPunct/>
        <w:topLinePunct w:val="0"/>
        <w:autoSpaceDE/>
        <w:autoSpaceDN/>
        <w:bidi w:val="0"/>
        <w:adjustRightInd w:val="0"/>
        <w:snapToGrid w:val="0"/>
        <w:spacing w:after="0" w:line="400" w:lineRule="exact"/>
        <w:ind w:firstLine="420" w:firstLineChars="200"/>
        <w:textAlignment w:val="auto"/>
        <w:outlineLvl w:val="9"/>
        <w:rPr>
          <w:rFonts w:hint="eastAsia" w:ascii="宋体" w:hAnsi="宋体" w:eastAsia="宋体" w:cs="宋体"/>
          <w:color w:val="000000" w:themeColor="text1"/>
          <w:kern w:val="2"/>
          <w:sz w:val="21"/>
          <w:szCs w:val="21"/>
          <w:highlight w:val="none"/>
          <w:lang w:eastAsia="zh-CN"/>
          <w14:textFill>
            <w14:solidFill>
              <w14:schemeClr w14:val="tx1"/>
            </w14:solidFill>
          </w14:textFill>
        </w:rPr>
      </w:pPr>
      <w:bookmarkStart w:id="102" w:name="_Toc1259475693"/>
      <w:bookmarkStart w:id="103" w:name="_Toc132707366"/>
      <w:r>
        <w:rPr>
          <w:rFonts w:hint="eastAsia" w:ascii="宋体" w:hAnsi="宋体" w:eastAsia="宋体" w:cs="宋体"/>
          <w:color w:val="000000" w:themeColor="text1"/>
          <w:kern w:val="2"/>
          <w:sz w:val="21"/>
          <w:szCs w:val="21"/>
          <w:highlight w:val="none"/>
          <w:lang w:eastAsia="zh-CN"/>
          <w14:textFill>
            <w14:solidFill>
              <w14:schemeClr w14:val="tx1"/>
            </w14:solidFill>
          </w14:textFill>
        </w:rPr>
        <w:t>（三）经甲方书面同意披露或许可使用的信息。</w:t>
      </w:r>
      <w:bookmarkEnd w:id="102"/>
      <w:bookmarkEnd w:id="103"/>
    </w:p>
    <w:p>
      <w:pPr>
        <w:pStyle w:val="82"/>
        <w:keepLines w:val="0"/>
        <w:pageBreakBefore w:val="0"/>
        <w:widowControl w:val="0"/>
        <w:tabs>
          <w:tab w:val="left" w:pos="709"/>
        </w:tabs>
        <w:kinsoku/>
        <w:wordWrap/>
        <w:overflowPunct/>
        <w:topLinePunct w:val="0"/>
        <w:autoSpaceDE/>
        <w:autoSpaceDN/>
        <w:bidi w:val="0"/>
        <w:adjustRightInd w:val="0"/>
        <w:snapToGrid w:val="0"/>
        <w:spacing w:after="0" w:line="400" w:lineRule="exact"/>
        <w:ind w:firstLine="422" w:firstLineChars="200"/>
        <w:textAlignment w:val="auto"/>
        <w:outlineLvl w:val="9"/>
        <w:rPr>
          <w:rFonts w:hint="eastAsia" w:ascii="宋体" w:hAnsi="宋体" w:eastAsia="宋体" w:cs="宋体"/>
          <w:b/>
          <w:color w:val="000000" w:themeColor="text1"/>
          <w:kern w:val="2"/>
          <w:sz w:val="21"/>
          <w:szCs w:val="21"/>
          <w:highlight w:val="none"/>
          <w:lang w:eastAsia="zh-CN"/>
          <w14:textFill>
            <w14:solidFill>
              <w14:schemeClr w14:val="tx1"/>
            </w14:solidFill>
          </w14:textFill>
        </w:rPr>
      </w:pPr>
      <w:bookmarkStart w:id="104" w:name="_Toc132707367"/>
      <w:bookmarkStart w:id="105" w:name="_Toc1364483399"/>
      <w:r>
        <w:rPr>
          <w:rFonts w:hint="eastAsia" w:ascii="宋体" w:hAnsi="宋体" w:eastAsia="宋体" w:cs="宋体"/>
          <w:b/>
          <w:color w:val="000000" w:themeColor="text1"/>
          <w:kern w:val="2"/>
          <w:sz w:val="21"/>
          <w:szCs w:val="21"/>
          <w:highlight w:val="none"/>
          <w:lang w:eastAsia="zh-CN"/>
          <w14:textFill>
            <w14:solidFill>
              <w14:schemeClr w14:val="tx1"/>
            </w14:solidFill>
          </w14:textFill>
        </w:rPr>
        <w:t>三、保密义务及具体要求</w:t>
      </w:r>
      <w:bookmarkEnd w:id="104"/>
      <w:bookmarkEnd w:id="105"/>
    </w:p>
    <w:p>
      <w:pPr>
        <w:pStyle w:val="82"/>
        <w:keepLines w:val="0"/>
        <w:pageBreakBefore w:val="0"/>
        <w:tabs>
          <w:tab w:val="left" w:pos="709"/>
        </w:tabs>
        <w:kinsoku/>
        <w:wordWrap/>
        <w:overflowPunct/>
        <w:topLinePunct w:val="0"/>
        <w:autoSpaceDE/>
        <w:autoSpaceDN/>
        <w:bidi w:val="0"/>
        <w:adjustRightInd w:val="0"/>
        <w:snapToGrid w:val="0"/>
        <w:spacing w:after="0" w:line="400" w:lineRule="exact"/>
        <w:ind w:firstLine="420" w:firstLineChars="200"/>
        <w:textAlignment w:val="auto"/>
        <w:outlineLvl w:val="9"/>
        <w:rPr>
          <w:rFonts w:hint="eastAsia" w:ascii="宋体" w:hAnsi="宋体" w:eastAsia="宋体" w:cs="宋体"/>
          <w:color w:val="000000" w:themeColor="text1"/>
          <w:kern w:val="2"/>
          <w:sz w:val="21"/>
          <w:szCs w:val="21"/>
          <w:highlight w:val="none"/>
          <w:lang w:eastAsia="zh-CN"/>
          <w14:textFill>
            <w14:solidFill>
              <w14:schemeClr w14:val="tx1"/>
            </w14:solidFill>
          </w14:textFill>
        </w:rPr>
      </w:pPr>
      <w:bookmarkStart w:id="106" w:name="_Toc1861507462"/>
      <w:bookmarkStart w:id="107" w:name="_Toc132707368"/>
      <w:r>
        <w:rPr>
          <w:rFonts w:hint="eastAsia" w:ascii="宋体" w:hAnsi="宋体" w:eastAsia="宋体" w:cs="宋体"/>
          <w:color w:val="000000" w:themeColor="text1"/>
          <w:kern w:val="2"/>
          <w:sz w:val="21"/>
          <w:szCs w:val="21"/>
          <w:highlight w:val="none"/>
          <w:lang w:eastAsia="zh-CN"/>
          <w14:textFill>
            <w14:solidFill>
              <w14:schemeClr w14:val="tx1"/>
            </w14:solidFill>
          </w14:textFill>
        </w:rPr>
        <w:t>（一）乙方应以对待自己同等重要的保密文件一样的谨慎态度对待甲方提供的保密信息，乙方应要求其获悉保密信息的所有人员采取必要的措施对收到的保密信息进行存档和保密，避免任何其他第三方及乙方的无关人员以任何方式获得此保密信息；</w:t>
      </w:r>
      <w:bookmarkEnd w:id="106"/>
      <w:bookmarkEnd w:id="107"/>
    </w:p>
    <w:p>
      <w:pPr>
        <w:pStyle w:val="82"/>
        <w:keepLines w:val="0"/>
        <w:pageBreakBefore w:val="0"/>
        <w:tabs>
          <w:tab w:val="left" w:pos="709"/>
        </w:tabs>
        <w:kinsoku/>
        <w:wordWrap/>
        <w:overflowPunct/>
        <w:topLinePunct w:val="0"/>
        <w:autoSpaceDE/>
        <w:autoSpaceDN/>
        <w:bidi w:val="0"/>
        <w:adjustRightInd w:val="0"/>
        <w:snapToGrid w:val="0"/>
        <w:spacing w:after="0" w:line="400" w:lineRule="exact"/>
        <w:ind w:firstLine="420" w:firstLineChars="200"/>
        <w:textAlignment w:val="auto"/>
        <w:outlineLvl w:val="9"/>
        <w:rPr>
          <w:rFonts w:hint="eastAsia" w:ascii="宋体" w:hAnsi="宋体" w:eastAsia="宋体" w:cs="宋体"/>
          <w:color w:val="000000" w:themeColor="text1"/>
          <w:kern w:val="2"/>
          <w:sz w:val="21"/>
          <w:szCs w:val="21"/>
          <w:highlight w:val="none"/>
          <w:lang w:eastAsia="zh-CN"/>
          <w14:textFill>
            <w14:solidFill>
              <w14:schemeClr w14:val="tx1"/>
            </w14:solidFill>
          </w14:textFill>
        </w:rPr>
      </w:pPr>
      <w:bookmarkStart w:id="108" w:name="_Toc32822840"/>
      <w:bookmarkStart w:id="109" w:name="_Toc132707369"/>
      <w:r>
        <w:rPr>
          <w:rFonts w:hint="eastAsia" w:ascii="宋体" w:hAnsi="宋体" w:eastAsia="宋体" w:cs="宋体"/>
          <w:color w:val="000000" w:themeColor="text1"/>
          <w:kern w:val="2"/>
          <w:sz w:val="21"/>
          <w:szCs w:val="21"/>
          <w:highlight w:val="none"/>
          <w:lang w:eastAsia="zh-CN"/>
          <w14:textFill>
            <w14:solidFill>
              <w14:schemeClr w14:val="tx1"/>
            </w14:solidFill>
          </w14:textFill>
        </w:rPr>
        <w:t>（二）乙方保证该保密信息仅用于与业务/合作有关的用途。未经甲方书面同意，乙方不得将保密信息用于业务/合作以外的任何用途、不得对保密信息进行复制、或利用保密信息进行新的研究或开发；</w:t>
      </w:r>
      <w:bookmarkEnd w:id="108"/>
      <w:bookmarkEnd w:id="109"/>
    </w:p>
    <w:p>
      <w:pPr>
        <w:pStyle w:val="82"/>
        <w:keepLines w:val="0"/>
        <w:pageBreakBefore w:val="0"/>
        <w:tabs>
          <w:tab w:val="left" w:pos="709"/>
        </w:tabs>
        <w:kinsoku/>
        <w:wordWrap/>
        <w:overflowPunct/>
        <w:topLinePunct w:val="0"/>
        <w:autoSpaceDE/>
        <w:autoSpaceDN/>
        <w:bidi w:val="0"/>
        <w:adjustRightInd w:val="0"/>
        <w:snapToGrid w:val="0"/>
        <w:spacing w:after="0" w:line="400" w:lineRule="exact"/>
        <w:ind w:firstLine="420" w:firstLineChars="200"/>
        <w:textAlignment w:val="auto"/>
        <w:outlineLvl w:val="9"/>
        <w:rPr>
          <w:rFonts w:hint="eastAsia" w:ascii="宋体" w:hAnsi="宋体" w:eastAsia="宋体" w:cs="宋体"/>
          <w:color w:val="000000" w:themeColor="text1"/>
          <w:kern w:val="2"/>
          <w:sz w:val="21"/>
          <w:szCs w:val="21"/>
          <w:highlight w:val="none"/>
          <w:lang w:eastAsia="zh-CN"/>
          <w14:textFill>
            <w14:solidFill>
              <w14:schemeClr w14:val="tx1"/>
            </w14:solidFill>
          </w14:textFill>
        </w:rPr>
      </w:pPr>
      <w:bookmarkStart w:id="110" w:name="_Toc132707370"/>
      <w:bookmarkStart w:id="111" w:name="_Toc1692559735"/>
      <w:r>
        <w:rPr>
          <w:rFonts w:hint="eastAsia" w:ascii="宋体" w:hAnsi="宋体" w:eastAsia="宋体" w:cs="宋体"/>
          <w:color w:val="000000" w:themeColor="text1"/>
          <w:kern w:val="2"/>
          <w:sz w:val="21"/>
          <w:szCs w:val="21"/>
          <w:highlight w:val="none"/>
          <w:lang w:eastAsia="zh-CN"/>
          <w14:textFill>
            <w14:solidFill>
              <w14:schemeClr w14:val="tx1"/>
            </w14:solidFill>
          </w14:textFill>
        </w:rPr>
        <w:t>（三）乙方保证仅为与甲方业务/合作的目的向乙方确有知悉必要的雇员、董事、顾问和/或咨询人员披露保密信息，且对保密信息的披露及利用符合甲方的利益。在乙方上述人员知悉该保密信息前，应向其说明保密信息的保密性及其应承担的义务，保证上述人员同意接收本协议条款的约束，并对上述人员的保密行为进行有效的监督管理。因前述人员违背上述承诺，向第三方披露保密信息，或依据该等保密信息向第三方做出任何建议，都被视为乙方违反本协议，乙方应承担全部责任，且乙方应采取有效措施防止泄密进一步扩大，并及时告知甲方；</w:t>
      </w:r>
      <w:bookmarkEnd w:id="110"/>
      <w:bookmarkEnd w:id="111"/>
    </w:p>
    <w:p>
      <w:pPr>
        <w:pStyle w:val="82"/>
        <w:keepLines w:val="0"/>
        <w:pageBreakBefore w:val="0"/>
        <w:tabs>
          <w:tab w:val="left" w:pos="709"/>
        </w:tabs>
        <w:kinsoku/>
        <w:wordWrap/>
        <w:overflowPunct/>
        <w:topLinePunct w:val="0"/>
        <w:autoSpaceDE/>
        <w:autoSpaceDN/>
        <w:bidi w:val="0"/>
        <w:adjustRightInd w:val="0"/>
        <w:snapToGrid w:val="0"/>
        <w:spacing w:after="0" w:line="400" w:lineRule="exact"/>
        <w:ind w:firstLine="420" w:firstLineChars="200"/>
        <w:textAlignment w:val="auto"/>
        <w:outlineLvl w:val="9"/>
        <w:rPr>
          <w:rFonts w:hint="eastAsia" w:ascii="宋体" w:hAnsi="宋体" w:eastAsia="宋体" w:cs="宋体"/>
          <w:color w:val="000000" w:themeColor="text1"/>
          <w:kern w:val="2"/>
          <w:sz w:val="21"/>
          <w:szCs w:val="21"/>
          <w:highlight w:val="none"/>
          <w:lang w:eastAsia="zh-CN"/>
          <w14:textFill>
            <w14:solidFill>
              <w14:schemeClr w14:val="tx1"/>
            </w14:solidFill>
          </w14:textFill>
        </w:rPr>
      </w:pPr>
      <w:bookmarkStart w:id="112" w:name="_Toc132707371"/>
      <w:bookmarkStart w:id="113" w:name="_Toc915692807"/>
      <w:r>
        <w:rPr>
          <w:rFonts w:hint="eastAsia" w:ascii="宋体" w:hAnsi="宋体" w:eastAsia="宋体" w:cs="宋体"/>
          <w:color w:val="000000" w:themeColor="text1"/>
          <w:kern w:val="2"/>
          <w:sz w:val="21"/>
          <w:szCs w:val="21"/>
          <w:highlight w:val="none"/>
          <w:lang w:eastAsia="zh-CN"/>
          <w14:textFill>
            <w14:solidFill>
              <w14:schemeClr w14:val="tx1"/>
            </w14:solidFill>
          </w14:textFill>
        </w:rPr>
        <w:t>（四）甲方的保密信息的部分或个别要素虽被披露成为公知信息，但该信息的其它部分或整体尚未成为公知信息的，乙方仍应按本协议约定对未公开部分的信息履行保密义务；</w:t>
      </w:r>
      <w:bookmarkEnd w:id="112"/>
      <w:bookmarkEnd w:id="113"/>
    </w:p>
    <w:p>
      <w:pPr>
        <w:pStyle w:val="82"/>
        <w:keepLines w:val="0"/>
        <w:pageBreakBefore w:val="0"/>
        <w:tabs>
          <w:tab w:val="left" w:pos="709"/>
        </w:tabs>
        <w:kinsoku/>
        <w:wordWrap/>
        <w:overflowPunct/>
        <w:topLinePunct w:val="0"/>
        <w:autoSpaceDE/>
        <w:autoSpaceDN/>
        <w:bidi w:val="0"/>
        <w:adjustRightInd w:val="0"/>
        <w:snapToGrid w:val="0"/>
        <w:spacing w:after="0" w:line="400" w:lineRule="exact"/>
        <w:ind w:firstLine="420" w:firstLineChars="200"/>
        <w:textAlignment w:val="auto"/>
        <w:outlineLvl w:val="9"/>
        <w:rPr>
          <w:rFonts w:hint="eastAsia" w:ascii="宋体" w:hAnsi="宋体" w:eastAsia="宋体" w:cs="宋体"/>
          <w:color w:val="000000" w:themeColor="text1"/>
          <w:kern w:val="2"/>
          <w:sz w:val="21"/>
          <w:szCs w:val="21"/>
          <w:highlight w:val="none"/>
          <w:lang w:eastAsia="zh-CN"/>
          <w14:textFill>
            <w14:solidFill>
              <w14:schemeClr w14:val="tx1"/>
            </w14:solidFill>
          </w14:textFill>
        </w:rPr>
      </w:pPr>
      <w:bookmarkStart w:id="114" w:name="_Toc1707662881"/>
      <w:bookmarkStart w:id="115" w:name="_Toc132707372"/>
      <w:r>
        <w:rPr>
          <w:rFonts w:hint="eastAsia" w:ascii="宋体" w:hAnsi="宋体" w:eastAsia="宋体" w:cs="宋体"/>
          <w:color w:val="000000" w:themeColor="text1"/>
          <w:kern w:val="2"/>
          <w:sz w:val="21"/>
          <w:szCs w:val="21"/>
          <w:highlight w:val="none"/>
          <w:lang w:eastAsia="zh-CN"/>
          <w14:textFill>
            <w14:solidFill>
              <w14:schemeClr w14:val="tx1"/>
            </w14:solidFill>
          </w14:textFill>
        </w:rPr>
        <w:t>（五）对于本协议签署前、签署过程及履行等过程中，乙方所接触到的甲方及甲方关联单位的保密信息，乙方应依据本协议约定履行保密义务。</w:t>
      </w:r>
      <w:bookmarkEnd w:id="114"/>
      <w:bookmarkEnd w:id="115"/>
    </w:p>
    <w:p>
      <w:pPr>
        <w:pStyle w:val="82"/>
        <w:keepLines w:val="0"/>
        <w:pageBreakBefore w:val="0"/>
        <w:tabs>
          <w:tab w:val="left" w:pos="709"/>
        </w:tabs>
        <w:kinsoku/>
        <w:wordWrap/>
        <w:overflowPunct/>
        <w:topLinePunct w:val="0"/>
        <w:autoSpaceDE/>
        <w:autoSpaceDN/>
        <w:bidi w:val="0"/>
        <w:adjustRightInd w:val="0"/>
        <w:snapToGrid w:val="0"/>
        <w:spacing w:after="0" w:line="400" w:lineRule="exact"/>
        <w:ind w:firstLine="420" w:firstLineChars="200"/>
        <w:textAlignment w:val="auto"/>
        <w:outlineLvl w:val="9"/>
        <w:rPr>
          <w:rFonts w:hint="eastAsia" w:ascii="宋体" w:hAnsi="宋体" w:eastAsia="宋体" w:cs="宋体"/>
          <w:color w:val="000000" w:themeColor="text1"/>
          <w:kern w:val="2"/>
          <w:sz w:val="21"/>
          <w:szCs w:val="21"/>
          <w:highlight w:val="none"/>
          <w:lang w:eastAsia="zh-CN"/>
          <w14:textFill>
            <w14:solidFill>
              <w14:schemeClr w14:val="tx1"/>
            </w14:solidFill>
          </w14:textFill>
        </w:rPr>
      </w:pPr>
      <w:bookmarkStart w:id="116" w:name="_Toc132707373"/>
      <w:bookmarkStart w:id="117" w:name="_Toc1925938929"/>
      <w:r>
        <w:rPr>
          <w:rFonts w:hint="eastAsia" w:ascii="宋体" w:hAnsi="宋体" w:eastAsia="宋体" w:cs="宋体"/>
          <w:bCs/>
          <w:color w:val="000000" w:themeColor="text1"/>
          <w:kern w:val="2"/>
          <w:sz w:val="21"/>
          <w:szCs w:val="21"/>
          <w:highlight w:val="none"/>
          <w:lang w:eastAsia="zh-CN"/>
          <w14:textFill>
            <w14:solidFill>
              <w14:schemeClr w14:val="tx1"/>
            </w14:solidFill>
          </w14:textFill>
        </w:rPr>
        <w:t>（六）</w:t>
      </w:r>
      <w:r>
        <w:rPr>
          <w:rFonts w:hint="eastAsia" w:ascii="宋体" w:hAnsi="宋体" w:eastAsia="宋体" w:cs="宋体"/>
          <w:color w:val="000000" w:themeColor="text1"/>
          <w:kern w:val="2"/>
          <w:sz w:val="21"/>
          <w:szCs w:val="21"/>
          <w:highlight w:val="none"/>
          <w:lang w:eastAsia="zh-CN"/>
          <w14:textFill>
            <w14:solidFill>
              <w14:schemeClr w14:val="tx1"/>
            </w14:solidFill>
          </w14:textFill>
        </w:rPr>
        <w:t>甲方如发现乙方存在涉及保密信息保护措施缺失、数据滥用、严重泄露等问题，甲方有权按照本协议相关条款进行处理，并且对于已产生的实际损失和不良影响，由乙方全责承担。</w:t>
      </w:r>
      <w:bookmarkEnd w:id="116"/>
      <w:bookmarkEnd w:id="117"/>
    </w:p>
    <w:p>
      <w:pPr>
        <w:pStyle w:val="82"/>
        <w:keepLines w:val="0"/>
        <w:pageBreakBefore w:val="0"/>
        <w:widowControl w:val="0"/>
        <w:tabs>
          <w:tab w:val="left" w:pos="709"/>
        </w:tabs>
        <w:kinsoku/>
        <w:wordWrap/>
        <w:overflowPunct/>
        <w:topLinePunct w:val="0"/>
        <w:autoSpaceDE/>
        <w:autoSpaceDN/>
        <w:bidi w:val="0"/>
        <w:adjustRightInd w:val="0"/>
        <w:snapToGrid w:val="0"/>
        <w:spacing w:after="0" w:line="400" w:lineRule="exact"/>
        <w:ind w:firstLine="426" w:firstLineChars="202"/>
        <w:textAlignment w:val="auto"/>
        <w:outlineLvl w:val="9"/>
        <w:rPr>
          <w:rFonts w:hint="eastAsia" w:ascii="宋体" w:hAnsi="宋体" w:eastAsia="宋体" w:cs="宋体"/>
          <w:b/>
          <w:color w:val="000000" w:themeColor="text1"/>
          <w:kern w:val="2"/>
          <w:sz w:val="21"/>
          <w:szCs w:val="21"/>
          <w:highlight w:val="none"/>
          <w:lang w:eastAsia="zh-CN"/>
          <w14:textFill>
            <w14:solidFill>
              <w14:schemeClr w14:val="tx1"/>
            </w14:solidFill>
          </w14:textFill>
        </w:rPr>
      </w:pPr>
      <w:bookmarkStart w:id="118" w:name="_Toc1127185982"/>
      <w:bookmarkStart w:id="119" w:name="_Toc132707374"/>
      <w:r>
        <w:rPr>
          <w:rFonts w:hint="eastAsia" w:ascii="宋体" w:hAnsi="宋体" w:eastAsia="宋体" w:cs="宋体"/>
          <w:b/>
          <w:color w:val="000000" w:themeColor="text1"/>
          <w:kern w:val="2"/>
          <w:sz w:val="21"/>
          <w:szCs w:val="21"/>
          <w:highlight w:val="none"/>
          <w:lang w:eastAsia="zh-CN"/>
          <w14:textFill>
            <w14:solidFill>
              <w14:schemeClr w14:val="tx1"/>
            </w14:solidFill>
          </w14:textFill>
        </w:rPr>
        <w:t>四、保密期限</w:t>
      </w:r>
      <w:bookmarkEnd w:id="118"/>
      <w:bookmarkEnd w:id="119"/>
    </w:p>
    <w:p>
      <w:pPr>
        <w:pStyle w:val="82"/>
        <w:keepLines w:val="0"/>
        <w:pageBreakBefore w:val="0"/>
        <w:tabs>
          <w:tab w:val="left" w:pos="0"/>
        </w:tabs>
        <w:kinsoku/>
        <w:wordWrap/>
        <w:overflowPunct/>
        <w:topLinePunct w:val="0"/>
        <w:autoSpaceDE/>
        <w:autoSpaceDN/>
        <w:bidi w:val="0"/>
        <w:adjustRightInd w:val="0"/>
        <w:snapToGrid w:val="0"/>
        <w:spacing w:after="0" w:line="400" w:lineRule="exact"/>
        <w:ind w:firstLine="420" w:firstLineChars="200"/>
        <w:textAlignment w:val="auto"/>
        <w:outlineLvl w:val="9"/>
        <w:rPr>
          <w:rFonts w:hint="eastAsia" w:ascii="宋体" w:hAnsi="宋体" w:eastAsia="宋体" w:cs="宋体"/>
          <w:color w:val="000000" w:themeColor="text1"/>
          <w:kern w:val="2"/>
          <w:sz w:val="21"/>
          <w:szCs w:val="21"/>
          <w:highlight w:val="none"/>
          <w:lang w:eastAsia="zh-CN"/>
          <w14:textFill>
            <w14:solidFill>
              <w14:schemeClr w14:val="tx1"/>
            </w14:solidFill>
          </w14:textFill>
        </w:rPr>
      </w:pPr>
      <w:bookmarkStart w:id="120" w:name="_Toc132707375"/>
      <w:bookmarkStart w:id="121" w:name="_Toc1266928463"/>
      <w:r>
        <w:rPr>
          <w:rFonts w:hint="eastAsia" w:ascii="宋体" w:hAnsi="宋体" w:eastAsia="宋体" w:cs="宋体"/>
          <w:color w:val="000000" w:themeColor="text1"/>
          <w:kern w:val="2"/>
          <w:sz w:val="21"/>
          <w:szCs w:val="21"/>
          <w:highlight w:val="none"/>
          <w:lang w:eastAsia="zh-CN"/>
          <w14:textFill>
            <w14:solidFill>
              <w14:schemeClr w14:val="tx1"/>
            </w14:solidFill>
          </w14:textFill>
        </w:rPr>
        <w:t>（一）乙方保密的义务长期有效。无论双方业务/合作协议是否成立、届满、终止或被取代，乙方的保密义务应持续有效，直到甲方以书面形式明确说明解除乙方此项义务，或事实上不会因违反保密义务而给甲方造成任何形式的损害时为止；</w:t>
      </w:r>
      <w:bookmarkEnd w:id="120"/>
      <w:bookmarkEnd w:id="121"/>
    </w:p>
    <w:p>
      <w:pPr>
        <w:pStyle w:val="82"/>
        <w:keepLines w:val="0"/>
        <w:pageBreakBefore w:val="0"/>
        <w:tabs>
          <w:tab w:val="left" w:pos="709"/>
        </w:tabs>
        <w:kinsoku/>
        <w:wordWrap/>
        <w:overflowPunct/>
        <w:topLinePunct w:val="0"/>
        <w:autoSpaceDE/>
        <w:autoSpaceDN/>
        <w:bidi w:val="0"/>
        <w:adjustRightInd w:val="0"/>
        <w:snapToGrid w:val="0"/>
        <w:spacing w:after="0" w:line="400" w:lineRule="exact"/>
        <w:ind w:firstLine="420" w:firstLineChars="200"/>
        <w:textAlignment w:val="auto"/>
        <w:outlineLvl w:val="9"/>
        <w:rPr>
          <w:rFonts w:hint="eastAsia" w:ascii="宋体" w:hAnsi="宋体" w:eastAsia="宋体" w:cs="宋体"/>
          <w:color w:val="000000" w:themeColor="text1"/>
          <w:kern w:val="2"/>
          <w:sz w:val="21"/>
          <w:szCs w:val="21"/>
          <w:highlight w:val="none"/>
          <w:lang w:eastAsia="zh-CN"/>
          <w14:textFill>
            <w14:solidFill>
              <w14:schemeClr w14:val="tx1"/>
            </w14:solidFill>
          </w14:textFill>
        </w:rPr>
      </w:pPr>
      <w:bookmarkStart w:id="122" w:name="_Toc132707376"/>
      <w:bookmarkStart w:id="123" w:name="_Toc914130467"/>
      <w:r>
        <w:rPr>
          <w:rFonts w:hint="eastAsia" w:ascii="宋体" w:hAnsi="宋体" w:eastAsia="宋体" w:cs="宋体"/>
          <w:color w:val="000000" w:themeColor="text1"/>
          <w:kern w:val="2"/>
          <w:sz w:val="21"/>
          <w:szCs w:val="21"/>
          <w:highlight w:val="none"/>
          <w:lang w:eastAsia="zh-CN"/>
          <w14:textFill>
            <w14:solidFill>
              <w14:schemeClr w14:val="tx1"/>
            </w14:solidFill>
          </w14:textFill>
        </w:rPr>
        <w:t>（二）双方业务/合作终止后，乙方应及时将承载保密信息的介质原件及复制件全部返还甲方，或对复制件进行彻底销毁，或按甲方要求的其他形式处理。最迟不得超过甲方发出交还或处理通知之日起三十日。</w:t>
      </w:r>
      <w:bookmarkEnd w:id="122"/>
      <w:bookmarkEnd w:id="123"/>
    </w:p>
    <w:p>
      <w:pPr>
        <w:pStyle w:val="82"/>
        <w:keepLines w:val="0"/>
        <w:pageBreakBefore w:val="0"/>
        <w:widowControl w:val="0"/>
        <w:tabs>
          <w:tab w:val="left" w:pos="709"/>
        </w:tabs>
        <w:kinsoku/>
        <w:wordWrap/>
        <w:overflowPunct/>
        <w:topLinePunct w:val="0"/>
        <w:autoSpaceDE/>
        <w:autoSpaceDN/>
        <w:bidi w:val="0"/>
        <w:adjustRightInd w:val="0"/>
        <w:snapToGrid w:val="0"/>
        <w:spacing w:after="0" w:line="400" w:lineRule="exact"/>
        <w:ind w:firstLine="422" w:firstLineChars="200"/>
        <w:textAlignment w:val="auto"/>
        <w:outlineLvl w:val="9"/>
        <w:rPr>
          <w:rFonts w:hint="eastAsia" w:ascii="宋体" w:hAnsi="宋体" w:eastAsia="宋体" w:cs="宋体"/>
          <w:b/>
          <w:color w:val="000000" w:themeColor="text1"/>
          <w:kern w:val="2"/>
          <w:sz w:val="21"/>
          <w:szCs w:val="21"/>
          <w:highlight w:val="none"/>
          <w:lang w:eastAsia="zh-CN"/>
          <w14:textFill>
            <w14:solidFill>
              <w14:schemeClr w14:val="tx1"/>
            </w14:solidFill>
          </w14:textFill>
        </w:rPr>
      </w:pPr>
      <w:bookmarkStart w:id="124" w:name="_Toc132707377"/>
      <w:bookmarkStart w:id="125" w:name="_Toc512442950"/>
      <w:r>
        <w:rPr>
          <w:rFonts w:hint="eastAsia" w:ascii="宋体" w:hAnsi="宋体" w:eastAsia="宋体" w:cs="宋体"/>
          <w:b/>
          <w:color w:val="000000" w:themeColor="text1"/>
          <w:kern w:val="2"/>
          <w:sz w:val="21"/>
          <w:szCs w:val="21"/>
          <w:highlight w:val="none"/>
          <w:lang w:eastAsia="zh-CN"/>
          <w14:textFill>
            <w14:solidFill>
              <w14:schemeClr w14:val="tx1"/>
            </w14:solidFill>
          </w14:textFill>
        </w:rPr>
        <w:t>五、违约责任</w:t>
      </w:r>
      <w:bookmarkEnd w:id="124"/>
      <w:bookmarkEnd w:id="125"/>
    </w:p>
    <w:p>
      <w:pPr>
        <w:keepLines w:val="0"/>
        <w:pageBreakBefore w:val="0"/>
        <w:widowControl/>
        <w:kinsoku/>
        <w:wordWrap/>
        <w:overflowPunct/>
        <w:topLinePunct w:val="0"/>
        <w:autoSpaceDE/>
        <w:autoSpaceDN/>
        <w:bidi w:val="0"/>
        <w:adjustRightInd w:val="0"/>
        <w:snapToGrid w:val="0"/>
        <w:spacing w:line="400" w:lineRule="exact"/>
        <w:ind w:firstLine="424" w:firstLineChars="202"/>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（一）如乙方有违反本协议的情形，无论故意与过失，应当立即停止侵害，并在第一时间采取一切必要措施防止保密信息的扩散，尽最大可能消除影响；</w:t>
      </w:r>
    </w:p>
    <w:p>
      <w:pPr>
        <w:keepLines w:val="0"/>
        <w:pageBreakBefore w:val="0"/>
        <w:widowControl/>
        <w:kinsoku/>
        <w:wordWrap/>
        <w:overflowPunct/>
        <w:topLinePunct w:val="0"/>
        <w:autoSpaceDE/>
        <w:autoSpaceDN/>
        <w:bidi w:val="0"/>
        <w:adjustRightInd w:val="0"/>
        <w:snapToGrid w:val="0"/>
        <w:spacing w:line="400" w:lineRule="exact"/>
        <w:ind w:firstLine="424" w:firstLineChars="202"/>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（二）乙方未履行或未完全履行本协议项下的条款均构成违约，乙方应赔偿因此而给甲方造成的一切损失，包括但不限于甲方因调查违约行为、仲裁、诉讼、聘请律师、保全等而支付的合理费用和开支。</w:t>
      </w:r>
    </w:p>
    <w:p>
      <w:pPr>
        <w:keepLines w:val="0"/>
        <w:pageBreakBefore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六、其他</w:t>
      </w:r>
    </w:p>
    <w:p>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（一）本协议适用中华人民共和国法律法规的规定，凡因本协议引起的或与本协议有关的任何争议，双方可通过协商解决。协商不成则将争议提交甲方所在地有管辖权的人民法院通过诉讼方式解决。</w:t>
      </w:r>
    </w:p>
    <w:p>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合作过程中，甲方披露的保密信息的权属可能归属于甲方的关联公司，乙方同意该等信息的保密按本协议约定履行。本协议所指甲方关联公司为：甲方在签订本协议时或将来直接或间接控制该方、或由该方控制、或与该方共同受他方控制的任何实体。</w:t>
      </w:r>
    </w:p>
    <w:p>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（三）本协议之条款非经双方签署书面文件不得加以修改、放弃。</w:t>
      </w:r>
    </w:p>
    <w:p>
      <w:pPr>
        <w:pStyle w:val="35"/>
        <w:rPr>
          <w:rFonts w:hint="eastAsia"/>
          <w:color w:val="000000" w:themeColor="text1"/>
          <w:highlight w:val="none"/>
          <w14:textFill>
            <w14:solidFill>
              <w14:schemeClr w14:val="tx1"/>
            </w14:solidFill>
          </w14:textFill>
        </w:rPr>
      </w:pPr>
    </w:p>
    <w:tbl>
      <w:tblPr>
        <w:tblStyle w:val="28"/>
        <w:tblW w:w="9034" w:type="dxa"/>
        <w:tblInd w:w="122" w:type="dxa"/>
        <w:tblLayout w:type="fixed"/>
        <w:tblCellMar>
          <w:top w:w="0" w:type="dxa"/>
          <w:left w:w="108" w:type="dxa"/>
          <w:bottom w:w="0" w:type="dxa"/>
          <w:right w:w="108" w:type="dxa"/>
        </w:tblCellMar>
      </w:tblPr>
      <w:tblGrid>
        <w:gridCol w:w="4817"/>
        <w:gridCol w:w="4217"/>
      </w:tblGrid>
      <w:tr>
        <w:tblPrEx>
          <w:tblCellMar>
            <w:top w:w="0" w:type="dxa"/>
            <w:left w:w="108" w:type="dxa"/>
            <w:bottom w:w="0" w:type="dxa"/>
            <w:right w:w="108" w:type="dxa"/>
          </w:tblCellMar>
        </w:tblPrEx>
        <w:trPr>
          <w:trHeight w:val="981" w:hRule="atLeast"/>
        </w:trPr>
        <w:tc>
          <w:tcPr>
            <w:tcW w:w="4817" w:type="dxa"/>
            <w:noWrap w:val="0"/>
            <w:vAlign w:val="top"/>
          </w:tcPr>
          <w:p>
            <w:pPr>
              <w:pStyle w:val="17"/>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甲方：广西壮族自治区南宁生态环境监测中心</w:t>
            </w:r>
          </w:p>
        </w:tc>
        <w:tc>
          <w:tcPr>
            <w:tcW w:w="4217" w:type="dxa"/>
            <w:noWrap w:val="0"/>
            <w:vAlign w:val="top"/>
          </w:tcPr>
          <w:p>
            <w:pPr>
              <w:pStyle w:val="17"/>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乙方：</w:t>
            </w:r>
          </w:p>
        </w:tc>
      </w:tr>
      <w:tr>
        <w:tblPrEx>
          <w:tblCellMar>
            <w:top w:w="0" w:type="dxa"/>
            <w:left w:w="108" w:type="dxa"/>
            <w:bottom w:w="0" w:type="dxa"/>
            <w:right w:w="108" w:type="dxa"/>
          </w:tblCellMar>
        </w:tblPrEx>
        <w:trPr>
          <w:trHeight w:val="1050" w:hRule="atLeast"/>
        </w:trPr>
        <w:tc>
          <w:tcPr>
            <w:tcW w:w="4817" w:type="dxa"/>
            <w:noWrap w:val="0"/>
            <w:vAlign w:val="top"/>
          </w:tcPr>
          <w:p>
            <w:pPr>
              <w:pStyle w:val="17"/>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
                <w:bCs/>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法定代表人（负责人）：</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 xml:space="preserve"> </w:t>
            </w:r>
          </w:p>
          <w:p>
            <w:pPr>
              <w:pStyle w:val="17"/>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
                <w:bCs/>
                <w:color w:val="000000" w:themeColor="text1"/>
                <w:sz w:val="21"/>
                <w:szCs w:val="21"/>
                <w:highlight w:val="none"/>
                <w14:textFill>
                  <w14:solidFill>
                    <w14:schemeClr w14:val="tx1"/>
                  </w14:solidFill>
                </w14:textFill>
              </w:rPr>
            </w:pPr>
          </w:p>
        </w:tc>
        <w:tc>
          <w:tcPr>
            <w:tcW w:w="4217" w:type="dxa"/>
            <w:noWrap w:val="0"/>
            <w:vAlign w:val="top"/>
          </w:tcPr>
          <w:p>
            <w:pPr>
              <w:pStyle w:val="17"/>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法定代表人（负责人）：</w:t>
            </w:r>
          </w:p>
        </w:tc>
      </w:tr>
      <w:tr>
        <w:tblPrEx>
          <w:tblCellMar>
            <w:top w:w="0" w:type="dxa"/>
            <w:left w:w="108" w:type="dxa"/>
            <w:bottom w:w="0" w:type="dxa"/>
            <w:right w:w="108" w:type="dxa"/>
          </w:tblCellMar>
        </w:tblPrEx>
        <w:trPr>
          <w:trHeight w:val="921" w:hRule="atLeast"/>
        </w:trPr>
        <w:tc>
          <w:tcPr>
            <w:tcW w:w="4817" w:type="dxa"/>
            <w:noWrap w:val="0"/>
            <w:vAlign w:val="top"/>
          </w:tcPr>
          <w:p>
            <w:pPr>
              <w:pStyle w:val="17"/>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授权代表：</w:t>
            </w:r>
          </w:p>
        </w:tc>
        <w:tc>
          <w:tcPr>
            <w:tcW w:w="4217" w:type="dxa"/>
            <w:noWrap w:val="0"/>
            <w:vAlign w:val="top"/>
          </w:tcPr>
          <w:p>
            <w:pPr>
              <w:pStyle w:val="17"/>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授权代表：</w:t>
            </w:r>
          </w:p>
        </w:tc>
      </w:tr>
      <w:tr>
        <w:tblPrEx>
          <w:tblCellMar>
            <w:top w:w="0" w:type="dxa"/>
            <w:left w:w="108" w:type="dxa"/>
            <w:bottom w:w="0" w:type="dxa"/>
            <w:right w:w="108" w:type="dxa"/>
          </w:tblCellMar>
        </w:tblPrEx>
        <w:trPr>
          <w:trHeight w:val="601" w:hRule="atLeast"/>
        </w:trPr>
        <w:tc>
          <w:tcPr>
            <w:tcW w:w="4817" w:type="dxa"/>
            <w:noWrap w:val="0"/>
            <w:vAlign w:val="top"/>
          </w:tcPr>
          <w:p>
            <w:pPr>
              <w:pStyle w:val="17"/>
              <w:keepNext w:val="0"/>
              <w:keepLines w:val="0"/>
              <w:pageBreakBefore w:val="0"/>
              <w:kinsoku/>
              <w:wordWrap/>
              <w:overflowPunct/>
              <w:topLinePunct w:val="0"/>
              <w:autoSpaceDE/>
              <w:autoSpaceDN/>
              <w:bidi w:val="0"/>
              <w:spacing w:line="400" w:lineRule="exact"/>
              <w:jc w:val="righ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年  月  日</w:t>
            </w:r>
          </w:p>
        </w:tc>
        <w:tc>
          <w:tcPr>
            <w:tcW w:w="4217" w:type="dxa"/>
            <w:noWrap w:val="0"/>
            <w:vAlign w:val="top"/>
          </w:tcPr>
          <w:p>
            <w:pPr>
              <w:pStyle w:val="17"/>
              <w:keepNext w:val="0"/>
              <w:keepLines w:val="0"/>
              <w:pageBreakBefore w:val="0"/>
              <w:kinsoku/>
              <w:wordWrap/>
              <w:overflowPunct/>
              <w:topLinePunct w:val="0"/>
              <w:autoSpaceDE/>
              <w:autoSpaceDN/>
              <w:bidi w:val="0"/>
              <w:spacing w:line="400" w:lineRule="exact"/>
              <w:jc w:val="righ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年  月  日</w:t>
            </w:r>
          </w:p>
        </w:tc>
      </w:tr>
    </w:tbl>
    <w:p>
      <w:pPr>
        <w:pStyle w:val="35"/>
        <w:rPr>
          <w:rFonts w:hint="eastAsia"/>
          <w:color w:val="000000" w:themeColor="text1"/>
          <w:highlight w:val="none"/>
          <w:lang w:eastAsia="zh-CN"/>
          <w14:textFill>
            <w14:solidFill>
              <w14:schemeClr w14:val="tx1"/>
            </w14:solidFill>
          </w14:textFill>
        </w:rPr>
      </w:pPr>
    </w:p>
    <w:sectPr>
      <w:pgSz w:w="11910" w:h="16840"/>
      <w:pgMar w:top="1340" w:right="1500" w:bottom="1338" w:left="1502"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0BAFD4D0-78EF-4D2D-A4E5-18A54495244B}"/>
  </w:font>
  <w:font w:name="黑体">
    <w:panose1 w:val="02010609060101010101"/>
    <w:charset w:val="86"/>
    <w:family w:val="auto"/>
    <w:pitch w:val="default"/>
    <w:sig w:usb0="800002BF" w:usb1="38CF7CFA" w:usb2="00000016" w:usb3="00000000" w:csb0="00040001" w:csb1="00000000"/>
    <w:embedRegular r:id="rId2" w:fontKey="{BADCCFA9-2310-48F7-A1D7-3626E25D868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3" w:fontKey="{4C9DEEFE-673E-4452-8B4E-9B7815B9101A}"/>
  </w:font>
  <w:font w:name="Tahoma">
    <w:panose1 w:val="020B0604030504040204"/>
    <w:charset w:val="00"/>
    <w:family w:val="swiss"/>
    <w:pitch w:val="default"/>
    <w:sig w:usb0="E1002EFF" w:usb1="C000605B" w:usb2="00000029" w:usb3="00000000" w:csb0="200101FF" w:csb1="20280000"/>
  </w:font>
  <w:font w:name="方正小标宋简体">
    <w:panose1 w:val="02010600010101010101"/>
    <w:charset w:val="86"/>
    <w:family w:val="auto"/>
    <w:pitch w:val="default"/>
    <w:sig w:usb0="00000001" w:usb1="080E0000" w:usb2="00000000" w:usb3="00000000" w:csb0="00040000" w:csb1="00000000"/>
    <w:embedRegular r:id="rId4" w:fontKey="{DD4E420B-26E3-40C7-AE66-D7EC89C17D12}"/>
  </w:font>
  <w:font w:name="MS Mincho">
    <w:panose1 w:val="02020609040205080304"/>
    <w:charset w:val="80"/>
    <w:family w:val="modern"/>
    <w:pitch w:val="default"/>
    <w:sig w:usb0="E00002FF" w:usb1="6AC7FDFB" w:usb2="00000012" w:usb3="00000000" w:csb0="4002009F" w:csb1="DFD70000"/>
    <w:embedRegular r:id="rId5" w:fontKey="{2F80ECEA-70E1-4DA1-B8AE-0BF768D4F584}"/>
  </w:font>
  <w:font w:name="Segoe UI Symbol">
    <w:panose1 w:val="020B0502040204020203"/>
    <w:charset w:val="00"/>
    <w:family w:val="swiss"/>
    <w:pitch w:val="default"/>
    <w:sig w:usb0="8000006F" w:usb1="1200FBEF" w:usb2="0064C000" w:usb3="00000002" w:csb0="00000001" w:csb1="40000000"/>
    <w:embedRegular r:id="rId6" w:fontKey="{AEA623E0-8F1A-4261-95C8-550F1244ECA4}"/>
  </w:font>
  <w:font w:name="Helvetica">
    <w:altName w:val="Arial"/>
    <w:panose1 w:val="020B0504020202030204"/>
    <w:charset w:val="00"/>
    <w:family w:val="swiss"/>
    <w:pitch w:val="default"/>
    <w:sig w:usb0="00000000" w:usb1="00000000" w:usb2="00000000" w:usb3="00000000" w:csb0="00000093" w:csb1="00000000"/>
    <w:embedRegular r:id="rId7" w:fontKey="{457A3646-811B-4C97-8FEA-50F9EDB6311F}"/>
  </w:font>
  <w:font w:name="仿宋">
    <w:panose1 w:val="02010609060101010101"/>
    <w:charset w:val="86"/>
    <w:family w:val="modern"/>
    <w:pitch w:val="default"/>
    <w:sig w:usb0="800002BF" w:usb1="38CF7CFA" w:usb2="00000016" w:usb3="00000000" w:csb0="00040001" w:csb1="00000000"/>
    <w:embedRegular r:id="rId8" w:fontKey="{82049B70-EE31-4B32-A25F-468210B29B52}"/>
  </w:font>
  <w:font w:name="Wingdings 2">
    <w:panose1 w:val="05020102010507070707"/>
    <w:charset w:val="02"/>
    <w:family w:val="roman"/>
    <w:pitch w:val="default"/>
    <w:sig w:usb0="00000000" w:usb1="00000000" w:usb2="00000000" w:usb3="00000000" w:csb0="80000000" w:csb1="00000000"/>
    <w:embedRegular r:id="rId9" w:fontKey="{3F4AA5C1-EFAA-40B4-95AB-993B1D7DB883}"/>
  </w:font>
  <w:font w:name="方正小标宋_GBK">
    <w:panose1 w:val="03000509000000000000"/>
    <w:charset w:val="86"/>
    <w:family w:val="script"/>
    <w:pitch w:val="default"/>
    <w:sig w:usb0="00000001" w:usb1="080E0000" w:usb2="00000000" w:usb3="00000000" w:csb0="00040000" w:csb1="00000000"/>
    <w:embedRegular r:id="rId10" w:fontKey="{A822C73E-BFD3-4B68-9BA4-42223B5BBE29}"/>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jc w:val="center"/>
    </w:pPr>
  </w:p>
  <w:p>
    <w:pPr>
      <w:pStyle w:val="1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fldChar w:fldCharType="begin"/>
    </w:r>
    <w:r>
      <w:instrText xml:space="preserve"> PAGE   \* MERGEFORMAT </w:instrText>
    </w:r>
    <w:r>
      <w:fldChar w:fldCharType="separate"/>
    </w:r>
    <w:r>
      <w:rPr>
        <w:lang w:val="zh-CN"/>
      </w:rPr>
      <w:t>1</w:t>
    </w:r>
    <w:r>
      <w:rPr>
        <w:lang w:val="zh-CN"/>
      </w:rPr>
      <w:fldChar w:fldCharType="end"/>
    </w:r>
  </w:p>
  <w:p>
    <w:pPr>
      <w:pStyle w:val="1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7"/>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512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WUsMhdABAACqAwAADgAAAAAAAAABACAAAAAeAQAAZHJz&#10;L2Uyb0RvYy54bWxQSwUGAAAAAAYABgBZAQAAYAU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top w:val="none" w:color="auto" w:sz="0" w:space="0"/>
        <w:left w:val="none" w:color="auto" w:sz="0" w:space="0"/>
        <w:bottom w:val="none" w:color="auto" w:sz="0" w:space="1"/>
        <w:right w:val="none" w:color="auto" w:sz="0" w:space="0"/>
        <w:between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1F6E0E"/>
    <w:multiLevelType w:val="singleLevel"/>
    <w:tmpl w:val="BA1F6E0E"/>
    <w:lvl w:ilvl="0" w:tentative="0">
      <w:start w:val="1"/>
      <w:numFmt w:val="decimal"/>
      <w:suff w:val="space"/>
      <w:lvlText w:val="%1."/>
      <w:lvlJc w:val="left"/>
    </w:lvl>
  </w:abstractNum>
  <w:abstractNum w:abstractNumId="1">
    <w:nsid w:val="4209336E"/>
    <w:multiLevelType w:val="singleLevel"/>
    <w:tmpl w:val="4209336E"/>
    <w:lvl w:ilvl="0" w:tentative="0">
      <w:start w:val="1"/>
      <w:numFmt w:val="decimal"/>
      <w:suff w:val="nothing"/>
      <w:lvlText w:val="%1"/>
      <w:lvlJc w:val="left"/>
      <w:pPr>
        <w:ind w:left="0" w:leftChars="0" w:firstLine="0" w:firstLineChars="0"/>
      </w:pPr>
      <w:rPr>
        <w:rFonts w:hint="default"/>
        <w:sz w:val="18"/>
        <w:szCs w:val="18"/>
      </w:rPr>
    </w:lvl>
  </w:abstractNum>
  <w:abstractNum w:abstractNumId="2">
    <w:nsid w:val="623CC136"/>
    <w:multiLevelType w:val="singleLevel"/>
    <w:tmpl w:val="623CC136"/>
    <w:lvl w:ilvl="0" w:tentative="0">
      <w:start w:val="1"/>
      <w:numFmt w:val="decimal"/>
      <w:suff w:val="space"/>
      <w:lvlText w:val="%1"/>
      <w:lvlJc w:val="left"/>
      <w:pPr>
        <w:ind w:left="425" w:leftChars="0" w:hanging="425" w:firstLineChars="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TrueTypeFonts/>
  <w:saveSubsetFonts/>
  <w:bordersDoNotSurroundHeader w:val="0"/>
  <w:bordersDoNotSurroundFooter w:val="0"/>
  <w:attachedTemplate r:id="rId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wZTQxYjgzMDhjODgzM2MxNDAyM2ZlNzI0Y2Y4NDgifQ=="/>
    <w:docVar w:name="KSO_WPS_MARK_KEY" w:val="0c5b94d8-b111-41e2-bfbe-f5ae64f1cae3"/>
  </w:docVars>
  <w:rsids>
    <w:rsidRoot w:val="003512C6"/>
    <w:rsid w:val="00000672"/>
    <w:rsid w:val="00000B45"/>
    <w:rsid w:val="00001799"/>
    <w:rsid w:val="00002D29"/>
    <w:rsid w:val="000040C5"/>
    <w:rsid w:val="00004514"/>
    <w:rsid w:val="00004A8A"/>
    <w:rsid w:val="00005E55"/>
    <w:rsid w:val="00005FDF"/>
    <w:rsid w:val="00006586"/>
    <w:rsid w:val="0000768A"/>
    <w:rsid w:val="00010D39"/>
    <w:rsid w:val="000112BB"/>
    <w:rsid w:val="0001149B"/>
    <w:rsid w:val="0001172C"/>
    <w:rsid w:val="00012854"/>
    <w:rsid w:val="00012EA6"/>
    <w:rsid w:val="000139DC"/>
    <w:rsid w:val="00013D8C"/>
    <w:rsid w:val="00013DFE"/>
    <w:rsid w:val="000141EA"/>
    <w:rsid w:val="00014385"/>
    <w:rsid w:val="00014B02"/>
    <w:rsid w:val="000166C4"/>
    <w:rsid w:val="00016960"/>
    <w:rsid w:val="00017396"/>
    <w:rsid w:val="000177DB"/>
    <w:rsid w:val="00020227"/>
    <w:rsid w:val="000203E4"/>
    <w:rsid w:val="00020455"/>
    <w:rsid w:val="00022731"/>
    <w:rsid w:val="00022792"/>
    <w:rsid w:val="0002392D"/>
    <w:rsid w:val="00024B43"/>
    <w:rsid w:val="00025382"/>
    <w:rsid w:val="00025636"/>
    <w:rsid w:val="00025E36"/>
    <w:rsid w:val="00026627"/>
    <w:rsid w:val="00026886"/>
    <w:rsid w:val="000273E6"/>
    <w:rsid w:val="00030496"/>
    <w:rsid w:val="000329A1"/>
    <w:rsid w:val="000329E0"/>
    <w:rsid w:val="000333A0"/>
    <w:rsid w:val="000352E9"/>
    <w:rsid w:val="00036A07"/>
    <w:rsid w:val="00036E33"/>
    <w:rsid w:val="00037E2D"/>
    <w:rsid w:val="00040571"/>
    <w:rsid w:val="0004156E"/>
    <w:rsid w:val="00041597"/>
    <w:rsid w:val="00041655"/>
    <w:rsid w:val="0004440C"/>
    <w:rsid w:val="00045880"/>
    <w:rsid w:val="000462CB"/>
    <w:rsid w:val="00046B5E"/>
    <w:rsid w:val="0004783A"/>
    <w:rsid w:val="000509D9"/>
    <w:rsid w:val="000552A6"/>
    <w:rsid w:val="00055D41"/>
    <w:rsid w:val="00056975"/>
    <w:rsid w:val="00057CEC"/>
    <w:rsid w:val="000602C0"/>
    <w:rsid w:val="00060DCE"/>
    <w:rsid w:val="000623B4"/>
    <w:rsid w:val="000634A7"/>
    <w:rsid w:val="00063E85"/>
    <w:rsid w:val="00063F81"/>
    <w:rsid w:val="00064847"/>
    <w:rsid w:val="0006484B"/>
    <w:rsid w:val="00065BBC"/>
    <w:rsid w:val="000673E2"/>
    <w:rsid w:val="000711E4"/>
    <w:rsid w:val="00072AED"/>
    <w:rsid w:val="00073F47"/>
    <w:rsid w:val="00075B7E"/>
    <w:rsid w:val="00077C70"/>
    <w:rsid w:val="00080B57"/>
    <w:rsid w:val="000817D1"/>
    <w:rsid w:val="00081BA3"/>
    <w:rsid w:val="00081D2E"/>
    <w:rsid w:val="0008267B"/>
    <w:rsid w:val="00082D02"/>
    <w:rsid w:val="00083B91"/>
    <w:rsid w:val="000840BE"/>
    <w:rsid w:val="0008520B"/>
    <w:rsid w:val="0008530A"/>
    <w:rsid w:val="00085518"/>
    <w:rsid w:val="000871B8"/>
    <w:rsid w:val="00087DB6"/>
    <w:rsid w:val="00090639"/>
    <w:rsid w:val="000913BE"/>
    <w:rsid w:val="000913F6"/>
    <w:rsid w:val="000918F8"/>
    <w:rsid w:val="00092442"/>
    <w:rsid w:val="0009588E"/>
    <w:rsid w:val="000959EE"/>
    <w:rsid w:val="00095B2F"/>
    <w:rsid w:val="00095B51"/>
    <w:rsid w:val="00097DA0"/>
    <w:rsid w:val="000A0D6B"/>
    <w:rsid w:val="000A0EEE"/>
    <w:rsid w:val="000A1389"/>
    <w:rsid w:val="000A166E"/>
    <w:rsid w:val="000A17D0"/>
    <w:rsid w:val="000A2B0E"/>
    <w:rsid w:val="000A398F"/>
    <w:rsid w:val="000A4AEE"/>
    <w:rsid w:val="000A509C"/>
    <w:rsid w:val="000A6007"/>
    <w:rsid w:val="000A65A6"/>
    <w:rsid w:val="000A7275"/>
    <w:rsid w:val="000A7A12"/>
    <w:rsid w:val="000A7AD8"/>
    <w:rsid w:val="000A7CA5"/>
    <w:rsid w:val="000B039A"/>
    <w:rsid w:val="000B1801"/>
    <w:rsid w:val="000B19B3"/>
    <w:rsid w:val="000B1D0C"/>
    <w:rsid w:val="000B2D03"/>
    <w:rsid w:val="000B3815"/>
    <w:rsid w:val="000B3C7B"/>
    <w:rsid w:val="000B6C95"/>
    <w:rsid w:val="000B728B"/>
    <w:rsid w:val="000C03DC"/>
    <w:rsid w:val="000C0C58"/>
    <w:rsid w:val="000C1679"/>
    <w:rsid w:val="000C2898"/>
    <w:rsid w:val="000C2F89"/>
    <w:rsid w:val="000C435F"/>
    <w:rsid w:val="000C4635"/>
    <w:rsid w:val="000C548E"/>
    <w:rsid w:val="000C5A33"/>
    <w:rsid w:val="000C6DE4"/>
    <w:rsid w:val="000C74F6"/>
    <w:rsid w:val="000D01EB"/>
    <w:rsid w:val="000D056E"/>
    <w:rsid w:val="000D0675"/>
    <w:rsid w:val="000D0A89"/>
    <w:rsid w:val="000D1389"/>
    <w:rsid w:val="000D1798"/>
    <w:rsid w:val="000D1A2A"/>
    <w:rsid w:val="000D2626"/>
    <w:rsid w:val="000D31DB"/>
    <w:rsid w:val="000D390C"/>
    <w:rsid w:val="000D4528"/>
    <w:rsid w:val="000D4A06"/>
    <w:rsid w:val="000D54D4"/>
    <w:rsid w:val="000D73AF"/>
    <w:rsid w:val="000D73DD"/>
    <w:rsid w:val="000D7D9B"/>
    <w:rsid w:val="000E18E2"/>
    <w:rsid w:val="000E28AB"/>
    <w:rsid w:val="000E2E3E"/>
    <w:rsid w:val="000E33C5"/>
    <w:rsid w:val="000E3583"/>
    <w:rsid w:val="000E3AF0"/>
    <w:rsid w:val="000E3D53"/>
    <w:rsid w:val="000E4E04"/>
    <w:rsid w:val="000E6EC9"/>
    <w:rsid w:val="000E70B4"/>
    <w:rsid w:val="000F3281"/>
    <w:rsid w:val="000F3733"/>
    <w:rsid w:val="000F4D88"/>
    <w:rsid w:val="000F5B1B"/>
    <w:rsid w:val="000F64AA"/>
    <w:rsid w:val="000F7AF4"/>
    <w:rsid w:val="000F7C33"/>
    <w:rsid w:val="000F7F0C"/>
    <w:rsid w:val="00100246"/>
    <w:rsid w:val="001004D6"/>
    <w:rsid w:val="00100D90"/>
    <w:rsid w:val="00103918"/>
    <w:rsid w:val="00104324"/>
    <w:rsid w:val="00104889"/>
    <w:rsid w:val="00104897"/>
    <w:rsid w:val="00104EDE"/>
    <w:rsid w:val="00105372"/>
    <w:rsid w:val="001058F3"/>
    <w:rsid w:val="00106BEE"/>
    <w:rsid w:val="00113134"/>
    <w:rsid w:val="00113AC0"/>
    <w:rsid w:val="00113E75"/>
    <w:rsid w:val="00114851"/>
    <w:rsid w:val="00115E11"/>
    <w:rsid w:val="00115F56"/>
    <w:rsid w:val="00117CBD"/>
    <w:rsid w:val="0012006A"/>
    <w:rsid w:val="00120990"/>
    <w:rsid w:val="001217B5"/>
    <w:rsid w:val="00121979"/>
    <w:rsid w:val="00122064"/>
    <w:rsid w:val="00125004"/>
    <w:rsid w:val="001263B8"/>
    <w:rsid w:val="00126763"/>
    <w:rsid w:val="00130217"/>
    <w:rsid w:val="00130783"/>
    <w:rsid w:val="001312CB"/>
    <w:rsid w:val="00131B75"/>
    <w:rsid w:val="00132B47"/>
    <w:rsid w:val="00132E64"/>
    <w:rsid w:val="001351CB"/>
    <w:rsid w:val="001359A2"/>
    <w:rsid w:val="00135E37"/>
    <w:rsid w:val="00136020"/>
    <w:rsid w:val="00136445"/>
    <w:rsid w:val="00140132"/>
    <w:rsid w:val="00141C9C"/>
    <w:rsid w:val="001434BE"/>
    <w:rsid w:val="0014479F"/>
    <w:rsid w:val="001452B4"/>
    <w:rsid w:val="0014550E"/>
    <w:rsid w:val="00145A9C"/>
    <w:rsid w:val="00146EC6"/>
    <w:rsid w:val="001478D2"/>
    <w:rsid w:val="00150CC9"/>
    <w:rsid w:val="00152A87"/>
    <w:rsid w:val="00154486"/>
    <w:rsid w:val="00156D0E"/>
    <w:rsid w:val="0016086E"/>
    <w:rsid w:val="00160D0C"/>
    <w:rsid w:val="00160E95"/>
    <w:rsid w:val="00161172"/>
    <w:rsid w:val="0016139E"/>
    <w:rsid w:val="00161E65"/>
    <w:rsid w:val="00162597"/>
    <w:rsid w:val="001629AF"/>
    <w:rsid w:val="0016428A"/>
    <w:rsid w:val="001647C9"/>
    <w:rsid w:val="001661A3"/>
    <w:rsid w:val="0016782B"/>
    <w:rsid w:val="00167E78"/>
    <w:rsid w:val="00173256"/>
    <w:rsid w:val="001733E1"/>
    <w:rsid w:val="00173F74"/>
    <w:rsid w:val="00175086"/>
    <w:rsid w:val="00175BA6"/>
    <w:rsid w:val="00176CA7"/>
    <w:rsid w:val="001778C5"/>
    <w:rsid w:val="00177E56"/>
    <w:rsid w:val="00177F0A"/>
    <w:rsid w:val="00180669"/>
    <w:rsid w:val="00182B6B"/>
    <w:rsid w:val="00183088"/>
    <w:rsid w:val="00185617"/>
    <w:rsid w:val="0019171E"/>
    <w:rsid w:val="0019220F"/>
    <w:rsid w:val="001928B1"/>
    <w:rsid w:val="00194ED5"/>
    <w:rsid w:val="00195424"/>
    <w:rsid w:val="001955FF"/>
    <w:rsid w:val="001971D3"/>
    <w:rsid w:val="00197EDD"/>
    <w:rsid w:val="001A02B3"/>
    <w:rsid w:val="001A04BB"/>
    <w:rsid w:val="001A08D0"/>
    <w:rsid w:val="001A14B1"/>
    <w:rsid w:val="001A1B39"/>
    <w:rsid w:val="001A2492"/>
    <w:rsid w:val="001A2E69"/>
    <w:rsid w:val="001A3377"/>
    <w:rsid w:val="001A3C34"/>
    <w:rsid w:val="001A3EDE"/>
    <w:rsid w:val="001A4222"/>
    <w:rsid w:val="001A50EA"/>
    <w:rsid w:val="001A5AB8"/>
    <w:rsid w:val="001A5E24"/>
    <w:rsid w:val="001A6A49"/>
    <w:rsid w:val="001A6D8B"/>
    <w:rsid w:val="001B079E"/>
    <w:rsid w:val="001B0CDA"/>
    <w:rsid w:val="001B0E26"/>
    <w:rsid w:val="001B125A"/>
    <w:rsid w:val="001B1E05"/>
    <w:rsid w:val="001B1EBA"/>
    <w:rsid w:val="001B1EFE"/>
    <w:rsid w:val="001B2142"/>
    <w:rsid w:val="001B26CF"/>
    <w:rsid w:val="001B2F2B"/>
    <w:rsid w:val="001B327A"/>
    <w:rsid w:val="001B35DE"/>
    <w:rsid w:val="001B35E7"/>
    <w:rsid w:val="001B3A13"/>
    <w:rsid w:val="001B59FF"/>
    <w:rsid w:val="001B636D"/>
    <w:rsid w:val="001B65D7"/>
    <w:rsid w:val="001B6752"/>
    <w:rsid w:val="001B6768"/>
    <w:rsid w:val="001B6F1F"/>
    <w:rsid w:val="001B7ECC"/>
    <w:rsid w:val="001C1AED"/>
    <w:rsid w:val="001C1B38"/>
    <w:rsid w:val="001C25A7"/>
    <w:rsid w:val="001C318C"/>
    <w:rsid w:val="001C4287"/>
    <w:rsid w:val="001C4479"/>
    <w:rsid w:val="001C5A0A"/>
    <w:rsid w:val="001C76B7"/>
    <w:rsid w:val="001C76FB"/>
    <w:rsid w:val="001D2764"/>
    <w:rsid w:val="001D3697"/>
    <w:rsid w:val="001D51DE"/>
    <w:rsid w:val="001D540E"/>
    <w:rsid w:val="001D58A1"/>
    <w:rsid w:val="001D5A8A"/>
    <w:rsid w:val="001D709B"/>
    <w:rsid w:val="001D735E"/>
    <w:rsid w:val="001D73C8"/>
    <w:rsid w:val="001D74D4"/>
    <w:rsid w:val="001D7E1F"/>
    <w:rsid w:val="001E0756"/>
    <w:rsid w:val="001E0A8D"/>
    <w:rsid w:val="001E0FFB"/>
    <w:rsid w:val="001E129E"/>
    <w:rsid w:val="001E26F5"/>
    <w:rsid w:val="001E28DF"/>
    <w:rsid w:val="001E2B9F"/>
    <w:rsid w:val="001E4A8D"/>
    <w:rsid w:val="001E5A94"/>
    <w:rsid w:val="001E7648"/>
    <w:rsid w:val="001F127B"/>
    <w:rsid w:val="001F2A2E"/>
    <w:rsid w:val="001F2E3D"/>
    <w:rsid w:val="001F3B72"/>
    <w:rsid w:val="001F3C63"/>
    <w:rsid w:val="001F4460"/>
    <w:rsid w:val="001F5C1C"/>
    <w:rsid w:val="001F5DAF"/>
    <w:rsid w:val="001F637C"/>
    <w:rsid w:val="001F6B6C"/>
    <w:rsid w:val="001F711A"/>
    <w:rsid w:val="001F728A"/>
    <w:rsid w:val="001F75B0"/>
    <w:rsid w:val="001F7686"/>
    <w:rsid w:val="00200CE5"/>
    <w:rsid w:val="002014DB"/>
    <w:rsid w:val="00201E12"/>
    <w:rsid w:val="002031E2"/>
    <w:rsid w:val="002033B5"/>
    <w:rsid w:val="0020382C"/>
    <w:rsid w:val="00203CB0"/>
    <w:rsid w:val="0020437A"/>
    <w:rsid w:val="00204B5F"/>
    <w:rsid w:val="0020532C"/>
    <w:rsid w:val="00205D23"/>
    <w:rsid w:val="0021036C"/>
    <w:rsid w:val="0021064F"/>
    <w:rsid w:val="002114C7"/>
    <w:rsid w:val="002118F3"/>
    <w:rsid w:val="00212756"/>
    <w:rsid w:val="00212A7A"/>
    <w:rsid w:val="0021302C"/>
    <w:rsid w:val="00213045"/>
    <w:rsid w:val="00213483"/>
    <w:rsid w:val="00213B1C"/>
    <w:rsid w:val="00214202"/>
    <w:rsid w:val="002146F3"/>
    <w:rsid w:val="002148E3"/>
    <w:rsid w:val="00215373"/>
    <w:rsid w:val="0021552D"/>
    <w:rsid w:val="002156AE"/>
    <w:rsid w:val="00217861"/>
    <w:rsid w:val="002204C9"/>
    <w:rsid w:val="0022054D"/>
    <w:rsid w:val="0022290A"/>
    <w:rsid w:val="00224DE1"/>
    <w:rsid w:val="00225664"/>
    <w:rsid w:val="002269DC"/>
    <w:rsid w:val="00227F2D"/>
    <w:rsid w:val="0023089D"/>
    <w:rsid w:val="00231851"/>
    <w:rsid w:val="002319FB"/>
    <w:rsid w:val="00231B89"/>
    <w:rsid w:val="002355BE"/>
    <w:rsid w:val="00236DE9"/>
    <w:rsid w:val="00237D5A"/>
    <w:rsid w:val="00237EA9"/>
    <w:rsid w:val="00241300"/>
    <w:rsid w:val="00241D3C"/>
    <w:rsid w:val="0024274D"/>
    <w:rsid w:val="002439AB"/>
    <w:rsid w:val="002450D5"/>
    <w:rsid w:val="00245587"/>
    <w:rsid w:val="00245F2B"/>
    <w:rsid w:val="00246E2D"/>
    <w:rsid w:val="00246F95"/>
    <w:rsid w:val="00247F3A"/>
    <w:rsid w:val="00250122"/>
    <w:rsid w:val="00250755"/>
    <w:rsid w:val="00250AE3"/>
    <w:rsid w:val="00251C4A"/>
    <w:rsid w:val="0025271C"/>
    <w:rsid w:val="00252A91"/>
    <w:rsid w:val="002533CD"/>
    <w:rsid w:val="002544C1"/>
    <w:rsid w:val="00254EAB"/>
    <w:rsid w:val="002557AF"/>
    <w:rsid w:val="002559BE"/>
    <w:rsid w:val="002561FA"/>
    <w:rsid w:val="00256474"/>
    <w:rsid w:val="002566B1"/>
    <w:rsid w:val="002575E3"/>
    <w:rsid w:val="002603C1"/>
    <w:rsid w:val="002609A1"/>
    <w:rsid w:val="002612B1"/>
    <w:rsid w:val="00266165"/>
    <w:rsid w:val="0027125E"/>
    <w:rsid w:val="00271767"/>
    <w:rsid w:val="00272293"/>
    <w:rsid w:val="002723C8"/>
    <w:rsid w:val="00272676"/>
    <w:rsid w:val="00273104"/>
    <w:rsid w:val="00273CBE"/>
    <w:rsid w:val="00275800"/>
    <w:rsid w:val="00277441"/>
    <w:rsid w:val="002802D7"/>
    <w:rsid w:val="0028232C"/>
    <w:rsid w:val="002827F1"/>
    <w:rsid w:val="00282EC3"/>
    <w:rsid w:val="002835B0"/>
    <w:rsid w:val="0028407E"/>
    <w:rsid w:val="0028410F"/>
    <w:rsid w:val="00286603"/>
    <w:rsid w:val="00286A98"/>
    <w:rsid w:val="00286FB5"/>
    <w:rsid w:val="00287763"/>
    <w:rsid w:val="00290606"/>
    <w:rsid w:val="00290E61"/>
    <w:rsid w:val="00290F9D"/>
    <w:rsid w:val="002918A7"/>
    <w:rsid w:val="00291D6D"/>
    <w:rsid w:val="00291FF1"/>
    <w:rsid w:val="002923F6"/>
    <w:rsid w:val="00293361"/>
    <w:rsid w:val="00293770"/>
    <w:rsid w:val="00293D05"/>
    <w:rsid w:val="00295287"/>
    <w:rsid w:val="002952B1"/>
    <w:rsid w:val="00295D11"/>
    <w:rsid w:val="00295FA0"/>
    <w:rsid w:val="00297A7A"/>
    <w:rsid w:val="002A0C3A"/>
    <w:rsid w:val="002A1130"/>
    <w:rsid w:val="002A14D3"/>
    <w:rsid w:val="002A1880"/>
    <w:rsid w:val="002A1D47"/>
    <w:rsid w:val="002A23B7"/>
    <w:rsid w:val="002A3A57"/>
    <w:rsid w:val="002A67D6"/>
    <w:rsid w:val="002A6D22"/>
    <w:rsid w:val="002A6DEF"/>
    <w:rsid w:val="002A734A"/>
    <w:rsid w:val="002A7411"/>
    <w:rsid w:val="002A7C24"/>
    <w:rsid w:val="002A7E3B"/>
    <w:rsid w:val="002B013E"/>
    <w:rsid w:val="002B058D"/>
    <w:rsid w:val="002B0C16"/>
    <w:rsid w:val="002B11C9"/>
    <w:rsid w:val="002B169E"/>
    <w:rsid w:val="002B2621"/>
    <w:rsid w:val="002B2AC5"/>
    <w:rsid w:val="002B2F4F"/>
    <w:rsid w:val="002B3528"/>
    <w:rsid w:val="002B3539"/>
    <w:rsid w:val="002B3B2B"/>
    <w:rsid w:val="002B6D17"/>
    <w:rsid w:val="002C0C1C"/>
    <w:rsid w:val="002C184E"/>
    <w:rsid w:val="002C29C1"/>
    <w:rsid w:val="002C54C2"/>
    <w:rsid w:val="002C58F6"/>
    <w:rsid w:val="002C5D34"/>
    <w:rsid w:val="002C5EA7"/>
    <w:rsid w:val="002C661A"/>
    <w:rsid w:val="002C730C"/>
    <w:rsid w:val="002D0AF5"/>
    <w:rsid w:val="002D1C54"/>
    <w:rsid w:val="002D2231"/>
    <w:rsid w:val="002D25FC"/>
    <w:rsid w:val="002D318B"/>
    <w:rsid w:val="002D3380"/>
    <w:rsid w:val="002D4925"/>
    <w:rsid w:val="002D4AC6"/>
    <w:rsid w:val="002D5C7B"/>
    <w:rsid w:val="002D6DFC"/>
    <w:rsid w:val="002D7648"/>
    <w:rsid w:val="002D7909"/>
    <w:rsid w:val="002D7E56"/>
    <w:rsid w:val="002E109C"/>
    <w:rsid w:val="002E115E"/>
    <w:rsid w:val="002E193E"/>
    <w:rsid w:val="002E1D76"/>
    <w:rsid w:val="002E243C"/>
    <w:rsid w:val="002E26C4"/>
    <w:rsid w:val="002E48DC"/>
    <w:rsid w:val="002E4B37"/>
    <w:rsid w:val="002E4BF9"/>
    <w:rsid w:val="002E6F5B"/>
    <w:rsid w:val="002F0631"/>
    <w:rsid w:val="002F16DD"/>
    <w:rsid w:val="002F199D"/>
    <w:rsid w:val="002F23B2"/>
    <w:rsid w:val="002F2AC5"/>
    <w:rsid w:val="002F4084"/>
    <w:rsid w:val="002F4672"/>
    <w:rsid w:val="002F4A08"/>
    <w:rsid w:val="002F4ADB"/>
    <w:rsid w:val="002F50E5"/>
    <w:rsid w:val="002F531E"/>
    <w:rsid w:val="002F5ACC"/>
    <w:rsid w:val="002F6C2C"/>
    <w:rsid w:val="002F704B"/>
    <w:rsid w:val="002F70A6"/>
    <w:rsid w:val="002F72C3"/>
    <w:rsid w:val="002F768C"/>
    <w:rsid w:val="002F77E6"/>
    <w:rsid w:val="002F7D1E"/>
    <w:rsid w:val="00300F92"/>
    <w:rsid w:val="00301839"/>
    <w:rsid w:val="00302929"/>
    <w:rsid w:val="00302F0F"/>
    <w:rsid w:val="00303243"/>
    <w:rsid w:val="00303BCC"/>
    <w:rsid w:val="00303F2B"/>
    <w:rsid w:val="00303F8D"/>
    <w:rsid w:val="00304541"/>
    <w:rsid w:val="00304580"/>
    <w:rsid w:val="0030586A"/>
    <w:rsid w:val="003074C5"/>
    <w:rsid w:val="00307A3C"/>
    <w:rsid w:val="00307FA4"/>
    <w:rsid w:val="00310CC1"/>
    <w:rsid w:val="003111F8"/>
    <w:rsid w:val="0031202C"/>
    <w:rsid w:val="00313026"/>
    <w:rsid w:val="0031421F"/>
    <w:rsid w:val="0031471D"/>
    <w:rsid w:val="00314B31"/>
    <w:rsid w:val="00314B36"/>
    <w:rsid w:val="00315158"/>
    <w:rsid w:val="00315346"/>
    <w:rsid w:val="00315A65"/>
    <w:rsid w:val="00316CEC"/>
    <w:rsid w:val="00317BA7"/>
    <w:rsid w:val="00320BE2"/>
    <w:rsid w:val="00321886"/>
    <w:rsid w:val="00321902"/>
    <w:rsid w:val="00322F03"/>
    <w:rsid w:val="00323694"/>
    <w:rsid w:val="00324D63"/>
    <w:rsid w:val="003255AF"/>
    <w:rsid w:val="003256EB"/>
    <w:rsid w:val="003259DB"/>
    <w:rsid w:val="00331060"/>
    <w:rsid w:val="00331A48"/>
    <w:rsid w:val="003330C9"/>
    <w:rsid w:val="0033364C"/>
    <w:rsid w:val="00334415"/>
    <w:rsid w:val="0033445C"/>
    <w:rsid w:val="00334F92"/>
    <w:rsid w:val="0033691E"/>
    <w:rsid w:val="00336CCB"/>
    <w:rsid w:val="0033745F"/>
    <w:rsid w:val="00337631"/>
    <w:rsid w:val="00337F44"/>
    <w:rsid w:val="003411D1"/>
    <w:rsid w:val="003416BA"/>
    <w:rsid w:val="00341BD6"/>
    <w:rsid w:val="00342A8A"/>
    <w:rsid w:val="00342F99"/>
    <w:rsid w:val="00343958"/>
    <w:rsid w:val="00344726"/>
    <w:rsid w:val="003454A4"/>
    <w:rsid w:val="00350E6C"/>
    <w:rsid w:val="003512C6"/>
    <w:rsid w:val="003518A6"/>
    <w:rsid w:val="00351CB0"/>
    <w:rsid w:val="00351E7F"/>
    <w:rsid w:val="00352953"/>
    <w:rsid w:val="00354062"/>
    <w:rsid w:val="00355C0D"/>
    <w:rsid w:val="003566A9"/>
    <w:rsid w:val="00356988"/>
    <w:rsid w:val="00356B20"/>
    <w:rsid w:val="00356E94"/>
    <w:rsid w:val="00357128"/>
    <w:rsid w:val="0035755E"/>
    <w:rsid w:val="00357A80"/>
    <w:rsid w:val="00361B8B"/>
    <w:rsid w:val="00361B95"/>
    <w:rsid w:val="00363A11"/>
    <w:rsid w:val="00363F39"/>
    <w:rsid w:val="00364738"/>
    <w:rsid w:val="00364AB0"/>
    <w:rsid w:val="003667B0"/>
    <w:rsid w:val="003667DD"/>
    <w:rsid w:val="00366B48"/>
    <w:rsid w:val="00367764"/>
    <w:rsid w:val="00370316"/>
    <w:rsid w:val="00370DC7"/>
    <w:rsid w:val="0037156C"/>
    <w:rsid w:val="00371CBD"/>
    <w:rsid w:val="00373CBE"/>
    <w:rsid w:val="003740CC"/>
    <w:rsid w:val="0037435E"/>
    <w:rsid w:val="00374E79"/>
    <w:rsid w:val="00375388"/>
    <w:rsid w:val="00375FB9"/>
    <w:rsid w:val="00376851"/>
    <w:rsid w:val="00376FA2"/>
    <w:rsid w:val="0037738D"/>
    <w:rsid w:val="00377A3B"/>
    <w:rsid w:val="00377E3C"/>
    <w:rsid w:val="0038099C"/>
    <w:rsid w:val="00380BBE"/>
    <w:rsid w:val="00381775"/>
    <w:rsid w:val="00381D70"/>
    <w:rsid w:val="00382128"/>
    <w:rsid w:val="0038235E"/>
    <w:rsid w:val="003829D0"/>
    <w:rsid w:val="00382FBA"/>
    <w:rsid w:val="0038444F"/>
    <w:rsid w:val="00384E83"/>
    <w:rsid w:val="00385333"/>
    <w:rsid w:val="00387051"/>
    <w:rsid w:val="00387712"/>
    <w:rsid w:val="00387ECF"/>
    <w:rsid w:val="0039021B"/>
    <w:rsid w:val="00390429"/>
    <w:rsid w:val="00392A7A"/>
    <w:rsid w:val="0039327C"/>
    <w:rsid w:val="003933A2"/>
    <w:rsid w:val="0039366C"/>
    <w:rsid w:val="003938F3"/>
    <w:rsid w:val="00393EC8"/>
    <w:rsid w:val="00394BC6"/>
    <w:rsid w:val="00395E42"/>
    <w:rsid w:val="00396052"/>
    <w:rsid w:val="00396A2D"/>
    <w:rsid w:val="00396FC3"/>
    <w:rsid w:val="003A0B61"/>
    <w:rsid w:val="003A1554"/>
    <w:rsid w:val="003A1A94"/>
    <w:rsid w:val="003A204E"/>
    <w:rsid w:val="003A277E"/>
    <w:rsid w:val="003A2D25"/>
    <w:rsid w:val="003A39B2"/>
    <w:rsid w:val="003A4DDB"/>
    <w:rsid w:val="003A60E7"/>
    <w:rsid w:val="003A6E03"/>
    <w:rsid w:val="003B0B6A"/>
    <w:rsid w:val="003B0F79"/>
    <w:rsid w:val="003B1483"/>
    <w:rsid w:val="003B1CFD"/>
    <w:rsid w:val="003B29CF"/>
    <w:rsid w:val="003B41B5"/>
    <w:rsid w:val="003B54DF"/>
    <w:rsid w:val="003B5F96"/>
    <w:rsid w:val="003B6659"/>
    <w:rsid w:val="003B7733"/>
    <w:rsid w:val="003C0166"/>
    <w:rsid w:val="003C350C"/>
    <w:rsid w:val="003C3903"/>
    <w:rsid w:val="003C3BA0"/>
    <w:rsid w:val="003C4580"/>
    <w:rsid w:val="003C52D8"/>
    <w:rsid w:val="003C5496"/>
    <w:rsid w:val="003C5C5E"/>
    <w:rsid w:val="003C6746"/>
    <w:rsid w:val="003C7133"/>
    <w:rsid w:val="003C7555"/>
    <w:rsid w:val="003C7898"/>
    <w:rsid w:val="003D010A"/>
    <w:rsid w:val="003D0FF5"/>
    <w:rsid w:val="003D2D1B"/>
    <w:rsid w:val="003D30AB"/>
    <w:rsid w:val="003D3D94"/>
    <w:rsid w:val="003D48C7"/>
    <w:rsid w:val="003D4B26"/>
    <w:rsid w:val="003D4C08"/>
    <w:rsid w:val="003D51ED"/>
    <w:rsid w:val="003D71A6"/>
    <w:rsid w:val="003D7CE8"/>
    <w:rsid w:val="003E1032"/>
    <w:rsid w:val="003E163B"/>
    <w:rsid w:val="003E1904"/>
    <w:rsid w:val="003E285E"/>
    <w:rsid w:val="003E3300"/>
    <w:rsid w:val="003E65AC"/>
    <w:rsid w:val="003E6E24"/>
    <w:rsid w:val="003E72B9"/>
    <w:rsid w:val="003E7A18"/>
    <w:rsid w:val="003E7ED4"/>
    <w:rsid w:val="003F0E52"/>
    <w:rsid w:val="003F0EF2"/>
    <w:rsid w:val="003F0F6B"/>
    <w:rsid w:val="003F1F40"/>
    <w:rsid w:val="003F1FE3"/>
    <w:rsid w:val="003F3865"/>
    <w:rsid w:val="003F3A0A"/>
    <w:rsid w:val="003F4632"/>
    <w:rsid w:val="003F47BA"/>
    <w:rsid w:val="003F6617"/>
    <w:rsid w:val="00402332"/>
    <w:rsid w:val="004025C2"/>
    <w:rsid w:val="004037E5"/>
    <w:rsid w:val="00403E55"/>
    <w:rsid w:val="00404532"/>
    <w:rsid w:val="00404681"/>
    <w:rsid w:val="0040496D"/>
    <w:rsid w:val="00405010"/>
    <w:rsid w:val="0040595A"/>
    <w:rsid w:val="00406923"/>
    <w:rsid w:val="0040713A"/>
    <w:rsid w:val="0040763D"/>
    <w:rsid w:val="004105B0"/>
    <w:rsid w:val="00410624"/>
    <w:rsid w:val="00410EC5"/>
    <w:rsid w:val="0041250F"/>
    <w:rsid w:val="004133A8"/>
    <w:rsid w:val="00413821"/>
    <w:rsid w:val="00413D43"/>
    <w:rsid w:val="004141A3"/>
    <w:rsid w:val="00414909"/>
    <w:rsid w:val="00415E66"/>
    <w:rsid w:val="00416112"/>
    <w:rsid w:val="00416D0C"/>
    <w:rsid w:val="00416DF0"/>
    <w:rsid w:val="00417AE0"/>
    <w:rsid w:val="00417BAA"/>
    <w:rsid w:val="00420BA9"/>
    <w:rsid w:val="00420D7A"/>
    <w:rsid w:val="004223DE"/>
    <w:rsid w:val="0042293E"/>
    <w:rsid w:val="00422A10"/>
    <w:rsid w:val="00423D86"/>
    <w:rsid w:val="00424D17"/>
    <w:rsid w:val="00425DFD"/>
    <w:rsid w:val="004263A3"/>
    <w:rsid w:val="00427713"/>
    <w:rsid w:val="00427CCC"/>
    <w:rsid w:val="0043013A"/>
    <w:rsid w:val="00430421"/>
    <w:rsid w:val="00430B4F"/>
    <w:rsid w:val="004314B1"/>
    <w:rsid w:val="00431E65"/>
    <w:rsid w:val="00432589"/>
    <w:rsid w:val="00432A94"/>
    <w:rsid w:val="0043366D"/>
    <w:rsid w:val="00433827"/>
    <w:rsid w:val="00434D2E"/>
    <w:rsid w:val="004360C8"/>
    <w:rsid w:val="0044006B"/>
    <w:rsid w:val="0044033F"/>
    <w:rsid w:val="00440630"/>
    <w:rsid w:val="00441123"/>
    <w:rsid w:val="00441B74"/>
    <w:rsid w:val="00442095"/>
    <w:rsid w:val="00442965"/>
    <w:rsid w:val="00444157"/>
    <w:rsid w:val="0044417C"/>
    <w:rsid w:val="00444DB3"/>
    <w:rsid w:val="004452B9"/>
    <w:rsid w:val="00445A2F"/>
    <w:rsid w:val="00446328"/>
    <w:rsid w:val="00446341"/>
    <w:rsid w:val="00446648"/>
    <w:rsid w:val="0044684E"/>
    <w:rsid w:val="004479CA"/>
    <w:rsid w:val="004503A4"/>
    <w:rsid w:val="00450555"/>
    <w:rsid w:val="00450DC6"/>
    <w:rsid w:val="004516A5"/>
    <w:rsid w:val="00451FE8"/>
    <w:rsid w:val="00452179"/>
    <w:rsid w:val="004522E3"/>
    <w:rsid w:val="00452E99"/>
    <w:rsid w:val="004535AE"/>
    <w:rsid w:val="00453C42"/>
    <w:rsid w:val="0045463A"/>
    <w:rsid w:val="00454AC9"/>
    <w:rsid w:val="00454E26"/>
    <w:rsid w:val="004554A3"/>
    <w:rsid w:val="00455A6E"/>
    <w:rsid w:val="00456758"/>
    <w:rsid w:val="004569CD"/>
    <w:rsid w:val="004578EB"/>
    <w:rsid w:val="00460303"/>
    <w:rsid w:val="00460697"/>
    <w:rsid w:val="00462593"/>
    <w:rsid w:val="00463B5B"/>
    <w:rsid w:val="00465EEF"/>
    <w:rsid w:val="00466D03"/>
    <w:rsid w:val="0046711B"/>
    <w:rsid w:val="00467312"/>
    <w:rsid w:val="00471156"/>
    <w:rsid w:val="00472429"/>
    <w:rsid w:val="004725E5"/>
    <w:rsid w:val="004726FE"/>
    <w:rsid w:val="00472751"/>
    <w:rsid w:val="00473128"/>
    <w:rsid w:val="00475078"/>
    <w:rsid w:val="00475226"/>
    <w:rsid w:val="004779A0"/>
    <w:rsid w:val="004808E3"/>
    <w:rsid w:val="00481016"/>
    <w:rsid w:val="004814D3"/>
    <w:rsid w:val="0048204C"/>
    <w:rsid w:val="004821BB"/>
    <w:rsid w:val="00482233"/>
    <w:rsid w:val="0048261A"/>
    <w:rsid w:val="004826FE"/>
    <w:rsid w:val="004827D5"/>
    <w:rsid w:val="004830C9"/>
    <w:rsid w:val="00483347"/>
    <w:rsid w:val="00483E2E"/>
    <w:rsid w:val="00484B69"/>
    <w:rsid w:val="00485406"/>
    <w:rsid w:val="004858FE"/>
    <w:rsid w:val="0048590F"/>
    <w:rsid w:val="004867A5"/>
    <w:rsid w:val="00486D60"/>
    <w:rsid w:val="00487C87"/>
    <w:rsid w:val="00490BB8"/>
    <w:rsid w:val="00492A25"/>
    <w:rsid w:val="0049474A"/>
    <w:rsid w:val="004961EA"/>
    <w:rsid w:val="00496350"/>
    <w:rsid w:val="00496F91"/>
    <w:rsid w:val="00497274"/>
    <w:rsid w:val="00497708"/>
    <w:rsid w:val="0049797C"/>
    <w:rsid w:val="00497C2C"/>
    <w:rsid w:val="00497E9D"/>
    <w:rsid w:val="004A07AC"/>
    <w:rsid w:val="004A1405"/>
    <w:rsid w:val="004A1FC6"/>
    <w:rsid w:val="004A3C03"/>
    <w:rsid w:val="004A3DB7"/>
    <w:rsid w:val="004A3FB3"/>
    <w:rsid w:val="004A404F"/>
    <w:rsid w:val="004A5088"/>
    <w:rsid w:val="004A5255"/>
    <w:rsid w:val="004A6097"/>
    <w:rsid w:val="004A6CB0"/>
    <w:rsid w:val="004A70FF"/>
    <w:rsid w:val="004A7CCC"/>
    <w:rsid w:val="004B1B84"/>
    <w:rsid w:val="004B29AC"/>
    <w:rsid w:val="004B35DF"/>
    <w:rsid w:val="004B3627"/>
    <w:rsid w:val="004B3F3A"/>
    <w:rsid w:val="004B4779"/>
    <w:rsid w:val="004B4922"/>
    <w:rsid w:val="004B57DF"/>
    <w:rsid w:val="004C03A0"/>
    <w:rsid w:val="004C04AB"/>
    <w:rsid w:val="004C2138"/>
    <w:rsid w:val="004C2ED0"/>
    <w:rsid w:val="004C32D4"/>
    <w:rsid w:val="004C3940"/>
    <w:rsid w:val="004C51FD"/>
    <w:rsid w:val="004C534B"/>
    <w:rsid w:val="004C65A8"/>
    <w:rsid w:val="004C6F74"/>
    <w:rsid w:val="004C786C"/>
    <w:rsid w:val="004C7963"/>
    <w:rsid w:val="004D2F63"/>
    <w:rsid w:val="004D35BA"/>
    <w:rsid w:val="004D4701"/>
    <w:rsid w:val="004D47C7"/>
    <w:rsid w:val="004D618D"/>
    <w:rsid w:val="004D62A9"/>
    <w:rsid w:val="004D6AEE"/>
    <w:rsid w:val="004D6FC3"/>
    <w:rsid w:val="004D7476"/>
    <w:rsid w:val="004E0306"/>
    <w:rsid w:val="004E0572"/>
    <w:rsid w:val="004E25A8"/>
    <w:rsid w:val="004E2AA0"/>
    <w:rsid w:val="004E37C0"/>
    <w:rsid w:val="004E3930"/>
    <w:rsid w:val="004E3ED9"/>
    <w:rsid w:val="004E5866"/>
    <w:rsid w:val="004E5D94"/>
    <w:rsid w:val="004E6097"/>
    <w:rsid w:val="004E61EF"/>
    <w:rsid w:val="004E6772"/>
    <w:rsid w:val="004E76A7"/>
    <w:rsid w:val="004E7736"/>
    <w:rsid w:val="004E7B03"/>
    <w:rsid w:val="004F0064"/>
    <w:rsid w:val="004F06AC"/>
    <w:rsid w:val="004F0C76"/>
    <w:rsid w:val="004F1AE6"/>
    <w:rsid w:val="004F243F"/>
    <w:rsid w:val="004F3E0C"/>
    <w:rsid w:val="004F4B37"/>
    <w:rsid w:val="004F6272"/>
    <w:rsid w:val="004F6A2D"/>
    <w:rsid w:val="004F7160"/>
    <w:rsid w:val="00500258"/>
    <w:rsid w:val="0050175E"/>
    <w:rsid w:val="00501A99"/>
    <w:rsid w:val="00503180"/>
    <w:rsid w:val="0050417C"/>
    <w:rsid w:val="0050437F"/>
    <w:rsid w:val="00505450"/>
    <w:rsid w:val="00505D22"/>
    <w:rsid w:val="005100B7"/>
    <w:rsid w:val="005113C9"/>
    <w:rsid w:val="0051280C"/>
    <w:rsid w:val="00512842"/>
    <w:rsid w:val="005128BE"/>
    <w:rsid w:val="00512B7B"/>
    <w:rsid w:val="00512E6C"/>
    <w:rsid w:val="0051356F"/>
    <w:rsid w:val="00513E7C"/>
    <w:rsid w:val="005140BB"/>
    <w:rsid w:val="005143C2"/>
    <w:rsid w:val="0051454F"/>
    <w:rsid w:val="00514FD9"/>
    <w:rsid w:val="0051608F"/>
    <w:rsid w:val="005210F7"/>
    <w:rsid w:val="00521753"/>
    <w:rsid w:val="00521A44"/>
    <w:rsid w:val="00521D16"/>
    <w:rsid w:val="005222BE"/>
    <w:rsid w:val="005224EE"/>
    <w:rsid w:val="00523BB1"/>
    <w:rsid w:val="00524217"/>
    <w:rsid w:val="0052451A"/>
    <w:rsid w:val="00524737"/>
    <w:rsid w:val="00526265"/>
    <w:rsid w:val="0052652D"/>
    <w:rsid w:val="0052655D"/>
    <w:rsid w:val="005265E0"/>
    <w:rsid w:val="00526BC3"/>
    <w:rsid w:val="00530F9E"/>
    <w:rsid w:val="0053274E"/>
    <w:rsid w:val="0053358A"/>
    <w:rsid w:val="0053408B"/>
    <w:rsid w:val="00534668"/>
    <w:rsid w:val="00534DDD"/>
    <w:rsid w:val="00535291"/>
    <w:rsid w:val="00535A94"/>
    <w:rsid w:val="00537874"/>
    <w:rsid w:val="00540204"/>
    <w:rsid w:val="00540578"/>
    <w:rsid w:val="005407D2"/>
    <w:rsid w:val="00540808"/>
    <w:rsid w:val="0054080E"/>
    <w:rsid w:val="00540EA1"/>
    <w:rsid w:val="00541F62"/>
    <w:rsid w:val="00542AD8"/>
    <w:rsid w:val="0054358E"/>
    <w:rsid w:val="00543AF4"/>
    <w:rsid w:val="00544191"/>
    <w:rsid w:val="00544F39"/>
    <w:rsid w:val="0054515D"/>
    <w:rsid w:val="00547EFB"/>
    <w:rsid w:val="00552563"/>
    <w:rsid w:val="005531DF"/>
    <w:rsid w:val="00553874"/>
    <w:rsid w:val="00553ACC"/>
    <w:rsid w:val="00554AD8"/>
    <w:rsid w:val="00554F78"/>
    <w:rsid w:val="005556A5"/>
    <w:rsid w:val="00556BF7"/>
    <w:rsid w:val="00562149"/>
    <w:rsid w:val="005630D8"/>
    <w:rsid w:val="00563FFD"/>
    <w:rsid w:val="00565855"/>
    <w:rsid w:val="005677CE"/>
    <w:rsid w:val="00567B5D"/>
    <w:rsid w:val="00573733"/>
    <w:rsid w:val="00574554"/>
    <w:rsid w:val="00576089"/>
    <w:rsid w:val="005764B1"/>
    <w:rsid w:val="00576A56"/>
    <w:rsid w:val="00576D06"/>
    <w:rsid w:val="00577853"/>
    <w:rsid w:val="005779E4"/>
    <w:rsid w:val="00577A3F"/>
    <w:rsid w:val="00580AC5"/>
    <w:rsid w:val="00580EB3"/>
    <w:rsid w:val="00581A2A"/>
    <w:rsid w:val="0058289C"/>
    <w:rsid w:val="00582C35"/>
    <w:rsid w:val="00582DC6"/>
    <w:rsid w:val="005836C7"/>
    <w:rsid w:val="00583E30"/>
    <w:rsid w:val="0058408E"/>
    <w:rsid w:val="005845AF"/>
    <w:rsid w:val="00585374"/>
    <w:rsid w:val="00586F3C"/>
    <w:rsid w:val="00590B77"/>
    <w:rsid w:val="005913A3"/>
    <w:rsid w:val="00591DCD"/>
    <w:rsid w:val="00591E6C"/>
    <w:rsid w:val="00594A7B"/>
    <w:rsid w:val="00594AFA"/>
    <w:rsid w:val="0059580E"/>
    <w:rsid w:val="00596A6F"/>
    <w:rsid w:val="005976E1"/>
    <w:rsid w:val="005A0541"/>
    <w:rsid w:val="005A1525"/>
    <w:rsid w:val="005A1EC3"/>
    <w:rsid w:val="005A252B"/>
    <w:rsid w:val="005A2A71"/>
    <w:rsid w:val="005A3204"/>
    <w:rsid w:val="005A3341"/>
    <w:rsid w:val="005A3FA1"/>
    <w:rsid w:val="005A46EC"/>
    <w:rsid w:val="005A4847"/>
    <w:rsid w:val="005A494F"/>
    <w:rsid w:val="005B0160"/>
    <w:rsid w:val="005B0185"/>
    <w:rsid w:val="005B07EC"/>
    <w:rsid w:val="005B09D8"/>
    <w:rsid w:val="005B120C"/>
    <w:rsid w:val="005B24F3"/>
    <w:rsid w:val="005B2B11"/>
    <w:rsid w:val="005B2E00"/>
    <w:rsid w:val="005B30C3"/>
    <w:rsid w:val="005B370E"/>
    <w:rsid w:val="005B4DA3"/>
    <w:rsid w:val="005B5BEE"/>
    <w:rsid w:val="005B77D2"/>
    <w:rsid w:val="005C019B"/>
    <w:rsid w:val="005C144E"/>
    <w:rsid w:val="005C14A8"/>
    <w:rsid w:val="005C30F5"/>
    <w:rsid w:val="005C357E"/>
    <w:rsid w:val="005C3951"/>
    <w:rsid w:val="005C51A5"/>
    <w:rsid w:val="005C557A"/>
    <w:rsid w:val="005C61DD"/>
    <w:rsid w:val="005C6438"/>
    <w:rsid w:val="005C6B8B"/>
    <w:rsid w:val="005C7B87"/>
    <w:rsid w:val="005D02E3"/>
    <w:rsid w:val="005D0310"/>
    <w:rsid w:val="005D039C"/>
    <w:rsid w:val="005D1370"/>
    <w:rsid w:val="005D1F34"/>
    <w:rsid w:val="005D2529"/>
    <w:rsid w:val="005D2C1F"/>
    <w:rsid w:val="005D34B2"/>
    <w:rsid w:val="005D3B54"/>
    <w:rsid w:val="005D40CD"/>
    <w:rsid w:val="005D4546"/>
    <w:rsid w:val="005D6B59"/>
    <w:rsid w:val="005D7037"/>
    <w:rsid w:val="005E03E4"/>
    <w:rsid w:val="005E0454"/>
    <w:rsid w:val="005E0BF4"/>
    <w:rsid w:val="005E171D"/>
    <w:rsid w:val="005E34C2"/>
    <w:rsid w:val="005E35C6"/>
    <w:rsid w:val="005E417A"/>
    <w:rsid w:val="005E5B01"/>
    <w:rsid w:val="005E6E3B"/>
    <w:rsid w:val="005E7933"/>
    <w:rsid w:val="005E7E0B"/>
    <w:rsid w:val="005F009E"/>
    <w:rsid w:val="005F0A88"/>
    <w:rsid w:val="005F0DF1"/>
    <w:rsid w:val="005F1516"/>
    <w:rsid w:val="005F229E"/>
    <w:rsid w:val="005F2564"/>
    <w:rsid w:val="005F3822"/>
    <w:rsid w:val="005F3E0B"/>
    <w:rsid w:val="005F4D16"/>
    <w:rsid w:val="005F4E52"/>
    <w:rsid w:val="005F5590"/>
    <w:rsid w:val="005F5967"/>
    <w:rsid w:val="005F6A62"/>
    <w:rsid w:val="005F77C8"/>
    <w:rsid w:val="0060058E"/>
    <w:rsid w:val="00602740"/>
    <w:rsid w:val="00602A3C"/>
    <w:rsid w:val="00603BE3"/>
    <w:rsid w:val="00603EFD"/>
    <w:rsid w:val="006041DF"/>
    <w:rsid w:val="0060475B"/>
    <w:rsid w:val="00604BBB"/>
    <w:rsid w:val="00604FB6"/>
    <w:rsid w:val="00605387"/>
    <w:rsid w:val="00606302"/>
    <w:rsid w:val="006072EF"/>
    <w:rsid w:val="006076FD"/>
    <w:rsid w:val="00607BA3"/>
    <w:rsid w:val="0061143F"/>
    <w:rsid w:val="006114D8"/>
    <w:rsid w:val="00611585"/>
    <w:rsid w:val="00612931"/>
    <w:rsid w:val="00613601"/>
    <w:rsid w:val="00613791"/>
    <w:rsid w:val="00613AAB"/>
    <w:rsid w:val="00614505"/>
    <w:rsid w:val="006148C7"/>
    <w:rsid w:val="006150D6"/>
    <w:rsid w:val="00617EEE"/>
    <w:rsid w:val="006210FE"/>
    <w:rsid w:val="00622811"/>
    <w:rsid w:val="00622894"/>
    <w:rsid w:val="00622BB7"/>
    <w:rsid w:val="00622F3B"/>
    <w:rsid w:val="00623389"/>
    <w:rsid w:val="0062352A"/>
    <w:rsid w:val="00625E45"/>
    <w:rsid w:val="006265C4"/>
    <w:rsid w:val="00627383"/>
    <w:rsid w:val="00627733"/>
    <w:rsid w:val="006301BB"/>
    <w:rsid w:val="00632605"/>
    <w:rsid w:val="00633F8D"/>
    <w:rsid w:val="006341EF"/>
    <w:rsid w:val="00634BED"/>
    <w:rsid w:val="00635A4A"/>
    <w:rsid w:val="00635FB9"/>
    <w:rsid w:val="00636148"/>
    <w:rsid w:val="006370CF"/>
    <w:rsid w:val="00637774"/>
    <w:rsid w:val="0064024C"/>
    <w:rsid w:val="00640291"/>
    <w:rsid w:val="0064103F"/>
    <w:rsid w:val="00641FAC"/>
    <w:rsid w:val="006432A5"/>
    <w:rsid w:val="00643664"/>
    <w:rsid w:val="00643CAA"/>
    <w:rsid w:val="00644075"/>
    <w:rsid w:val="00652137"/>
    <w:rsid w:val="00652680"/>
    <w:rsid w:val="00652A09"/>
    <w:rsid w:val="00652CCD"/>
    <w:rsid w:val="006530A1"/>
    <w:rsid w:val="00653CDE"/>
    <w:rsid w:val="006540B4"/>
    <w:rsid w:val="0065636A"/>
    <w:rsid w:val="0065669F"/>
    <w:rsid w:val="00656C3C"/>
    <w:rsid w:val="00657003"/>
    <w:rsid w:val="00657126"/>
    <w:rsid w:val="006572C1"/>
    <w:rsid w:val="00657930"/>
    <w:rsid w:val="00660238"/>
    <w:rsid w:val="006602EF"/>
    <w:rsid w:val="00660F41"/>
    <w:rsid w:val="00661277"/>
    <w:rsid w:val="006616FE"/>
    <w:rsid w:val="006619D1"/>
    <w:rsid w:val="00663FEA"/>
    <w:rsid w:val="00664253"/>
    <w:rsid w:val="006647AE"/>
    <w:rsid w:val="00664803"/>
    <w:rsid w:val="006661A4"/>
    <w:rsid w:val="006670E0"/>
    <w:rsid w:val="00667532"/>
    <w:rsid w:val="006704FD"/>
    <w:rsid w:val="0067294B"/>
    <w:rsid w:val="00673AA4"/>
    <w:rsid w:val="00674187"/>
    <w:rsid w:val="006744E8"/>
    <w:rsid w:val="0067508F"/>
    <w:rsid w:val="00675349"/>
    <w:rsid w:val="00675E7E"/>
    <w:rsid w:val="0068051E"/>
    <w:rsid w:val="00680B9D"/>
    <w:rsid w:val="00681F13"/>
    <w:rsid w:val="0068231C"/>
    <w:rsid w:val="00682344"/>
    <w:rsid w:val="00682939"/>
    <w:rsid w:val="00682F28"/>
    <w:rsid w:val="00684842"/>
    <w:rsid w:val="00685BD6"/>
    <w:rsid w:val="006878A6"/>
    <w:rsid w:val="00690437"/>
    <w:rsid w:val="00690E65"/>
    <w:rsid w:val="0069188E"/>
    <w:rsid w:val="00691974"/>
    <w:rsid w:val="00692CE6"/>
    <w:rsid w:val="00693B6C"/>
    <w:rsid w:val="00694202"/>
    <w:rsid w:val="006942AE"/>
    <w:rsid w:val="0069483C"/>
    <w:rsid w:val="0069522E"/>
    <w:rsid w:val="00695421"/>
    <w:rsid w:val="00696D4B"/>
    <w:rsid w:val="00697BD3"/>
    <w:rsid w:val="00697DFA"/>
    <w:rsid w:val="006A0C53"/>
    <w:rsid w:val="006A10F3"/>
    <w:rsid w:val="006A16D5"/>
    <w:rsid w:val="006A1772"/>
    <w:rsid w:val="006A1780"/>
    <w:rsid w:val="006A25A5"/>
    <w:rsid w:val="006A2790"/>
    <w:rsid w:val="006A3CEC"/>
    <w:rsid w:val="006A3F75"/>
    <w:rsid w:val="006A4FB3"/>
    <w:rsid w:val="006A5A3E"/>
    <w:rsid w:val="006A6CA7"/>
    <w:rsid w:val="006A703E"/>
    <w:rsid w:val="006A7BE3"/>
    <w:rsid w:val="006B01D1"/>
    <w:rsid w:val="006B16EA"/>
    <w:rsid w:val="006B1780"/>
    <w:rsid w:val="006B20CB"/>
    <w:rsid w:val="006B224E"/>
    <w:rsid w:val="006B376E"/>
    <w:rsid w:val="006B4589"/>
    <w:rsid w:val="006B6805"/>
    <w:rsid w:val="006B6BBE"/>
    <w:rsid w:val="006B6DE0"/>
    <w:rsid w:val="006B7D5F"/>
    <w:rsid w:val="006C32F4"/>
    <w:rsid w:val="006C3C54"/>
    <w:rsid w:val="006C40F4"/>
    <w:rsid w:val="006C427B"/>
    <w:rsid w:val="006C4D5D"/>
    <w:rsid w:val="006C4E5A"/>
    <w:rsid w:val="006C4F9F"/>
    <w:rsid w:val="006C61AB"/>
    <w:rsid w:val="006C650D"/>
    <w:rsid w:val="006C748D"/>
    <w:rsid w:val="006C74E2"/>
    <w:rsid w:val="006D0C1D"/>
    <w:rsid w:val="006D0CE1"/>
    <w:rsid w:val="006D2004"/>
    <w:rsid w:val="006D2A8C"/>
    <w:rsid w:val="006D2E9D"/>
    <w:rsid w:val="006D4214"/>
    <w:rsid w:val="006D4C1E"/>
    <w:rsid w:val="006D4C42"/>
    <w:rsid w:val="006D5809"/>
    <w:rsid w:val="006D630A"/>
    <w:rsid w:val="006D668D"/>
    <w:rsid w:val="006D7363"/>
    <w:rsid w:val="006D74F2"/>
    <w:rsid w:val="006E04C8"/>
    <w:rsid w:val="006E0712"/>
    <w:rsid w:val="006E0754"/>
    <w:rsid w:val="006E2668"/>
    <w:rsid w:val="006E2D39"/>
    <w:rsid w:val="006E32B0"/>
    <w:rsid w:val="006E36D8"/>
    <w:rsid w:val="006E396A"/>
    <w:rsid w:val="006E3A73"/>
    <w:rsid w:val="006E5DD8"/>
    <w:rsid w:val="006E5EA1"/>
    <w:rsid w:val="006E626A"/>
    <w:rsid w:val="006E7ABC"/>
    <w:rsid w:val="006F0760"/>
    <w:rsid w:val="006F0FF1"/>
    <w:rsid w:val="006F11E2"/>
    <w:rsid w:val="006F12F5"/>
    <w:rsid w:val="006F2574"/>
    <w:rsid w:val="006F3231"/>
    <w:rsid w:val="006F3DE3"/>
    <w:rsid w:val="006F511F"/>
    <w:rsid w:val="006F54B3"/>
    <w:rsid w:val="006F61D8"/>
    <w:rsid w:val="006F62B7"/>
    <w:rsid w:val="006F70BC"/>
    <w:rsid w:val="006F713A"/>
    <w:rsid w:val="006F76BF"/>
    <w:rsid w:val="00700077"/>
    <w:rsid w:val="00704994"/>
    <w:rsid w:val="007066A4"/>
    <w:rsid w:val="00706F37"/>
    <w:rsid w:val="00707D09"/>
    <w:rsid w:val="00711208"/>
    <w:rsid w:val="0071209F"/>
    <w:rsid w:val="007125A2"/>
    <w:rsid w:val="00712DA3"/>
    <w:rsid w:val="00713F79"/>
    <w:rsid w:val="007148A8"/>
    <w:rsid w:val="00714AA4"/>
    <w:rsid w:val="007171E0"/>
    <w:rsid w:val="0072033C"/>
    <w:rsid w:val="00720B1B"/>
    <w:rsid w:val="00720EC1"/>
    <w:rsid w:val="00721062"/>
    <w:rsid w:val="00721E5D"/>
    <w:rsid w:val="00722573"/>
    <w:rsid w:val="007229D4"/>
    <w:rsid w:val="00722CD9"/>
    <w:rsid w:val="007230F8"/>
    <w:rsid w:val="007233F4"/>
    <w:rsid w:val="00723C94"/>
    <w:rsid w:val="00724044"/>
    <w:rsid w:val="007244E1"/>
    <w:rsid w:val="007248D3"/>
    <w:rsid w:val="00725137"/>
    <w:rsid w:val="007263ED"/>
    <w:rsid w:val="00727A43"/>
    <w:rsid w:val="00727FF2"/>
    <w:rsid w:val="007306C7"/>
    <w:rsid w:val="007309DE"/>
    <w:rsid w:val="007323E0"/>
    <w:rsid w:val="00733791"/>
    <w:rsid w:val="0073391B"/>
    <w:rsid w:val="00733DE2"/>
    <w:rsid w:val="007352EA"/>
    <w:rsid w:val="0073544F"/>
    <w:rsid w:val="007364E5"/>
    <w:rsid w:val="0073792F"/>
    <w:rsid w:val="00740367"/>
    <w:rsid w:val="00740BAD"/>
    <w:rsid w:val="00740DA6"/>
    <w:rsid w:val="00741A0E"/>
    <w:rsid w:val="00741D1E"/>
    <w:rsid w:val="00741EE2"/>
    <w:rsid w:val="00742367"/>
    <w:rsid w:val="00742EAA"/>
    <w:rsid w:val="00743818"/>
    <w:rsid w:val="007439E2"/>
    <w:rsid w:val="00743D6F"/>
    <w:rsid w:val="00743DD8"/>
    <w:rsid w:val="007441FB"/>
    <w:rsid w:val="00744517"/>
    <w:rsid w:val="00744810"/>
    <w:rsid w:val="00747DE2"/>
    <w:rsid w:val="007504BF"/>
    <w:rsid w:val="007506CD"/>
    <w:rsid w:val="0075267F"/>
    <w:rsid w:val="007526EC"/>
    <w:rsid w:val="0075310C"/>
    <w:rsid w:val="00753347"/>
    <w:rsid w:val="00753C48"/>
    <w:rsid w:val="00754C97"/>
    <w:rsid w:val="00754FE4"/>
    <w:rsid w:val="00755538"/>
    <w:rsid w:val="00756236"/>
    <w:rsid w:val="00756271"/>
    <w:rsid w:val="00756521"/>
    <w:rsid w:val="00756AB7"/>
    <w:rsid w:val="00760477"/>
    <w:rsid w:val="00761AF4"/>
    <w:rsid w:val="00762071"/>
    <w:rsid w:val="007623FB"/>
    <w:rsid w:val="0076376A"/>
    <w:rsid w:val="0076500F"/>
    <w:rsid w:val="0076504E"/>
    <w:rsid w:val="00765E3D"/>
    <w:rsid w:val="00765E6A"/>
    <w:rsid w:val="00767EA0"/>
    <w:rsid w:val="0077068F"/>
    <w:rsid w:val="007707D2"/>
    <w:rsid w:val="0077408D"/>
    <w:rsid w:val="00774270"/>
    <w:rsid w:val="00775679"/>
    <w:rsid w:val="00775803"/>
    <w:rsid w:val="00777B32"/>
    <w:rsid w:val="0078051E"/>
    <w:rsid w:val="00781FDD"/>
    <w:rsid w:val="00782A9F"/>
    <w:rsid w:val="0078508A"/>
    <w:rsid w:val="00786D5C"/>
    <w:rsid w:val="00786E96"/>
    <w:rsid w:val="00787F93"/>
    <w:rsid w:val="007907CA"/>
    <w:rsid w:val="007913A1"/>
    <w:rsid w:val="00791E6D"/>
    <w:rsid w:val="007928DC"/>
    <w:rsid w:val="007939CC"/>
    <w:rsid w:val="00794AD7"/>
    <w:rsid w:val="00796FB8"/>
    <w:rsid w:val="007977A2"/>
    <w:rsid w:val="007A0A5E"/>
    <w:rsid w:val="007A11C2"/>
    <w:rsid w:val="007A2367"/>
    <w:rsid w:val="007A41BF"/>
    <w:rsid w:val="007A490A"/>
    <w:rsid w:val="007A581D"/>
    <w:rsid w:val="007A683E"/>
    <w:rsid w:val="007A7B95"/>
    <w:rsid w:val="007B0297"/>
    <w:rsid w:val="007B0F53"/>
    <w:rsid w:val="007B1DD8"/>
    <w:rsid w:val="007B21AE"/>
    <w:rsid w:val="007B2570"/>
    <w:rsid w:val="007B3113"/>
    <w:rsid w:val="007B31B7"/>
    <w:rsid w:val="007B3304"/>
    <w:rsid w:val="007B332B"/>
    <w:rsid w:val="007B394D"/>
    <w:rsid w:val="007B7490"/>
    <w:rsid w:val="007B774A"/>
    <w:rsid w:val="007C0525"/>
    <w:rsid w:val="007C0B56"/>
    <w:rsid w:val="007C13F7"/>
    <w:rsid w:val="007C218D"/>
    <w:rsid w:val="007C2D28"/>
    <w:rsid w:val="007C3E22"/>
    <w:rsid w:val="007C3FDA"/>
    <w:rsid w:val="007C5153"/>
    <w:rsid w:val="007C5234"/>
    <w:rsid w:val="007C67C6"/>
    <w:rsid w:val="007C707A"/>
    <w:rsid w:val="007C7E59"/>
    <w:rsid w:val="007D0B91"/>
    <w:rsid w:val="007D0F53"/>
    <w:rsid w:val="007D1452"/>
    <w:rsid w:val="007D1E29"/>
    <w:rsid w:val="007D460C"/>
    <w:rsid w:val="007D4AD3"/>
    <w:rsid w:val="007D4C8D"/>
    <w:rsid w:val="007D5D19"/>
    <w:rsid w:val="007D5FDC"/>
    <w:rsid w:val="007D6232"/>
    <w:rsid w:val="007D6D68"/>
    <w:rsid w:val="007E01DA"/>
    <w:rsid w:val="007E1603"/>
    <w:rsid w:val="007E32DA"/>
    <w:rsid w:val="007E44FB"/>
    <w:rsid w:val="007E4998"/>
    <w:rsid w:val="007E4A9C"/>
    <w:rsid w:val="007E6914"/>
    <w:rsid w:val="007E7C9B"/>
    <w:rsid w:val="007E7F78"/>
    <w:rsid w:val="007F0C8B"/>
    <w:rsid w:val="007F1517"/>
    <w:rsid w:val="007F1BD7"/>
    <w:rsid w:val="007F1D44"/>
    <w:rsid w:val="007F2C13"/>
    <w:rsid w:val="007F2CEC"/>
    <w:rsid w:val="007F55DE"/>
    <w:rsid w:val="007F5605"/>
    <w:rsid w:val="007F6147"/>
    <w:rsid w:val="007F6FCD"/>
    <w:rsid w:val="007F7654"/>
    <w:rsid w:val="007F78FF"/>
    <w:rsid w:val="00800F6C"/>
    <w:rsid w:val="008025BE"/>
    <w:rsid w:val="00804C86"/>
    <w:rsid w:val="008051FC"/>
    <w:rsid w:val="008055A9"/>
    <w:rsid w:val="008070EB"/>
    <w:rsid w:val="00807376"/>
    <w:rsid w:val="00810E8E"/>
    <w:rsid w:val="0081142D"/>
    <w:rsid w:val="00812462"/>
    <w:rsid w:val="008131C3"/>
    <w:rsid w:val="008140A5"/>
    <w:rsid w:val="0081481D"/>
    <w:rsid w:val="00814BE8"/>
    <w:rsid w:val="00814F6E"/>
    <w:rsid w:val="00815B84"/>
    <w:rsid w:val="00821A3D"/>
    <w:rsid w:val="00821B36"/>
    <w:rsid w:val="00822037"/>
    <w:rsid w:val="00823E0A"/>
    <w:rsid w:val="00823FC6"/>
    <w:rsid w:val="00823FFC"/>
    <w:rsid w:val="00824811"/>
    <w:rsid w:val="00825C74"/>
    <w:rsid w:val="00826AB9"/>
    <w:rsid w:val="00826E0E"/>
    <w:rsid w:val="0082731F"/>
    <w:rsid w:val="00827D11"/>
    <w:rsid w:val="00827E0F"/>
    <w:rsid w:val="00827F6E"/>
    <w:rsid w:val="00831758"/>
    <w:rsid w:val="0083279F"/>
    <w:rsid w:val="00833B7F"/>
    <w:rsid w:val="00834906"/>
    <w:rsid w:val="00836075"/>
    <w:rsid w:val="00836417"/>
    <w:rsid w:val="00840140"/>
    <w:rsid w:val="008411F9"/>
    <w:rsid w:val="008413AB"/>
    <w:rsid w:val="00842D10"/>
    <w:rsid w:val="0084322B"/>
    <w:rsid w:val="00843B93"/>
    <w:rsid w:val="00843F81"/>
    <w:rsid w:val="00844087"/>
    <w:rsid w:val="0084519E"/>
    <w:rsid w:val="00846370"/>
    <w:rsid w:val="00847C2B"/>
    <w:rsid w:val="0085270D"/>
    <w:rsid w:val="008532BF"/>
    <w:rsid w:val="00853BF4"/>
    <w:rsid w:val="00854294"/>
    <w:rsid w:val="0085595B"/>
    <w:rsid w:val="00855F80"/>
    <w:rsid w:val="008566B8"/>
    <w:rsid w:val="008576EF"/>
    <w:rsid w:val="0085788B"/>
    <w:rsid w:val="00857A9E"/>
    <w:rsid w:val="00857DE2"/>
    <w:rsid w:val="0086353C"/>
    <w:rsid w:val="0086407F"/>
    <w:rsid w:val="00864E79"/>
    <w:rsid w:val="00865F52"/>
    <w:rsid w:val="00866111"/>
    <w:rsid w:val="0086661F"/>
    <w:rsid w:val="00866A0D"/>
    <w:rsid w:val="00866DB5"/>
    <w:rsid w:val="0086784E"/>
    <w:rsid w:val="00867AF1"/>
    <w:rsid w:val="00870445"/>
    <w:rsid w:val="00872118"/>
    <w:rsid w:val="00872827"/>
    <w:rsid w:val="00872888"/>
    <w:rsid w:val="00872A32"/>
    <w:rsid w:val="00872D92"/>
    <w:rsid w:val="00872E21"/>
    <w:rsid w:val="00874C70"/>
    <w:rsid w:val="00874ECA"/>
    <w:rsid w:val="00876EAE"/>
    <w:rsid w:val="00880F95"/>
    <w:rsid w:val="008819C6"/>
    <w:rsid w:val="00882B44"/>
    <w:rsid w:val="00882E73"/>
    <w:rsid w:val="00882FE5"/>
    <w:rsid w:val="008845A4"/>
    <w:rsid w:val="00886138"/>
    <w:rsid w:val="00886E66"/>
    <w:rsid w:val="008871B0"/>
    <w:rsid w:val="0089217C"/>
    <w:rsid w:val="008928A1"/>
    <w:rsid w:val="00893671"/>
    <w:rsid w:val="00895838"/>
    <w:rsid w:val="00895A72"/>
    <w:rsid w:val="00895CDF"/>
    <w:rsid w:val="008968C7"/>
    <w:rsid w:val="008971DB"/>
    <w:rsid w:val="00897A55"/>
    <w:rsid w:val="008A0FC9"/>
    <w:rsid w:val="008A1956"/>
    <w:rsid w:val="008A2B5F"/>
    <w:rsid w:val="008A40D3"/>
    <w:rsid w:val="008A469C"/>
    <w:rsid w:val="008A484A"/>
    <w:rsid w:val="008A5877"/>
    <w:rsid w:val="008A6539"/>
    <w:rsid w:val="008A701C"/>
    <w:rsid w:val="008A79F6"/>
    <w:rsid w:val="008B05DD"/>
    <w:rsid w:val="008B17E8"/>
    <w:rsid w:val="008B1925"/>
    <w:rsid w:val="008B266C"/>
    <w:rsid w:val="008B2D03"/>
    <w:rsid w:val="008B2E7C"/>
    <w:rsid w:val="008B42EB"/>
    <w:rsid w:val="008B45A7"/>
    <w:rsid w:val="008B49D8"/>
    <w:rsid w:val="008B4A70"/>
    <w:rsid w:val="008B502F"/>
    <w:rsid w:val="008B5A88"/>
    <w:rsid w:val="008B5BB4"/>
    <w:rsid w:val="008B6AFE"/>
    <w:rsid w:val="008B7034"/>
    <w:rsid w:val="008B7227"/>
    <w:rsid w:val="008C191C"/>
    <w:rsid w:val="008C1DA4"/>
    <w:rsid w:val="008C2CD5"/>
    <w:rsid w:val="008C3618"/>
    <w:rsid w:val="008C37C2"/>
    <w:rsid w:val="008C3F20"/>
    <w:rsid w:val="008C43AD"/>
    <w:rsid w:val="008C59FB"/>
    <w:rsid w:val="008C6687"/>
    <w:rsid w:val="008C68F0"/>
    <w:rsid w:val="008C6F92"/>
    <w:rsid w:val="008C731F"/>
    <w:rsid w:val="008C74D9"/>
    <w:rsid w:val="008D01FF"/>
    <w:rsid w:val="008D1052"/>
    <w:rsid w:val="008D124C"/>
    <w:rsid w:val="008D1BB3"/>
    <w:rsid w:val="008D22AE"/>
    <w:rsid w:val="008D234A"/>
    <w:rsid w:val="008D2600"/>
    <w:rsid w:val="008D566C"/>
    <w:rsid w:val="008D58D9"/>
    <w:rsid w:val="008D6426"/>
    <w:rsid w:val="008D66EA"/>
    <w:rsid w:val="008D6E59"/>
    <w:rsid w:val="008D7155"/>
    <w:rsid w:val="008D7DE4"/>
    <w:rsid w:val="008E09B3"/>
    <w:rsid w:val="008E141A"/>
    <w:rsid w:val="008E1A44"/>
    <w:rsid w:val="008E28E6"/>
    <w:rsid w:val="008E2B60"/>
    <w:rsid w:val="008E3232"/>
    <w:rsid w:val="008E3674"/>
    <w:rsid w:val="008E3B6C"/>
    <w:rsid w:val="008E68BB"/>
    <w:rsid w:val="008E6C9B"/>
    <w:rsid w:val="008E77D4"/>
    <w:rsid w:val="008F0981"/>
    <w:rsid w:val="008F0AFD"/>
    <w:rsid w:val="008F17B2"/>
    <w:rsid w:val="008F28EE"/>
    <w:rsid w:val="008F357B"/>
    <w:rsid w:val="008F4381"/>
    <w:rsid w:val="008F44CA"/>
    <w:rsid w:val="008F49B9"/>
    <w:rsid w:val="008F49D3"/>
    <w:rsid w:val="008F6519"/>
    <w:rsid w:val="008F7012"/>
    <w:rsid w:val="008F7B17"/>
    <w:rsid w:val="00900042"/>
    <w:rsid w:val="0090034B"/>
    <w:rsid w:val="00902623"/>
    <w:rsid w:val="00902890"/>
    <w:rsid w:val="00904BE4"/>
    <w:rsid w:val="0090504A"/>
    <w:rsid w:val="00905D7E"/>
    <w:rsid w:val="009063B7"/>
    <w:rsid w:val="00906B83"/>
    <w:rsid w:val="00907037"/>
    <w:rsid w:val="0091114B"/>
    <w:rsid w:val="0091160A"/>
    <w:rsid w:val="00913258"/>
    <w:rsid w:val="0091564D"/>
    <w:rsid w:val="009156DA"/>
    <w:rsid w:val="00916BC5"/>
    <w:rsid w:val="0091726A"/>
    <w:rsid w:val="00920184"/>
    <w:rsid w:val="00920A19"/>
    <w:rsid w:val="00920EA4"/>
    <w:rsid w:val="00921792"/>
    <w:rsid w:val="00921BEA"/>
    <w:rsid w:val="00923998"/>
    <w:rsid w:val="00923DB4"/>
    <w:rsid w:val="0092430E"/>
    <w:rsid w:val="009249D7"/>
    <w:rsid w:val="0092625F"/>
    <w:rsid w:val="009268A9"/>
    <w:rsid w:val="00927B37"/>
    <w:rsid w:val="009301B2"/>
    <w:rsid w:val="009313DD"/>
    <w:rsid w:val="00931BDE"/>
    <w:rsid w:val="009321B1"/>
    <w:rsid w:val="00932ED7"/>
    <w:rsid w:val="0093357E"/>
    <w:rsid w:val="0093422D"/>
    <w:rsid w:val="00934325"/>
    <w:rsid w:val="00934DD7"/>
    <w:rsid w:val="00935287"/>
    <w:rsid w:val="009369A9"/>
    <w:rsid w:val="00936CF7"/>
    <w:rsid w:val="00937201"/>
    <w:rsid w:val="0093734A"/>
    <w:rsid w:val="00937783"/>
    <w:rsid w:val="00940FE1"/>
    <w:rsid w:val="00942306"/>
    <w:rsid w:val="009424B8"/>
    <w:rsid w:val="00942D53"/>
    <w:rsid w:val="009433A4"/>
    <w:rsid w:val="0094435B"/>
    <w:rsid w:val="00944668"/>
    <w:rsid w:val="00944DC6"/>
    <w:rsid w:val="0094515F"/>
    <w:rsid w:val="0094537D"/>
    <w:rsid w:val="0094573F"/>
    <w:rsid w:val="009458B0"/>
    <w:rsid w:val="00945B52"/>
    <w:rsid w:val="00945DC0"/>
    <w:rsid w:val="00945F05"/>
    <w:rsid w:val="00946348"/>
    <w:rsid w:val="00946C8E"/>
    <w:rsid w:val="009471AD"/>
    <w:rsid w:val="009478A2"/>
    <w:rsid w:val="00950404"/>
    <w:rsid w:val="00952060"/>
    <w:rsid w:val="00954800"/>
    <w:rsid w:val="00955643"/>
    <w:rsid w:val="00955FBB"/>
    <w:rsid w:val="0095694B"/>
    <w:rsid w:val="00956BD5"/>
    <w:rsid w:val="009574BB"/>
    <w:rsid w:val="009577B5"/>
    <w:rsid w:val="009608E6"/>
    <w:rsid w:val="00961779"/>
    <w:rsid w:val="00962EB1"/>
    <w:rsid w:val="00966522"/>
    <w:rsid w:val="00967D3F"/>
    <w:rsid w:val="00967E78"/>
    <w:rsid w:val="00970D7E"/>
    <w:rsid w:val="00970F18"/>
    <w:rsid w:val="00971786"/>
    <w:rsid w:val="00971CF1"/>
    <w:rsid w:val="009721E9"/>
    <w:rsid w:val="00972A58"/>
    <w:rsid w:val="00973772"/>
    <w:rsid w:val="009738FC"/>
    <w:rsid w:val="00975E1E"/>
    <w:rsid w:val="00975E70"/>
    <w:rsid w:val="00977CD6"/>
    <w:rsid w:val="00982481"/>
    <w:rsid w:val="00982D26"/>
    <w:rsid w:val="0098330E"/>
    <w:rsid w:val="009833DD"/>
    <w:rsid w:val="00983A87"/>
    <w:rsid w:val="009840AB"/>
    <w:rsid w:val="009849E9"/>
    <w:rsid w:val="009866F3"/>
    <w:rsid w:val="00987812"/>
    <w:rsid w:val="00990225"/>
    <w:rsid w:val="0099244B"/>
    <w:rsid w:val="00993186"/>
    <w:rsid w:val="009947B6"/>
    <w:rsid w:val="00994FCC"/>
    <w:rsid w:val="00995150"/>
    <w:rsid w:val="009957F3"/>
    <w:rsid w:val="00995D67"/>
    <w:rsid w:val="009970BF"/>
    <w:rsid w:val="009A013B"/>
    <w:rsid w:val="009A02F4"/>
    <w:rsid w:val="009A1844"/>
    <w:rsid w:val="009A1F12"/>
    <w:rsid w:val="009A2494"/>
    <w:rsid w:val="009A26CA"/>
    <w:rsid w:val="009A36F2"/>
    <w:rsid w:val="009A5749"/>
    <w:rsid w:val="009A57D0"/>
    <w:rsid w:val="009A6559"/>
    <w:rsid w:val="009A68FC"/>
    <w:rsid w:val="009A7514"/>
    <w:rsid w:val="009A7E7A"/>
    <w:rsid w:val="009B1584"/>
    <w:rsid w:val="009B1585"/>
    <w:rsid w:val="009B2469"/>
    <w:rsid w:val="009B314F"/>
    <w:rsid w:val="009B439C"/>
    <w:rsid w:val="009B4A6C"/>
    <w:rsid w:val="009B5777"/>
    <w:rsid w:val="009B5779"/>
    <w:rsid w:val="009B6753"/>
    <w:rsid w:val="009B6A26"/>
    <w:rsid w:val="009C079D"/>
    <w:rsid w:val="009C0D70"/>
    <w:rsid w:val="009C13D1"/>
    <w:rsid w:val="009C1BFF"/>
    <w:rsid w:val="009C2913"/>
    <w:rsid w:val="009C3008"/>
    <w:rsid w:val="009C5AFE"/>
    <w:rsid w:val="009C6606"/>
    <w:rsid w:val="009C6CE5"/>
    <w:rsid w:val="009C6D50"/>
    <w:rsid w:val="009C7547"/>
    <w:rsid w:val="009D1678"/>
    <w:rsid w:val="009D1693"/>
    <w:rsid w:val="009D2721"/>
    <w:rsid w:val="009D2F60"/>
    <w:rsid w:val="009D338C"/>
    <w:rsid w:val="009D3D0D"/>
    <w:rsid w:val="009D5BAC"/>
    <w:rsid w:val="009D64BD"/>
    <w:rsid w:val="009E0D0A"/>
    <w:rsid w:val="009E0D1A"/>
    <w:rsid w:val="009E153F"/>
    <w:rsid w:val="009E1581"/>
    <w:rsid w:val="009E2D6C"/>
    <w:rsid w:val="009E367E"/>
    <w:rsid w:val="009E388B"/>
    <w:rsid w:val="009E393E"/>
    <w:rsid w:val="009E444E"/>
    <w:rsid w:val="009E4968"/>
    <w:rsid w:val="009E663C"/>
    <w:rsid w:val="009E6BB1"/>
    <w:rsid w:val="009F0092"/>
    <w:rsid w:val="009F0CD9"/>
    <w:rsid w:val="009F1A79"/>
    <w:rsid w:val="009F1F57"/>
    <w:rsid w:val="009F2635"/>
    <w:rsid w:val="009F2E26"/>
    <w:rsid w:val="009F4FCF"/>
    <w:rsid w:val="009F5DE2"/>
    <w:rsid w:val="009F65F4"/>
    <w:rsid w:val="009F676B"/>
    <w:rsid w:val="009F6EA6"/>
    <w:rsid w:val="00A004DF"/>
    <w:rsid w:val="00A00D29"/>
    <w:rsid w:val="00A00FD5"/>
    <w:rsid w:val="00A019A8"/>
    <w:rsid w:val="00A01B03"/>
    <w:rsid w:val="00A02C66"/>
    <w:rsid w:val="00A03861"/>
    <w:rsid w:val="00A0464C"/>
    <w:rsid w:val="00A04D48"/>
    <w:rsid w:val="00A054E0"/>
    <w:rsid w:val="00A05ABE"/>
    <w:rsid w:val="00A061EA"/>
    <w:rsid w:val="00A0663F"/>
    <w:rsid w:val="00A066CE"/>
    <w:rsid w:val="00A0740B"/>
    <w:rsid w:val="00A075A9"/>
    <w:rsid w:val="00A11042"/>
    <w:rsid w:val="00A11805"/>
    <w:rsid w:val="00A133D8"/>
    <w:rsid w:val="00A14E97"/>
    <w:rsid w:val="00A20069"/>
    <w:rsid w:val="00A20280"/>
    <w:rsid w:val="00A2244D"/>
    <w:rsid w:val="00A2253D"/>
    <w:rsid w:val="00A22AEC"/>
    <w:rsid w:val="00A23592"/>
    <w:rsid w:val="00A2418A"/>
    <w:rsid w:val="00A247B8"/>
    <w:rsid w:val="00A24D39"/>
    <w:rsid w:val="00A24D8F"/>
    <w:rsid w:val="00A252D3"/>
    <w:rsid w:val="00A25B8B"/>
    <w:rsid w:val="00A26130"/>
    <w:rsid w:val="00A269AF"/>
    <w:rsid w:val="00A269C3"/>
    <w:rsid w:val="00A26ECA"/>
    <w:rsid w:val="00A30D5A"/>
    <w:rsid w:val="00A3142C"/>
    <w:rsid w:val="00A324C1"/>
    <w:rsid w:val="00A337DB"/>
    <w:rsid w:val="00A3467F"/>
    <w:rsid w:val="00A3551A"/>
    <w:rsid w:val="00A376E8"/>
    <w:rsid w:val="00A37E69"/>
    <w:rsid w:val="00A37F8E"/>
    <w:rsid w:val="00A41737"/>
    <w:rsid w:val="00A42B8F"/>
    <w:rsid w:val="00A43254"/>
    <w:rsid w:val="00A43896"/>
    <w:rsid w:val="00A43A26"/>
    <w:rsid w:val="00A447A0"/>
    <w:rsid w:val="00A4598B"/>
    <w:rsid w:val="00A459F5"/>
    <w:rsid w:val="00A45FC0"/>
    <w:rsid w:val="00A46B32"/>
    <w:rsid w:val="00A46D04"/>
    <w:rsid w:val="00A47301"/>
    <w:rsid w:val="00A47448"/>
    <w:rsid w:val="00A47ECC"/>
    <w:rsid w:val="00A5008C"/>
    <w:rsid w:val="00A50171"/>
    <w:rsid w:val="00A5102E"/>
    <w:rsid w:val="00A51083"/>
    <w:rsid w:val="00A5132E"/>
    <w:rsid w:val="00A51533"/>
    <w:rsid w:val="00A51547"/>
    <w:rsid w:val="00A51E68"/>
    <w:rsid w:val="00A52F3B"/>
    <w:rsid w:val="00A531D4"/>
    <w:rsid w:val="00A55ACD"/>
    <w:rsid w:val="00A55CFA"/>
    <w:rsid w:val="00A575B8"/>
    <w:rsid w:val="00A647B1"/>
    <w:rsid w:val="00A64DEF"/>
    <w:rsid w:val="00A65E4E"/>
    <w:rsid w:val="00A665DF"/>
    <w:rsid w:val="00A67F1B"/>
    <w:rsid w:val="00A67FCC"/>
    <w:rsid w:val="00A70599"/>
    <w:rsid w:val="00A716DC"/>
    <w:rsid w:val="00A71ABE"/>
    <w:rsid w:val="00A7217B"/>
    <w:rsid w:val="00A7293E"/>
    <w:rsid w:val="00A72EE4"/>
    <w:rsid w:val="00A73067"/>
    <w:rsid w:val="00A737C4"/>
    <w:rsid w:val="00A739A6"/>
    <w:rsid w:val="00A73BB5"/>
    <w:rsid w:val="00A75EF9"/>
    <w:rsid w:val="00A76BC9"/>
    <w:rsid w:val="00A76FD8"/>
    <w:rsid w:val="00A77566"/>
    <w:rsid w:val="00A80563"/>
    <w:rsid w:val="00A8311C"/>
    <w:rsid w:val="00A84BC8"/>
    <w:rsid w:val="00A84C5F"/>
    <w:rsid w:val="00A86973"/>
    <w:rsid w:val="00A8721F"/>
    <w:rsid w:val="00A8740B"/>
    <w:rsid w:val="00A87519"/>
    <w:rsid w:val="00A90B55"/>
    <w:rsid w:val="00A90DE4"/>
    <w:rsid w:val="00A9246D"/>
    <w:rsid w:val="00A93644"/>
    <w:rsid w:val="00A93BD0"/>
    <w:rsid w:val="00A95D69"/>
    <w:rsid w:val="00A975A4"/>
    <w:rsid w:val="00A97872"/>
    <w:rsid w:val="00AA2001"/>
    <w:rsid w:val="00AA2B5C"/>
    <w:rsid w:val="00AA2CEF"/>
    <w:rsid w:val="00AA4E59"/>
    <w:rsid w:val="00AA5328"/>
    <w:rsid w:val="00AA5393"/>
    <w:rsid w:val="00AA5771"/>
    <w:rsid w:val="00AA63D4"/>
    <w:rsid w:val="00AA6767"/>
    <w:rsid w:val="00AA6DAE"/>
    <w:rsid w:val="00AB03FD"/>
    <w:rsid w:val="00AB38CB"/>
    <w:rsid w:val="00AB3BEC"/>
    <w:rsid w:val="00AB44E4"/>
    <w:rsid w:val="00AB4AEB"/>
    <w:rsid w:val="00AB5352"/>
    <w:rsid w:val="00AB56AE"/>
    <w:rsid w:val="00AB62D5"/>
    <w:rsid w:val="00AB65B5"/>
    <w:rsid w:val="00AB6DCD"/>
    <w:rsid w:val="00AB6EE0"/>
    <w:rsid w:val="00AB7D91"/>
    <w:rsid w:val="00AC2DFD"/>
    <w:rsid w:val="00AC352D"/>
    <w:rsid w:val="00AC39B7"/>
    <w:rsid w:val="00AC40B7"/>
    <w:rsid w:val="00AC531F"/>
    <w:rsid w:val="00AC6121"/>
    <w:rsid w:val="00AC626D"/>
    <w:rsid w:val="00AC6CB1"/>
    <w:rsid w:val="00AC6F9B"/>
    <w:rsid w:val="00AC733E"/>
    <w:rsid w:val="00AD0091"/>
    <w:rsid w:val="00AD23D8"/>
    <w:rsid w:val="00AD23EF"/>
    <w:rsid w:val="00AD307B"/>
    <w:rsid w:val="00AD41B3"/>
    <w:rsid w:val="00AD4C48"/>
    <w:rsid w:val="00AD57AF"/>
    <w:rsid w:val="00AD6267"/>
    <w:rsid w:val="00AD7317"/>
    <w:rsid w:val="00AE01A8"/>
    <w:rsid w:val="00AE0CBD"/>
    <w:rsid w:val="00AE123A"/>
    <w:rsid w:val="00AE28A7"/>
    <w:rsid w:val="00AE33A6"/>
    <w:rsid w:val="00AE3446"/>
    <w:rsid w:val="00AE3715"/>
    <w:rsid w:val="00AE3729"/>
    <w:rsid w:val="00AE55B2"/>
    <w:rsid w:val="00AE5C6A"/>
    <w:rsid w:val="00AE65F7"/>
    <w:rsid w:val="00AE7280"/>
    <w:rsid w:val="00AF033A"/>
    <w:rsid w:val="00AF1699"/>
    <w:rsid w:val="00AF3896"/>
    <w:rsid w:val="00AF6C33"/>
    <w:rsid w:val="00B0098A"/>
    <w:rsid w:val="00B00A5F"/>
    <w:rsid w:val="00B0225F"/>
    <w:rsid w:val="00B029B8"/>
    <w:rsid w:val="00B02F60"/>
    <w:rsid w:val="00B032B8"/>
    <w:rsid w:val="00B04B46"/>
    <w:rsid w:val="00B0534D"/>
    <w:rsid w:val="00B06368"/>
    <w:rsid w:val="00B06FC6"/>
    <w:rsid w:val="00B07163"/>
    <w:rsid w:val="00B07429"/>
    <w:rsid w:val="00B12FE6"/>
    <w:rsid w:val="00B1303F"/>
    <w:rsid w:val="00B1364A"/>
    <w:rsid w:val="00B13D3C"/>
    <w:rsid w:val="00B1525C"/>
    <w:rsid w:val="00B1537C"/>
    <w:rsid w:val="00B16715"/>
    <w:rsid w:val="00B171B4"/>
    <w:rsid w:val="00B174A8"/>
    <w:rsid w:val="00B17910"/>
    <w:rsid w:val="00B20F18"/>
    <w:rsid w:val="00B21516"/>
    <w:rsid w:val="00B22CE0"/>
    <w:rsid w:val="00B23738"/>
    <w:rsid w:val="00B23BEF"/>
    <w:rsid w:val="00B247BB"/>
    <w:rsid w:val="00B25806"/>
    <w:rsid w:val="00B25C11"/>
    <w:rsid w:val="00B25EDF"/>
    <w:rsid w:val="00B25EE6"/>
    <w:rsid w:val="00B26B53"/>
    <w:rsid w:val="00B3115A"/>
    <w:rsid w:val="00B31A5C"/>
    <w:rsid w:val="00B33C19"/>
    <w:rsid w:val="00B34861"/>
    <w:rsid w:val="00B34BBC"/>
    <w:rsid w:val="00B34CB7"/>
    <w:rsid w:val="00B35F6E"/>
    <w:rsid w:val="00B363BD"/>
    <w:rsid w:val="00B369F7"/>
    <w:rsid w:val="00B36A99"/>
    <w:rsid w:val="00B37537"/>
    <w:rsid w:val="00B41B81"/>
    <w:rsid w:val="00B42980"/>
    <w:rsid w:val="00B434B2"/>
    <w:rsid w:val="00B434C7"/>
    <w:rsid w:val="00B43D45"/>
    <w:rsid w:val="00B443B4"/>
    <w:rsid w:val="00B44771"/>
    <w:rsid w:val="00B4650E"/>
    <w:rsid w:val="00B468F2"/>
    <w:rsid w:val="00B46B45"/>
    <w:rsid w:val="00B46F6B"/>
    <w:rsid w:val="00B47286"/>
    <w:rsid w:val="00B47894"/>
    <w:rsid w:val="00B50234"/>
    <w:rsid w:val="00B51794"/>
    <w:rsid w:val="00B51BF4"/>
    <w:rsid w:val="00B52C68"/>
    <w:rsid w:val="00B542FE"/>
    <w:rsid w:val="00B55A1B"/>
    <w:rsid w:val="00B561DB"/>
    <w:rsid w:val="00B57494"/>
    <w:rsid w:val="00B61DCE"/>
    <w:rsid w:val="00B62188"/>
    <w:rsid w:val="00B62467"/>
    <w:rsid w:val="00B62F79"/>
    <w:rsid w:val="00B62F82"/>
    <w:rsid w:val="00B6325B"/>
    <w:rsid w:val="00B648FA"/>
    <w:rsid w:val="00B662FF"/>
    <w:rsid w:val="00B67408"/>
    <w:rsid w:val="00B7102F"/>
    <w:rsid w:val="00B72C80"/>
    <w:rsid w:val="00B730B4"/>
    <w:rsid w:val="00B74340"/>
    <w:rsid w:val="00B744E0"/>
    <w:rsid w:val="00B7481A"/>
    <w:rsid w:val="00B74F2F"/>
    <w:rsid w:val="00B756FB"/>
    <w:rsid w:val="00B769BC"/>
    <w:rsid w:val="00B77349"/>
    <w:rsid w:val="00B7761E"/>
    <w:rsid w:val="00B80A37"/>
    <w:rsid w:val="00B80A3D"/>
    <w:rsid w:val="00B823E0"/>
    <w:rsid w:val="00B82B78"/>
    <w:rsid w:val="00B83199"/>
    <w:rsid w:val="00B83E3C"/>
    <w:rsid w:val="00B84662"/>
    <w:rsid w:val="00B85402"/>
    <w:rsid w:val="00B864A3"/>
    <w:rsid w:val="00B86C2A"/>
    <w:rsid w:val="00B902A5"/>
    <w:rsid w:val="00B90420"/>
    <w:rsid w:val="00B913E4"/>
    <w:rsid w:val="00B91DB9"/>
    <w:rsid w:val="00B93EFE"/>
    <w:rsid w:val="00B944FF"/>
    <w:rsid w:val="00B94956"/>
    <w:rsid w:val="00B94C7F"/>
    <w:rsid w:val="00B94DF6"/>
    <w:rsid w:val="00B956B5"/>
    <w:rsid w:val="00B95904"/>
    <w:rsid w:val="00B95C3A"/>
    <w:rsid w:val="00B95FCE"/>
    <w:rsid w:val="00BA0A23"/>
    <w:rsid w:val="00BA0D44"/>
    <w:rsid w:val="00BA0E26"/>
    <w:rsid w:val="00BA11BB"/>
    <w:rsid w:val="00BA2B61"/>
    <w:rsid w:val="00BA31BF"/>
    <w:rsid w:val="00BA43FC"/>
    <w:rsid w:val="00BA478B"/>
    <w:rsid w:val="00BA5224"/>
    <w:rsid w:val="00BA7456"/>
    <w:rsid w:val="00BA7925"/>
    <w:rsid w:val="00BA7B27"/>
    <w:rsid w:val="00BA7E3B"/>
    <w:rsid w:val="00BB079C"/>
    <w:rsid w:val="00BB32A1"/>
    <w:rsid w:val="00BB39C1"/>
    <w:rsid w:val="00BB52AF"/>
    <w:rsid w:val="00BB5555"/>
    <w:rsid w:val="00BB5D16"/>
    <w:rsid w:val="00BB6180"/>
    <w:rsid w:val="00BB6595"/>
    <w:rsid w:val="00BB69E6"/>
    <w:rsid w:val="00BB6DEF"/>
    <w:rsid w:val="00BB7714"/>
    <w:rsid w:val="00BC1B7A"/>
    <w:rsid w:val="00BC2BC7"/>
    <w:rsid w:val="00BC2C17"/>
    <w:rsid w:val="00BC3ACD"/>
    <w:rsid w:val="00BC506D"/>
    <w:rsid w:val="00BC5C09"/>
    <w:rsid w:val="00BC63C3"/>
    <w:rsid w:val="00BC6E73"/>
    <w:rsid w:val="00BD0014"/>
    <w:rsid w:val="00BD01D8"/>
    <w:rsid w:val="00BD1B17"/>
    <w:rsid w:val="00BD2512"/>
    <w:rsid w:val="00BD255F"/>
    <w:rsid w:val="00BD383D"/>
    <w:rsid w:val="00BD4236"/>
    <w:rsid w:val="00BD5CCA"/>
    <w:rsid w:val="00BD5CD4"/>
    <w:rsid w:val="00BD6EF9"/>
    <w:rsid w:val="00BD77DD"/>
    <w:rsid w:val="00BE0ACB"/>
    <w:rsid w:val="00BE1A90"/>
    <w:rsid w:val="00BE2113"/>
    <w:rsid w:val="00BE2C0A"/>
    <w:rsid w:val="00BE3537"/>
    <w:rsid w:val="00BE360F"/>
    <w:rsid w:val="00BE367B"/>
    <w:rsid w:val="00BE50FD"/>
    <w:rsid w:val="00BE51CA"/>
    <w:rsid w:val="00BE5E5A"/>
    <w:rsid w:val="00BE6D47"/>
    <w:rsid w:val="00BE7032"/>
    <w:rsid w:val="00BE7330"/>
    <w:rsid w:val="00BF01C5"/>
    <w:rsid w:val="00BF045B"/>
    <w:rsid w:val="00BF066A"/>
    <w:rsid w:val="00BF32AA"/>
    <w:rsid w:val="00BF361C"/>
    <w:rsid w:val="00BF39A0"/>
    <w:rsid w:val="00BF4342"/>
    <w:rsid w:val="00BF4B18"/>
    <w:rsid w:val="00BF5050"/>
    <w:rsid w:val="00BF5422"/>
    <w:rsid w:val="00BF54CF"/>
    <w:rsid w:val="00BF59B1"/>
    <w:rsid w:val="00BF6A78"/>
    <w:rsid w:val="00BF6E19"/>
    <w:rsid w:val="00BF79B4"/>
    <w:rsid w:val="00C0099F"/>
    <w:rsid w:val="00C01427"/>
    <w:rsid w:val="00C016A1"/>
    <w:rsid w:val="00C04AAB"/>
    <w:rsid w:val="00C058AF"/>
    <w:rsid w:val="00C05A11"/>
    <w:rsid w:val="00C06F5A"/>
    <w:rsid w:val="00C124C1"/>
    <w:rsid w:val="00C128AE"/>
    <w:rsid w:val="00C136D6"/>
    <w:rsid w:val="00C13D5B"/>
    <w:rsid w:val="00C16615"/>
    <w:rsid w:val="00C17AE2"/>
    <w:rsid w:val="00C20F27"/>
    <w:rsid w:val="00C215CF"/>
    <w:rsid w:val="00C2244B"/>
    <w:rsid w:val="00C2263D"/>
    <w:rsid w:val="00C22B0D"/>
    <w:rsid w:val="00C22F55"/>
    <w:rsid w:val="00C240C1"/>
    <w:rsid w:val="00C250D0"/>
    <w:rsid w:val="00C252AC"/>
    <w:rsid w:val="00C255AB"/>
    <w:rsid w:val="00C27214"/>
    <w:rsid w:val="00C27597"/>
    <w:rsid w:val="00C30382"/>
    <w:rsid w:val="00C30D6F"/>
    <w:rsid w:val="00C31063"/>
    <w:rsid w:val="00C31B7E"/>
    <w:rsid w:val="00C3242A"/>
    <w:rsid w:val="00C32AE2"/>
    <w:rsid w:val="00C33201"/>
    <w:rsid w:val="00C332C4"/>
    <w:rsid w:val="00C33A63"/>
    <w:rsid w:val="00C34183"/>
    <w:rsid w:val="00C360B3"/>
    <w:rsid w:val="00C36363"/>
    <w:rsid w:val="00C3679B"/>
    <w:rsid w:val="00C37027"/>
    <w:rsid w:val="00C3778D"/>
    <w:rsid w:val="00C405A3"/>
    <w:rsid w:val="00C41DB7"/>
    <w:rsid w:val="00C42752"/>
    <w:rsid w:val="00C42973"/>
    <w:rsid w:val="00C44F9C"/>
    <w:rsid w:val="00C46D58"/>
    <w:rsid w:val="00C4730E"/>
    <w:rsid w:val="00C47EE9"/>
    <w:rsid w:val="00C5019C"/>
    <w:rsid w:val="00C5034F"/>
    <w:rsid w:val="00C514D3"/>
    <w:rsid w:val="00C516D3"/>
    <w:rsid w:val="00C52479"/>
    <w:rsid w:val="00C5291F"/>
    <w:rsid w:val="00C52BC8"/>
    <w:rsid w:val="00C52C59"/>
    <w:rsid w:val="00C5349E"/>
    <w:rsid w:val="00C5354B"/>
    <w:rsid w:val="00C54467"/>
    <w:rsid w:val="00C54D3D"/>
    <w:rsid w:val="00C55116"/>
    <w:rsid w:val="00C55A30"/>
    <w:rsid w:val="00C57C58"/>
    <w:rsid w:val="00C6028F"/>
    <w:rsid w:val="00C6036D"/>
    <w:rsid w:val="00C608F1"/>
    <w:rsid w:val="00C619B9"/>
    <w:rsid w:val="00C631E1"/>
    <w:rsid w:val="00C638D8"/>
    <w:rsid w:val="00C63C84"/>
    <w:rsid w:val="00C63D26"/>
    <w:rsid w:val="00C641EB"/>
    <w:rsid w:val="00C65053"/>
    <w:rsid w:val="00C65BD9"/>
    <w:rsid w:val="00C66061"/>
    <w:rsid w:val="00C661D6"/>
    <w:rsid w:val="00C66F69"/>
    <w:rsid w:val="00C67223"/>
    <w:rsid w:val="00C67CFF"/>
    <w:rsid w:val="00C707B8"/>
    <w:rsid w:val="00C7084B"/>
    <w:rsid w:val="00C71C15"/>
    <w:rsid w:val="00C71F3D"/>
    <w:rsid w:val="00C72B53"/>
    <w:rsid w:val="00C72F53"/>
    <w:rsid w:val="00C74035"/>
    <w:rsid w:val="00C76FF4"/>
    <w:rsid w:val="00C77818"/>
    <w:rsid w:val="00C77AE3"/>
    <w:rsid w:val="00C8063F"/>
    <w:rsid w:val="00C81549"/>
    <w:rsid w:val="00C816C8"/>
    <w:rsid w:val="00C829A1"/>
    <w:rsid w:val="00C83B36"/>
    <w:rsid w:val="00C84F8A"/>
    <w:rsid w:val="00C85209"/>
    <w:rsid w:val="00C8618F"/>
    <w:rsid w:val="00C90372"/>
    <w:rsid w:val="00C9041F"/>
    <w:rsid w:val="00C91A45"/>
    <w:rsid w:val="00C91ED2"/>
    <w:rsid w:val="00C91F66"/>
    <w:rsid w:val="00C91FB4"/>
    <w:rsid w:val="00C94D41"/>
    <w:rsid w:val="00C95745"/>
    <w:rsid w:val="00C962E3"/>
    <w:rsid w:val="00C965BD"/>
    <w:rsid w:val="00C96717"/>
    <w:rsid w:val="00C97997"/>
    <w:rsid w:val="00CA08FE"/>
    <w:rsid w:val="00CA0FAC"/>
    <w:rsid w:val="00CA2513"/>
    <w:rsid w:val="00CA25C0"/>
    <w:rsid w:val="00CA3451"/>
    <w:rsid w:val="00CA4948"/>
    <w:rsid w:val="00CA52F9"/>
    <w:rsid w:val="00CA568B"/>
    <w:rsid w:val="00CA6870"/>
    <w:rsid w:val="00CA7500"/>
    <w:rsid w:val="00CA7C34"/>
    <w:rsid w:val="00CB0696"/>
    <w:rsid w:val="00CB1239"/>
    <w:rsid w:val="00CB19FE"/>
    <w:rsid w:val="00CB2EEF"/>
    <w:rsid w:val="00CB304C"/>
    <w:rsid w:val="00CB53E8"/>
    <w:rsid w:val="00CB594A"/>
    <w:rsid w:val="00CB5CB2"/>
    <w:rsid w:val="00CB6979"/>
    <w:rsid w:val="00CC0484"/>
    <w:rsid w:val="00CC0A3D"/>
    <w:rsid w:val="00CC2373"/>
    <w:rsid w:val="00CC3D24"/>
    <w:rsid w:val="00CC3F91"/>
    <w:rsid w:val="00CC40B6"/>
    <w:rsid w:val="00CC4B0A"/>
    <w:rsid w:val="00CC544A"/>
    <w:rsid w:val="00CC57EA"/>
    <w:rsid w:val="00CC5954"/>
    <w:rsid w:val="00CC6C4E"/>
    <w:rsid w:val="00CC6DD8"/>
    <w:rsid w:val="00CD05A2"/>
    <w:rsid w:val="00CD19DA"/>
    <w:rsid w:val="00CD29D4"/>
    <w:rsid w:val="00CD38F5"/>
    <w:rsid w:val="00CD437E"/>
    <w:rsid w:val="00CD4AE5"/>
    <w:rsid w:val="00CD5833"/>
    <w:rsid w:val="00CD5A89"/>
    <w:rsid w:val="00CD5DAD"/>
    <w:rsid w:val="00CD614A"/>
    <w:rsid w:val="00CD72C5"/>
    <w:rsid w:val="00CD79A7"/>
    <w:rsid w:val="00CE0789"/>
    <w:rsid w:val="00CE1A03"/>
    <w:rsid w:val="00CE2260"/>
    <w:rsid w:val="00CE2346"/>
    <w:rsid w:val="00CE3529"/>
    <w:rsid w:val="00CE35C8"/>
    <w:rsid w:val="00CE3962"/>
    <w:rsid w:val="00CE5105"/>
    <w:rsid w:val="00CE56BD"/>
    <w:rsid w:val="00CE5EC0"/>
    <w:rsid w:val="00CE6F9F"/>
    <w:rsid w:val="00CE773B"/>
    <w:rsid w:val="00CE781A"/>
    <w:rsid w:val="00CF10FC"/>
    <w:rsid w:val="00CF1D74"/>
    <w:rsid w:val="00CF2BE2"/>
    <w:rsid w:val="00CF55F9"/>
    <w:rsid w:val="00CF71A6"/>
    <w:rsid w:val="00CF7495"/>
    <w:rsid w:val="00CF7671"/>
    <w:rsid w:val="00CF7C5B"/>
    <w:rsid w:val="00CF7FFC"/>
    <w:rsid w:val="00D01CF9"/>
    <w:rsid w:val="00D02246"/>
    <w:rsid w:val="00D0334D"/>
    <w:rsid w:val="00D0374D"/>
    <w:rsid w:val="00D05A76"/>
    <w:rsid w:val="00D07BEF"/>
    <w:rsid w:val="00D07F1D"/>
    <w:rsid w:val="00D10558"/>
    <w:rsid w:val="00D1203E"/>
    <w:rsid w:val="00D13E70"/>
    <w:rsid w:val="00D16C58"/>
    <w:rsid w:val="00D17019"/>
    <w:rsid w:val="00D170C1"/>
    <w:rsid w:val="00D178DE"/>
    <w:rsid w:val="00D17C6E"/>
    <w:rsid w:val="00D21168"/>
    <w:rsid w:val="00D235C8"/>
    <w:rsid w:val="00D2384A"/>
    <w:rsid w:val="00D2438C"/>
    <w:rsid w:val="00D26C3F"/>
    <w:rsid w:val="00D27185"/>
    <w:rsid w:val="00D31CA2"/>
    <w:rsid w:val="00D32B84"/>
    <w:rsid w:val="00D337AE"/>
    <w:rsid w:val="00D33AB3"/>
    <w:rsid w:val="00D33F24"/>
    <w:rsid w:val="00D346B7"/>
    <w:rsid w:val="00D346B8"/>
    <w:rsid w:val="00D35AC8"/>
    <w:rsid w:val="00D35D34"/>
    <w:rsid w:val="00D36F87"/>
    <w:rsid w:val="00D37E4E"/>
    <w:rsid w:val="00D42E6C"/>
    <w:rsid w:val="00D43218"/>
    <w:rsid w:val="00D43B80"/>
    <w:rsid w:val="00D44236"/>
    <w:rsid w:val="00D44AE2"/>
    <w:rsid w:val="00D45B1E"/>
    <w:rsid w:val="00D45BA4"/>
    <w:rsid w:val="00D471AF"/>
    <w:rsid w:val="00D4724F"/>
    <w:rsid w:val="00D50519"/>
    <w:rsid w:val="00D516A5"/>
    <w:rsid w:val="00D5264C"/>
    <w:rsid w:val="00D5289A"/>
    <w:rsid w:val="00D537FE"/>
    <w:rsid w:val="00D538F0"/>
    <w:rsid w:val="00D54A6A"/>
    <w:rsid w:val="00D54BF8"/>
    <w:rsid w:val="00D54D7C"/>
    <w:rsid w:val="00D55951"/>
    <w:rsid w:val="00D55C6A"/>
    <w:rsid w:val="00D572BE"/>
    <w:rsid w:val="00D57EB6"/>
    <w:rsid w:val="00D60ED7"/>
    <w:rsid w:val="00D63586"/>
    <w:rsid w:val="00D63E6B"/>
    <w:rsid w:val="00D65538"/>
    <w:rsid w:val="00D664BF"/>
    <w:rsid w:val="00D668CA"/>
    <w:rsid w:val="00D66D8B"/>
    <w:rsid w:val="00D67D04"/>
    <w:rsid w:val="00D70C06"/>
    <w:rsid w:val="00D72A1C"/>
    <w:rsid w:val="00D73580"/>
    <w:rsid w:val="00D73802"/>
    <w:rsid w:val="00D73868"/>
    <w:rsid w:val="00D73C2C"/>
    <w:rsid w:val="00D73D52"/>
    <w:rsid w:val="00D74042"/>
    <w:rsid w:val="00D7453F"/>
    <w:rsid w:val="00D745E7"/>
    <w:rsid w:val="00D77495"/>
    <w:rsid w:val="00D774ED"/>
    <w:rsid w:val="00D777F6"/>
    <w:rsid w:val="00D77F88"/>
    <w:rsid w:val="00D8002D"/>
    <w:rsid w:val="00D8047C"/>
    <w:rsid w:val="00D81EAA"/>
    <w:rsid w:val="00D8232B"/>
    <w:rsid w:val="00D8259F"/>
    <w:rsid w:val="00D825F2"/>
    <w:rsid w:val="00D828B1"/>
    <w:rsid w:val="00D83E88"/>
    <w:rsid w:val="00D84F27"/>
    <w:rsid w:val="00D850D4"/>
    <w:rsid w:val="00D862D1"/>
    <w:rsid w:val="00D873C6"/>
    <w:rsid w:val="00D91027"/>
    <w:rsid w:val="00D9393E"/>
    <w:rsid w:val="00D93B66"/>
    <w:rsid w:val="00D94C7D"/>
    <w:rsid w:val="00D94CA4"/>
    <w:rsid w:val="00D94FB4"/>
    <w:rsid w:val="00D95E99"/>
    <w:rsid w:val="00DA098C"/>
    <w:rsid w:val="00DA1A3A"/>
    <w:rsid w:val="00DA2712"/>
    <w:rsid w:val="00DA2C65"/>
    <w:rsid w:val="00DA395D"/>
    <w:rsid w:val="00DA6229"/>
    <w:rsid w:val="00DA6D33"/>
    <w:rsid w:val="00DB16B8"/>
    <w:rsid w:val="00DB1869"/>
    <w:rsid w:val="00DB1D52"/>
    <w:rsid w:val="00DB1F62"/>
    <w:rsid w:val="00DB2852"/>
    <w:rsid w:val="00DB2E03"/>
    <w:rsid w:val="00DB3369"/>
    <w:rsid w:val="00DB3742"/>
    <w:rsid w:val="00DB3F4B"/>
    <w:rsid w:val="00DB61A4"/>
    <w:rsid w:val="00DB67C1"/>
    <w:rsid w:val="00DB70CD"/>
    <w:rsid w:val="00DB70F4"/>
    <w:rsid w:val="00DB7343"/>
    <w:rsid w:val="00DC1056"/>
    <w:rsid w:val="00DC211E"/>
    <w:rsid w:val="00DC21D8"/>
    <w:rsid w:val="00DC282A"/>
    <w:rsid w:val="00DC34C5"/>
    <w:rsid w:val="00DC34DC"/>
    <w:rsid w:val="00DC3CC6"/>
    <w:rsid w:val="00DC514A"/>
    <w:rsid w:val="00DC64EC"/>
    <w:rsid w:val="00DC67B1"/>
    <w:rsid w:val="00DC7833"/>
    <w:rsid w:val="00DC7CE9"/>
    <w:rsid w:val="00DD132B"/>
    <w:rsid w:val="00DD1725"/>
    <w:rsid w:val="00DD2427"/>
    <w:rsid w:val="00DD2A18"/>
    <w:rsid w:val="00DD36DA"/>
    <w:rsid w:val="00DD5B1A"/>
    <w:rsid w:val="00DD61E8"/>
    <w:rsid w:val="00DD62C0"/>
    <w:rsid w:val="00DD7859"/>
    <w:rsid w:val="00DE03AC"/>
    <w:rsid w:val="00DE0A1D"/>
    <w:rsid w:val="00DE15B2"/>
    <w:rsid w:val="00DE1A9A"/>
    <w:rsid w:val="00DE3D2C"/>
    <w:rsid w:val="00DE59F8"/>
    <w:rsid w:val="00DE5E82"/>
    <w:rsid w:val="00DE5FA6"/>
    <w:rsid w:val="00DE6494"/>
    <w:rsid w:val="00DE6AA1"/>
    <w:rsid w:val="00DE74D7"/>
    <w:rsid w:val="00DE7EF7"/>
    <w:rsid w:val="00DF106A"/>
    <w:rsid w:val="00DF1185"/>
    <w:rsid w:val="00DF1299"/>
    <w:rsid w:val="00DF1A70"/>
    <w:rsid w:val="00DF23A8"/>
    <w:rsid w:val="00DF269C"/>
    <w:rsid w:val="00DF2F27"/>
    <w:rsid w:val="00DF6CCC"/>
    <w:rsid w:val="00DF6D0C"/>
    <w:rsid w:val="00DF6DC2"/>
    <w:rsid w:val="00DF6F64"/>
    <w:rsid w:val="00DF721E"/>
    <w:rsid w:val="00DF7C87"/>
    <w:rsid w:val="00E009B0"/>
    <w:rsid w:val="00E031C0"/>
    <w:rsid w:val="00E03AFE"/>
    <w:rsid w:val="00E03D5C"/>
    <w:rsid w:val="00E046A9"/>
    <w:rsid w:val="00E04C0F"/>
    <w:rsid w:val="00E0570B"/>
    <w:rsid w:val="00E057B2"/>
    <w:rsid w:val="00E05996"/>
    <w:rsid w:val="00E068D9"/>
    <w:rsid w:val="00E10B87"/>
    <w:rsid w:val="00E12EE5"/>
    <w:rsid w:val="00E1478B"/>
    <w:rsid w:val="00E14FAC"/>
    <w:rsid w:val="00E15007"/>
    <w:rsid w:val="00E16EC7"/>
    <w:rsid w:val="00E1714F"/>
    <w:rsid w:val="00E17995"/>
    <w:rsid w:val="00E21576"/>
    <w:rsid w:val="00E21801"/>
    <w:rsid w:val="00E219CE"/>
    <w:rsid w:val="00E23961"/>
    <w:rsid w:val="00E24071"/>
    <w:rsid w:val="00E24EBC"/>
    <w:rsid w:val="00E2522C"/>
    <w:rsid w:val="00E2599B"/>
    <w:rsid w:val="00E27383"/>
    <w:rsid w:val="00E2793D"/>
    <w:rsid w:val="00E31AFA"/>
    <w:rsid w:val="00E324EE"/>
    <w:rsid w:val="00E359FF"/>
    <w:rsid w:val="00E36083"/>
    <w:rsid w:val="00E36AA7"/>
    <w:rsid w:val="00E36E39"/>
    <w:rsid w:val="00E405F1"/>
    <w:rsid w:val="00E43054"/>
    <w:rsid w:val="00E434C4"/>
    <w:rsid w:val="00E44FE4"/>
    <w:rsid w:val="00E46013"/>
    <w:rsid w:val="00E477C3"/>
    <w:rsid w:val="00E5048D"/>
    <w:rsid w:val="00E50AC4"/>
    <w:rsid w:val="00E51077"/>
    <w:rsid w:val="00E5132D"/>
    <w:rsid w:val="00E51741"/>
    <w:rsid w:val="00E51E16"/>
    <w:rsid w:val="00E52151"/>
    <w:rsid w:val="00E53730"/>
    <w:rsid w:val="00E53C46"/>
    <w:rsid w:val="00E54511"/>
    <w:rsid w:val="00E548BE"/>
    <w:rsid w:val="00E54978"/>
    <w:rsid w:val="00E55DC3"/>
    <w:rsid w:val="00E57577"/>
    <w:rsid w:val="00E62043"/>
    <w:rsid w:val="00E626B9"/>
    <w:rsid w:val="00E627C9"/>
    <w:rsid w:val="00E630F3"/>
    <w:rsid w:val="00E65198"/>
    <w:rsid w:val="00E664FB"/>
    <w:rsid w:val="00E66F0D"/>
    <w:rsid w:val="00E70615"/>
    <w:rsid w:val="00E71A5E"/>
    <w:rsid w:val="00E7207B"/>
    <w:rsid w:val="00E7347A"/>
    <w:rsid w:val="00E746F4"/>
    <w:rsid w:val="00E75325"/>
    <w:rsid w:val="00E75A47"/>
    <w:rsid w:val="00E75D8C"/>
    <w:rsid w:val="00E77771"/>
    <w:rsid w:val="00E777F2"/>
    <w:rsid w:val="00E779ED"/>
    <w:rsid w:val="00E802C9"/>
    <w:rsid w:val="00E809A6"/>
    <w:rsid w:val="00E80EDD"/>
    <w:rsid w:val="00E80F0A"/>
    <w:rsid w:val="00E81A6A"/>
    <w:rsid w:val="00E8291B"/>
    <w:rsid w:val="00E8395F"/>
    <w:rsid w:val="00E83BAE"/>
    <w:rsid w:val="00E8473F"/>
    <w:rsid w:val="00E850B2"/>
    <w:rsid w:val="00E857EB"/>
    <w:rsid w:val="00E85E41"/>
    <w:rsid w:val="00E85EA1"/>
    <w:rsid w:val="00E8610B"/>
    <w:rsid w:val="00E86C86"/>
    <w:rsid w:val="00E91044"/>
    <w:rsid w:val="00E910D3"/>
    <w:rsid w:val="00E9214B"/>
    <w:rsid w:val="00E923CF"/>
    <w:rsid w:val="00E9335F"/>
    <w:rsid w:val="00E95111"/>
    <w:rsid w:val="00E9783B"/>
    <w:rsid w:val="00EA061E"/>
    <w:rsid w:val="00EA14C8"/>
    <w:rsid w:val="00EA19D3"/>
    <w:rsid w:val="00EA2358"/>
    <w:rsid w:val="00EA2C8B"/>
    <w:rsid w:val="00EA3582"/>
    <w:rsid w:val="00EA6649"/>
    <w:rsid w:val="00EB05D0"/>
    <w:rsid w:val="00EB07C5"/>
    <w:rsid w:val="00EB107E"/>
    <w:rsid w:val="00EB11D8"/>
    <w:rsid w:val="00EB1D49"/>
    <w:rsid w:val="00EB42DD"/>
    <w:rsid w:val="00EB559F"/>
    <w:rsid w:val="00EB5F3D"/>
    <w:rsid w:val="00EB6EC2"/>
    <w:rsid w:val="00EC0090"/>
    <w:rsid w:val="00EC1CEB"/>
    <w:rsid w:val="00EC268C"/>
    <w:rsid w:val="00EC3602"/>
    <w:rsid w:val="00EC3753"/>
    <w:rsid w:val="00EC3CB8"/>
    <w:rsid w:val="00EC3D46"/>
    <w:rsid w:val="00EC4E71"/>
    <w:rsid w:val="00EC569A"/>
    <w:rsid w:val="00EC6667"/>
    <w:rsid w:val="00EC6747"/>
    <w:rsid w:val="00EC676D"/>
    <w:rsid w:val="00ED0365"/>
    <w:rsid w:val="00ED0865"/>
    <w:rsid w:val="00ED094F"/>
    <w:rsid w:val="00ED16B6"/>
    <w:rsid w:val="00ED1C60"/>
    <w:rsid w:val="00ED2EB9"/>
    <w:rsid w:val="00ED4469"/>
    <w:rsid w:val="00ED5F23"/>
    <w:rsid w:val="00ED6DC0"/>
    <w:rsid w:val="00ED6EC1"/>
    <w:rsid w:val="00ED79CE"/>
    <w:rsid w:val="00ED7A7A"/>
    <w:rsid w:val="00EE038C"/>
    <w:rsid w:val="00EE040B"/>
    <w:rsid w:val="00EE47C5"/>
    <w:rsid w:val="00EE490C"/>
    <w:rsid w:val="00EE4E02"/>
    <w:rsid w:val="00EE5619"/>
    <w:rsid w:val="00EE613B"/>
    <w:rsid w:val="00EE6911"/>
    <w:rsid w:val="00EE7E17"/>
    <w:rsid w:val="00EF2C8E"/>
    <w:rsid w:val="00EF37E4"/>
    <w:rsid w:val="00EF3A0D"/>
    <w:rsid w:val="00EF3CEB"/>
    <w:rsid w:val="00EF41A8"/>
    <w:rsid w:val="00EF44FB"/>
    <w:rsid w:val="00EF4D3C"/>
    <w:rsid w:val="00EF5554"/>
    <w:rsid w:val="00EF5AD8"/>
    <w:rsid w:val="00EF5D2F"/>
    <w:rsid w:val="00EF63F5"/>
    <w:rsid w:val="00EF6758"/>
    <w:rsid w:val="00EF6B90"/>
    <w:rsid w:val="00EF70AE"/>
    <w:rsid w:val="00EF79F7"/>
    <w:rsid w:val="00F00418"/>
    <w:rsid w:val="00F006C0"/>
    <w:rsid w:val="00F019AA"/>
    <w:rsid w:val="00F02018"/>
    <w:rsid w:val="00F0267E"/>
    <w:rsid w:val="00F02686"/>
    <w:rsid w:val="00F0366B"/>
    <w:rsid w:val="00F0459B"/>
    <w:rsid w:val="00F04E15"/>
    <w:rsid w:val="00F05DF3"/>
    <w:rsid w:val="00F0641B"/>
    <w:rsid w:val="00F069EA"/>
    <w:rsid w:val="00F07B6E"/>
    <w:rsid w:val="00F07DF8"/>
    <w:rsid w:val="00F11461"/>
    <w:rsid w:val="00F11675"/>
    <w:rsid w:val="00F1182D"/>
    <w:rsid w:val="00F12557"/>
    <w:rsid w:val="00F13A8F"/>
    <w:rsid w:val="00F144F8"/>
    <w:rsid w:val="00F14DF8"/>
    <w:rsid w:val="00F164A3"/>
    <w:rsid w:val="00F17281"/>
    <w:rsid w:val="00F17AD9"/>
    <w:rsid w:val="00F17F74"/>
    <w:rsid w:val="00F202C2"/>
    <w:rsid w:val="00F22756"/>
    <w:rsid w:val="00F23890"/>
    <w:rsid w:val="00F2447A"/>
    <w:rsid w:val="00F24638"/>
    <w:rsid w:val="00F2504D"/>
    <w:rsid w:val="00F25FB2"/>
    <w:rsid w:val="00F2637F"/>
    <w:rsid w:val="00F263A8"/>
    <w:rsid w:val="00F268F7"/>
    <w:rsid w:val="00F27280"/>
    <w:rsid w:val="00F3053D"/>
    <w:rsid w:val="00F30BDB"/>
    <w:rsid w:val="00F30CF8"/>
    <w:rsid w:val="00F30EE8"/>
    <w:rsid w:val="00F317E3"/>
    <w:rsid w:val="00F31EDF"/>
    <w:rsid w:val="00F32CDE"/>
    <w:rsid w:val="00F32D4C"/>
    <w:rsid w:val="00F34811"/>
    <w:rsid w:val="00F34B14"/>
    <w:rsid w:val="00F36A6A"/>
    <w:rsid w:val="00F40101"/>
    <w:rsid w:val="00F404F7"/>
    <w:rsid w:val="00F40CCA"/>
    <w:rsid w:val="00F41521"/>
    <w:rsid w:val="00F41975"/>
    <w:rsid w:val="00F41B5A"/>
    <w:rsid w:val="00F41C0E"/>
    <w:rsid w:val="00F42D97"/>
    <w:rsid w:val="00F43F09"/>
    <w:rsid w:val="00F45A72"/>
    <w:rsid w:val="00F46723"/>
    <w:rsid w:val="00F50016"/>
    <w:rsid w:val="00F50647"/>
    <w:rsid w:val="00F5118A"/>
    <w:rsid w:val="00F51A21"/>
    <w:rsid w:val="00F5276E"/>
    <w:rsid w:val="00F529F9"/>
    <w:rsid w:val="00F52E9F"/>
    <w:rsid w:val="00F53304"/>
    <w:rsid w:val="00F53D40"/>
    <w:rsid w:val="00F545ED"/>
    <w:rsid w:val="00F5687F"/>
    <w:rsid w:val="00F575C7"/>
    <w:rsid w:val="00F57B30"/>
    <w:rsid w:val="00F60305"/>
    <w:rsid w:val="00F61B12"/>
    <w:rsid w:val="00F61CC5"/>
    <w:rsid w:val="00F62398"/>
    <w:rsid w:val="00F631E8"/>
    <w:rsid w:val="00F63223"/>
    <w:rsid w:val="00F63264"/>
    <w:rsid w:val="00F6379E"/>
    <w:rsid w:val="00F64142"/>
    <w:rsid w:val="00F657E9"/>
    <w:rsid w:val="00F70799"/>
    <w:rsid w:val="00F70906"/>
    <w:rsid w:val="00F70A8B"/>
    <w:rsid w:val="00F724FB"/>
    <w:rsid w:val="00F72578"/>
    <w:rsid w:val="00F72A26"/>
    <w:rsid w:val="00F733C3"/>
    <w:rsid w:val="00F756DD"/>
    <w:rsid w:val="00F75DB3"/>
    <w:rsid w:val="00F80047"/>
    <w:rsid w:val="00F8104D"/>
    <w:rsid w:val="00F81587"/>
    <w:rsid w:val="00F82571"/>
    <w:rsid w:val="00F83379"/>
    <w:rsid w:val="00F85B72"/>
    <w:rsid w:val="00F86B6D"/>
    <w:rsid w:val="00F8766F"/>
    <w:rsid w:val="00F87A81"/>
    <w:rsid w:val="00F9104C"/>
    <w:rsid w:val="00F91082"/>
    <w:rsid w:val="00F91A9A"/>
    <w:rsid w:val="00F93ABB"/>
    <w:rsid w:val="00F940EF"/>
    <w:rsid w:val="00F94D79"/>
    <w:rsid w:val="00F97E7E"/>
    <w:rsid w:val="00FA118A"/>
    <w:rsid w:val="00FA31C7"/>
    <w:rsid w:val="00FA472D"/>
    <w:rsid w:val="00FA7254"/>
    <w:rsid w:val="00FB0214"/>
    <w:rsid w:val="00FB080C"/>
    <w:rsid w:val="00FB0FAF"/>
    <w:rsid w:val="00FB12BC"/>
    <w:rsid w:val="00FB18F6"/>
    <w:rsid w:val="00FB2056"/>
    <w:rsid w:val="00FB2A52"/>
    <w:rsid w:val="00FB2F13"/>
    <w:rsid w:val="00FB31FD"/>
    <w:rsid w:val="00FB6E19"/>
    <w:rsid w:val="00FB71F6"/>
    <w:rsid w:val="00FC1339"/>
    <w:rsid w:val="00FC1483"/>
    <w:rsid w:val="00FC1C47"/>
    <w:rsid w:val="00FC2CED"/>
    <w:rsid w:val="00FC39ED"/>
    <w:rsid w:val="00FC4419"/>
    <w:rsid w:val="00FC47E2"/>
    <w:rsid w:val="00FC4AA5"/>
    <w:rsid w:val="00FC5148"/>
    <w:rsid w:val="00FC5528"/>
    <w:rsid w:val="00FC75AC"/>
    <w:rsid w:val="00FD01BF"/>
    <w:rsid w:val="00FD0525"/>
    <w:rsid w:val="00FD297D"/>
    <w:rsid w:val="00FD298C"/>
    <w:rsid w:val="00FD2D13"/>
    <w:rsid w:val="00FD3D26"/>
    <w:rsid w:val="00FD4789"/>
    <w:rsid w:val="00FD59FE"/>
    <w:rsid w:val="00FD6071"/>
    <w:rsid w:val="00FE0794"/>
    <w:rsid w:val="00FE1041"/>
    <w:rsid w:val="00FE24CB"/>
    <w:rsid w:val="00FE2D46"/>
    <w:rsid w:val="00FE3166"/>
    <w:rsid w:val="00FE3320"/>
    <w:rsid w:val="00FE3473"/>
    <w:rsid w:val="00FE353B"/>
    <w:rsid w:val="00FE3E81"/>
    <w:rsid w:val="00FE4049"/>
    <w:rsid w:val="00FE4794"/>
    <w:rsid w:val="00FE5DF7"/>
    <w:rsid w:val="00FE5F72"/>
    <w:rsid w:val="00FF0231"/>
    <w:rsid w:val="00FF1C9B"/>
    <w:rsid w:val="00FF1D49"/>
    <w:rsid w:val="00FF2562"/>
    <w:rsid w:val="00FF2CE1"/>
    <w:rsid w:val="00FF3A41"/>
    <w:rsid w:val="00FF3E5B"/>
    <w:rsid w:val="00FF544F"/>
    <w:rsid w:val="00FF57E4"/>
    <w:rsid w:val="00FF75D9"/>
    <w:rsid w:val="00FF78E5"/>
    <w:rsid w:val="018F5C1E"/>
    <w:rsid w:val="01FE4B70"/>
    <w:rsid w:val="02511F9D"/>
    <w:rsid w:val="03056ED3"/>
    <w:rsid w:val="03A314B8"/>
    <w:rsid w:val="03A907BD"/>
    <w:rsid w:val="03D82B98"/>
    <w:rsid w:val="03F83E8B"/>
    <w:rsid w:val="04F96FF0"/>
    <w:rsid w:val="05B74650"/>
    <w:rsid w:val="06B4072D"/>
    <w:rsid w:val="06D84CC3"/>
    <w:rsid w:val="07A70F85"/>
    <w:rsid w:val="07B72767"/>
    <w:rsid w:val="08077E72"/>
    <w:rsid w:val="08AB4A0D"/>
    <w:rsid w:val="08AF6849"/>
    <w:rsid w:val="08E729B2"/>
    <w:rsid w:val="09053F2C"/>
    <w:rsid w:val="09270E73"/>
    <w:rsid w:val="092C43F4"/>
    <w:rsid w:val="09AF221A"/>
    <w:rsid w:val="09CC2AAC"/>
    <w:rsid w:val="09D820EE"/>
    <w:rsid w:val="0A652D3E"/>
    <w:rsid w:val="0AAD7F01"/>
    <w:rsid w:val="0AB063A2"/>
    <w:rsid w:val="0B253A7F"/>
    <w:rsid w:val="0B3A48F0"/>
    <w:rsid w:val="0B4B7C0B"/>
    <w:rsid w:val="0B7A1444"/>
    <w:rsid w:val="0C403025"/>
    <w:rsid w:val="0C671F47"/>
    <w:rsid w:val="0C92213C"/>
    <w:rsid w:val="0D0B5B12"/>
    <w:rsid w:val="0D4F221D"/>
    <w:rsid w:val="0D84032B"/>
    <w:rsid w:val="0DD01512"/>
    <w:rsid w:val="0EAB6328"/>
    <w:rsid w:val="0EB83A78"/>
    <w:rsid w:val="0ED317E0"/>
    <w:rsid w:val="0EE97238"/>
    <w:rsid w:val="0F0A0484"/>
    <w:rsid w:val="0F2C39E7"/>
    <w:rsid w:val="0F3B6457"/>
    <w:rsid w:val="101533CE"/>
    <w:rsid w:val="10702130"/>
    <w:rsid w:val="10910627"/>
    <w:rsid w:val="10953945"/>
    <w:rsid w:val="10A27F31"/>
    <w:rsid w:val="10AC2CA2"/>
    <w:rsid w:val="10CA487C"/>
    <w:rsid w:val="112A4DB2"/>
    <w:rsid w:val="11927058"/>
    <w:rsid w:val="12130FC5"/>
    <w:rsid w:val="126537F7"/>
    <w:rsid w:val="12FE1C75"/>
    <w:rsid w:val="137F3543"/>
    <w:rsid w:val="13AF4F03"/>
    <w:rsid w:val="13FA5909"/>
    <w:rsid w:val="14661880"/>
    <w:rsid w:val="14736E66"/>
    <w:rsid w:val="14832587"/>
    <w:rsid w:val="149B6AC2"/>
    <w:rsid w:val="15293653"/>
    <w:rsid w:val="1534169A"/>
    <w:rsid w:val="15C03E03"/>
    <w:rsid w:val="162163A6"/>
    <w:rsid w:val="162A25EB"/>
    <w:rsid w:val="16386AF3"/>
    <w:rsid w:val="16C62B96"/>
    <w:rsid w:val="16FD2A55"/>
    <w:rsid w:val="17366761"/>
    <w:rsid w:val="177C01F0"/>
    <w:rsid w:val="178057B9"/>
    <w:rsid w:val="17CE6630"/>
    <w:rsid w:val="18AC1971"/>
    <w:rsid w:val="191775ED"/>
    <w:rsid w:val="19820BA0"/>
    <w:rsid w:val="19C03CF6"/>
    <w:rsid w:val="19C150EF"/>
    <w:rsid w:val="19F6167D"/>
    <w:rsid w:val="1AD9F6BD"/>
    <w:rsid w:val="1AFA16D5"/>
    <w:rsid w:val="1AFA743B"/>
    <w:rsid w:val="1B4F19F8"/>
    <w:rsid w:val="1B7F0E94"/>
    <w:rsid w:val="1BCD0EF8"/>
    <w:rsid w:val="1BD92184"/>
    <w:rsid w:val="1C406A69"/>
    <w:rsid w:val="1C5170A2"/>
    <w:rsid w:val="1C7519BB"/>
    <w:rsid w:val="1D4061A8"/>
    <w:rsid w:val="1D634A51"/>
    <w:rsid w:val="1D723DB3"/>
    <w:rsid w:val="1DDA616F"/>
    <w:rsid w:val="1E326C77"/>
    <w:rsid w:val="1E8A07BD"/>
    <w:rsid w:val="1E9B4F4B"/>
    <w:rsid w:val="1E9D669E"/>
    <w:rsid w:val="1ECE5138"/>
    <w:rsid w:val="1F063325"/>
    <w:rsid w:val="1F4655C1"/>
    <w:rsid w:val="1F5275D0"/>
    <w:rsid w:val="1FBC5DF5"/>
    <w:rsid w:val="1FC55574"/>
    <w:rsid w:val="2030310A"/>
    <w:rsid w:val="213A2640"/>
    <w:rsid w:val="21735FAB"/>
    <w:rsid w:val="21B83F86"/>
    <w:rsid w:val="21C67CEA"/>
    <w:rsid w:val="21E55E66"/>
    <w:rsid w:val="221178A8"/>
    <w:rsid w:val="221213CF"/>
    <w:rsid w:val="22327A92"/>
    <w:rsid w:val="228269AC"/>
    <w:rsid w:val="22965435"/>
    <w:rsid w:val="2297354C"/>
    <w:rsid w:val="22BD6F35"/>
    <w:rsid w:val="22CA54F9"/>
    <w:rsid w:val="231D53A2"/>
    <w:rsid w:val="232D67A5"/>
    <w:rsid w:val="232E65F7"/>
    <w:rsid w:val="23333275"/>
    <w:rsid w:val="236F29AB"/>
    <w:rsid w:val="23B7504C"/>
    <w:rsid w:val="24194213"/>
    <w:rsid w:val="24571307"/>
    <w:rsid w:val="24BA2984"/>
    <w:rsid w:val="24C54C65"/>
    <w:rsid w:val="25093D59"/>
    <w:rsid w:val="25246333"/>
    <w:rsid w:val="26446DE3"/>
    <w:rsid w:val="264D165B"/>
    <w:rsid w:val="26B30F70"/>
    <w:rsid w:val="26D7699F"/>
    <w:rsid w:val="274A5E17"/>
    <w:rsid w:val="27612030"/>
    <w:rsid w:val="27FF051D"/>
    <w:rsid w:val="28223894"/>
    <w:rsid w:val="288451FA"/>
    <w:rsid w:val="288C51AC"/>
    <w:rsid w:val="29C76E0D"/>
    <w:rsid w:val="29F362EF"/>
    <w:rsid w:val="2A851825"/>
    <w:rsid w:val="2AE95142"/>
    <w:rsid w:val="2B09065E"/>
    <w:rsid w:val="2B225732"/>
    <w:rsid w:val="2B774624"/>
    <w:rsid w:val="2BC068DD"/>
    <w:rsid w:val="2C7A72BE"/>
    <w:rsid w:val="2D1C0637"/>
    <w:rsid w:val="2DA52307"/>
    <w:rsid w:val="2DAA05D8"/>
    <w:rsid w:val="2DF94920"/>
    <w:rsid w:val="2E6B4F22"/>
    <w:rsid w:val="2ECD0A22"/>
    <w:rsid w:val="2F401D3C"/>
    <w:rsid w:val="2FA95C88"/>
    <w:rsid w:val="3041370F"/>
    <w:rsid w:val="309A577C"/>
    <w:rsid w:val="30BD6874"/>
    <w:rsid w:val="31083A05"/>
    <w:rsid w:val="31307046"/>
    <w:rsid w:val="32453A27"/>
    <w:rsid w:val="3263064A"/>
    <w:rsid w:val="32AC0C06"/>
    <w:rsid w:val="32CD2047"/>
    <w:rsid w:val="32D4763D"/>
    <w:rsid w:val="32E26388"/>
    <w:rsid w:val="33863895"/>
    <w:rsid w:val="34AB16EB"/>
    <w:rsid w:val="34E74919"/>
    <w:rsid w:val="35134CB4"/>
    <w:rsid w:val="3537750C"/>
    <w:rsid w:val="3537798C"/>
    <w:rsid w:val="357F7ED5"/>
    <w:rsid w:val="35C13FC9"/>
    <w:rsid w:val="35ED7BFB"/>
    <w:rsid w:val="362E6D87"/>
    <w:rsid w:val="364257B6"/>
    <w:rsid w:val="366F50BD"/>
    <w:rsid w:val="36A918A9"/>
    <w:rsid w:val="36D45041"/>
    <w:rsid w:val="36DB32EF"/>
    <w:rsid w:val="36E96615"/>
    <w:rsid w:val="36F834D1"/>
    <w:rsid w:val="371F5B92"/>
    <w:rsid w:val="374264D3"/>
    <w:rsid w:val="376E40E2"/>
    <w:rsid w:val="37AD5029"/>
    <w:rsid w:val="37B1654A"/>
    <w:rsid w:val="37D746BF"/>
    <w:rsid w:val="37DB7874"/>
    <w:rsid w:val="37EA5922"/>
    <w:rsid w:val="380D1E8F"/>
    <w:rsid w:val="38276B93"/>
    <w:rsid w:val="383E029A"/>
    <w:rsid w:val="38687C86"/>
    <w:rsid w:val="38C23ED4"/>
    <w:rsid w:val="38E05CE7"/>
    <w:rsid w:val="39096AFA"/>
    <w:rsid w:val="3A0B64A7"/>
    <w:rsid w:val="3A107D3F"/>
    <w:rsid w:val="3A1A29A4"/>
    <w:rsid w:val="3AF74C02"/>
    <w:rsid w:val="3B2E729B"/>
    <w:rsid w:val="3BB5271A"/>
    <w:rsid w:val="3C004876"/>
    <w:rsid w:val="3C0059A5"/>
    <w:rsid w:val="3C134E78"/>
    <w:rsid w:val="3C460065"/>
    <w:rsid w:val="3CE7667B"/>
    <w:rsid w:val="3DD521AA"/>
    <w:rsid w:val="3DF6345D"/>
    <w:rsid w:val="3EB048FD"/>
    <w:rsid w:val="3EC357A9"/>
    <w:rsid w:val="3EC80E72"/>
    <w:rsid w:val="3EE13701"/>
    <w:rsid w:val="3F1A4BB3"/>
    <w:rsid w:val="3F583D21"/>
    <w:rsid w:val="40192BA6"/>
    <w:rsid w:val="41354782"/>
    <w:rsid w:val="42003213"/>
    <w:rsid w:val="42550A18"/>
    <w:rsid w:val="42F473A1"/>
    <w:rsid w:val="43B315F1"/>
    <w:rsid w:val="43BD4B90"/>
    <w:rsid w:val="43E066A9"/>
    <w:rsid w:val="43F6248D"/>
    <w:rsid w:val="441E62C0"/>
    <w:rsid w:val="44274ACD"/>
    <w:rsid w:val="44B21FC2"/>
    <w:rsid w:val="4547018E"/>
    <w:rsid w:val="455E1F7C"/>
    <w:rsid w:val="45811C7C"/>
    <w:rsid w:val="46053138"/>
    <w:rsid w:val="468B3EFB"/>
    <w:rsid w:val="470A6193"/>
    <w:rsid w:val="47135B09"/>
    <w:rsid w:val="47AE1782"/>
    <w:rsid w:val="47DC4F5C"/>
    <w:rsid w:val="48B40671"/>
    <w:rsid w:val="492041BF"/>
    <w:rsid w:val="493523C3"/>
    <w:rsid w:val="493F3E17"/>
    <w:rsid w:val="49717773"/>
    <w:rsid w:val="49892943"/>
    <w:rsid w:val="499B5738"/>
    <w:rsid w:val="499F244D"/>
    <w:rsid w:val="49F032CD"/>
    <w:rsid w:val="4A1922FA"/>
    <w:rsid w:val="4A8F58C2"/>
    <w:rsid w:val="4AEC627C"/>
    <w:rsid w:val="4AF96BC7"/>
    <w:rsid w:val="4AFD2237"/>
    <w:rsid w:val="4B211B02"/>
    <w:rsid w:val="4B513A02"/>
    <w:rsid w:val="4B9A1D7B"/>
    <w:rsid w:val="4BFB4050"/>
    <w:rsid w:val="4C9E7102"/>
    <w:rsid w:val="4CEF36E2"/>
    <w:rsid w:val="4D0B1DBF"/>
    <w:rsid w:val="4D3B1120"/>
    <w:rsid w:val="4D7B235A"/>
    <w:rsid w:val="4E2875CB"/>
    <w:rsid w:val="4E736E68"/>
    <w:rsid w:val="4EA12ED9"/>
    <w:rsid w:val="4EC6759F"/>
    <w:rsid w:val="4EEC05F8"/>
    <w:rsid w:val="4EFF70DC"/>
    <w:rsid w:val="4F372FFB"/>
    <w:rsid w:val="4FA76FA4"/>
    <w:rsid w:val="4FC4552E"/>
    <w:rsid w:val="4FD47893"/>
    <w:rsid w:val="51177071"/>
    <w:rsid w:val="513F391C"/>
    <w:rsid w:val="51564E44"/>
    <w:rsid w:val="518427E0"/>
    <w:rsid w:val="51843A53"/>
    <w:rsid w:val="51F36455"/>
    <w:rsid w:val="52500E9E"/>
    <w:rsid w:val="529A4CBF"/>
    <w:rsid w:val="52C10D75"/>
    <w:rsid w:val="52C911A4"/>
    <w:rsid w:val="53186A49"/>
    <w:rsid w:val="53635735"/>
    <w:rsid w:val="5385101B"/>
    <w:rsid w:val="53894668"/>
    <w:rsid w:val="54135642"/>
    <w:rsid w:val="541859EC"/>
    <w:rsid w:val="54721D56"/>
    <w:rsid w:val="54E25955"/>
    <w:rsid w:val="550C4BD7"/>
    <w:rsid w:val="55572986"/>
    <w:rsid w:val="5583446C"/>
    <w:rsid w:val="55EE1F77"/>
    <w:rsid w:val="56005D19"/>
    <w:rsid w:val="5628215A"/>
    <w:rsid w:val="56386683"/>
    <w:rsid w:val="56537644"/>
    <w:rsid w:val="575612BA"/>
    <w:rsid w:val="5795565B"/>
    <w:rsid w:val="57D91936"/>
    <w:rsid w:val="57F66C4E"/>
    <w:rsid w:val="581513C1"/>
    <w:rsid w:val="58432358"/>
    <w:rsid w:val="5859176C"/>
    <w:rsid w:val="58A10F2E"/>
    <w:rsid w:val="58BE5CBA"/>
    <w:rsid w:val="590045DF"/>
    <w:rsid w:val="591E5852"/>
    <w:rsid w:val="599F06CE"/>
    <w:rsid w:val="59B754D5"/>
    <w:rsid w:val="5A11145A"/>
    <w:rsid w:val="5A3A1A12"/>
    <w:rsid w:val="5A957D93"/>
    <w:rsid w:val="5B3760D9"/>
    <w:rsid w:val="5BD87FA2"/>
    <w:rsid w:val="5C1F382B"/>
    <w:rsid w:val="5C312D64"/>
    <w:rsid w:val="5D2317D1"/>
    <w:rsid w:val="5E437B09"/>
    <w:rsid w:val="5E632EE2"/>
    <w:rsid w:val="5F801A3E"/>
    <w:rsid w:val="5F80710D"/>
    <w:rsid w:val="5FAE5456"/>
    <w:rsid w:val="5FDB60F0"/>
    <w:rsid w:val="601E522F"/>
    <w:rsid w:val="606007BB"/>
    <w:rsid w:val="609E54CA"/>
    <w:rsid w:val="60AC7F66"/>
    <w:rsid w:val="60EB3EF5"/>
    <w:rsid w:val="614D7F45"/>
    <w:rsid w:val="616109D2"/>
    <w:rsid w:val="618835DC"/>
    <w:rsid w:val="61BF10D9"/>
    <w:rsid w:val="61DE64C6"/>
    <w:rsid w:val="62491E66"/>
    <w:rsid w:val="62816E52"/>
    <w:rsid w:val="629F7BDB"/>
    <w:rsid w:val="630F25FC"/>
    <w:rsid w:val="63343F7A"/>
    <w:rsid w:val="640C7C21"/>
    <w:rsid w:val="644E0701"/>
    <w:rsid w:val="64956BCA"/>
    <w:rsid w:val="649B2A1E"/>
    <w:rsid w:val="64E45EF7"/>
    <w:rsid w:val="65444892"/>
    <w:rsid w:val="655507E8"/>
    <w:rsid w:val="662B0176"/>
    <w:rsid w:val="66A57729"/>
    <w:rsid w:val="677368EF"/>
    <w:rsid w:val="677435B2"/>
    <w:rsid w:val="67A57EB3"/>
    <w:rsid w:val="67EF75F1"/>
    <w:rsid w:val="68030C53"/>
    <w:rsid w:val="680C6C71"/>
    <w:rsid w:val="68215C0F"/>
    <w:rsid w:val="68815E47"/>
    <w:rsid w:val="68983B76"/>
    <w:rsid w:val="68B037C9"/>
    <w:rsid w:val="68BC6E36"/>
    <w:rsid w:val="68DA695F"/>
    <w:rsid w:val="6902517F"/>
    <w:rsid w:val="69124F16"/>
    <w:rsid w:val="6988572F"/>
    <w:rsid w:val="69A71894"/>
    <w:rsid w:val="69C64B0E"/>
    <w:rsid w:val="69CD5C14"/>
    <w:rsid w:val="69CF0D33"/>
    <w:rsid w:val="6A240149"/>
    <w:rsid w:val="6A430BC3"/>
    <w:rsid w:val="6A6C2A79"/>
    <w:rsid w:val="6AB24495"/>
    <w:rsid w:val="6B9946B3"/>
    <w:rsid w:val="6BDE1D62"/>
    <w:rsid w:val="6C132738"/>
    <w:rsid w:val="6D1837C6"/>
    <w:rsid w:val="6DE76850"/>
    <w:rsid w:val="6DF777CB"/>
    <w:rsid w:val="6E485BC3"/>
    <w:rsid w:val="6E870EE9"/>
    <w:rsid w:val="6E9A1018"/>
    <w:rsid w:val="6EB365E5"/>
    <w:rsid w:val="6FB20BD4"/>
    <w:rsid w:val="6FBA59BE"/>
    <w:rsid w:val="6FE56C72"/>
    <w:rsid w:val="70296B3E"/>
    <w:rsid w:val="70611204"/>
    <w:rsid w:val="70F804E8"/>
    <w:rsid w:val="710F1CFB"/>
    <w:rsid w:val="7148570A"/>
    <w:rsid w:val="7234593E"/>
    <w:rsid w:val="7282487D"/>
    <w:rsid w:val="72EF4CB6"/>
    <w:rsid w:val="730668BB"/>
    <w:rsid w:val="733E6C54"/>
    <w:rsid w:val="736E5255"/>
    <w:rsid w:val="73E86D31"/>
    <w:rsid w:val="73FB69F1"/>
    <w:rsid w:val="74490570"/>
    <w:rsid w:val="74FA2C30"/>
    <w:rsid w:val="750006C1"/>
    <w:rsid w:val="7530273D"/>
    <w:rsid w:val="76BC49EB"/>
    <w:rsid w:val="76CA6BC2"/>
    <w:rsid w:val="77000DA2"/>
    <w:rsid w:val="770B16B4"/>
    <w:rsid w:val="773D0BA8"/>
    <w:rsid w:val="7778536A"/>
    <w:rsid w:val="779A3235"/>
    <w:rsid w:val="77A902F6"/>
    <w:rsid w:val="781E69D1"/>
    <w:rsid w:val="78281DF2"/>
    <w:rsid w:val="78340059"/>
    <w:rsid w:val="78970D25"/>
    <w:rsid w:val="78EF4FEB"/>
    <w:rsid w:val="796778E1"/>
    <w:rsid w:val="79C00A32"/>
    <w:rsid w:val="79F36E1F"/>
    <w:rsid w:val="7A5D0830"/>
    <w:rsid w:val="7AA939B2"/>
    <w:rsid w:val="7ADD0453"/>
    <w:rsid w:val="7AF46346"/>
    <w:rsid w:val="7B0F5EBF"/>
    <w:rsid w:val="7B130FB9"/>
    <w:rsid w:val="7B7A4261"/>
    <w:rsid w:val="7B875081"/>
    <w:rsid w:val="7BDE0625"/>
    <w:rsid w:val="7BF64EDE"/>
    <w:rsid w:val="7C400C1E"/>
    <w:rsid w:val="7D3A1897"/>
    <w:rsid w:val="7DA168CE"/>
    <w:rsid w:val="7DD11708"/>
    <w:rsid w:val="7E6A3164"/>
    <w:rsid w:val="7EB125FB"/>
    <w:rsid w:val="7EBC46EA"/>
    <w:rsid w:val="7EBF4699"/>
    <w:rsid w:val="7EC167BD"/>
    <w:rsid w:val="7F621E96"/>
    <w:rsid w:val="7F7B071E"/>
    <w:rsid w:val="7FF82C26"/>
    <w:rsid w:val="B7FE75DB"/>
    <w:rsid w:val="BDB71DA2"/>
    <w:rsid w:val="BF7E5054"/>
    <w:rsid w:val="DBBD0684"/>
    <w:rsid w:val="DFBFDA76"/>
    <w:rsid w:val="FDFC3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qFormat="1" w:unhideWhenUsed="0"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99"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iPriority="8"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7"/>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0"/>
    <w:pPr>
      <w:tabs>
        <w:tab w:val="left" w:pos="432"/>
        <w:tab w:val="left" w:pos="3981"/>
      </w:tabs>
      <w:snapToGrid w:val="0"/>
      <w:jc w:val="left"/>
      <w:outlineLvl w:val="2"/>
    </w:pPr>
    <w:rPr>
      <w:rFonts w:ascii="微软雅黑" w:hAnsi="微软雅黑" w:eastAsia="微软雅黑" w:cs="宋体"/>
      <w:b/>
      <w:bCs/>
      <w:sz w:val="24"/>
      <w:szCs w:val="32"/>
    </w:rPr>
  </w:style>
  <w:style w:type="paragraph" w:styleId="5">
    <w:name w:val="heading 4"/>
    <w:basedOn w:val="1"/>
    <w:next w:val="1"/>
    <w:link w:val="68"/>
    <w:semiHidden/>
    <w:unhideWhenUsed/>
    <w:qFormat/>
    <w:uiPriority w:val="9"/>
    <w:pPr>
      <w:keepNext/>
      <w:keepLines/>
      <w:spacing w:before="280" w:after="290" w:line="374" w:lineRule="auto"/>
      <w:outlineLvl w:val="3"/>
    </w:pPr>
    <w:rPr>
      <w:rFonts w:ascii="Arial" w:hAnsi="Arial" w:eastAsia="黑体"/>
      <w:b/>
      <w:bCs/>
      <w:sz w:val="28"/>
      <w:szCs w:val="28"/>
    </w:rPr>
  </w:style>
  <w:style w:type="paragraph" w:styleId="6">
    <w:name w:val="heading 5"/>
    <w:basedOn w:val="1"/>
    <w:next w:val="7"/>
    <w:link w:val="38"/>
    <w:qFormat/>
    <w:uiPriority w:val="9"/>
    <w:pPr>
      <w:keepNext/>
      <w:keepLines/>
      <w:spacing w:before="280" w:after="290" w:line="376" w:lineRule="auto"/>
      <w:outlineLvl w:val="4"/>
    </w:pPr>
    <w:rPr>
      <w:b/>
      <w:bCs/>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99"/>
    <w:pPr>
      <w:ind w:firstLine="420"/>
    </w:pPr>
    <w:rPr>
      <w:szCs w:val="20"/>
    </w:rPr>
  </w:style>
  <w:style w:type="paragraph" w:styleId="8">
    <w:name w:val="List Number"/>
    <w:basedOn w:val="1"/>
    <w:qFormat/>
    <w:uiPriority w:val="99"/>
    <w:pPr>
      <w:widowControl/>
      <w:tabs>
        <w:tab w:val="left" w:pos="454"/>
        <w:tab w:val="left" w:pos="720"/>
        <w:tab w:val="left" w:pos="840"/>
      </w:tabs>
      <w:spacing w:afterLines="50"/>
      <w:ind w:left="454" w:hanging="284"/>
      <w:jc w:val="left"/>
    </w:pPr>
    <w:rPr>
      <w:kern w:val="0"/>
      <w:sz w:val="24"/>
      <w:szCs w:val="20"/>
    </w:rPr>
  </w:style>
  <w:style w:type="paragraph" w:styleId="9">
    <w:name w:val="annotation text"/>
    <w:basedOn w:val="1"/>
    <w:link w:val="39"/>
    <w:qFormat/>
    <w:uiPriority w:val="99"/>
    <w:pPr>
      <w:jc w:val="left"/>
    </w:pPr>
  </w:style>
  <w:style w:type="paragraph" w:styleId="10">
    <w:name w:val="Body Text 3"/>
    <w:basedOn w:val="1"/>
    <w:link w:val="40"/>
    <w:unhideWhenUsed/>
    <w:qFormat/>
    <w:uiPriority w:val="99"/>
    <w:pPr>
      <w:spacing w:after="120"/>
    </w:pPr>
    <w:rPr>
      <w:sz w:val="16"/>
      <w:szCs w:val="16"/>
    </w:rPr>
  </w:style>
  <w:style w:type="paragraph" w:styleId="11">
    <w:name w:val="Body Text"/>
    <w:basedOn w:val="1"/>
    <w:next w:val="1"/>
    <w:link w:val="41"/>
    <w:unhideWhenUsed/>
    <w:qFormat/>
    <w:uiPriority w:val="99"/>
    <w:pPr>
      <w:spacing w:after="120"/>
    </w:pPr>
  </w:style>
  <w:style w:type="paragraph" w:styleId="12">
    <w:name w:val="Body Text Indent"/>
    <w:basedOn w:val="1"/>
    <w:link w:val="42"/>
    <w:qFormat/>
    <w:uiPriority w:val="99"/>
    <w:pPr>
      <w:ind w:firstLine="830" w:firstLineChars="352"/>
    </w:pPr>
    <w:rPr>
      <w:rFonts w:ascii="仿宋_GB2312" w:eastAsia="仿宋_GB2312"/>
      <w:kern w:val="0"/>
      <w:sz w:val="32"/>
      <w:szCs w:val="20"/>
    </w:rPr>
  </w:style>
  <w:style w:type="paragraph" w:styleId="13">
    <w:name w:val="List 2"/>
    <w:basedOn w:val="1"/>
    <w:unhideWhenUsed/>
    <w:qFormat/>
    <w:uiPriority w:val="99"/>
    <w:pPr>
      <w:ind w:left="100" w:leftChars="200" w:hanging="200" w:hangingChars="200"/>
      <w:contextualSpacing/>
    </w:pPr>
  </w:style>
  <w:style w:type="paragraph" w:styleId="14">
    <w:name w:val="Plain Text"/>
    <w:basedOn w:val="1"/>
    <w:next w:val="5"/>
    <w:link w:val="43"/>
    <w:qFormat/>
    <w:uiPriority w:val="99"/>
    <w:rPr>
      <w:rFonts w:ascii="宋体" w:hAnsi="Courier New"/>
      <w:kern w:val="0"/>
      <w:sz w:val="20"/>
      <w:szCs w:val="21"/>
    </w:rPr>
  </w:style>
  <w:style w:type="paragraph" w:styleId="15">
    <w:name w:val="Date"/>
    <w:basedOn w:val="1"/>
    <w:next w:val="1"/>
    <w:link w:val="44"/>
    <w:unhideWhenUsed/>
    <w:qFormat/>
    <w:uiPriority w:val="99"/>
    <w:pPr>
      <w:ind w:left="100" w:leftChars="2500"/>
    </w:pPr>
  </w:style>
  <w:style w:type="paragraph" w:styleId="16">
    <w:name w:val="Balloon Text"/>
    <w:basedOn w:val="1"/>
    <w:link w:val="69"/>
    <w:semiHidden/>
    <w:qFormat/>
    <w:uiPriority w:val="99"/>
    <w:rPr>
      <w:sz w:val="18"/>
      <w:szCs w:val="18"/>
    </w:rPr>
  </w:style>
  <w:style w:type="paragraph" w:styleId="17">
    <w:name w:val="footer"/>
    <w:basedOn w:val="1"/>
    <w:link w:val="45"/>
    <w:unhideWhenUsed/>
    <w:qFormat/>
    <w:uiPriority w:val="99"/>
    <w:pPr>
      <w:tabs>
        <w:tab w:val="center" w:pos="4153"/>
        <w:tab w:val="right" w:pos="8306"/>
      </w:tabs>
      <w:snapToGrid w:val="0"/>
      <w:jc w:val="left"/>
    </w:pPr>
    <w:rPr>
      <w:kern w:val="0"/>
      <w:sz w:val="18"/>
      <w:szCs w:val="18"/>
    </w:rPr>
  </w:style>
  <w:style w:type="paragraph" w:styleId="18">
    <w:name w:val="header"/>
    <w:basedOn w:val="1"/>
    <w:link w:val="46"/>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9">
    <w:name w:val="toc 1"/>
    <w:basedOn w:val="1"/>
    <w:next w:val="1"/>
    <w:unhideWhenUsed/>
    <w:qFormat/>
    <w:uiPriority w:val="39"/>
  </w:style>
  <w:style w:type="paragraph" w:styleId="20">
    <w:name w:val="toc 2"/>
    <w:basedOn w:val="1"/>
    <w:next w:val="1"/>
    <w:unhideWhenUsed/>
    <w:qFormat/>
    <w:uiPriority w:val="39"/>
    <w:pPr>
      <w:tabs>
        <w:tab w:val="right" w:leader="dot" w:pos="8296"/>
      </w:tabs>
      <w:ind w:left="420" w:leftChars="200"/>
    </w:pPr>
  </w:style>
  <w:style w:type="paragraph" w:styleId="21">
    <w:name w:val="Body Text 2"/>
    <w:basedOn w:val="1"/>
    <w:unhideWhenUsed/>
    <w:qFormat/>
    <w:uiPriority w:val="8"/>
    <w:pPr>
      <w:jc w:val="center"/>
    </w:pPr>
    <w:rPr>
      <w:sz w:val="18"/>
    </w:rPr>
  </w:style>
  <w:style w:type="paragraph" w:styleId="22">
    <w:name w:val="Normal (Web)"/>
    <w:basedOn w:val="1"/>
    <w:unhideWhenUsed/>
    <w:qFormat/>
    <w:uiPriority w:val="99"/>
    <w:rPr>
      <w:rFonts w:ascii="Calibri" w:hAnsi="Calibri"/>
      <w:kern w:val="0"/>
      <w:sz w:val="24"/>
    </w:rPr>
  </w:style>
  <w:style w:type="paragraph" w:styleId="23">
    <w:name w:val="index 1"/>
    <w:basedOn w:val="1"/>
    <w:next w:val="1"/>
    <w:semiHidden/>
    <w:qFormat/>
    <w:uiPriority w:val="99"/>
    <w:pPr>
      <w:spacing w:line="400" w:lineRule="exact"/>
      <w:ind w:firstLine="420" w:firstLineChars="200"/>
    </w:pPr>
    <w:rPr>
      <w:rFonts w:ascii="宋体" w:hAnsi="Courier New"/>
      <w:b/>
      <w:szCs w:val="20"/>
    </w:rPr>
  </w:style>
  <w:style w:type="paragraph" w:styleId="24">
    <w:name w:val="Title"/>
    <w:next w:val="1"/>
    <w:qFormat/>
    <w:uiPriority w:val="0"/>
    <w:pPr>
      <w:widowControl w:val="0"/>
      <w:spacing w:before="240" w:after="60"/>
      <w:jc w:val="center"/>
      <w:outlineLvl w:val="0"/>
    </w:pPr>
    <w:rPr>
      <w:rFonts w:ascii="Arial" w:hAnsi="Arial" w:eastAsia="宋体" w:cs="Arial"/>
      <w:b/>
      <w:bCs/>
      <w:kern w:val="2"/>
      <w:sz w:val="32"/>
      <w:szCs w:val="32"/>
      <w:lang w:val="en-US" w:eastAsia="zh-CN" w:bidi="ar-SA"/>
    </w:rPr>
  </w:style>
  <w:style w:type="paragraph" w:styleId="25">
    <w:name w:val="annotation subject"/>
    <w:basedOn w:val="9"/>
    <w:next w:val="9"/>
    <w:link w:val="47"/>
    <w:qFormat/>
    <w:uiPriority w:val="99"/>
    <w:rPr>
      <w:b/>
      <w:bCs/>
    </w:rPr>
  </w:style>
  <w:style w:type="paragraph" w:styleId="26">
    <w:name w:val="Body Text First Indent"/>
    <w:basedOn w:val="11"/>
    <w:qFormat/>
    <w:uiPriority w:val="0"/>
    <w:pPr>
      <w:ind w:firstLine="420" w:firstLineChars="100"/>
    </w:pPr>
  </w:style>
  <w:style w:type="paragraph" w:styleId="27">
    <w:name w:val="Body Text First Indent 2"/>
    <w:basedOn w:val="12"/>
    <w:next w:val="11"/>
    <w:qFormat/>
    <w:uiPriority w:val="0"/>
    <w:pPr>
      <w:widowControl/>
      <w:spacing w:line="360" w:lineRule="auto"/>
      <w:ind w:left="-358" w:leftChars="-128" w:firstLine="560" w:firstLineChars="200"/>
      <w:jc w:val="left"/>
    </w:pPr>
    <w:rPr>
      <w:rFonts w:ascii="Times New Roman"/>
      <w:sz w:val="28"/>
    </w:rPr>
  </w:style>
  <w:style w:type="table" w:styleId="29">
    <w:name w:val="Table Grid"/>
    <w:basedOn w:val="2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1">
    <w:name w:val="FollowedHyperlink"/>
    <w:basedOn w:val="30"/>
    <w:semiHidden/>
    <w:unhideWhenUsed/>
    <w:qFormat/>
    <w:uiPriority w:val="99"/>
    <w:rPr>
      <w:color w:val="800080" w:themeColor="followedHyperlink"/>
      <w:u w:val="single"/>
      <w14:textFill>
        <w14:solidFill>
          <w14:schemeClr w14:val="folHlink"/>
        </w14:solidFill>
      </w14:textFill>
    </w:rPr>
  </w:style>
  <w:style w:type="character" w:styleId="32">
    <w:name w:val="Emphasis"/>
    <w:basedOn w:val="30"/>
    <w:qFormat/>
    <w:uiPriority w:val="20"/>
    <w:rPr>
      <w:i/>
    </w:rPr>
  </w:style>
  <w:style w:type="character" w:styleId="33">
    <w:name w:val="Hyperlink"/>
    <w:unhideWhenUsed/>
    <w:qFormat/>
    <w:uiPriority w:val="99"/>
    <w:rPr>
      <w:color w:val="0000FF"/>
      <w:u w:val="single"/>
    </w:rPr>
  </w:style>
  <w:style w:type="character" w:styleId="34">
    <w:name w:val="annotation reference"/>
    <w:qFormat/>
    <w:uiPriority w:val="99"/>
    <w:rPr>
      <w:sz w:val="21"/>
      <w:szCs w:val="21"/>
    </w:rPr>
  </w:style>
  <w:style w:type="paragraph" w:customStyle="1" w:styleId="35">
    <w:name w:val="表格文字"/>
    <w:basedOn w:val="1"/>
    <w:next w:val="11"/>
    <w:qFormat/>
    <w:uiPriority w:val="0"/>
    <w:pPr>
      <w:widowControl/>
      <w:adjustRightInd w:val="0"/>
      <w:spacing w:afterLines="50" w:line="360" w:lineRule="auto"/>
      <w:ind w:firstLine="200" w:firstLineChars="200"/>
      <w:jc w:val="left"/>
      <w:textAlignment w:val="baseline"/>
    </w:pPr>
    <w:rPr>
      <w:rFonts w:ascii="Arial" w:hAnsi="Arial"/>
      <w:kern w:val="0"/>
      <w:sz w:val="24"/>
      <w:szCs w:val="20"/>
    </w:rPr>
  </w:style>
  <w:style w:type="character" w:customStyle="1" w:styleId="36">
    <w:name w:val="标题 1 Char"/>
    <w:link w:val="2"/>
    <w:qFormat/>
    <w:uiPriority w:val="0"/>
    <w:rPr>
      <w:b/>
      <w:bCs/>
      <w:kern w:val="44"/>
      <w:sz w:val="44"/>
      <w:szCs w:val="44"/>
    </w:rPr>
  </w:style>
  <w:style w:type="character" w:customStyle="1" w:styleId="37">
    <w:name w:val="标题 2 Char"/>
    <w:link w:val="3"/>
    <w:qFormat/>
    <w:uiPriority w:val="9"/>
    <w:rPr>
      <w:rFonts w:ascii="Cambria" w:hAnsi="Cambria" w:eastAsia="宋体" w:cs="Times New Roman"/>
      <w:b/>
      <w:bCs/>
      <w:kern w:val="2"/>
      <w:sz w:val="32"/>
      <w:szCs w:val="32"/>
    </w:rPr>
  </w:style>
  <w:style w:type="character" w:customStyle="1" w:styleId="38">
    <w:name w:val="标题 5 Char"/>
    <w:link w:val="6"/>
    <w:semiHidden/>
    <w:qFormat/>
    <w:uiPriority w:val="9"/>
    <w:rPr>
      <w:rFonts w:ascii="Times New Roman" w:hAnsi="Times New Roman"/>
      <w:b/>
      <w:bCs/>
      <w:kern w:val="2"/>
      <w:sz w:val="28"/>
      <w:szCs w:val="28"/>
    </w:rPr>
  </w:style>
  <w:style w:type="character" w:customStyle="1" w:styleId="39">
    <w:name w:val="批注文字 Char"/>
    <w:link w:val="9"/>
    <w:qFormat/>
    <w:uiPriority w:val="99"/>
    <w:rPr>
      <w:rFonts w:ascii="Times New Roman" w:hAnsi="Times New Roman"/>
      <w:kern w:val="2"/>
      <w:sz w:val="21"/>
      <w:szCs w:val="24"/>
    </w:rPr>
  </w:style>
  <w:style w:type="character" w:customStyle="1" w:styleId="40">
    <w:name w:val="正文文本 3 Char"/>
    <w:link w:val="10"/>
    <w:semiHidden/>
    <w:qFormat/>
    <w:uiPriority w:val="99"/>
    <w:rPr>
      <w:rFonts w:ascii="Times New Roman" w:hAnsi="Times New Roman"/>
      <w:kern w:val="2"/>
      <w:sz w:val="16"/>
      <w:szCs w:val="16"/>
    </w:rPr>
  </w:style>
  <w:style w:type="character" w:customStyle="1" w:styleId="41">
    <w:name w:val="正文文本 Char"/>
    <w:link w:val="11"/>
    <w:qFormat/>
    <w:uiPriority w:val="99"/>
    <w:rPr>
      <w:rFonts w:ascii="Times New Roman" w:hAnsi="Times New Roman"/>
      <w:kern w:val="2"/>
      <w:sz w:val="21"/>
      <w:szCs w:val="24"/>
    </w:rPr>
  </w:style>
  <w:style w:type="character" w:customStyle="1" w:styleId="42">
    <w:name w:val="正文文本缩进 Char"/>
    <w:link w:val="12"/>
    <w:qFormat/>
    <w:uiPriority w:val="99"/>
    <w:rPr>
      <w:rFonts w:ascii="仿宋_GB2312" w:hAnsi="Times New Roman" w:eastAsia="仿宋_GB2312" w:cs="Times New Roman"/>
      <w:sz w:val="32"/>
      <w:szCs w:val="20"/>
    </w:rPr>
  </w:style>
  <w:style w:type="character" w:customStyle="1" w:styleId="43">
    <w:name w:val="纯文本 Char"/>
    <w:link w:val="14"/>
    <w:qFormat/>
    <w:uiPriority w:val="99"/>
    <w:rPr>
      <w:rFonts w:ascii="宋体" w:hAnsi="Courier New" w:eastAsia="宋体" w:cs="Courier New"/>
      <w:szCs w:val="21"/>
    </w:rPr>
  </w:style>
  <w:style w:type="character" w:customStyle="1" w:styleId="44">
    <w:name w:val="日期 Char"/>
    <w:link w:val="15"/>
    <w:semiHidden/>
    <w:qFormat/>
    <w:uiPriority w:val="99"/>
    <w:rPr>
      <w:rFonts w:ascii="Times New Roman" w:hAnsi="Times New Roman"/>
      <w:kern w:val="2"/>
      <w:sz w:val="21"/>
      <w:szCs w:val="24"/>
    </w:rPr>
  </w:style>
  <w:style w:type="character" w:customStyle="1" w:styleId="45">
    <w:name w:val="页脚 Char1"/>
    <w:link w:val="17"/>
    <w:qFormat/>
    <w:uiPriority w:val="99"/>
    <w:rPr>
      <w:sz w:val="18"/>
      <w:szCs w:val="18"/>
    </w:rPr>
  </w:style>
  <w:style w:type="character" w:customStyle="1" w:styleId="46">
    <w:name w:val="页眉 Char"/>
    <w:link w:val="18"/>
    <w:qFormat/>
    <w:uiPriority w:val="99"/>
    <w:rPr>
      <w:sz w:val="18"/>
      <w:szCs w:val="18"/>
    </w:rPr>
  </w:style>
  <w:style w:type="character" w:customStyle="1" w:styleId="47">
    <w:name w:val="批注主题 Char"/>
    <w:link w:val="25"/>
    <w:qFormat/>
    <w:uiPriority w:val="99"/>
    <w:rPr>
      <w:rFonts w:ascii="Times New Roman" w:hAnsi="Times New Roman"/>
      <w:b/>
      <w:bCs/>
      <w:kern w:val="2"/>
      <w:sz w:val="21"/>
      <w:szCs w:val="24"/>
    </w:rPr>
  </w:style>
  <w:style w:type="character" w:customStyle="1" w:styleId="48">
    <w:name w:val="正文文本缩进 字符1"/>
    <w:qFormat/>
    <w:uiPriority w:val="0"/>
    <w:rPr>
      <w:rFonts w:ascii="仿宋_GB2312" w:hAnsi="Times New Roman" w:eastAsia="仿宋_GB2312" w:cs="Times New Roman"/>
      <w:sz w:val="32"/>
      <w:szCs w:val="20"/>
    </w:rPr>
  </w:style>
  <w:style w:type="character" w:customStyle="1" w:styleId="49">
    <w:name w:val="apple-style-span"/>
    <w:qFormat/>
    <w:uiPriority w:val="0"/>
  </w:style>
  <w:style w:type="character" w:customStyle="1" w:styleId="50">
    <w:name w:val="标题 1 字符"/>
    <w:qFormat/>
    <w:uiPriority w:val="9"/>
    <w:rPr>
      <w:b/>
      <w:bCs/>
      <w:kern w:val="44"/>
      <w:sz w:val="44"/>
      <w:szCs w:val="44"/>
    </w:rPr>
  </w:style>
  <w:style w:type="character" w:customStyle="1" w:styleId="51">
    <w:name w:val="textcontents"/>
    <w:qFormat/>
    <w:uiPriority w:val="0"/>
  </w:style>
  <w:style w:type="character" w:customStyle="1" w:styleId="52">
    <w:name w:val="纯文本 字符1"/>
    <w:qFormat/>
    <w:uiPriority w:val="0"/>
    <w:rPr>
      <w:rFonts w:ascii="宋体" w:hAnsi="Courier New"/>
    </w:rPr>
  </w:style>
  <w:style w:type="character" w:customStyle="1" w:styleId="53">
    <w:name w:val="批注文字 字符1"/>
    <w:qFormat/>
    <w:uiPriority w:val="0"/>
    <w:rPr>
      <w:kern w:val="2"/>
      <w:sz w:val="21"/>
      <w:szCs w:val="24"/>
    </w:rPr>
  </w:style>
  <w:style w:type="character" w:customStyle="1" w:styleId="54">
    <w:name w:val="纯文本 字符2"/>
    <w:qFormat/>
    <w:uiPriority w:val="0"/>
    <w:rPr>
      <w:rFonts w:ascii="宋体" w:hAnsi="Courier New" w:eastAsia="宋体" w:cs="Courier New"/>
      <w:szCs w:val="21"/>
    </w:rPr>
  </w:style>
  <w:style w:type="character" w:customStyle="1" w:styleId="55">
    <w:name w:val="页脚 Char"/>
    <w:qFormat/>
    <w:uiPriority w:val="99"/>
    <w:rPr>
      <w:lang w:eastAsia="zh-CN"/>
    </w:rPr>
  </w:style>
  <w:style w:type="paragraph" w:customStyle="1" w:styleId="56">
    <w:name w:val="默认段落字体 Para Char Char Char Char Char Char Char Char Char1 Char Char Char Char"/>
    <w:basedOn w:val="1"/>
    <w:qFormat/>
    <w:uiPriority w:val="99"/>
    <w:rPr>
      <w:rFonts w:ascii="Tahoma" w:hAnsi="Tahoma"/>
      <w:sz w:val="24"/>
      <w:szCs w:val="20"/>
    </w:rPr>
  </w:style>
  <w:style w:type="paragraph" w:customStyle="1" w:styleId="57">
    <w:name w:val="表内文字"/>
    <w:basedOn w:val="1"/>
    <w:qFormat/>
    <w:uiPriority w:val="99"/>
    <w:pPr>
      <w:snapToGrid w:val="0"/>
      <w:spacing w:before="50" w:after="50"/>
      <w:jc w:val="center"/>
    </w:pPr>
    <w:rPr>
      <w:rFonts w:ascii="仿宋_GB2312" w:hAnsi="宋体" w:eastAsia="仿宋_GB2312"/>
      <w:b/>
      <w:color w:val="000000"/>
      <w:sz w:val="32"/>
      <w:szCs w:val="32"/>
    </w:rPr>
  </w:style>
  <w:style w:type="paragraph" w:styleId="58">
    <w:name w:val="List Paragraph"/>
    <w:basedOn w:val="1"/>
    <w:qFormat/>
    <w:uiPriority w:val="34"/>
    <w:pPr>
      <w:ind w:firstLine="420" w:firstLineChars="200"/>
    </w:pPr>
  </w:style>
  <w:style w:type="paragraph" w:customStyle="1" w:styleId="59">
    <w:name w:val="Table Paragraph"/>
    <w:basedOn w:val="1"/>
    <w:qFormat/>
    <w:uiPriority w:val="1"/>
    <w:pPr>
      <w:jc w:val="left"/>
    </w:pPr>
    <w:rPr>
      <w:rFonts w:ascii="Calibri" w:hAnsi="Calibri"/>
      <w:kern w:val="0"/>
      <w:sz w:val="22"/>
      <w:szCs w:val="22"/>
      <w:lang w:eastAsia="en-US"/>
    </w:rPr>
  </w:style>
  <w:style w:type="character" w:customStyle="1" w:styleId="60">
    <w:name w:val="批注文字 Char1"/>
    <w:qFormat/>
    <w:uiPriority w:val="0"/>
    <w:rPr>
      <w:rFonts w:ascii="Times New Roman" w:hAnsi="Times New Roman"/>
      <w:kern w:val="2"/>
      <w:sz w:val="21"/>
      <w:szCs w:val="24"/>
    </w:rPr>
  </w:style>
  <w:style w:type="character" w:customStyle="1" w:styleId="61">
    <w:name w:val="批注文字 字符2"/>
    <w:qFormat/>
    <w:uiPriority w:val="0"/>
    <w:rPr>
      <w:rFonts w:ascii="Times New Roman" w:hAnsi="Times New Roman"/>
      <w:kern w:val="2"/>
      <w:sz w:val="21"/>
      <w:szCs w:val="24"/>
    </w:rPr>
  </w:style>
  <w:style w:type="character" w:customStyle="1" w:styleId="62">
    <w:name w:val="正文文本 (26) + 间距 0 pt"/>
    <w:qFormat/>
    <w:uiPriority w:val="0"/>
    <w:rPr>
      <w:rFonts w:hint="eastAsia" w:ascii="宋体" w:hAnsi="宋体" w:eastAsia="宋体" w:cs="宋体"/>
      <w:color w:val="000000"/>
      <w:spacing w:val="0"/>
      <w:w w:val="100"/>
      <w:position w:val="0"/>
      <w:sz w:val="22"/>
      <w:szCs w:val="22"/>
      <w:u w:val="none"/>
      <w:lang w:val="zh-CN" w:eastAsia="zh-CN" w:bidi="zh-CN"/>
    </w:rPr>
  </w:style>
  <w:style w:type="character" w:customStyle="1" w:styleId="63">
    <w:name w:val="纯文本 Char1"/>
    <w:qFormat/>
    <w:uiPriority w:val="0"/>
    <w:rPr>
      <w:rFonts w:ascii="宋体" w:hAnsi="Courier New" w:eastAsia="宋体" w:cs="Courier New"/>
      <w:szCs w:val="21"/>
    </w:rPr>
  </w:style>
  <w:style w:type="character" w:customStyle="1" w:styleId="64">
    <w:name w:val="批注文字 Char2"/>
    <w:qFormat/>
    <w:uiPriority w:val="0"/>
    <w:rPr>
      <w:rFonts w:ascii="Times New Roman" w:hAnsi="Times New Roman"/>
      <w:kern w:val="2"/>
      <w:sz w:val="21"/>
      <w:szCs w:val="24"/>
    </w:rPr>
  </w:style>
  <w:style w:type="character" w:customStyle="1" w:styleId="65">
    <w:name w:val="正文2 Char Char"/>
    <w:link w:val="66"/>
    <w:qFormat/>
    <w:uiPriority w:val="0"/>
    <w:rPr>
      <w:kern w:val="2"/>
      <w:sz w:val="24"/>
    </w:rPr>
  </w:style>
  <w:style w:type="paragraph" w:customStyle="1" w:styleId="66">
    <w:name w:val="正文2"/>
    <w:basedOn w:val="1"/>
    <w:link w:val="65"/>
    <w:qFormat/>
    <w:uiPriority w:val="0"/>
    <w:pPr>
      <w:adjustRightInd w:val="0"/>
      <w:spacing w:before="156" w:line="360" w:lineRule="auto"/>
      <w:ind w:firstLine="510" w:firstLineChars="200"/>
    </w:pPr>
    <w:rPr>
      <w:sz w:val="24"/>
      <w:szCs w:val="20"/>
    </w:rPr>
  </w:style>
  <w:style w:type="paragraph" w:customStyle="1" w:styleId="67">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8">
    <w:name w:val="标题 4 Char"/>
    <w:basedOn w:val="30"/>
    <w:link w:val="5"/>
    <w:semiHidden/>
    <w:qFormat/>
    <w:uiPriority w:val="9"/>
    <w:rPr>
      <w:rFonts w:ascii="Arial" w:hAnsi="Arial" w:eastAsia="黑体"/>
      <w:b/>
      <w:bCs/>
      <w:kern w:val="2"/>
      <w:sz w:val="28"/>
      <w:szCs w:val="28"/>
    </w:rPr>
  </w:style>
  <w:style w:type="character" w:customStyle="1" w:styleId="69">
    <w:name w:val="批注框文本 Char"/>
    <w:basedOn w:val="30"/>
    <w:link w:val="16"/>
    <w:semiHidden/>
    <w:qFormat/>
    <w:uiPriority w:val="99"/>
    <w:rPr>
      <w:kern w:val="2"/>
      <w:sz w:val="18"/>
      <w:szCs w:val="18"/>
    </w:rPr>
  </w:style>
  <w:style w:type="paragraph" w:styleId="70">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71">
    <w:name w:val="表格文字115"/>
    <w:basedOn w:val="1"/>
    <w:qFormat/>
    <w:uiPriority w:val="99"/>
    <w:pPr>
      <w:spacing w:before="25" w:after="25"/>
      <w:jc w:val="left"/>
    </w:pPr>
    <w:rPr>
      <w:bCs/>
      <w:spacing w:val="10"/>
      <w:kern w:val="0"/>
      <w:sz w:val="24"/>
    </w:rPr>
  </w:style>
  <w:style w:type="paragraph" w:customStyle="1" w:styleId="72">
    <w:name w:val="Body Text Indent1"/>
    <w:basedOn w:val="1"/>
    <w:qFormat/>
    <w:uiPriority w:val="99"/>
    <w:pPr>
      <w:spacing w:after="120"/>
      <w:ind w:left="420" w:leftChars="200"/>
    </w:pPr>
  </w:style>
  <w:style w:type="character" w:customStyle="1" w:styleId="73">
    <w:name w:val="font51"/>
    <w:basedOn w:val="30"/>
    <w:qFormat/>
    <w:uiPriority w:val="0"/>
    <w:rPr>
      <w:rFonts w:hint="eastAsia" w:ascii="宋体" w:hAnsi="宋体" w:eastAsia="宋体" w:cs="宋体"/>
      <w:color w:val="000000"/>
      <w:sz w:val="20"/>
      <w:szCs w:val="20"/>
      <w:u w:val="none"/>
    </w:rPr>
  </w:style>
  <w:style w:type="character" w:customStyle="1" w:styleId="74">
    <w:name w:val="font21"/>
    <w:basedOn w:val="30"/>
    <w:qFormat/>
    <w:uiPriority w:val="0"/>
    <w:rPr>
      <w:rFonts w:hint="eastAsia" w:ascii="宋体" w:hAnsi="宋体" w:eastAsia="宋体" w:cs="宋体"/>
      <w:color w:val="000000"/>
      <w:sz w:val="20"/>
      <w:szCs w:val="20"/>
      <w:u w:val="none"/>
    </w:rPr>
  </w:style>
  <w:style w:type="character" w:customStyle="1" w:styleId="75">
    <w:name w:val="font41"/>
    <w:basedOn w:val="30"/>
    <w:qFormat/>
    <w:uiPriority w:val="0"/>
    <w:rPr>
      <w:rFonts w:hint="default" w:ascii="Arial" w:hAnsi="Arial" w:cs="Arial"/>
      <w:color w:val="000000"/>
      <w:sz w:val="20"/>
      <w:szCs w:val="20"/>
      <w:u w:val="none"/>
    </w:rPr>
  </w:style>
  <w:style w:type="paragraph" w:customStyle="1" w:styleId="76">
    <w:name w:val="正文首行缩进 21"/>
    <w:basedOn w:val="72"/>
    <w:qFormat/>
    <w:uiPriority w:val="99"/>
    <w:pPr>
      <w:ind w:firstLine="420" w:firstLineChars="200"/>
    </w:pPr>
    <w:rPr>
      <w:rFonts w:ascii="Calibri" w:hAnsi="Calibri"/>
      <w:szCs w:val="22"/>
    </w:rPr>
  </w:style>
  <w:style w:type="character" w:customStyle="1" w:styleId="77">
    <w:name w:val="font01"/>
    <w:basedOn w:val="30"/>
    <w:qFormat/>
    <w:uiPriority w:val="0"/>
    <w:rPr>
      <w:rFonts w:hint="eastAsia" w:ascii="宋体" w:hAnsi="宋体" w:eastAsia="宋体" w:cs="宋体"/>
      <w:color w:val="000000"/>
      <w:sz w:val="22"/>
      <w:szCs w:val="22"/>
      <w:u w:val="none"/>
    </w:rPr>
  </w:style>
  <w:style w:type="character" w:customStyle="1" w:styleId="78">
    <w:name w:val="font11"/>
    <w:basedOn w:val="30"/>
    <w:qFormat/>
    <w:uiPriority w:val="0"/>
    <w:rPr>
      <w:rFonts w:hint="eastAsia" w:ascii="宋体" w:hAnsi="宋体" w:eastAsia="宋体" w:cs="宋体"/>
      <w:color w:val="FF0000"/>
      <w:sz w:val="22"/>
      <w:szCs w:val="22"/>
      <w:u w:val="none"/>
    </w:rPr>
  </w:style>
  <w:style w:type="character" w:customStyle="1" w:styleId="79">
    <w:name w:val="font61"/>
    <w:basedOn w:val="30"/>
    <w:qFormat/>
    <w:uiPriority w:val="0"/>
    <w:rPr>
      <w:rFonts w:ascii="Calibri" w:hAnsi="Calibri" w:cs="Calibri"/>
      <w:color w:val="000000"/>
      <w:sz w:val="22"/>
      <w:szCs w:val="22"/>
      <w:u w:val="none"/>
    </w:rPr>
  </w:style>
  <w:style w:type="character" w:customStyle="1" w:styleId="80">
    <w:name w:val="font91"/>
    <w:basedOn w:val="30"/>
    <w:qFormat/>
    <w:uiPriority w:val="0"/>
    <w:rPr>
      <w:rFonts w:hint="default" w:ascii="Times New Roman" w:hAnsi="Times New Roman" w:cs="Times New Roman"/>
      <w:color w:val="000000"/>
      <w:sz w:val="24"/>
      <w:szCs w:val="24"/>
      <w:u w:val="none"/>
    </w:rPr>
  </w:style>
  <w:style w:type="character" w:customStyle="1" w:styleId="81">
    <w:name w:val="font71"/>
    <w:basedOn w:val="30"/>
    <w:qFormat/>
    <w:uiPriority w:val="0"/>
    <w:rPr>
      <w:rFonts w:hint="eastAsia" w:ascii="宋体" w:hAnsi="宋体" w:eastAsia="宋体" w:cs="宋体"/>
      <w:color w:val="000000"/>
      <w:sz w:val="16"/>
      <w:szCs w:val="16"/>
      <w:u w:val="none"/>
    </w:rPr>
  </w:style>
  <w:style w:type="paragraph" w:customStyle="1" w:styleId="82">
    <w:name w:val="Legal_L2"/>
    <w:basedOn w:val="1"/>
    <w:qFormat/>
    <w:uiPriority w:val="0"/>
    <w:pPr>
      <w:widowControl/>
      <w:spacing w:after="240" w:line="259" w:lineRule="auto"/>
      <w:jc w:val="left"/>
      <w:outlineLvl w:val="1"/>
    </w:pPr>
    <w:rPr>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thy\Library\Containers\com.kingsoft.wpsoffice.mac\Data\C:\Users\mac\Library\Containers\com.kingsoft.wpsoffice.mac\Data\C:\Users\Lenovoz\Desktop\&#12304;2022.2.21&#23457;&#26680;1&#12305;&#21439;&#32423;&#24555;&#36895;&#26816;&#27979;&#21345;&#37319;&#3614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【2022.2.21审核1】县级快速检测卡采购</Template>
  <Company>广西云龙招标有限公司</Company>
  <Pages>128</Pages>
  <Words>73939</Words>
  <Characters>86144</Characters>
  <Lines>308</Lines>
  <Paragraphs>86</Paragraphs>
  <TotalTime>10</TotalTime>
  <ScaleCrop>false</ScaleCrop>
  <LinksUpToDate>false</LinksUpToDate>
  <CharactersWithSpaces>92227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2023-03-22T23:18:00Z</dcterms:created>
  <dc:creator>周振新</dc:creator>
  <cp:lastModifiedBy>QXL</cp:lastModifiedBy>
  <cp:lastPrinted>2023-06-15T17:05:00Z</cp:lastPrinted>
  <dcterms:modified xsi:type="dcterms:W3CDTF">2025-04-15T09:18:24Z</dcterms:modified>
  <dc:title>竞争性谈判文件规范</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D36172B18BBD4C72A555E928F407F848_13</vt:lpwstr>
  </property>
  <property fmtid="{D5CDD505-2E9C-101B-9397-08002B2CF9AE}" pid="4" name="KSOTemplateDocerSaveRecord">
    <vt:lpwstr>eyJoZGlkIjoiYmYyZDRmNmQ5NmVlNGJiZWNjNTdlZDk4MDhjNDBiNzAiLCJ1c2VySWQiOiIzNzczMTQ3NTQifQ==</vt:lpwstr>
  </property>
</Properties>
</file>