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0" w:firstLineChars="0"/>
        <w:jc w:val="center"/>
        <w:rPr>
          <w:rFonts w:hAnsi="宋体" w:cs="宋体"/>
          <w:bCs/>
          <w:color w:val="auto"/>
          <w:sz w:val="64"/>
          <w:szCs w:val="64"/>
          <w:highlight w:val="none"/>
        </w:rPr>
      </w:pPr>
      <w:r>
        <w:rPr>
          <w:rFonts w:hint="eastAsia" w:hAnsi="宋体" w:cs="宋体"/>
          <w:bCs/>
          <w:color w:val="auto"/>
          <w:sz w:val="64"/>
          <w:szCs w:val="64"/>
          <w:highlight w:val="none"/>
        </w:rPr>
        <w:t>广西正海招标有限公司</w:t>
      </w:r>
    </w:p>
    <w:p>
      <w:pPr>
        <w:bidi w:val="0"/>
        <w:rPr>
          <w:color w:val="auto"/>
          <w:highlight w:val="none"/>
        </w:rPr>
      </w:pPr>
    </w:p>
    <w:p>
      <w:pPr>
        <w:ind w:firstLine="420"/>
        <w:rPr>
          <w:rFonts w:ascii="宋体" w:hAnsi="宋体" w:eastAsia="宋体" w:cs="宋体"/>
          <w:color w:val="auto"/>
          <w:highlight w:val="none"/>
        </w:rPr>
      </w:pPr>
    </w:p>
    <w:p>
      <w:pPr>
        <w:pStyle w:val="15"/>
        <w:ind w:firstLine="0" w:firstLineChars="0"/>
        <w:jc w:val="center"/>
        <w:rPr>
          <w:rFonts w:hint="eastAsia" w:hAnsi="宋体" w:cs="宋体"/>
          <w:b/>
          <w:color w:val="auto"/>
          <w:sz w:val="72"/>
          <w:szCs w:val="72"/>
          <w:highlight w:val="none"/>
        </w:rPr>
      </w:pPr>
    </w:p>
    <w:p>
      <w:pPr>
        <w:pStyle w:val="15"/>
        <w:ind w:firstLine="0" w:firstLineChars="0"/>
        <w:jc w:val="center"/>
        <w:rPr>
          <w:rFonts w:hAnsi="宋体" w:cs="宋体"/>
          <w:b/>
          <w:color w:val="auto"/>
          <w:sz w:val="72"/>
          <w:szCs w:val="72"/>
          <w:highlight w:val="none"/>
        </w:rPr>
      </w:pPr>
      <w:r>
        <w:rPr>
          <w:rFonts w:hint="eastAsia" w:hAnsi="宋体" w:cs="宋体"/>
          <w:b/>
          <w:color w:val="auto"/>
          <w:sz w:val="72"/>
          <w:szCs w:val="72"/>
          <w:highlight w:val="none"/>
        </w:rPr>
        <w:t>竞争性</w:t>
      </w:r>
      <w:r>
        <w:rPr>
          <w:rFonts w:hint="eastAsia" w:hAnsi="宋体" w:cs="宋体"/>
          <w:b/>
          <w:color w:val="auto"/>
          <w:sz w:val="72"/>
          <w:szCs w:val="72"/>
          <w:highlight w:val="none"/>
          <w:lang w:eastAsia="zh-CN"/>
        </w:rPr>
        <w:t>谈判</w:t>
      </w:r>
      <w:r>
        <w:rPr>
          <w:rFonts w:hint="eastAsia" w:hAnsi="宋体" w:cs="宋体"/>
          <w:b/>
          <w:color w:val="auto"/>
          <w:sz w:val="72"/>
          <w:szCs w:val="72"/>
          <w:highlight w:val="none"/>
        </w:rPr>
        <w:t>文件</w:t>
      </w:r>
    </w:p>
    <w:p>
      <w:pPr>
        <w:pStyle w:val="15"/>
        <w:ind w:firstLine="402"/>
        <w:rPr>
          <w:rFonts w:hAnsi="宋体" w:cs="宋体"/>
          <w:b/>
          <w:color w:val="auto"/>
          <w:highlight w:val="none"/>
        </w:rPr>
      </w:pPr>
    </w:p>
    <w:p>
      <w:pPr>
        <w:pStyle w:val="15"/>
        <w:ind w:firstLine="402"/>
        <w:rPr>
          <w:rFonts w:hAnsi="宋体" w:cs="宋体"/>
          <w:b/>
          <w:color w:val="auto"/>
          <w:highlight w:val="none"/>
        </w:rPr>
      </w:pPr>
    </w:p>
    <w:p>
      <w:pPr>
        <w:snapToGrid w:val="0"/>
        <w:spacing w:beforeLines="50"/>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（全流程电子化采购）</w:t>
      </w:r>
    </w:p>
    <w:p>
      <w:pPr>
        <w:pStyle w:val="15"/>
        <w:ind w:firstLine="402"/>
        <w:rPr>
          <w:rFonts w:hAnsi="宋体" w:cs="宋体"/>
          <w:b/>
          <w:color w:val="auto"/>
          <w:highlight w:val="none"/>
        </w:rPr>
      </w:pPr>
    </w:p>
    <w:p>
      <w:pPr>
        <w:pStyle w:val="18"/>
        <w:rPr>
          <w:rFonts w:ascii="宋体" w:hAnsi="宋体" w:eastAsia="宋体" w:cs="宋体"/>
          <w:b/>
          <w:color w:val="auto"/>
          <w:highlight w:val="none"/>
        </w:rPr>
      </w:pPr>
    </w:p>
    <w:p>
      <w:pPr>
        <w:pStyle w:val="18"/>
        <w:rPr>
          <w:rFonts w:ascii="宋体" w:hAnsi="宋体" w:eastAsia="宋体" w:cs="宋体"/>
          <w:b/>
          <w:color w:val="auto"/>
          <w:highlight w:val="none"/>
        </w:rPr>
      </w:pPr>
    </w:p>
    <w:p>
      <w:pPr>
        <w:pStyle w:val="15"/>
        <w:ind w:firstLine="402"/>
        <w:rPr>
          <w:rFonts w:hAnsi="宋体" w:cs="宋体"/>
          <w:b/>
          <w:color w:val="auto"/>
          <w:highlight w:val="none"/>
        </w:rPr>
      </w:pPr>
    </w:p>
    <w:p>
      <w:pPr>
        <w:pStyle w:val="15"/>
        <w:ind w:firstLine="402"/>
        <w:rPr>
          <w:rFonts w:hAnsi="宋体" w:cs="宋体"/>
          <w:b/>
          <w:color w:val="auto"/>
          <w:highlight w:val="none"/>
        </w:rPr>
      </w:pPr>
    </w:p>
    <w:p>
      <w:pPr>
        <w:pStyle w:val="15"/>
        <w:spacing w:line="360" w:lineRule="auto"/>
        <w:ind w:firstLine="1205" w:firstLineChars="400"/>
        <w:jc w:val="both"/>
        <w:rPr>
          <w:rFonts w:hint="eastAsia" w:hAnsi="宋体" w:cs="宋体"/>
          <w:b/>
          <w:bCs w:val="0"/>
          <w:color w:val="auto"/>
          <w:sz w:val="30"/>
          <w:szCs w:val="72"/>
          <w:highlight w:val="none"/>
          <w:lang w:val="en-US" w:eastAsia="zh-CN"/>
        </w:rPr>
      </w:pPr>
      <w:r>
        <w:rPr>
          <w:rFonts w:hint="eastAsia" w:hAnsi="宋体" w:cs="宋体"/>
          <w:b/>
          <w:bCs w:val="0"/>
          <w:color w:val="auto"/>
          <w:sz w:val="30"/>
          <w:szCs w:val="72"/>
          <w:highlight w:val="none"/>
        </w:rPr>
        <w:t>项目名称：</w:t>
      </w:r>
      <w:r>
        <w:rPr>
          <w:rFonts w:hint="eastAsia" w:hAnsi="宋体" w:cs="宋体"/>
          <w:b/>
          <w:bCs w:val="0"/>
          <w:color w:val="auto"/>
          <w:sz w:val="30"/>
          <w:szCs w:val="72"/>
          <w:highlight w:val="none"/>
          <w:lang w:val="en-US" w:eastAsia="zh-CN"/>
        </w:rPr>
        <w:t>校园安防体系新增监控设备及智慧电子班牌</w:t>
      </w:r>
    </w:p>
    <w:p>
      <w:pPr>
        <w:pStyle w:val="15"/>
        <w:spacing w:line="360" w:lineRule="auto"/>
        <w:ind w:firstLine="2711" w:firstLineChars="900"/>
        <w:jc w:val="both"/>
        <w:rPr>
          <w:rFonts w:hint="eastAsia" w:hAnsi="宋体" w:eastAsia="宋体" w:cs="宋体"/>
          <w:b/>
          <w:bCs w:val="0"/>
          <w:color w:val="auto"/>
          <w:sz w:val="30"/>
          <w:szCs w:val="72"/>
          <w:highlight w:val="none"/>
          <w:lang w:eastAsia="zh-CN"/>
        </w:rPr>
      </w:pPr>
      <w:r>
        <w:rPr>
          <w:rFonts w:hint="eastAsia" w:hAnsi="宋体" w:cs="宋体"/>
          <w:b/>
          <w:bCs w:val="0"/>
          <w:color w:val="auto"/>
          <w:sz w:val="30"/>
          <w:szCs w:val="72"/>
          <w:highlight w:val="none"/>
          <w:lang w:val="en-US" w:eastAsia="zh-CN"/>
        </w:rPr>
        <w:t>二期建设项目</w:t>
      </w:r>
    </w:p>
    <w:p>
      <w:pPr>
        <w:pStyle w:val="15"/>
        <w:ind w:left="0" w:leftChars="0" w:firstLine="1205" w:firstLineChars="400"/>
        <w:rPr>
          <w:rFonts w:hint="eastAsia" w:hAnsi="宋体" w:cs="宋体"/>
          <w:b/>
          <w:bCs w:val="0"/>
          <w:color w:val="auto"/>
          <w:sz w:val="30"/>
          <w:szCs w:val="72"/>
          <w:highlight w:val="none"/>
        </w:rPr>
      </w:pPr>
    </w:p>
    <w:p>
      <w:pPr>
        <w:pStyle w:val="15"/>
        <w:ind w:left="0" w:leftChars="0" w:firstLine="1205" w:firstLineChars="400"/>
        <w:rPr>
          <w:rFonts w:hint="eastAsia" w:hAnsi="宋体" w:eastAsia="宋体" w:cs="宋体"/>
          <w:b/>
          <w:bCs w:val="0"/>
          <w:color w:val="auto"/>
          <w:sz w:val="30"/>
          <w:szCs w:val="72"/>
          <w:highlight w:val="none"/>
          <w:lang w:val="en-US" w:eastAsia="zh-CN"/>
        </w:rPr>
      </w:pPr>
      <w:r>
        <w:rPr>
          <w:rFonts w:hint="eastAsia" w:hAnsi="宋体" w:cs="宋体"/>
          <w:b/>
          <w:bCs w:val="0"/>
          <w:color w:val="auto"/>
          <w:sz w:val="30"/>
          <w:szCs w:val="72"/>
          <w:highlight w:val="none"/>
        </w:rPr>
        <w:t>项目编号：</w:t>
      </w:r>
      <w:r>
        <w:rPr>
          <w:rFonts w:hint="eastAsia" w:hAnsi="宋体" w:cs="宋体"/>
          <w:b/>
          <w:bCs w:val="0"/>
          <w:color w:val="auto"/>
          <w:sz w:val="30"/>
          <w:szCs w:val="72"/>
          <w:highlight w:val="none"/>
          <w:lang w:val="en-US" w:eastAsia="zh-CN"/>
        </w:rPr>
        <w:t>GXZC2024-J1-006347-ZHZB</w:t>
      </w:r>
    </w:p>
    <w:p>
      <w:pPr>
        <w:pStyle w:val="15"/>
        <w:ind w:firstLine="1958" w:firstLineChars="650"/>
        <w:rPr>
          <w:rFonts w:hAnsi="宋体" w:cs="宋体"/>
          <w:b/>
          <w:bCs w:val="0"/>
          <w:color w:val="auto"/>
          <w:sz w:val="30"/>
          <w:szCs w:val="72"/>
          <w:highlight w:val="none"/>
        </w:rPr>
      </w:pPr>
    </w:p>
    <w:p>
      <w:pPr>
        <w:bidi w:val="0"/>
        <w:rPr>
          <w:b/>
          <w:bCs w:val="0"/>
          <w:color w:val="auto"/>
          <w:highlight w:val="none"/>
        </w:rPr>
      </w:pPr>
    </w:p>
    <w:p>
      <w:pPr>
        <w:pStyle w:val="15"/>
        <w:ind w:firstLine="1205" w:firstLineChars="400"/>
        <w:jc w:val="both"/>
        <w:rPr>
          <w:rFonts w:hint="default" w:hAnsi="宋体" w:eastAsia="宋体" w:cs="宋体"/>
          <w:b/>
          <w:bCs w:val="0"/>
          <w:color w:val="auto"/>
          <w:sz w:val="30"/>
          <w:szCs w:val="72"/>
          <w:highlight w:val="none"/>
          <w:lang w:val="en-US" w:eastAsia="zh-CN"/>
        </w:rPr>
      </w:pPr>
      <w:r>
        <w:rPr>
          <w:rFonts w:hint="eastAsia" w:hAnsi="宋体" w:cs="宋体"/>
          <w:b/>
          <w:bCs w:val="0"/>
          <w:color w:val="auto"/>
          <w:sz w:val="30"/>
          <w:szCs w:val="72"/>
          <w:highlight w:val="none"/>
        </w:rPr>
        <w:t>采购人：</w:t>
      </w:r>
      <w:r>
        <w:rPr>
          <w:rFonts w:hint="eastAsia" w:hAnsi="宋体" w:cs="宋体"/>
          <w:b/>
          <w:bCs w:val="0"/>
          <w:color w:val="auto"/>
          <w:spacing w:val="-6"/>
          <w:sz w:val="30"/>
          <w:szCs w:val="72"/>
          <w:highlight w:val="none"/>
          <w:lang w:val="en-US" w:eastAsia="zh-CN"/>
        </w:rPr>
        <w:t>广西制造工程职业技术学院</w:t>
      </w:r>
    </w:p>
    <w:p>
      <w:pPr>
        <w:pStyle w:val="15"/>
        <w:ind w:firstLine="1205" w:firstLineChars="400"/>
        <w:jc w:val="both"/>
        <w:rPr>
          <w:rFonts w:hint="eastAsia" w:hAnsi="宋体" w:cs="宋体"/>
          <w:b/>
          <w:bCs w:val="0"/>
          <w:color w:val="auto"/>
          <w:sz w:val="30"/>
          <w:szCs w:val="72"/>
          <w:highlight w:val="none"/>
        </w:rPr>
      </w:pPr>
    </w:p>
    <w:p>
      <w:pPr>
        <w:pStyle w:val="15"/>
        <w:ind w:firstLine="1205" w:firstLineChars="400"/>
        <w:jc w:val="both"/>
        <w:rPr>
          <w:rFonts w:hAnsi="宋体" w:cs="宋体"/>
          <w:b/>
          <w:bCs w:val="0"/>
          <w:color w:val="auto"/>
          <w:sz w:val="30"/>
          <w:szCs w:val="72"/>
          <w:highlight w:val="none"/>
        </w:rPr>
      </w:pPr>
      <w:r>
        <w:rPr>
          <w:rFonts w:hint="eastAsia" w:hAnsi="宋体" w:cs="宋体"/>
          <w:b/>
          <w:bCs w:val="0"/>
          <w:color w:val="auto"/>
          <w:sz w:val="30"/>
          <w:szCs w:val="72"/>
          <w:highlight w:val="none"/>
        </w:rPr>
        <w:t>采购代理机构：广西正海招标有限公司</w:t>
      </w:r>
    </w:p>
    <w:p>
      <w:pPr>
        <w:pStyle w:val="15"/>
        <w:ind w:firstLine="3300" w:firstLineChars="1100"/>
        <w:rPr>
          <w:rFonts w:hint="eastAsia" w:hAnsi="宋体" w:cs="宋体"/>
          <w:bCs/>
          <w:color w:val="auto"/>
          <w:sz w:val="30"/>
          <w:szCs w:val="72"/>
          <w:highlight w:val="none"/>
          <w:lang w:eastAsia="zh-CN"/>
        </w:rPr>
      </w:pPr>
    </w:p>
    <w:p>
      <w:pPr>
        <w:pStyle w:val="15"/>
        <w:ind w:firstLine="3313" w:firstLineChars="1100"/>
        <w:rPr>
          <w:rFonts w:hAnsi="宋体" w:cs="宋体"/>
          <w:b/>
          <w:bCs w:val="0"/>
          <w:color w:val="auto"/>
          <w:sz w:val="30"/>
          <w:szCs w:val="72"/>
          <w:highlight w:val="none"/>
        </w:rPr>
      </w:pPr>
      <w:r>
        <w:rPr>
          <w:rFonts w:hint="eastAsia" w:hAnsi="宋体" w:cs="宋体"/>
          <w:b/>
          <w:bCs w:val="0"/>
          <w:color w:val="auto"/>
          <w:sz w:val="30"/>
          <w:szCs w:val="72"/>
          <w:highlight w:val="none"/>
          <w:lang w:eastAsia="zh-CN"/>
        </w:rPr>
        <w:t>2024年</w:t>
      </w:r>
      <w:r>
        <w:rPr>
          <w:rFonts w:hint="eastAsia" w:hAnsi="宋体" w:cs="宋体"/>
          <w:b/>
          <w:bCs w:val="0"/>
          <w:color w:val="auto"/>
          <w:sz w:val="30"/>
          <w:szCs w:val="72"/>
          <w:highlight w:val="none"/>
          <w:lang w:val="en-US" w:eastAsia="zh-CN"/>
        </w:rPr>
        <w:t>12</w:t>
      </w:r>
      <w:r>
        <w:rPr>
          <w:rFonts w:hint="eastAsia" w:hAnsi="宋体" w:cs="宋体"/>
          <w:b/>
          <w:bCs w:val="0"/>
          <w:color w:val="auto"/>
          <w:sz w:val="30"/>
          <w:szCs w:val="72"/>
          <w:highlight w:val="none"/>
        </w:rPr>
        <w:t>月</w:t>
      </w:r>
    </w:p>
    <w:p>
      <w:pPr>
        <w:ind w:firstLine="574"/>
        <w:rPr>
          <w:rFonts w:ascii="宋体" w:hAnsi="宋体" w:eastAsia="宋体" w:cs="宋体"/>
          <w:b/>
          <w:bCs/>
          <w:color w:val="auto"/>
          <w:w w:val="95"/>
          <w:kern w:val="0"/>
          <w:sz w:val="30"/>
          <w:szCs w:val="30"/>
          <w:highlight w:val="none"/>
          <w:lang w:val="zh-CN"/>
        </w:rPr>
        <w:sectPr>
          <w:headerReference r:id="rId4" w:type="first"/>
          <w:footerReference r:id="rId7" w:type="first"/>
          <w:footerReference r:id="rId5" w:type="default"/>
          <w:headerReference r:id="rId3" w:type="even"/>
          <w:footerReference r:id="rId6" w:type="even"/>
          <w:pgSz w:w="11906" w:h="16838"/>
          <w:pgMar w:top="1701" w:right="1701" w:bottom="1701" w:left="1701" w:header="851" w:footer="992" w:gutter="0"/>
          <w:cols w:space="720" w:num="1"/>
          <w:docGrid w:type="lines" w:linePitch="312" w:charSpace="0"/>
        </w:sect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ascii="宋体" w:hAnsi="宋体"/>
          <w:b/>
          <w:color w:val="auto"/>
          <w:sz w:val="44"/>
          <w:szCs w:val="44"/>
          <w:highlight w:val="none"/>
        </w:rPr>
      </w:pPr>
    </w:p>
    <w:p>
      <w:pPr>
        <w:pStyle w:val="20"/>
        <w:tabs>
          <w:tab w:val="right" w:leader="dot" w:pos="8869"/>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"1-3" \h \z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"_Toc129703548"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color w:val="auto"/>
          <w:sz w:val="28"/>
          <w:szCs w:val="28"/>
          <w:highlight w:val="none"/>
        </w:rPr>
        <w:t>第一章 竞争性谈判公告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_Toc129703548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tabs>
          <w:tab w:val="right" w:leader="dot" w:pos="886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"_Toc129703549"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_Toc129703549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tabs>
          <w:tab w:val="right" w:leader="dot" w:pos="8869"/>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"_Toc129703550"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_Toc129703550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tabs>
          <w:tab w:val="right" w:leader="dot" w:pos="8869"/>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"_Toc129703551"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color w:val="auto"/>
          <w:sz w:val="28"/>
          <w:szCs w:val="28"/>
          <w:highlight w:val="none"/>
        </w:rPr>
        <w:t>第四章 评审程序和评定成交的标准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_Toc129703551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tabs>
          <w:tab w:val="right" w:leader="dot" w:pos="8869"/>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"_Toc129703552"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color w:val="auto"/>
          <w:sz w:val="28"/>
          <w:szCs w:val="28"/>
          <w:highlight w:val="none"/>
        </w:rPr>
        <w:t>第五章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_Toc129703552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tabs>
          <w:tab w:val="right" w:leader="dot" w:pos="8869"/>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"_Toc129703553"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color w:val="auto"/>
          <w:sz w:val="28"/>
          <w:szCs w:val="28"/>
          <w:highlight w:val="none"/>
        </w:rPr>
        <w:t>第六章 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_Toc129703553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931"/>
          <w:tab w:val="clear" w:pos="8296"/>
        </w:tabs>
        <w:snapToGrid w:val="0"/>
        <w:spacing w:line="500" w:lineRule="atLeast"/>
        <w:ind w:left="0" w:leftChars="0"/>
        <w:rPr>
          <w:rFonts w:ascii="宋体" w:hAnsi="宋体"/>
          <w:b/>
          <w:color w:val="auto"/>
          <w:sz w:val="24"/>
          <w:highlight w:val="none"/>
        </w:rPr>
      </w:pPr>
      <w:r>
        <w:rPr>
          <w:rFonts w:hint="eastAsia" w:ascii="宋体" w:hAnsi="宋体" w:eastAsia="宋体" w:cs="宋体"/>
          <w:b/>
          <w:color w:val="auto"/>
          <w:sz w:val="28"/>
          <w:szCs w:val="28"/>
          <w:highlight w:val="none"/>
        </w:rPr>
        <w:fldChar w:fldCharType="end"/>
      </w:r>
    </w:p>
    <w:p>
      <w:pPr>
        <w:spacing w:line="400" w:lineRule="exact"/>
        <w:jc w:val="lef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rPr>
          <w:rFonts w:ascii="宋体" w:hAnsi="宋体"/>
          <w:b/>
          <w:color w:val="auto"/>
          <w:sz w:val="32"/>
          <w:szCs w:val="32"/>
          <w:highlight w:val="none"/>
        </w:rPr>
        <w:sectPr>
          <w:headerReference r:id="rId8" w:type="default"/>
          <w:footerReference r:id="rId9" w:type="default"/>
          <w:pgSz w:w="11906" w:h="16838"/>
          <w:pgMar w:top="1440" w:right="1440" w:bottom="1440" w:left="1587" w:header="851" w:footer="992" w:gutter="0"/>
          <w:pgNumType w:start="0"/>
          <w:cols w:space="720" w:num="1"/>
          <w:titlePg/>
          <w:docGrid w:type="lines" w:linePitch="312" w:charSpace="0"/>
        </w:sectPr>
      </w:pPr>
    </w:p>
    <w:p>
      <w:pPr>
        <w:pStyle w:val="4"/>
        <w:spacing w:after="100" w:line="480" w:lineRule="auto"/>
        <w:jc w:val="center"/>
        <w:rPr>
          <w:color w:val="auto"/>
          <w:highlight w:val="none"/>
        </w:rPr>
      </w:pPr>
      <w:bookmarkStart w:id="0" w:name="_Toc129703548"/>
      <w:r>
        <w:rPr>
          <w:rFonts w:hint="eastAsia"/>
          <w:color w:val="auto"/>
          <w:highlight w:val="none"/>
        </w:rPr>
        <w:t>第一章 竞争性谈判公告</w:t>
      </w:r>
      <w:bookmarkEnd w:id="0"/>
    </w:p>
    <w:p>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lang w:eastAsia="zh-CN"/>
        </w:rPr>
        <w:t>广西正海招标有限公司关于</w:t>
      </w:r>
      <w:r>
        <w:rPr>
          <w:rFonts w:hint="eastAsia" w:ascii="宋体" w:hAnsi="宋体"/>
          <w:b/>
          <w:bCs/>
          <w:color w:val="auto"/>
          <w:sz w:val="24"/>
          <w:szCs w:val="24"/>
          <w:highlight w:val="none"/>
          <w:lang w:val="en-US" w:eastAsia="zh-CN"/>
        </w:rPr>
        <w:t>校园安防体系新增监控设备及智慧电子班牌二期建设项目</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GXZC2024-J1-006347-ZHZB</w:t>
      </w:r>
      <w:r>
        <w:rPr>
          <w:rFonts w:hint="eastAsia" w:ascii="宋体" w:hAnsi="宋体"/>
          <w:b/>
          <w:bCs/>
          <w:color w:val="auto"/>
          <w:sz w:val="24"/>
          <w:szCs w:val="24"/>
          <w:highlight w:val="none"/>
          <w:lang w:eastAsia="zh-CN"/>
        </w:rPr>
        <w:t>）的</w:t>
      </w:r>
      <w:r>
        <w:rPr>
          <w:rFonts w:hint="eastAsia" w:ascii="宋体" w:hAnsi="宋体"/>
          <w:b/>
          <w:bCs/>
          <w:color w:val="auto"/>
          <w:sz w:val="24"/>
          <w:szCs w:val="24"/>
          <w:highlight w:val="none"/>
        </w:rPr>
        <w:t>竞争性谈判公告</w:t>
      </w:r>
    </w:p>
    <w:p>
      <w:pPr>
        <w:spacing w:line="360" w:lineRule="auto"/>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校园安防体系新增监控设备及智慧电子班牌二期建设项目</w:t>
      </w:r>
      <w:r>
        <w:rPr>
          <w:rFonts w:hint="default" w:ascii="宋体" w:hAnsi="宋体"/>
          <w:color w:val="auto"/>
          <w:szCs w:val="21"/>
          <w:highlight w:val="none"/>
          <w:u w:val="none"/>
          <w:lang w:val="en-US" w:eastAsia="zh-CN"/>
        </w:rPr>
        <w:t>采购项目</w:t>
      </w:r>
      <w:r>
        <w:rPr>
          <w:rFonts w:hint="eastAsia" w:ascii="宋体" w:hAnsi="宋体"/>
          <w:color w:val="auto"/>
          <w:szCs w:val="21"/>
          <w:highlight w:val="none"/>
        </w:rPr>
        <w:t>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）获取（下载）竞争性谈判文件，并于</w:t>
      </w:r>
      <w:r>
        <w:rPr>
          <w:rFonts w:hint="eastAsia" w:ascii="宋体" w:hAnsi="宋体"/>
          <w:color w:val="auto"/>
          <w:szCs w:val="21"/>
          <w:highlight w:val="none"/>
          <w:u w:val="single"/>
          <w:lang w:eastAsia="zh-CN"/>
        </w:rPr>
        <w:t>2024年</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ascii="宋体" w:hAnsi="宋体"/>
          <w:bCs/>
          <w:color w:val="auto"/>
          <w:szCs w:val="21"/>
          <w:highlight w:val="none"/>
          <w:u w:val="single"/>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pPr>
        <w:keepNext w:val="0"/>
        <w:pageBreakBefore w:val="0"/>
        <w:kinsoku/>
        <w:wordWrap/>
        <w:overflowPunct/>
        <w:topLinePunct w:val="0"/>
        <w:autoSpaceDE/>
        <w:autoSpaceDN/>
        <w:bidi w:val="0"/>
        <w:adjustRightInd/>
        <w:spacing w:line="440" w:lineRule="exact"/>
        <w:ind w:firstLine="360" w:firstLineChars="150"/>
        <w:textAlignment w:val="auto"/>
        <w:rPr>
          <w:rFonts w:ascii="黑体" w:hAnsi="黑体" w:eastAsia="黑体"/>
          <w:color w:val="auto"/>
          <w:sz w:val="24"/>
          <w:highlight w:val="none"/>
        </w:rPr>
      </w:pPr>
      <w:bookmarkStart w:id="2" w:name="_Toc28359089"/>
      <w:bookmarkStart w:id="3" w:name="_Toc28359012"/>
      <w:bookmarkStart w:id="4" w:name="_Toc35393629"/>
      <w:bookmarkStart w:id="5" w:name="_Toc71366040"/>
      <w:bookmarkStart w:id="6" w:name="_Toc35393798"/>
      <w:bookmarkStart w:id="7" w:name="_Toc71365362"/>
      <w:r>
        <w:rPr>
          <w:rFonts w:hint="eastAsia" w:ascii="黑体" w:hAnsi="黑体" w:eastAsia="黑体"/>
          <w:color w:val="auto"/>
          <w:sz w:val="24"/>
          <w:highlight w:val="none"/>
        </w:rPr>
        <w:t>一、项目基本情况</w:t>
      </w:r>
      <w:bookmarkEnd w:id="2"/>
      <w:bookmarkEnd w:id="3"/>
      <w:bookmarkEnd w:id="4"/>
      <w:bookmarkEnd w:id="5"/>
      <w:bookmarkEnd w:id="6"/>
      <w:bookmarkEnd w:id="7"/>
    </w:p>
    <w:p>
      <w:pPr>
        <w:keepNext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GXZC2024-J1-006347-ZHZB</w:t>
      </w:r>
    </w:p>
    <w:p>
      <w:pPr>
        <w:keepNext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采购计划编号：广西政采[2024]24064号-001、广西政采[2024]24064号-002</w:t>
      </w:r>
      <w:r>
        <w:rPr>
          <w:rFonts w:hint="eastAsia" w:ascii="宋体" w:hAnsi="宋体"/>
          <w:color w:val="auto"/>
          <w:szCs w:val="21"/>
          <w:highlight w:val="none"/>
        </w:rPr>
        <w:t xml:space="preserve">  </w:t>
      </w:r>
      <w:bookmarkStart w:id="8" w:name="OLE_LINK3"/>
    </w:p>
    <w:bookmarkEnd w:id="8"/>
    <w:p>
      <w:pPr>
        <w:keepNext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项目名称：</w:t>
      </w:r>
      <w:r>
        <w:rPr>
          <w:rFonts w:hint="eastAsia" w:ascii="宋体" w:hAnsi="宋体"/>
          <w:color w:val="auto"/>
          <w:szCs w:val="21"/>
          <w:highlight w:val="none"/>
          <w:lang w:val="en-US" w:eastAsia="zh-CN"/>
        </w:rPr>
        <w:t>校园安防体系新增监控设备及智慧电子班牌二期建设项目</w:t>
      </w:r>
    </w:p>
    <w:p>
      <w:pPr>
        <w:keepNext w:val="0"/>
        <w:pageBreakBefore w:val="0"/>
        <w:kinsoku/>
        <w:wordWrap/>
        <w:overflowPunct/>
        <w:topLinePunct w:val="0"/>
        <w:autoSpaceDE/>
        <w:autoSpaceDN/>
        <w:bidi w:val="0"/>
        <w:adjustRightIn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采购方式：竞争性谈判</w:t>
      </w:r>
    </w:p>
    <w:p>
      <w:pPr>
        <w:keepNext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w:t>
      </w:r>
      <w:r>
        <w:rPr>
          <w:rFonts w:hint="default" w:ascii="宋体" w:hAnsi="宋体"/>
          <w:iCs/>
          <w:color w:val="auto"/>
          <w:szCs w:val="21"/>
          <w:highlight w:val="none"/>
          <w:u w:val="none"/>
          <w:lang w:val="en-US" w:eastAsia="zh-CN"/>
        </w:rPr>
        <w:t>10</w:t>
      </w:r>
      <w:r>
        <w:rPr>
          <w:rFonts w:hint="eastAsia" w:ascii="宋体" w:hAnsi="宋体"/>
          <w:iCs/>
          <w:color w:val="auto"/>
          <w:szCs w:val="21"/>
          <w:highlight w:val="none"/>
          <w:u w:val="none"/>
          <w:lang w:val="en-US" w:eastAsia="zh-CN"/>
        </w:rPr>
        <w:t>7</w:t>
      </w:r>
      <w:r>
        <w:rPr>
          <w:rFonts w:hint="default" w:ascii="宋体" w:hAnsi="宋体"/>
          <w:iCs/>
          <w:color w:val="auto"/>
          <w:szCs w:val="21"/>
          <w:highlight w:val="none"/>
          <w:u w:val="none"/>
          <w:lang w:val="en-US" w:eastAsia="zh-CN"/>
        </w:rPr>
        <w:t>.</w:t>
      </w:r>
      <w:r>
        <w:rPr>
          <w:rFonts w:hint="eastAsia" w:ascii="宋体" w:hAnsi="宋体"/>
          <w:iCs/>
          <w:color w:val="auto"/>
          <w:szCs w:val="21"/>
          <w:highlight w:val="none"/>
          <w:u w:val="none"/>
          <w:lang w:val="en-US" w:eastAsia="zh-CN"/>
        </w:rPr>
        <w:t>5万元，其中A分标：67.5万元；B分标：40.00万元。</w:t>
      </w:r>
    </w:p>
    <w:p>
      <w:pPr>
        <w:keepNext w:val="0"/>
        <w:pageBreakBefore w:val="0"/>
        <w:kinsoku/>
        <w:wordWrap/>
        <w:overflowPunct/>
        <w:topLinePunct w:val="0"/>
        <w:autoSpaceDE/>
        <w:autoSpaceDN/>
        <w:bidi w:val="0"/>
        <w:adjustRightIn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eastAsia="宋体" w:cs="宋体"/>
          <w:color w:val="auto"/>
          <w:szCs w:val="21"/>
          <w:highlight w:val="none"/>
        </w:rPr>
        <w:t>同预算金额。</w:t>
      </w:r>
    </w:p>
    <w:p>
      <w:pPr>
        <w:keepNext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采购需求：</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5"/>
        <w:gridCol w:w="2490"/>
        <w:gridCol w:w="1485"/>
        <w:gridCol w:w="3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szCs w:val="21"/>
                <w:highlight w:val="none"/>
                <w:lang w:eastAsia="zh-CN"/>
              </w:rPr>
            </w:pPr>
            <w:r>
              <w:rPr>
                <w:rFonts w:hint="eastAsia" w:ascii="宋体" w:hAnsi="宋体"/>
                <w:szCs w:val="21"/>
                <w:highlight w:val="none"/>
                <w:lang w:eastAsia="zh-CN"/>
              </w:rPr>
              <w:t>序号</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宋体" w:hAnsi="宋体"/>
                <w:szCs w:val="21"/>
                <w:highlight w:val="none"/>
              </w:rPr>
            </w:pPr>
            <w:r>
              <w:rPr>
                <w:rFonts w:hint="eastAsia" w:ascii="宋体" w:hAnsi="宋体"/>
                <w:szCs w:val="21"/>
                <w:highlight w:val="none"/>
              </w:rPr>
              <w:t>标的名称</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宋体" w:hAnsi="宋体"/>
                <w:szCs w:val="21"/>
                <w:highlight w:val="none"/>
              </w:rPr>
            </w:pPr>
            <w:r>
              <w:rPr>
                <w:rFonts w:hint="eastAsia" w:ascii="宋体" w:hAnsi="宋体"/>
                <w:szCs w:val="21"/>
                <w:highlight w:val="none"/>
              </w:rPr>
              <w:t>数量及单位</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both"/>
              <w:textAlignment w:val="auto"/>
              <w:rPr>
                <w:rFonts w:hint="default" w:ascii="宋体" w:hAnsi="宋体"/>
                <w:szCs w:val="21"/>
                <w:highlight w:val="none"/>
                <w:lang w:val="en-US" w:eastAsia="zh-CN"/>
              </w:rPr>
            </w:pPr>
            <w:r>
              <w:rPr>
                <w:rFonts w:hint="eastAsia" w:ascii="宋体" w:hAnsi="宋体"/>
                <w:szCs w:val="21"/>
                <w:highlight w:val="none"/>
                <w:lang w:val="en-US" w:eastAsia="zh-CN"/>
              </w:rPr>
              <w:t>A分标：校园安防体系新增监控设备项目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1</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szCs w:val="21"/>
                <w:highlight w:val="none"/>
              </w:rPr>
            </w:pPr>
            <w:r>
              <w:rPr>
                <w:rFonts w:hint="eastAsia" w:ascii="宋体" w:hAnsi="宋体" w:cs="宋体"/>
                <w:szCs w:val="21"/>
                <w:highlight w:val="none"/>
              </w:rPr>
              <w:t>400万红外定焦枪型网络摄像机</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234</w:t>
            </w:r>
            <w:r>
              <w:rPr>
                <w:rFonts w:hint="eastAsia" w:ascii="宋体" w:hAnsi="宋体" w:cs="宋体"/>
                <w:szCs w:val="21"/>
                <w:highlight w:val="none"/>
                <w:lang w:val="en-US" w:eastAsia="zh-CN"/>
              </w:rPr>
              <w:t>台</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szCs w:val="21"/>
                <w:highlight w:val="none"/>
                <w:lang w:eastAsia="zh-CN"/>
              </w:rPr>
            </w:pPr>
            <w:r>
              <w:rPr>
                <w:rFonts w:hint="eastAsia" w:ascii="宋体" w:hAnsi="宋体"/>
                <w:szCs w:val="21"/>
                <w:highlight w:val="none"/>
                <w:lang w:eastAsia="zh-CN"/>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szCs w:val="21"/>
                <w:highlight w:val="none"/>
                <w:lang w:eastAsia="zh-CN"/>
              </w:rPr>
            </w:pPr>
            <w:r>
              <w:rPr>
                <w:rFonts w:hint="eastAsia" w:ascii="宋体" w:hAnsi="宋体"/>
                <w:szCs w:val="21"/>
                <w:highlight w:val="none"/>
                <w:lang w:eastAsia="zh-CN"/>
              </w:rPr>
              <w:t>……</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szCs w:val="21"/>
                <w:highlight w:val="none"/>
                <w:lang w:eastAsia="zh-CN"/>
              </w:rPr>
            </w:pP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autoSpaceDN/>
              <w:bidi w:val="0"/>
              <w:adjustRightInd/>
              <w:spacing w:line="440" w:lineRule="exact"/>
              <w:textAlignment w:val="auto"/>
              <w:rPr>
                <w:rFonts w:hint="eastAsia" w:ascii="宋体" w:hAnsi="宋体"/>
                <w:szCs w:val="21"/>
                <w:highlight w:val="none"/>
              </w:rPr>
            </w:pPr>
            <w:r>
              <w:rPr>
                <w:rFonts w:hint="eastAsia" w:ascii="宋体" w:hAnsi="宋体"/>
                <w:color w:val="auto"/>
                <w:szCs w:val="21"/>
                <w:highlight w:val="none"/>
              </w:rPr>
              <w:t>合同履行期限：自签订合同之日起</w:t>
            </w:r>
            <w:r>
              <w:rPr>
                <w:rFonts w:hint="eastAsia" w:ascii="宋体" w:hAnsi="宋体"/>
                <w:color w:val="auto"/>
                <w:szCs w:val="21"/>
                <w:highlight w:val="none"/>
                <w:lang w:val="en-US" w:eastAsia="zh-CN"/>
              </w:rPr>
              <w:t>60</w:t>
            </w:r>
            <w:r>
              <w:rPr>
                <w:rFonts w:hint="eastAsia" w:ascii="宋体" w:hAnsi="宋体"/>
                <w:color w:val="auto"/>
                <w:szCs w:val="21"/>
                <w:highlight w:val="none"/>
              </w:rPr>
              <w:t>日历日内全部交货安装完成并验收合格</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B分标：智慧电子班牌二期建设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szCs w:val="21"/>
                <w:highlight w:val="none"/>
              </w:rPr>
            </w:pPr>
            <w:r>
              <w:rPr>
                <w:rFonts w:hint="eastAsia" w:ascii="宋体" w:hAnsi="宋体" w:cs="宋体"/>
                <w:szCs w:val="21"/>
                <w:highlight w:val="none"/>
              </w:rPr>
              <w:t>电子班牌</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50台</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szCs w:val="21"/>
                <w:highlight w:val="none"/>
              </w:rPr>
            </w:pPr>
            <w:r>
              <w:rPr>
                <w:rFonts w:hint="eastAsia" w:ascii="宋体" w:hAnsi="宋体"/>
                <w:szCs w:val="21"/>
                <w:highlight w:val="none"/>
                <w:lang w:eastAsia="zh-CN"/>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宋体" w:hAnsi="宋体"/>
                <w:szCs w:val="21"/>
                <w:highlight w:val="none"/>
                <w:lang w:val="en-US" w:eastAsia="zh-CN"/>
              </w:rPr>
            </w:pPr>
            <w:r>
              <w:rPr>
                <w:rFonts w:hint="eastAsia" w:ascii="宋体" w:hAnsi="宋体"/>
                <w:szCs w:val="21"/>
                <w:highlight w:val="none"/>
                <w:lang w:val="en-US" w:eastAsia="zh-CN"/>
              </w:rPr>
              <w:t>……</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szCs w:val="21"/>
                <w:highlight w:val="none"/>
                <w:lang w:eastAsia="zh-CN"/>
              </w:rPr>
            </w:pP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autoSpaceDN/>
              <w:bidi w:val="0"/>
              <w:adjustRightInd/>
              <w:spacing w:line="440" w:lineRule="exact"/>
              <w:textAlignment w:val="auto"/>
              <w:rPr>
                <w:rFonts w:hint="eastAsia" w:ascii="宋体" w:hAnsi="宋体"/>
                <w:szCs w:val="21"/>
                <w:highlight w:val="none"/>
              </w:rPr>
            </w:pPr>
            <w:r>
              <w:rPr>
                <w:rFonts w:hint="eastAsia" w:ascii="宋体" w:hAnsi="宋体"/>
                <w:color w:val="auto"/>
                <w:szCs w:val="21"/>
                <w:highlight w:val="none"/>
              </w:rPr>
              <w:t>合同履行期限：</w:t>
            </w:r>
            <w:r>
              <w:rPr>
                <w:rFonts w:hint="eastAsia" w:ascii="宋体" w:hAnsi="宋体" w:cs="宋体"/>
                <w:color w:val="auto"/>
                <w:sz w:val="21"/>
                <w:szCs w:val="21"/>
                <w:highlight w:val="none"/>
                <w:lang w:eastAsia="zh-CN"/>
              </w:rPr>
              <w:t>自签订合同之日起30日历日内全部交货安装完成并验收合格</w:t>
            </w:r>
            <w:r>
              <w:rPr>
                <w:rFonts w:hint="eastAsia" w:ascii="宋体" w:hAnsi="宋体"/>
                <w:color w:val="auto"/>
                <w:szCs w:val="21"/>
                <w:highlight w:val="none"/>
              </w:rPr>
              <w:t>。</w:t>
            </w:r>
          </w:p>
        </w:tc>
      </w:tr>
    </w:tbl>
    <w:p>
      <w:pPr>
        <w:keepNext w:val="0"/>
        <w:pageBreakBefore w:val="0"/>
        <w:kinsoku/>
        <w:wordWrap/>
        <w:overflowPunct/>
        <w:topLinePunct w:val="0"/>
        <w:autoSpaceDE/>
        <w:autoSpaceDN/>
        <w:bidi w:val="0"/>
        <w:adjustRightIn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本项目不接受联合体。</w:t>
      </w:r>
    </w:p>
    <w:p>
      <w:pPr>
        <w:keepNext w:val="0"/>
        <w:pageBreakBefore w:val="0"/>
        <w:kinsoku/>
        <w:wordWrap/>
        <w:overflowPunct/>
        <w:topLinePunct w:val="0"/>
        <w:autoSpaceDE/>
        <w:autoSpaceDN/>
        <w:bidi w:val="0"/>
        <w:adjustRightInd/>
        <w:spacing w:line="440" w:lineRule="exact"/>
        <w:ind w:firstLine="480" w:firstLineChars="200"/>
        <w:textAlignment w:val="auto"/>
        <w:rPr>
          <w:rFonts w:ascii="黑体" w:hAnsi="黑体" w:eastAsia="黑体"/>
          <w:color w:val="auto"/>
          <w:sz w:val="24"/>
          <w:highlight w:val="none"/>
        </w:rPr>
      </w:pPr>
      <w:bookmarkStart w:id="9" w:name="_Toc35393799"/>
      <w:bookmarkStart w:id="10" w:name="_Toc35393630"/>
      <w:bookmarkStart w:id="11" w:name="_Toc28359090"/>
      <w:bookmarkStart w:id="12" w:name="_Toc71365363"/>
      <w:bookmarkStart w:id="13" w:name="_Toc28359013"/>
      <w:bookmarkStart w:id="14" w:name="_Toc71366041"/>
      <w:r>
        <w:rPr>
          <w:rFonts w:hint="eastAsia" w:ascii="黑体" w:hAnsi="黑体" w:eastAsia="黑体"/>
          <w:color w:val="auto"/>
          <w:sz w:val="24"/>
          <w:highlight w:val="none"/>
        </w:rPr>
        <w:t>二、供应商的资格条件：</w:t>
      </w:r>
      <w:bookmarkEnd w:id="9"/>
      <w:bookmarkEnd w:id="10"/>
      <w:bookmarkEnd w:id="11"/>
      <w:bookmarkEnd w:id="12"/>
      <w:bookmarkEnd w:id="13"/>
      <w:bookmarkEnd w:id="14"/>
    </w:p>
    <w:p>
      <w:pPr>
        <w:keepNext w:val="0"/>
        <w:pageBreakBefore w:val="0"/>
        <w:kinsoku/>
        <w:wordWrap/>
        <w:overflowPunct/>
        <w:topLinePunct w:val="0"/>
        <w:autoSpaceDE/>
        <w:autoSpaceDN/>
        <w:bidi w:val="0"/>
        <w:adjustRightInd/>
        <w:spacing w:line="440" w:lineRule="exact"/>
        <w:ind w:firstLine="420" w:firstLineChars="200"/>
        <w:textAlignment w:val="auto"/>
        <w:rPr>
          <w:rFonts w:ascii="宋体" w:hAnsi="宋体"/>
          <w:color w:val="auto"/>
          <w:szCs w:val="21"/>
          <w:highlight w:val="none"/>
        </w:rPr>
      </w:pPr>
      <w:bookmarkStart w:id="15" w:name="_Toc28359014"/>
      <w:bookmarkStart w:id="16" w:name="_Toc28359091"/>
      <w:r>
        <w:rPr>
          <w:rFonts w:hint="eastAsia" w:ascii="宋体" w:hAnsi="宋体"/>
          <w:color w:val="auto"/>
          <w:szCs w:val="21"/>
          <w:highlight w:val="none"/>
        </w:rPr>
        <w:t>1.满足《中华人民共和国政府采购法》第二十二条规定；</w:t>
      </w:r>
    </w:p>
    <w:p>
      <w:pPr>
        <w:keepNext w:val="0"/>
        <w:pageBreakBefore w:val="0"/>
        <w:kinsoku/>
        <w:wordWrap/>
        <w:overflowPunct/>
        <w:topLinePunct w:val="0"/>
        <w:autoSpaceDE/>
        <w:autoSpaceDN/>
        <w:bidi w:val="0"/>
        <w:adjustRightInd/>
        <w:spacing w:line="44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pPr>
        <w:keepNext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无。</w:t>
      </w:r>
    </w:p>
    <w:p>
      <w:pPr>
        <w:keepNext w:val="0"/>
        <w:pageBreakBefore w:val="0"/>
        <w:kinsoku/>
        <w:wordWrap/>
        <w:overflowPunct/>
        <w:topLinePunct w:val="0"/>
        <w:autoSpaceDE/>
        <w:autoSpaceDN/>
        <w:bidi w:val="0"/>
        <w:adjustRightInd/>
        <w:spacing w:line="440" w:lineRule="exact"/>
        <w:ind w:firstLine="480" w:firstLineChars="200"/>
        <w:textAlignment w:val="auto"/>
        <w:rPr>
          <w:rFonts w:ascii="黑体" w:hAnsi="黑体" w:eastAsia="黑体"/>
          <w:color w:val="auto"/>
          <w:sz w:val="24"/>
          <w:highlight w:val="none"/>
        </w:rPr>
      </w:pPr>
      <w:bookmarkStart w:id="17" w:name="_Toc71366042"/>
      <w:bookmarkStart w:id="18" w:name="_Toc35393800"/>
      <w:bookmarkStart w:id="19" w:name="_Toc71365364"/>
      <w:bookmarkStart w:id="20" w:name="_Toc35393631"/>
      <w:r>
        <w:rPr>
          <w:rFonts w:hint="eastAsia" w:ascii="黑体" w:hAnsi="黑体" w:eastAsia="黑体"/>
          <w:color w:val="auto"/>
          <w:sz w:val="24"/>
          <w:highlight w:val="none"/>
        </w:rPr>
        <w:t>三、获取竞争性谈判文件</w:t>
      </w:r>
      <w:bookmarkEnd w:id="15"/>
      <w:bookmarkEnd w:id="16"/>
      <w:bookmarkEnd w:id="17"/>
      <w:bookmarkEnd w:id="18"/>
      <w:bookmarkEnd w:id="19"/>
      <w:bookmarkEnd w:id="20"/>
    </w:p>
    <w:p>
      <w:pPr>
        <w:keepNext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eastAsia="宋体" w:cs="宋体"/>
          <w:color w:val="auto"/>
          <w:szCs w:val="21"/>
          <w:highlight w:val="none"/>
        </w:rPr>
      </w:pPr>
      <w:bookmarkStart w:id="21" w:name="_Toc71365365"/>
      <w:bookmarkStart w:id="22" w:name="_Toc28359015"/>
      <w:bookmarkStart w:id="23" w:name="_Toc35393632"/>
      <w:bookmarkStart w:id="24" w:name="_Toc71366043"/>
      <w:bookmarkStart w:id="25" w:name="_Toc28359092"/>
      <w:bookmarkStart w:id="26" w:name="_Toc35393801"/>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日至</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日，每天上午00:00至11:59，下午12:00至23:59（北京时间，法定节假日除外）</w:t>
      </w:r>
    </w:p>
    <w:p>
      <w:pPr>
        <w:keepNext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地点（网址）：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 xml:space="preserve">）                                                                                                                                                                                                            </w:t>
      </w:r>
    </w:p>
    <w:p>
      <w:pPr>
        <w:keepNext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方式：网上下载。本项目不提供纸质文件，潜在供应商需在广西政府采购云平台（https://www.gcy.zfcg.gxzf.gov.cn/）-进入“项目采购”应用，在获取采购文件菜单中选择项目，获取竞争性</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文件。电子响应文件制作需要基于广西政府采购云平台获取的</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文件编制，通过其他方式获取</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文件的，将有可能导致供应商无法在广西政府采购云平台编制及上传响应文件</w:t>
      </w:r>
      <w:r>
        <w:rPr>
          <w:rFonts w:hint="eastAsia" w:ascii="宋体" w:hAnsi="宋体" w:eastAsia="宋体" w:cs="宋体"/>
          <w:color w:val="auto"/>
          <w:szCs w:val="21"/>
          <w:highlight w:val="none"/>
          <w:lang w:eastAsia="zh-CN"/>
        </w:rPr>
        <w:t>。</w:t>
      </w:r>
    </w:p>
    <w:p>
      <w:pPr>
        <w:keepNext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售价：0元</w:t>
      </w:r>
    </w:p>
    <w:p>
      <w:pPr>
        <w:keepNext w:val="0"/>
        <w:pageBreakBefore w:val="0"/>
        <w:kinsoku/>
        <w:wordWrap/>
        <w:overflowPunct/>
        <w:topLinePunct w:val="0"/>
        <w:autoSpaceDE/>
        <w:autoSpaceDN/>
        <w:bidi w:val="0"/>
        <w:adjustRightInd/>
        <w:spacing w:line="440" w:lineRule="exact"/>
        <w:ind w:firstLine="360" w:firstLineChars="150"/>
        <w:textAlignment w:val="auto"/>
        <w:rPr>
          <w:rFonts w:ascii="黑体" w:hAnsi="黑体" w:eastAsia="黑体"/>
          <w:color w:val="auto"/>
          <w:sz w:val="24"/>
          <w:highlight w:val="none"/>
        </w:rPr>
      </w:pPr>
      <w:r>
        <w:rPr>
          <w:rFonts w:hint="eastAsia" w:ascii="黑体" w:hAnsi="黑体" w:eastAsia="黑体"/>
          <w:color w:val="auto"/>
          <w:sz w:val="24"/>
          <w:highlight w:val="none"/>
        </w:rPr>
        <w:t>四、响应文件提交</w:t>
      </w:r>
      <w:bookmarkEnd w:id="21"/>
      <w:bookmarkEnd w:id="22"/>
      <w:bookmarkEnd w:id="23"/>
      <w:bookmarkEnd w:id="24"/>
      <w:bookmarkEnd w:id="25"/>
      <w:bookmarkEnd w:id="26"/>
    </w:p>
    <w:p>
      <w:pPr>
        <w:keepNext w:val="0"/>
        <w:pageBreakBefore w:val="0"/>
        <w:kinsoku/>
        <w:wordWrap/>
        <w:overflowPunct/>
        <w:topLinePunct w:val="0"/>
        <w:autoSpaceDE/>
        <w:autoSpaceDN/>
        <w:bidi w:val="0"/>
        <w:adjustRightInd/>
        <w:spacing w:line="44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u w:val="single"/>
          <w:lang w:eastAsia="zh-CN"/>
        </w:rPr>
        <w:t>2024年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13</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点</w:t>
      </w:r>
      <w:r>
        <w:rPr>
          <w:rFonts w:ascii="宋体" w:hAnsi="宋体"/>
          <w:bCs/>
          <w:color w:val="auto"/>
          <w:szCs w:val="21"/>
          <w:highlight w:val="none"/>
          <w:u w:val="single"/>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keepNext w:val="0"/>
        <w:pageBreakBefore w:val="0"/>
        <w:kinsoku/>
        <w:wordWrap/>
        <w:overflowPunct/>
        <w:topLinePunct w:val="0"/>
        <w:autoSpaceDE/>
        <w:autoSpaceDN/>
        <w:bidi w:val="0"/>
        <w:adjustRightInd/>
        <w:spacing w:line="440" w:lineRule="exact"/>
        <w:ind w:left="422"/>
        <w:textAlignment w:val="auto"/>
        <w:rPr>
          <w:rFonts w:ascii="宋体" w:hAnsi="宋体"/>
          <w:bCs/>
          <w:color w:val="auto"/>
          <w:szCs w:val="21"/>
          <w:highlight w:val="none"/>
          <w:u w:val="single"/>
        </w:rPr>
      </w:pPr>
      <w:r>
        <w:rPr>
          <w:rFonts w:hint="eastAsia" w:ascii="宋体" w:hAnsi="宋体"/>
          <w:color w:val="auto"/>
          <w:szCs w:val="21"/>
          <w:highlight w:val="none"/>
        </w:rPr>
        <w:t>地点：</w:t>
      </w:r>
      <w:r>
        <w:rPr>
          <w:rFonts w:hint="eastAsia" w:ascii="宋体" w:hAnsi="宋体"/>
          <w:color w:val="auto"/>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w:t>
      </w:r>
    </w:p>
    <w:p>
      <w:pPr>
        <w:keepNext w:val="0"/>
        <w:pageBreakBefore w:val="0"/>
        <w:kinsoku/>
        <w:wordWrap/>
        <w:overflowPunct/>
        <w:topLinePunct w:val="0"/>
        <w:autoSpaceDE/>
        <w:autoSpaceDN/>
        <w:bidi w:val="0"/>
        <w:adjustRightInd/>
        <w:spacing w:line="440" w:lineRule="exact"/>
        <w:ind w:firstLine="360" w:firstLineChars="150"/>
        <w:textAlignment w:val="auto"/>
        <w:rPr>
          <w:rFonts w:ascii="黑体" w:hAnsi="黑体" w:eastAsia="黑体"/>
          <w:color w:val="auto"/>
          <w:sz w:val="24"/>
          <w:highlight w:val="none"/>
        </w:rPr>
      </w:pPr>
      <w:bookmarkStart w:id="27" w:name="_Toc71366044"/>
      <w:bookmarkStart w:id="28" w:name="_Toc71365366"/>
      <w:bookmarkStart w:id="29" w:name="_Toc35393802"/>
      <w:bookmarkStart w:id="30" w:name="_Toc28359093"/>
      <w:bookmarkStart w:id="31" w:name="_Toc35393633"/>
      <w:bookmarkStart w:id="32" w:name="_Toc28359016"/>
      <w:r>
        <w:rPr>
          <w:rFonts w:hint="eastAsia" w:ascii="黑体" w:hAnsi="黑体" w:eastAsia="黑体"/>
          <w:color w:val="auto"/>
          <w:sz w:val="24"/>
          <w:highlight w:val="none"/>
        </w:rPr>
        <w:t>五、开启</w:t>
      </w:r>
      <w:bookmarkEnd w:id="27"/>
      <w:bookmarkEnd w:id="28"/>
      <w:bookmarkEnd w:id="29"/>
      <w:bookmarkEnd w:id="30"/>
      <w:bookmarkEnd w:id="31"/>
      <w:bookmarkEnd w:id="32"/>
    </w:p>
    <w:p>
      <w:pPr>
        <w:keepNext w:val="0"/>
        <w:pageBreakBefore w:val="0"/>
        <w:kinsoku/>
        <w:wordWrap/>
        <w:overflowPunct/>
        <w:topLinePunct w:val="0"/>
        <w:autoSpaceDE/>
        <w:autoSpaceDN/>
        <w:bidi w:val="0"/>
        <w:adjustRightInd/>
        <w:spacing w:line="44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lang w:eastAsia="zh-CN"/>
        </w:rPr>
        <w:t>2024年</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点</w:t>
      </w:r>
      <w:r>
        <w:rPr>
          <w:rFonts w:ascii="宋体" w:hAnsi="宋体"/>
          <w:bCs/>
          <w:color w:val="auto"/>
          <w:szCs w:val="21"/>
          <w:highlight w:val="none"/>
          <w:u w:val="single"/>
        </w:rPr>
        <w:t>00</w:t>
      </w:r>
      <w:r>
        <w:rPr>
          <w:rFonts w:hint="eastAsia" w:ascii="宋体" w:hAnsi="宋体"/>
          <w:bCs/>
          <w:color w:val="auto"/>
          <w:szCs w:val="21"/>
          <w:highlight w:val="none"/>
          <w:u w:val="single"/>
        </w:rPr>
        <w:t>分（北京时间）</w:t>
      </w:r>
    </w:p>
    <w:p>
      <w:pPr>
        <w:keepNext w:val="0"/>
        <w:pageBreakBefore w:val="0"/>
        <w:kinsoku/>
        <w:wordWrap/>
        <w:overflowPunct/>
        <w:topLinePunct w:val="0"/>
        <w:autoSpaceDE/>
        <w:autoSpaceDN/>
        <w:bidi w:val="0"/>
        <w:adjustRightInd/>
        <w:spacing w:line="44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地点：</w:t>
      </w:r>
      <w:r>
        <w:rPr>
          <w:rFonts w:hint="eastAsia" w:ascii="宋体" w:hAnsi="宋体"/>
          <w:color w:val="auto"/>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w:t>
      </w:r>
    </w:p>
    <w:p>
      <w:pPr>
        <w:keepNext w:val="0"/>
        <w:pageBreakBefore w:val="0"/>
        <w:kinsoku/>
        <w:wordWrap/>
        <w:overflowPunct/>
        <w:topLinePunct w:val="0"/>
        <w:autoSpaceDE/>
        <w:autoSpaceDN/>
        <w:bidi w:val="0"/>
        <w:adjustRightInd/>
        <w:spacing w:line="440" w:lineRule="exact"/>
        <w:ind w:firstLine="360" w:firstLineChars="150"/>
        <w:textAlignment w:val="auto"/>
        <w:rPr>
          <w:rFonts w:ascii="黑体" w:hAnsi="黑体" w:eastAsia="黑体"/>
          <w:color w:val="auto"/>
          <w:sz w:val="24"/>
          <w:highlight w:val="none"/>
        </w:rPr>
      </w:pPr>
      <w:bookmarkStart w:id="33" w:name="_Toc28359094"/>
      <w:bookmarkStart w:id="34" w:name="_Toc35393803"/>
      <w:bookmarkStart w:id="35" w:name="_Toc35393634"/>
      <w:bookmarkStart w:id="36" w:name="_Toc28359017"/>
      <w:bookmarkStart w:id="37" w:name="_Toc71366045"/>
      <w:bookmarkStart w:id="38" w:name="_Toc71365367"/>
      <w:r>
        <w:rPr>
          <w:rFonts w:hint="eastAsia" w:ascii="黑体" w:hAnsi="黑体" w:eastAsia="黑体"/>
          <w:color w:val="auto"/>
          <w:sz w:val="24"/>
          <w:highlight w:val="none"/>
        </w:rPr>
        <w:t>六、公告期限</w:t>
      </w:r>
      <w:bookmarkEnd w:id="33"/>
      <w:bookmarkEnd w:id="34"/>
      <w:bookmarkEnd w:id="35"/>
      <w:bookmarkEnd w:id="36"/>
      <w:bookmarkEnd w:id="37"/>
      <w:bookmarkEnd w:id="38"/>
    </w:p>
    <w:p>
      <w:pPr>
        <w:keepNext w:val="0"/>
        <w:pageBreakBefore w:val="0"/>
        <w:kinsoku/>
        <w:wordWrap/>
        <w:overflowPunct/>
        <w:topLinePunct w:val="0"/>
        <w:autoSpaceDE/>
        <w:autoSpaceDN/>
        <w:bidi w:val="0"/>
        <w:adjustRightInd/>
        <w:spacing w:line="44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keepNext w:val="0"/>
        <w:pageBreakBefore w:val="0"/>
        <w:kinsoku/>
        <w:wordWrap/>
        <w:overflowPunct/>
        <w:topLinePunct w:val="0"/>
        <w:autoSpaceDE/>
        <w:autoSpaceDN/>
        <w:bidi w:val="0"/>
        <w:adjustRightInd/>
        <w:spacing w:line="440" w:lineRule="exact"/>
        <w:ind w:firstLine="360" w:firstLineChars="150"/>
        <w:textAlignment w:val="auto"/>
        <w:rPr>
          <w:rFonts w:ascii="黑体" w:hAnsi="黑体" w:eastAsia="黑体"/>
          <w:color w:val="auto"/>
          <w:sz w:val="24"/>
          <w:highlight w:val="none"/>
        </w:rPr>
      </w:pPr>
      <w:bookmarkStart w:id="39" w:name="_Toc35393635"/>
      <w:bookmarkStart w:id="40" w:name="_Toc71365368"/>
      <w:bookmarkStart w:id="41" w:name="_Toc35393804"/>
      <w:bookmarkStart w:id="42" w:name="_Toc71366046"/>
      <w:r>
        <w:rPr>
          <w:rFonts w:hint="eastAsia" w:ascii="黑体" w:hAnsi="黑体" w:eastAsia="黑体"/>
          <w:color w:val="auto"/>
          <w:sz w:val="24"/>
          <w:highlight w:val="none"/>
        </w:rPr>
        <w:t>七、其他补充事宜</w:t>
      </w:r>
      <w:bookmarkEnd w:id="39"/>
      <w:bookmarkEnd w:id="40"/>
      <w:bookmarkEnd w:id="41"/>
      <w:bookmarkEnd w:id="42"/>
    </w:p>
    <w:p>
      <w:pPr>
        <w:keepNext w:val="0"/>
        <w:pageBreakBefore w:val="0"/>
        <w:kinsoku/>
        <w:wordWrap/>
        <w:overflowPunct/>
        <w:topLinePunct w:val="0"/>
        <w:autoSpaceDE/>
        <w:autoSpaceDN/>
        <w:bidi w:val="0"/>
        <w:adjustRightInd/>
        <w:spacing w:line="44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s="宋体"/>
          <w:kern w:val="0"/>
          <w:szCs w:val="21"/>
          <w:highlight w:val="none"/>
        </w:rPr>
      </w:pPr>
      <w:bookmarkStart w:id="43" w:name="_Hlk37429674"/>
      <w:bookmarkStart w:id="44" w:name="_Toc35393636"/>
      <w:bookmarkStart w:id="45" w:name="_Toc35393805"/>
      <w:bookmarkStart w:id="46" w:name="_Toc71366047"/>
      <w:bookmarkStart w:id="47" w:name="_Toc71365369"/>
      <w:bookmarkStart w:id="48" w:name="_Toc28359095"/>
      <w:bookmarkStart w:id="49" w:name="_Toc28359018"/>
      <w:r>
        <w:rPr>
          <w:rFonts w:hint="eastAsia" w:ascii="宋体" w:hAnsi="宋体" w:cs="宋体"/>
          <w:kern w:val="0"/>
          <w:szCs w:val="21"/>
          <w:highlight w:val="none"/>
        </w:rPr>
        <w:t>中国政府采购网、广西壮族自治区政府采购网、广西正海招标有限公司网</w:t>
      </w:r>
    </w:p>
    <w:p>
      <w:pPr>
        <w:keepNext w:val="0"/>
        <w:keepLines/>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2.本项目需要落实的政府采购政策</w:t>
      </w:r>
    </w:p>
    <w:p>
      <w:pPr>
        <w:keepNext w:val="0"/>
        <w:keepLines/>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（1）政府采购促进中小企业发展。</w:t>
      </w:r>
    </w:p>
    <w:p>
      <w:pPr>
        <w:keepNext w:val="0"/>
        <w:keepLines/>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（2）政府采购支持采用本国产品的政策。</w:t>
      </w:r>
    </w:p>
    <w:p>
      <w:pPr>
        <w:keepNext w:val="0"/>
        <w:keepLines/>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（3）强制采购节能产品；优先采购节能产品、环境标志产品。</w:t>
      </w:r>
    </w:p>
    <w:p>
      <w:pPr>
        <w:keepNext w:val="0"/>
        <w:keepLines/>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（4）政府采购促进残疾人就业政策。</w:t>
      </w:r>
    </w:p>
    <w:p>
      <w:pPr>
        <w:keepNext w:val="0"/>
        <w:keepLines/>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（5）政府采购支持监狱企业发展。</w:t>
      </w:r>
    </w:p>
    <w:bookmarkEnd w:id="43"/>
    <w:p>
      <w:pPr>
        <w:keepNext w:val="0"/>
        <w:keepLines/>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3.供应商竞标注意事项</w:t>
      </w:r>
    </w:p>
    <w:p>
      <w:pPr>
        <w:keepNext w:val="0"/>
        <w:pageBreakBefore w:val="0"/>
        <w:widowControl w:val="0"/>
        <w:tabs>
          <w:tab w:val="left" w:pos="639"/>
        </w:tabs>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auto"/>
          <w:sz w:val="21"/>
          <w:szCs w:val="21"/>
          <w:highlight w:val="none"/>
        </w:rPr>
      </w:pPr>
      <w:r>
        <w:rPr>
          <w:rFonts w:hint="eastAsia"/>
          <w:lang w:val="en-US" w:eastAsia="zh-CN"/>
        </w:rPr>
        <w:tab/>
      </w:r>
      <w:r>
        <w:rPr>
          <w:rFonts w:hint="eastAsia" w:ascii="宋体" w:hAnsi="宋体" w:eastAsia="宋体" w:cs="宋体"/>
          <w:b w:val="0"/>
          <w:bCs/>
          <w:color w:val="auto"/>
          <w:sz w:val="21"/>
          <w:szCs w:val="21"/>
          <w:highlight w:val="none"/>
        </w:rPr>
        <w:t>（1）本项目为全流程电子化采购项目，通过广西政府采购云平台（https://www.gcy.zfcg.gxzf.gov.cn/）实行在线电子竞标，供应商应按照本项目竞争性</w:t>
      </w:r>
      <w:r>
        <w:rPr>
          <w:rFonts w:hint="eastAsia" w:ascii="宋体" w:hAnsi="宋体" w:eastAsia="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pPr>
        <w:keepNext w:val="0"/>
        <w:keepLines/>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pPr>
        <w:keepNext w:val="0"/>
        <w:keepLines/>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（3）CA证书在线解密：首次响应文件开启时，需携带制作响应文件时用来加密的有效数字证书（CA认证）登录广西政府采购云平台 电子开标大厅现场按规定时间对加密的响应文件进行解密，否则后果自负。</w:t>
      </w:r>
    </w:p>
    <w:p>
      <w:pPr>
        <w:keepNext w:val="0"/>
        <w:keepLines/>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keepNext w:val="0"/>
        <w:keepLines/>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（4）供应商需要在具备有摄像头及语音功能且互联网网络状况良好的电脑登录广西政府采购云平台 远程开标大厅参与本次</w:t>
      </w:r>
      <w:r>
        <w:rPr>
          <w:rFonts w:hint="eastAsia" w:ascii="宋体" w:hAnsi="宋体" w:eastAsia="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，否则后果自负。</w:t>
      </w:r>
    </w:p>
    <w:p>
      <w:pPr>
        <w:keepNext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八、凡对本次采购提出询问，请按以下方式联系。</w:t>
      </w:r>
      <w:bookmarkEnd w:id="44"/>
      <w:bookmarkEnd w:id="45"/>
      <w:bookmarkEnd w:id="46"/>
      <w:bookmarkEnd w:id="47"/>
      <w:bookmarkEnd w:id="48"/>
      <w:bookmarkEnd w:id="49"/>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bookmarkStart w:id="50" w:name="_Toc28359019"/>
      <w:bookmarkStart w:id="51" w:name="_Toc35393637"/>
      <w:bookmarkStart w:id="52" w:name="_Toc35393806"/>
      <w:bookmarkStart w:id="53" w:name="_Toc28359096"/>
      <w:r>
        <w:rPr>
          <w:rFonts w:hint="eastAsia" w:ascii="宋体" w:hAnsi="宋体" w:eastAsia="宋体" w:cs="宋体"/>
          <w:color w:val="auto"/>
          <w:kern w:val="0"/>
          <w:sz w:val="21"/>
          <w:szCs w:val="21"/>
          <w:highlight w:val="none"/>
        </w:rPr>
        <w:t>1.采购人信息</w:t>
      </w:r>
      <w:bookmarkEnd w:id="50"/>
      <w:bookmarkEnd w:id="51"/>
      <w:bookmarkEnd w:id="52"/>
      <w:bookmarkEnd w:id="53"/>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bookmarkStart w:id="54" w:name="_Toc35393807"/>
      <w:bookmarkStart w:id="55" w:name="_Toc35393638"/>
      <w:bookmarkStart w:id="56" w:name="_Toc28359020"/>
      <w:bookmarkStart w:id="57" w:name="_Toc28359097"/>
      <w:r>
        <w:rPr>
          <w:rFonts w:hint="eastAsia" w:ascii="宋体" w:hAnsi="宋体" w:eastAsia="宋体" w:cs="宋体"/>
          <w:color w:val="auto"/>
          <w:sz w:val="21"/>
          <w:szCs w:val="21"/>
          <w:highlight w:val="none"/>
        </w:rPr>
        <w:t>采购单位：</w:t>
      </w:r>
      <w:r>
        <w:rPr>
          <w:rFonts w:hint="eastAsia" w:ascii="宋体" w:hAnsi="宋体" w:cs="宋体"/>
          <w:color w:val="auto"/>
          <w:sz w:val="21"/>
          <w:szCs w:val="21"/>
          <w:highlight w:val="none"/>
          <w:lang w:val="en-US" w:eastAsia="zh-CN"/>
        </w:rPr>
        <w:t>广西制造工程职业技术学院</w:t>
      </w:r>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szCs w:val="21"/>
          <w:highlight w:val="none"/>
          <w:lang w:eastAsia="zh-CN"/>
        </w:rPr>
        <w:t>广西南宁市武鸣区（广西—东盟经济技术开发区）宝源南路29号</w:t>
      </w:r>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韦秋婷</w:t>
      </w:r>
      <w:r>
        <w:rPr>
          <w:rFonts w:hint="eastAsia" w:ascii="宋体" w:hAnsi="宋体" w:eastAsia="宋体" w:cs="宋体"/>
          <w:color w:val="auto"/>
          <w:sz w:val="21"/>
          <w:szCs w:val="21"/>
          <w:highlight w:val="none"/>
          <w:lang w:val="en-US" w:eastAsia="zh-CN"/>
        </w:rPr>
        <w:t xml:space="preserve">    </w:t>
      </w:r>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0771-2206200</w:t>
      </w:r>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2.采购代理机构信息</w:t>
      </w:r>
      <w:bookmarkEnd w:id="54"/>
      <w:bookmarkEnd w:id="55"/>
      <w:bookmarkEnd w:id="56"/>
      <w:bookmarkEnd w:id="57"/>
    </w:p>
    <w:bookmarkEnd w:id="1"/>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称：广西正海招标有限公司　　　　　　　　　　　　</w:t>
      </w:r>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ascii="宋体" w:hAnsi="宋体" w:cs="宋体"/>
          <w:color w:val="auto"/>
          <w:sz w:val="21"/>
          <w:szCs w:val="21"/>
          <w:highlight w:val="none"/>
          <w:lang w:eastAsia="zh-CN"/>
        </w:rPr>
        <w:t>广西</w:t>
      </w:r>
      <w:r>
        <w:rPr>
          <w:rFonts w:hint="eastAsia" w:ascii="宋体" w:hAnsi="宋体" w:eastAsia="宋体" w:cs="宋体"/>
          <w:color w:val="auto"/>
          <w:sz w:val="21"/>
          <w:szCs w:val="21"/>
          <w:highlight w:val="none"/>
          <w:lang w:eastAsia="zh-CN"/>
        </w:rPr>
        <w:t>南宁市青秀区茅桥路2号习艺基地A栋1号电梯3楼　　　　　　　　　　　　</w:t>
      </w:r>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 0771-2865989       传真：0771-5650199　　　　　　　　　　</w:t>
      </w:r>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3.项目联系方式</w:t>
      </w:r>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覃旭理、王玉娇</w:t>
      </w:r>
      <w:r>
        <w:rPr>
          <w:rFonts w:hint="eastAsia" w:ascii="宋体" w:hAnsi="宋体" w:eastAsia="宋体" w:cs="宋体"/>
          <w:color w:val="auto"/>
          <w:sz w:val="21"/>
          <w:szCs w:val="21"/>
          <w:highlight w:val="none"/>
          <w:lang w:eastAsia="zh-CN"/>
        </w:rPr>
        <w:t xml:space="preserve">   </w:t>
      </w:r>
    </w:p>
    <w:p>
      <w:pPr>
        <w:keepNext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联系电话：0771-2865989</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广西正海招标有限公司</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2024年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日</w:t>
      </w:r>
    </w:p>
    <w:p>
      <w:pPr>
        <w:spacing w:line="360" w:lineRule="auto"/>
        <w:ind w:firstLine="880" w:firstLineChars="200"/>
        <w:rPr>
          <w:color w:val="auto"/>
          <w:highlight w:val="none"/>
        </w:rPr>
      </w:pPr>
      <w:r>
        <w:rPr>
          <w:rFonts w:ascii="方正小标宋简体" w:hAnsi="方正小标宋简体" w:eastAsia="方正小标宋简体" w:cs="方正小标宋简体"/>
          <w:bCs/>
          <w:color w:val="auto"/>
          <w:sz w:val="44"/>
          <w:szCs w:val="44"/>
          <w:highlight w:val="none"/>
        </w:rPr>
        <w:br w:type="page"/>
      </w:r>
    </w:p>
    <w:p>
      <w:pPr>
        <w:pStyle w:val="4"/>
        <w:jc w:val="center"/>
        <w:rPr>
          <w:color w:val="auto"/>
          <w:highlight w:val="none"/>
        </w:rPr>
      </w:pPr>
      <w:bookmarkStart w:id="58" w:name="_Toc129703549"/>
      <w:r>
        <w:rPr>
          <w:rFonts w:hint="eastAsia"/>
          <w:color w:val="auto"/>
          <w:highlight w:val="none"/>
        </w:rPr>
        <w:t>第二章 供应商须知</w:t>
      </w:r>
      <w:bookmarkEnd w:id="58"/>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ascii="宋体" w:hAnsi="宋体"/>
          <w:b/>
          <w:color w:val="auto"/>
          <w:sz w:val="32"/>
          <w:szCs w:val="32"/>
          <w:highlight w:val="none"/>
        </w:rPr>
      </w:pPr>
    </w:p>
    <w:tbl>
      <w:tblPr>
        <w:tblStyle w:val="27"/>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1.供应商的资格条件：详见竞争性谈判公告或者竞标邀请函</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是否接受联合体竞标: 详见竞争性谈判公告或者竞标邀请函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供应商为联合体的，可以由联合体中的一方或者多方共同交纳保证金，其交纳的保证金对联合体各方均具有约束力。</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联合体各方均应按照谈判文件的规定分别提交资格证明文件。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pPr>
              <w:pStyle w:val="11"/>
              <w:keepNext w:val="0"/>
              <w:keepLines w:val="0"/>
              <w:pageBreakBefore w:val="0"/>
              <w:widowControl w:val="0"/>
              <w:kinsoku/>
              <w:wordWrap/>
              <w:overflowPunct/>
              <w:topLinePunct w:val="0"/>
              <w:bidi w:val="0"/>
              <w:adjustRightInd/>
              <w:spacing w:line="440" w:lineRule="exact"/>
              <w:ind w:left="0"/>
              <w:rPr>
                <w:color w:val="auto"/>
                <w:highlight w:val="none"/>
              </w:rPr>
            </w:pPr>
            <w:r>
              <w:rPr>
                <w:rFonts w:hint="eastAsia" w:ascii="MS Mincho" w:hAnsi="MS Mincho" w:eastAsia="MS Mincho" w:cs="MS Mincho"/>
                <w:color w:val="auto"/>
                <w:highlight w:val="none"/>
              </w:rPr>
              <w:t>☑</w:t>
            </w:r>
            <w:r>
              <w:rPr>
                <w:rFonts w:hint="eastAsia"/>
                <w:color w:val="auto"/>
                <w:highlight w:val="none"/>
              </w:rPr>
              <w:t>不允许分包</w:t>
            </w:r>
          </w:p>
          <w:p>
            <w:pPr>
              <w:pStyle w:val="11"/>
              <w:keepNext w:val="0"/>
              <w:keepLines w:val="0"/>
              <w:pageBreakBefore w:val="0"/>
              <w:widowControl w:val="0"/>
              <w:kinsoku/>
              <w:wordWrap/>
              <w:overflowPunct/>
              <w:topLinePunct w:val="0"/>
              <w:bidi w:val="0"/>
              <w:adjustRightInd/>
              <w:spacing w:line="440" w:lineRule="exact"/>
              <w:ind w:left="0"/>
              <w:rPr>
                <w:color w:val="auto"/>
                <w:highlight w:val="none"/>
              </w:rPr>
            </w:pPr>
            <w:r>
              <w:rPr>
                <w:rFonts w:hint="eastAsia"/>
                <w:color w:val="auto"/>
                <w:highlight w:val="none"/>
              </w:rPr>
              <w:t>□允许分包</w:t>
            </w:r>
          </w:p>
          <w:p>
            <w:pPr>
              <w:pStyle w:val="11"/>
              <w:keepNext w:val="0"/>
              <w:keepLines w:val="0"/>
              <w:pageBreakBefore w:val="0"/>
              <w:widowControl w:val="0"/>
              <w:kinsoku/>
              <w:wordWrap/>
              <w:overflowPunct/>
              <w:topLinePunct w:val="0"/>
              <w:bidi w:val="0"/>
              <w:adjustRightInd/>
              <w:spacing w:line="440" w:lineRule="exact"/>
              <w:ind w:left="0"/>
              <w:rPr>
                <w:color w:val="auto"/>
                <w:highlight w:val="none"/>
                <w:u w:val="single"/>
              </w:rPr>
            </w:pPr>
            <w:r>
              <w:rPr>
                <w:rFonts w:hint="eastAsia"/>
                <w:color w:val="auto"/>
                <w:highlight w:val="none"/>
              </w:rPr>
              <w:t>分包内容：</w:t>
            </w:r>
            <w:r>
              <w:rPr>
                <w:rFonts w:hint="eastAsia"/>
                <w:color w:val="auto"/>
                <w:highlight w:val="none"/>
                <w:u w:val="single"/>
              </w:rPr>
              <w:t xml:space="preserve">                                     。</w:t>
            </w:r>
          </w:p>
          <w:p>
            <w:pPr>
              <w:pStyle w:val="11"/>
              <w:keepNext w:val="0"/>
              <w:keepLines w:val="0"/>
              <w:pageBreakBefore w:val="0"/>
              <w:widowControl w:val="0"/>
              <w:kinsoku/>
              <w:wordWrap/>
              <w:overflowPunct/>
              <w:topLinePunct w:val="0"/>
              <w:bidi w:val="0"/>
              <w:adjustRightInd/>
              <w:spacing w:line="440" w:lineRule="exact"/>
              <w:ind w:left="0"/>
              <w:rPr>
                <w:color w:val="auto"/>
                <w:highlight w:val="none"/>
                <w:u w:val="single"/>
              </w:rPr>
            </w:pPr>
            <w:r>
              <w:rPr>
                <w:rFonts w:hint="eastAsia"/>
                <w:color w:val="auto"/>
                <w:highlight w:val="none"/>
              </w:rPr>
              <w:t>分包金额或者比例：</w:t>
            </w:r>
            <w:r>
              <w:rPr>
                <w:rFonts w:hint="eastAsia"/>
                <w:color w:val="auto"/>
                <w:highlight w:val="none"/>
                <w:u w:val="single"/>
              </w:rPr>
              <w:t xml:space="preserve">                                     。</w:t>
            </w:r>
          </w:p>
          <w:p>
            <w:pPr>
              <w:pStyle w:val="11"/>
              <w:keepNext w:val="0"/>
              <w:keepLines w:val="0"/>
              <w:pageBreakBefore w:val="0"/>
              <w:widowControl w:val="0"/>
              <w:kinsoku/>
              <w:wordWrap/>
              <w:overflowPunct/>
              <w:topLinePunct w:val="0"/>
              <w:bidi w:val="0"/>
              <w:adjustRightInd/>
              <w:spacing w:line="440" w:lineRule="exact"/>
              <w:ind w:left="0"/>
              <w:rPr>
                <w:color w:val="auto"/>
                <w:highlight w:val="none"/>
                <w:u w:val="single"/>
              </w:rPr>
            </w:pPr>
            <w:r>
              <w:rPr>
                <w:rFonts w:hint="eastAsia" w:ascii="宋体" w:hAnsi="宋体"/>
                <w:color w:val="auto"/>
                <w:szCs w:val="21"/>
                <w:highlight w:val="none"/>
              </w:rPr>
              <w:t>分包供应商必须具备的资质：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7.1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提供相同品牌产品（非单一产品采购项目的，指核心产品）的不同供应商最后报价相同时，按照下列方式确定一个供应商获得成交人推荐资格：</w:t>
            </w:r>
          </w:p>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随机抽取；</w:t>
            </w:r>
          </w:p>
          <w:p>
            <w:pPr>
              <w:pStyle w:val="11"/>
              <w:keepNext w:val="0"/>
              <w:keepLines w:val="0"/>
              <w:pageBreakBefore w:val="0"/>
              <w:widowControl w:val="0"/>
              <w:kinsoku/>
              <w:wordWrap/>
              <w:overflowPunct/>
              <w:topLinePunct w:val="0"/>
              <w:bidi w:val="0"/>
              <w:adjustRightInd/>
              <w:spacing w:line="440" w:lineRule="exact"/>
              <w:ind w:left="0"/>
              <w:rPr>
                <w:rFonts w:ascii="宋体" w:hAnsi="宋体"/>
                <w:color w:val="auto"/>
                <w:szCs w:val="21"/>
                <w:highlight w:val="none"/>
              </w:rPr>
            </w:pPr>
            <w:r>
              <w:rPr>
                <w:rFonts w:hint="eastAsia" w:ascii="MS Mincho" w:hAnsi="MS Mincho" w:cs="MS Mincho"/>
                <w:color w:val="auto"/>
                <w:szCs w:val="21"/>
                <w:highlight w:val="none"/>
                <w:lang w:eastAsia="zh-CN"/>
              </w:rPr>
              <w:t>□</w:t>
            </w:r>
            <w:r>
              <w:rPr>
                <w:rFonts w:hint="eastAsia" w:ascii="宋体" w:hAnsi="宋体"/>
                <w:color w:val="auto"/>
                <w:szCs w:val="21"/>
                <w:highlight w:val="none"/>
              </w:rPr>
              <w:t>由采购人自主选择确定一家供应商参加评审，其他竞标无效。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月至202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月任意1个</w:t>
            </w:r>
            <w:r>
              <w:rPr>
                <w:rFonts w:hint="eastAsia" w:ascii="宋体" w:hAnsi="宋体" w:cs="宋体"/>
                <w:color w:val="auto"/>
                <w:szCs w:val="21"/>
                <w:highlight w:val="none"/>
              </w:rPr>
              <w:t>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r>
              <w:rPr>
                <w:rFonts w:hint="eastAsia" w:ascii="宋体" w:hAnsi="宋体" w:cs="宋体"/>
                <w:color w:val="auto"/>
                <w:szCs w:val="21"/>
                <w:highlight w:val="none"/>
              </w:rPr>
              <w:t>；</w:t>
            </w:r>
          </w:p>
          <w:p>
            <w:pPr>
              <w:keepNext w:val="0"/>
              <w:keepLines w:val="0"/>
              <w:pageBreakBefore w:val="0"/>
              <w:widowControl w:val="0"/>
              <w:tabs>
                <w:tab w:val="left" w:pos="525"/>
              </w:tabs>
              <w:kinsoku/>
              <w:wordWrap/>
              <w:overflowPunct/>
              <w:topLinePunct w:val="0"/>
              <w:bidi w:val="0"/>
              <w:adjustRightInd/>
              <w:snapToGrid w:val="0"/>
              <w:spacing w:line="440" w:lineRule="exact"/>
              <w:ind w:left="0"/>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月至202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月任意1个</w:t>
            </w:r>
            <w:r>
              <w:rPr>
                <w:rFonts w:hint="eastAsia" w:ascii="宋体" w:hAnsi="宋体" w:cs="宋体"/>
                <w:color w:val="auto"/>
                <w:szCs w:val="21"/>
                <w:highlight w:val="none"/>
              </w:rPr>
              <w:t>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bidi w:val="0"/>
              <w:adjustRightInd/>
              <w:spacing w:line="440" w:lineRule="exact"/>
              <w:ind w:left="0"/>
              <w:contextualSpacing/>
              <w:jc w:val="left"/>
              <w:rPr>
                <w:rFonts w:ascii="宋体" w:hAnsi="宋体" w:cs="宋体"/>
                <w:b/>
                <w:color w:val="auto"/>
                <w:szCs w:val="21"/>
                <w:highlight w:val="none"/>
              </w:rPr>
            </w:pPr>
            <w:r>
              <w:rPr>
                <w:rFonts w:hint="eastAsia" w:ascii="宋体" w:hAnsi="宋体" w:cs="宋体"/>
                <w:color w:val="auto"/>
                <w:szCs w:val="21"/>
                <w:highlight w:val="none"/>
              </w:rPr>
              <w:t>4. 供应商</w:t>
            </w:r>
            <w:r>
              <w:rPr>
                <w:rFonts w:hint="eastAsia" w:ascii="宋体" w:hAnsi="宋体" w:cs="宋体"/>
                <w:color w:val="auto"/>
                <w:szCs w:val="21"/>
                <w:highlight w:val="none"/>
                <w:lang w:val="en-US" w:eastAsia="zh-CN"/>
              </w:rPr>
              <w:t>2023年</w:t>
            </w:r>
            <w:r>
              <w:rPr>
                <w:rFonts w:hint="eastAsia" w:ascii="宋体" w:hAnsi="宋体" w:cs="宋体"/>
                <w:color w:val="auto"/>
                <w:szCs w:val="21"/>
                <w:highlight w:val="none"/>
              </w:rPr>
              <w:t>度的财务审计报告或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auto"/>
                <w:szCs w:val="21"/>
                <w:highlight w:val="none"/>
              </w:rPr>
            </w:pPr>
            <w:r>
              <w:rPr>
                <w:rFonts w:hint="eastAsia" w:ascii="宋体" w:hAnsi="宋体" w:cs="宋体"/>
                <w:color w:val="auto"/>
                <w:szCs w:val="21"/>
                <w:highlight w:val="none"/>
              </w:rPr>
              <w:t>5. 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40" w:lineRule="exact"/>
              <w:ind w:left="0"/>
              <w:jc w:val="left"/>
              <w:rPr>
                <w:rFonts w:hint="eastAsia"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40" w:lineRule="exact"/>
              <w:ind w:left="0"/>
              <w:contextualSpacing/>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联合体竞标协议书（格式后附）；（联合体竞标时必须提供，否则响应文件按无效处理）</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i/>
                <w:color w:val="auto"/>
                <w:szCs w:val="21"/>
                <w:highlight w:val="none"/>
              </w:rPr>
            </w:pPr>
            <w:r>
              <w:rPr>
                <w:rFonts w:hint="eastAsia" w:ascii="宋体" w:hAnsi="宋体"/>
                <w:color w:val="auto"/>
                <w:szCs w:val="21"/>
                <w:highlight w:val="none"/>
                <w:lang w:val="en-US" w:eastAsia="zh-CN"/>
              </w:rPr>
              <w:t>8.</w:t>
            </w:r>
            <w:r>
              <w:rPr>
                <w:rFonts w:hint="eastAsia" w:ascii="宋体" w:hAnsi="宋体" w:cs="宋体"/>
                <w:color w:val="auto"/>
                <w:szCs w:val="21"/>
                <w:highlight w:val="none"/>
              </w:rPr>
              <w:t xml:space="preserve"> 除谈判文件规定必须提供以外，供应商认为需要提供的其他证明材料；</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b/>
                <w:color w:val="auto"/>
                <w:szCs w:val="21"/>
                <w:highlight w:val="none"/>
              </w:rPr>
            </w:pPr>
            <w:r>
              <w:rPr>
                <w:rFonts w:hint="eastAsia" w:ascii="宋体" w:hAnsi="宋体" w:cs="宋体"/>
                <w:b/>
                <w:color w:val="auto"/>
                <w:szCs w:val="21"/>
                <w:highlight w:val="none"/>
              </w:rPr>
              <w:t>注：</w:t>
            </w:r>
          </w:p>
          <w:p>
            <w:pPr>
              <w:keepNext w:val="0"/>
              <w:keepLines w:val="0"/>
              <w:pageBreakBefore w:val="0"/>
              <w:widowControl w:val="0"/>
              <w:kinsoku/>
              <w:wordWrap/>
              <w:overflowPunct/>
              <w:topLinePunct w:val="0"/>
              <w:bidi w:val="0"/>
              <w:adjustRightInd/>
              <w:snapToGrid w:val="0"/>
              <w:spacing w:line="440" w:lineRule="exact"/>
              <w:ind w:left="0"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pPr>
              <w:keepNext w:val="0"/>
              <w:keepLines w:val="0"/>
              <w:pageBreakBefore w:val="0"/>
              <w:widowControl w:val="0"/>
              <w:kinsoku/>
              <w:wordWrap/>
              <w:overflowPunct/>
              <w:topLinePunct w:val="0"/>
              <w:bidi w:val="0"/>
              <w:adjustRightInd/>
              <w:snapToGrid w:val="0"/>
              <w:spacing w:line="440" w:lineRule="exact"/>
              <w:ind w:left="0"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p>
            <w:pPr>
              <w:keepNext w:val="0"/>
              <w:keepLines w:val="0"/>
              <w:pageBreakBefore w:val="0"/>
              <w:widowControl w:val="0"/>
              <w:kinsoku/>
              <w:wordWrap/>
              <w:overflowPunct/>
              <w:topLinePunct w:val="0"/>
              <w:bidi w:val="0"/>
              <w:adjustRightInd/>
              <w:snapToGrid w:val="0"/>
              <w:spacing w:line="440" w:lineRule="exact"/>
              <w:ind w:left="0" w:firstLine="422" w:firstLineChars="200"/>
              <w:jc w:val="left"/>
              <w:rPr>
                <w:rFonts w:ascii="宋体" w:hAnsi="宋体" w:cs="宋体"/>
                <w:b/>
                <w:color w:val="auto"/>
                <w:szCs w:val="21"/>
                <w:highlight w:val="none"/>
              </w:rPr>
            </w:pPr>
            <w:r>
              <w:rPr>
                <w:rFonts w:hint="eastAsia" w:ascii="宋体" w:hAnsi="宋体"/>
                <w:b/>
                <w:bCs/>
                <w:color w:val="auto"/>
                <w:szCs w:val="21"/>
                <w:highlight w:val="none"/>
              </w:rPr>
              <w:t>3.分公司参加竞标的，应当取得总公司授权。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报价文件</w:t>
            </w:r>
          </w:p>
          <w:p>
            <w:pPr>
              <w:keepNext w:val="0"/>
              <w:keepLines w:val="0"/>
              <w:pageBreakBefore w:val="0"/>
              <w:widowControl w:val="0"/>
              <w:kinsoku/>
              <w:wordWrap/>
              <w:overflowPunct/>
              <w:topLinePunct w:val="0"/>
              <w:bidi w:val="0"/>
              <w:adjustRightInd/>
              <w:spacing w:line="440" w:lineRule="exact"/>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竞标报价表（格式后附）；</w:t>
            </w:r>
            <w:r>
              <w:rPr>
                <w:rFonts w:hint="eastAsia" w:ascii="宋体" w:hAnsi="宋体" w:eastAsia="宋体" w:cs="宋体"/>
                <w:b/>
                <w:bCs/>
                <w:color w:val="auto"/>
                <w:szCs w:val="21"/>
                <w:highlight w:val="none"/>
              </w:rPr>
              <w:t>（必须提供，否则响应文件按无效处理）</w:t>
            </w:r>
          </w:p>
          <w:p>
            <w:pPr>
              <w:keepNext w:val="0"/>
              <w:keepLines w:val="0"/>
              <w:pageBreakBefore w:val="0"/>
              <w:widowControl w:val="0"/>
              <w:kinsoku/>
              <w:wordWrap/>
              <w:overflowPunct/>
              <w:topLinePunct w:val="0"/>
              <w:bidi w:val="0"/>
              <w:adjustRightInd/>
              <w:spacing w:line="440" w:lineRule="exact"/>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中小企业声明函（格式后附）；</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如是，请提供</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bidi w:val="0"/>
              <w:adjustRightInd/>
              <w:spacing w:line="440" w:lineRule="exact"/>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.供应商认为需要提供的其他有关资料。</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商务技术文件</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40" w:lineRule="exact"/>
              <w:ind w:left="0"/>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b/>
                <w:bCs/>
                <w:color w:val="auto"/>
                <w:highlight w:val="none"/>
              </w:rPr>
              <w:t>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9.对应采购需求的技术要求、商务要求提供的其他文件资料（格式自拟）；</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auto"/>
                <w:szCs w:val="21"/>
                <w:highlight w:val="none"/>
              </w:rPr>
            </w:pPr>
            <w:r>
              <w:rPr>
                <w:rFonts w:hint="eastAsia" w:ascii="宋体" w:hAnsi="宋体" w:cs="宋体"/>
                <w:color w:val="auto"/>
                <w:szCs w:val="21"/>
                <w:highlight w:val="none"/>
              </w:rPr>
              <w:t>10.供应商认为需要提供的其他有关资料。</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pPr>
              <w:keepNext w:val="0"/>
              <w:keepLines w:val="0"/>
              <w:pageBreakBefore w:val="0"/>
              <w:widowControl w:val="0"/>
              <w:kinsoku/>
              <w:wordWrap/>
              <w:overflowPunct/>
              <w:topLinePunct w:val="0"/>
              <w:autoSpaceDE/>
              <w:autoSpaceDN/>
              <w:bidi w:val="0"/>
              <w:adjustRightInd/>
              <w:spacing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报价必须含以下部分，包括：</w:t>
            </w:r>
          </w:p>
          <w:p>
            <w:pPr>
              <w:keepNext w:val="0"/>
              <w:keepLines w:val="0"/>
              <w:pageBreakBefore w:val="0"/>
              <w:widowControl w:val="0"/>
              <w:kinsoku/>
              <w:wordWrap/>
              <w:overflowPunct/>
              <w:topLinePunct w:val="0"/>
              <w:autoSpaceDE/>
              <w:autoSpaceDN/>
              <w:bidi w:val="0"/>
              <w:adjustRightInd/>
              <w:spacing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w:t>
            </w:r>
          </w:p>
          <w:p>
            <w:pPr>
              <w:keepNext w:val="0"/>
              <w:keepLines w:val="0"/>
              <w:pageBreakBefore w:val="0"/>
              <w:widowControl w:val="0"/>
              <w:kinsoku/>
              <w:wordWrap/>
              <w:overflowPunct/>
              <w:topLinePunct w:val="0"/>
              <w:autoSpaceDE/>
              <w:autoSpaceDN/>
              <w:bidi w:val="0"/>
              <w:adjustRightInd/>
              <w:spacing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（2）必要的保险费用和各项税金；</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auto"/>
                <w:szCs w:val="21"/>
                <w:highlight w:val="none"/>
              </w:rPr>
            </w:pPr>
            <w:r>
              <w:rPr>
                <w:rFonts w:hint="eastAsia" w:ascii="宋体" w:hAnsi="宋体" w:eastAsia="宋体" w:cs="宋体"/>
                <w:color w:val="auto"/>
                <w:sz w:val="21"/>
                <w:szCs w:val="21"/>
                <w:highlight w:val="none"/>
              </w:rPr>
              <w:t>（3）其他（如运输、装卸、安装、调试、培训、技术支持、售后货物、更新升级等费用，根据项目具体情况填写）： 包括货款、随配附件、备品备件、专用工具、包装、运输、装卸、保险、运抵指定交货地点、送货上门服务、现场安装调试、保修等各种费用和售后服务、培训、税金</w:t>
            </w:r>
            <w:r>
              <w:rPr>
                <w:rFonts w:hint="eastAsia" w:ascii="宋体" w:hAnsi="宋体" w:cs="宋体"/>
                <w:color w:val="auto"/>
                <w:sz w:val="21"/>
                <w:szCs w:val="21"/>
                <w:highlight w:val="none"/>
                <w:lang w:eastAsia="zh-CN"/>
              </w:rPr>
              <w:t>、招标代理服务费</w:t>
            </w:r>
            <w:r>
              <w:rPr>
                <w:rFonts w:hint="eastAsia" w:ascii="宋体" w:hAnsi="宋体" w:eastAsia="宋体" w:cs="宋体"/>
                <w:color w:val="auto"/>
                <w:sz w:val="21"/>
                <w:szCs w:val="21"/>
                <w:highlight w:val="none"/>
              </w:rPr>
              <w:t xml:space="preserve">及其他所有成本费用的总和。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pPr>
              <w:pStyle w:val="10"/>
              <w:keepNext w:val="0"/>
              <w:keepLines w:val="0"/>
              <w:pageBreakBefore w:val="0"/>
              <w:widowControl w:val="0"/>
              <w:tabs>
                <w:tab w:val="clear" w:pos="454"/>
              </w:tabs>
              <w:kinsoku/>
              <w:wordWrap/>
              <w:overflowPunct/>
              <w:topLinePunct w:val="0"/>
              <w:bidi w:val="0"/>
              <w:adjustRightInd/>
              <w:snapToGrid w:val="0"/>
              <w:spacing w:afterLines="0" w:line="440" w:lineRule="exact"/>
              <w:ind w:left="0"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本项目收取竞标保证金，具体规定如下：</w:t>
            </w:r>
          </w:p>
          <w:p>
            <w:pPr>
              <w:keepNext w:val="0"/>
              <w:keepLines w:val="0"/>
              <w:pageBreakBefore w:val="0"/>
              <w:widowControl w:val="0"/>
              <w:kinsoku/>
              <w:wordWrap/>
              <w:overflowPunct/>
              <w:topLinePunct w:val="0"/>
              <w:bidi w:val="0"/>
              <w:adjustRightInd/>
              <w:snapToGrid w:val="0"/>
              <w:spacing w:line="440" w:lineRule="exact"/>
              <w:ind w:left="0"/>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竞标保证金人民币</w:t>
            </w:r>
            <w:r>
              <w:rPr>
                <w:rFonts w:hint="eastAsia" w:ascii="宋体" w:hAnsi="宋体" w:cs="宋体"/>
                <w:b/>
                <w:bCs/>
                <w:color w:val="auto"/>
                <w:kern w:val="0"/>
                <w:szCs w:val="21"/>
                <w:highlight w:val="none"/>
                <w:u w:val="none"/>
                <w:lang w:eastAsia="zh-CN"/>
              </w:rPr>
              <w:t>：</w:t>
            </w:r>
            <w:r>
              <w:rPr>
                <w:rFonts w:hint="eastAsia" w:ascii="宋体" w:hAnsi="宋体" w:cs="宋体"/>
                <w:b/>
                <w:bCs/>
                <w:color w:val="auto"/>
                <w:kern w:val="0"/>
                <w:szCs w:val="21"/>
                <w:highlight w:val="none"/>
                <w:u w:val="single"/>
                <w:lang w:val="en-US" w:eastAsia="zh-CN"/>
              </w:rPr>
              <w:t>A分标：6000.00元；B分标：4000.00</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auto"/>
                <w:kern w:val="0"/>
                <w:szCs w:val="21"/>
                <w:highlight w:val="none"/>
              </w:rPr>
            </w:pPr>
            <w:r>
              <w:rPr>
                <w:rFonts w:hint="eastAsia" w:ascii="宋体" w:hAnsi="宋体" w:cs="宋体"/>
                <w:color w:val="auto"/>
                <w:kern w:val="0"/>
                <w:szCs w:val="21"/>
                <w:highlight w:val="none"/>
              </w:rPr>
              <w:t>竞标保证金的交纳方式：</w:t>
            </w:r>
            <w:r>
              <w:rPr>
                <w:rFonts w:hint="eastAsia" w:ascii="宋体" w:hAnsi="宋体" w:cs="宋体"/>
                <w:kern w:val="0"/>
                <w:szCs w:val="21"/>
                <w:highlight w:val="none"/>
              </w:rPr>
              <w:t>银行转账、支票、汇票、本票或者银行、保险机构出具的保函</w:t>
            </w:r>
            <w:r>
              <w:rPr>
                <w:color w:val="000000"/>
              </w:rPr>
              <w:t>（包含电子保函）</w:t>
            </w:r>
            <w:r>
              <w:rPr>
                <w:rFonts w:hint="eastAsia" w:ascii="宋体" w:hAnsi="宋体" w:cs="宋体"/>
                <w:color w:val="auto"/>
                <w:kern w:val="0"/>
                <w:szCs w:val="21"/>
                <w:highlight w:val="none"/>
              </w:rPr>
              <w:t>，禁止采用现钞方式。采用银行转账方式的，在响应文件提交截止时间前交至指定账户并且到账[</w:t>
            </w:r>
            <w:r>
              <w:rPr>
                <w:rFonts w:hint="eastAsia" w:ascii="宋体" w:hAnsi="宋体" w:cs="宋体"/>
                <w:b/>
                <w:bCs/>
                <w:color w:val="auto"/>
                <w:szCs w:val="21"/>
                <w:highlight w:val="none"/>
              </w:rPr>
              <w:t>开户名称：广西正海招标有限公司，开户银行：广西北部湾银行南宁市兴宁支行，银行账号：800105504300012</w:t>
            </w:r>
            <w:r>
              <w:rPr>
                <w:rFonts w:hint="eastAsia" w:ascii="宋体" w:hAnsi="宋体" w:cs="宋体"/>
                <w:b/>
                <w:bCs/>
                <w:color w:val="auto"/>
                <w:szCs w:val="21"/>
                <w:highlight w:val="none"/>
                <w:lang w:eastAsia="zh-CN"/>
              </w:rPr>
              <w:t>，北部湾行号：313611014014</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]；采用支票、汇票、本票或者保函等方式的，在响应文件提交截止时间前，供应商必须提交单独密封的支票、汇票、本票或者保函原件。否则视为无效竞标保证金</w:t>
            </w:r>
            <w:r>
              <w:rPr>
                <w:rFonts w:hint="eastAsia" w:ascii="宋体" w:hAnsi="宋体" w:cs="宋体"/>
                <w:color w:val="auto"/>
                <w:kern w:val="0"/>
                <w:szCs w:val="21"/>
                <w:highlight w:val="none"/>
                <w:lang w:eastAsia="zh-CN"/>
              </w:rPr>
              <w:t>（转账时请备注项目编号</w:t>
            </w:r>
            <w:r>
              <w:rPr>
                <w:rFonts w:hint="eastAsia" w:ascii="宋体" w:hAnsi="宋体" w:cs="宋体"/>
                <w:color w:val="auto"/>
                <w:kern w:val="0"/>
                <w:szCs w:val="21"/>
                <w:highlight w:val="none"/>
                <w:lang w:val="en-US" w:eastAsia="zh-CN"/>
              </w:rPr>
              <w:t>+分标号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auto"/>
                <w:szCs w:val="21"/>
                <w:highlight w:val="none"/>
              </w:rPr>
            </w:pPr>
            <w:r>
              <w:rPr>
                <w:rFonts w:hint="eastAsia" w:ascii="宋体" w:hAnsi="宋体" w:cs="宋体"/>
                <w:color w:val="auto"/>
                <w:szCs w:val="21"/>
                <w:highlight w:val="none"/>
              </w:rPr>
              <w:t>相关要求：</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竞标保证金</w:t>
            </w:r>
            <w:r>
              <w:rPr>
                <w:rFonts w:hint="eastAsia" w:ascii="宋体" w:hAnsi="宋体" w:cs="宋体"/>
                <w:color w:val="auto"/>
                <w:szCs w:val="21"/>
                <w:highlight w:val="none"/>
              </w:rPr>
              <w:t>采用银行转账交纳方式的，在</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截止时间前交至指定账户并且到账，</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应将银行转账底单的复印件作为</w:t>
            </w:r>
            <w:r>
              <w:rPr>
                <w:rFonts w:hint="eastAsia" w:ascii="宋体" w:hAnsi="宋体" w:cs="宋体"/>
                <w:color w:val="auto"/>
                <w:szCs w:val="21"/>
                <w:highlight w:val="none"/>
                <w:lang w:eastAsia="zh-CN"/>
              </w:rPr>
              <w:t>竞标保证金</w:t>
            </w:r>
            <w:r>
              <w:rPr>
                <w:rFonts w:hint="eastAsia" w:ascii="宋体" w:hAnsi="宋体" w:cs="宋体"/>
                <w:color w:val="auto"/>
                <w:szCs w:val="21"/>
                <w:highlight w:val="none"/>
              </w:rPr>
              <w:t>提交凭证，放置于商务文件中，否则</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无效。</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竞标保证金</w:t>
            </w:r>
            <w:r>
              <w:rPr>
                <w:rFonts w:hint="eastAsia" w:ascii="宋体" w:hAnsi="宋体" w:cs="宋体"/>
                <w:color w:val="auto"/>
                <w:szCs w:val="21"/>
                <w:highlight w:val="none"/>
              </w:rPr>
              <w:t>采用支票、汇票、本票或者银行、保险机构出具的保函</w:t>
            </w:r>
            <w:r>
              <w:rPr>
                <w:color w:val="000000"/>
              </w:rPr>
              <w:t>（包含电子保函）</w:t>
            </w:r>
            <w:r>
              <w:rPr>
                <w:rFonts w:hint="eastAsia" w:ascii="宋体" w:hAnsi="宋体" w:cs="宋体"/>
                <w:color w:val="auto"/>
                <w:szCs w:val="21"/>
                <w:highlight w:val="none"/>
              </w:rPr>
              <w:t>交纳方式的，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应在</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截止时间前采用现场或邮寄方式（现场提交地址：广西正海招标有限公司（</w:t>
            </w:r>
            <w:r>
              <w:rPr>
                <w:rFonts w:hint="eastAsia" w:ascii="宋体" w:hAnsi="宋体" w:cs="宋体"/>
                <w:color w:val="auto"/>
                <w:szCs w:val="21"/>
                <w:highlight w:val="none"/>
                <w:lang w:eastAsia="zh-CN"/>
              </w:rPr>
              <w:t>南宁市青秀区茅桥路2号习艺基地A栋1号电梯3楼</w:t>
            </w:r>
            <w:r>
              <w:rPr>
                <w:rFonts w:hint="eastAsia" w:ascii="宋体" w:hAnsi="宋体" w:cs="宋体"/>
                <w:color w:val="auto"/>
                <w:szCs w:val="21"/>
                <w:highlight w:val="none"/>
              </w:rPr>
              <w:t>）；邮寄地址：广西正海招标有限公司（</w:t>
            </w:r>
            <w:r>
              <w:rPr>
                <w:rFonts w:hint="eastAsia" w:ascii="宋体" w:hAnsi="宋体" w:cs="宋体"/>
                <w:color w:val="auto"/>
                <w:szCs w:val="21"/>
                <w:highlight w:val="none"/>
                <w:lang w:eastAsia="zh-CN"/>
              </w:rPr>
              <w:t>南宁市青秀区茅桥路2号习艺基地A栋1号电梯3楼</w:t>
            </w:r>
            <w:r>
              <w:rPr>
                <w:rFonts w:hint="eastAsia" w:ascii="宋体" w:hAnsi="宋体" w:cs="宋体"/>
                <w:color w:val="auto"/>
                <w:szCs w:val="21"/>
                <w:highlight w:val="none"/>
              </w:rPr>
              <w:t>，收件人：</w:t>
            </w:r>
            <w:r>
              <w:rPr>
                <w:rFonts w:hint="eastAsia" w:ascii="宋体" w:hAnsi="宋体" w:cs="宋体"/>
                <w:color w:val="auto"/>
                <w:szCs w:val="21"/>
                <w:highlight w:val="none"/>
                <w:lang w:eastAsia="zh-CN"/>
              </w:rPr>
              <w:t>覃旭理</w:t>
            </w:r>
            <w:r>
              <w:rPr>
                <w:rFonts w:hint="eastAsia" w:ascii="宋体" w:hAnsi="宋体" w:cs="宋体"/>
                <w:color w:val="auto"/>
                <w:szCs w:val="21"/>
                <w:highlight w:val="none"/>
              </w:rPr>
              <w:t>，联系方式：0771-2865989）将单独密封的支票、汇票、本票或者银行、保险机构出具的保函</w:t>
            </w:r>
            <w:r>
              <w:rPr>
                <w:color w:val="000000"/>
              </w:rPr>
              <w:t>（包含电子保函）</w:t>
            </w:r>
            <w:r>
              <w:rPr>
                <w:rFonts w:hint="eastAsia" w:ascii="宋体" w:hAnsi="宋体" w:cs="宋体"/>
                <w:color w:val="auto"/>
                <w:szCs w:val="21"/>
                <w:highlight w:val="none"/>
              </w:rPr>
              <w:t>原件提交给采购人或者采购代理机构，由采购人或者采购代理机构向</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出具回执（邮寄方式的除外），并妥善保管。</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w:t>
            </w:r>
            <w:r>
              <w:rPr>
                <w:rFonts w:hint="eastAsia" w:ascii="宋体" w:hAnsi="宋体" w:cs="宋体"/>
                <w:color w:val="auto"/>
                <w:szCs w:val="21"/>
                <w:highlight w:val="none"/>
                <w:lang w:eastAsia="zh-CN"/>
              </w:rPr>
              <w:t>竞标保证金</w:t>
            </w:r>
            <w:r>
              <w:rPr>
                <w:rFonts w:hint="eastAsia" w:ascii="宋体" w:hAnsi="宋体" w:cs="宋体"/>
                <w:color w:val="auto"/>
                <w:szCs w:val="21"/>
                <w:highlight w:val="none"/>
              </w:rPr>
              <w:t>，其交纳的保证金对联合体各方均具有约束力。</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auto"/>
                <w:szCs w:val="21"/>
                <w:highlight w:val="none"/>
              </w:rPr>
            </w:pPr>
            <w:r>
              <w:rPr>
                <w:rFonts w:hint="eastAsia" w:ascii="宋体" w:hAnsi="宋体" w:cs="宋体"/>
                <w:b/>
                <w:color w:val="auto"/>
                <w:szCs w:val="21"/>
                <w:highlight w:val="none"/>
              </w:rPr>
              <w:t xml:space="preserve">备注： </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auto"/>
                <w:szCs w:val="21"/>
                <w:highlight w:val="none"/>
              </w:rPr>
            </w:pPr>
            <w:r>
              <w:rPr>
                <w:rFonts w:hint="eastAsia" w:ascii="宋体" w:hAnsi="宋体" w:cs="宋体"/>
                <w:b/>
                <w:color w:val="auto"/>
                <w:szCs w:val="21"/>
                <w:highlight w:val="none"/>
              </w:rPr>
              <w:t>5.竞标保证金采用银行、保险机构出具的保函为有条件保函的，视为无效竞标保证金。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响应文件提交截止时间：详见竞争性谈判公告或者竞标邀请函。</w:t>
            </w:r>
          </w:p>
          <w:p>
            <w:pPr>
              <w:keepNext w:val="0"/>
              <w:keepLines w:val="0"/>
              <w:pageBreakBefore w:val="0"/>
              <w:widowControl w:val="0"/>
              <w:kinsoku/>
              <w:wordWrap/>
              <w:overflowPunct/>
              <w:topLinePunct w:val="0"/>
              <w:bidi w:val="0"/>
              <w:adjustRightInd/>
              <w:spacing w:line="440" w:lineRule="exact"/>
              <w:ind w:left="0"/>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响应文件提交地点：详见竞争性谈判公告或者竞标邀请函。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首次响应文件开启时间详见“竞争性谈判公告”或者“竞标邀请函”</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auto"/>
                <w:szCs w:val="21"/>
                <w:highlight w:val="none"/>
              </w:rPr>
            </w:pPr>
            <w:r>
              <w:rPr>
                <w:rFonts w:hint="eastAsia" w:ascii="宋体" w:hAnsi="宋体" w:eastAsia="宋体" w:cs="宋体"/>
                <w:color w:val="auto"/>
                <w:szCs w:val="21"/>
                <w:highlight w:val="none"/>
              </w:rPr>
              <w:t>首次响应文件解密时间：</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ascii="宋体" w:hAnsi="宋体" w:cs="宋体"/>
                <w:color w:val="auto"/>
                <w:szCs w:val="21"/>
                <w:highlight w:val="none"/>
              </w:rPr>
              <w:t>26</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contextualSpacing/>
              <w:rPr>
                <w:rFonts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pPr>
              <w:keepNext w:val="0"/>
              <w:keepLines w:val="0"/>
              <w:pageBreakBefore w:val="0"/>
              <w:widowControl w:val="0"/>
              <w:kinsoku/>
              <w:wordWrap/>
              <w:overflowPunct/>
              <w:topLinePunct w:val="0"/>
              <w:bidi w:val="0"/>
              <w:adjustRightInd/>
              <w:spacing w:line="440" w:lineRule="exact"/>
              <w:ind w:left="0"/>
              <w:contextualSpacing/>
              <w:rPr>
                <w:rFonts w:ascii="宋体" w:hAnsi="宋体" w:cs="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带“▲”的实质性要求正偏离项数多的优先、均无正偏离或者正偏离项数一致时负偏离项数少的优先、保修期长优先、</w:t>
            </w:r>
            <w:r>
              <w:rPr>
                <w:rFonts w:hint="eastAsia" w:ascii="宋体" w:hAnsi="宋体" w:cs="宋体"/>
                <w:color w:val="auto"/>
                <w:szCs w:val="21"/>
                <w:highlight w:val="none"/>
                <w:lang w:eastAsia="zh-CN"/>
              </w:rPr>
              <w:t>交货时间</w:t>
            </w:r>
            <w:r>
              <w:rPr>
                <w:rFonts w:hint="eastAsia" w:ascii="宋体" w:hAnsi="宋体" w:cs="宋体"/>
                <w:color w:val="auto"/>
                <w:szCs w:val="21"/>
                <w:highlight w:val="none"/>
              </w:rPr>
              <w:t>短优先的顺序推荐。</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auto"/>
                <w:szCs w:val="21"/>
                <w:highlight w:val="none"/>
              </w:rPr>
            </w:pPr>
            <w:r>
              <w:rPr>
                <w:rFonts w:hint="eastAsia" w:ascii="宋体" w:hAnsi="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bCs/>
                <w:color w:val="auto"/>
                <w:szCs w:val="21"/>
                <w:highlight w:val="none"/>
              </w:rPr>
            </w:pPr>
            <w:r>
              <w:rPr>
                <w:rFonts w:hint="eastAsia" w:ascii="宋体" w:hAnsi="宋体" w:cs="宋体"/>
                <w:b/>
                <w:bCs/>
                <w:color w:val="auto"/>
                <w:szCs w:val="21"/>
                <w:highlight w:val="none"/>
              </w:rPr>
              <w:t>商务要求评审中允许负偏离的条款数为</w:t>
            </w:r>
            <w:r>
              <w:rPr>
                <w:rFonts w:hint="eastAsia" w:ascii="宋体" w:hAnsi="宋体" w:cs="宋体"/>
                <w:b/>
                <w:bCs/>
                <w:color w:val="auto"/>
                <w:szCs w:val="21"/>
                <w:highlight w:val="none"/>
                <w:u w:val="single"/>
              </w:rPr>
              <w:t xml:space="preserve"> 0 </w:t>
            </w:r>
            <w:r>
              <w:rPr>
                <w:rFonts w:hint="eastAsia" w:ascii="宋体" w:hAnsi="宋体" w:cs="宋体"/>
                <w:b/>
                <w:bCs/>
                <w:color w:val="auto"/>
                <w:szCs w:val="21"/>
                <w:highlight w:val="none"/>
              </w:rPr>
              <w:t>项</w:t>
            </w:r>
            <w:r>
              <w:rPr>
                <w:rFonts w:hint="eastAsia" w:ascii="宋体" w:hAnsi="宋体" w:cs="宋体"/>
                <w:b/>
                <w:bCs/>
                <w:szCs w:val="21"/>
                <w:highlight w:val="none"/>
                <w:lang w:eastAsia="zh-CN"/>
              </w:rPr>
              <w:t>（负偏离达到</w:t>
            </w:r>
            <w:r>
              <w:rPr>
                <w:rFonts w:hint="eastAsia" w:ascii="宋体" w:hAnsi="宋体" w:cs="宋体"/>
                <w:b/>
                <w:bCs/>
                <w:szCs w:val="21"/>
                <w:highlight w:val="none"/>
                <w:lang w:val="en-US" w:eastAsia="zh-CN"/>
              </w:rPr>
              <w:t>1项及以上的响应无效</w:t>
            </w:r>
            <w:r>
              <w:rPr>
                <w:rFonts w:hint="eastAsia" w:ascii="宋体" w:hAnsi="宋体" w:cs="宋体"/>
                <w:b/>
                <w:bCs/>
                <w:szCs w:val="21"/>
                <w:highlight w:val="none"/>
                <w:lang w:eastAsia="zh-CN"/>
              </w:rPr>
              <w:t>）</w:t>
            </w:r>
            <w:r>
              <w:rPr>
                <w:rFonts w:hint="eastAsia" w:ascii="宋体" w:hAnsi="宋体" w:cs="宋体"/>
                <w:b/>
                <w:bCs/>
                <w:szCs w:val="21"/>
                <w:highlight w:val="none"/>
              </w:rPr>
              <w:t>。</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auto"/>
                <w:szCs w:val="21"/>
                <w:highlight w:val="none"/>
              </w:rPr>
            </w:pPr>
            <w:r>
              <w:rPr>
                <w:rFonts w:hint="eastAsia" w:ascii="宋体" w:hAnsi="宋体" w:cs="宋体"/>
                <w:b/>
                <w:bCs/>
                <w:color w:val="auto"/>
                <w:szCs w:val="21"/>
                <w:highlight w:val="none"/>
              </w:rPr>
              <w:t>技术要求评审中允许负偏离的条款数为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r>
              <w:rPr>
                <w:rFonts w:hint="eastAsia" w:ascii="宋体" w:hAnsi="宋体" w:cs="宋体"/>
                <w:b/>
                <w:bCs/>
                <w:szCs w:val="21"/>
                <w:highlight w:val="none"/>
                <w:lang w:eastAsia="zh-CN"/>
              </w:rPr>
              <w:t>（负偏离达到</w:t>
            </w:r>
            <w:r>
              <w:rPr>
                <w:rFonts w:hint="eastAsia" w:ascii="宋体" w:hAnsi="宋体" w:cs="宋体"/>
                <w:b/>
                <w:bCs/>
                <w:szCs w:val="21"/>
                <w:highlight w:val="none"/>
                <w:lang w:val="en-US" w:eastAsia="zh-CN"/>
              </w:rPr>
              <w:t>2项及以上的响应无效</w:t>
            </w:r>
            <w:r>
              <w:rPr>
                <w:rFonts w:hint="eastAsia" w:ascii="宋体" w:hAnsi="宋体" w:cs="宋体"/>
                <w:b/>
                <w:bCs/>
                <w:szCs w:val="21"/>
                <w:highlight w:val="none"/>
                <w:lang w:eastAsia="zh-CN"/>
              </w:rPr>
              <w:t>）</w:t>
            </w:r>
            <w:r>
              <w:rPr>
                <w:rFonts w:hint="eastAsia" w:ascii="宋体" w:hAnsi="宋体" w:cs="宋体"/>
                <w:b/>
                <w:bCs/>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auto"/>
                <w:szCs w:val="21"/>
                <w:highlight w:val="none"/>
              </w:rPr>
            </w:pPr>
            <w:r>
              <w:rPr>
                <w:rFonts w:hint="eastAsia" w:ascii="Segoe UI Symbol" w:hAnsi="Segoe UI Symbol" w:cs="Segoe UI Symbol"/>
                <w:b/>
                <w:bCs/>
                <w:color w:val="auto"/>
                <w:szCs w:val="21"/>
                <w:highlight w:val="none"/>
                <w:lang w:eastAsia="zh-CN"/>
              </w:rPr>
              <w:t>☑</w:t>
            </w:r>
            <w:r>
              <w:rPr>
                <w:rFonts w:hint="eastAsia" w:ascii="宋体" w:hAnsi="宋体"/>
                <w:b/>
                <w:bCs/>
                <w:color w:val="auto"/>
                <w:szCs w:val="21"/>
                <w:highlight w:val="none"/>
              </w:rPr>
              <w:t>本项目收取履约保证金</w:t>
            </w:r>
            <w:r>
              <w:rPr>
                <w:rFonts w:hint="eastAsia" w:ascii="宋体" w:hAnsi="宋体"/>
                <w:color w:val="auto"/>
                <w:szCs w:val="21"/>
                <w:highlight w:val="none"/>
              </w:rPr>
              <w:t>，具体规定如下：</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rPr>
            </w:pPr>
            <w:r>
              <w:rPr>
                <w:rFonts w:hint="eastAsia" w:ascii="宋体" w:hAnsi="宋体" w:cs="宋体"/>
                <w:szCs w:val="21"/>
                <w:highlight w:val="none"/>
                <w:lang w:val="en-US" w:eastAsia="zh-CN"/>
              </w:rPr>
              <w:t>A/B分标</w:t>
            </w:r>
            <w:r>
              <w:rPr>
                <w:rFonts w:hint="eastAsia" w:ascii="宋体" w:hAnsi="宋体" w:cs="宋体"/>
                <w:szCs w:val="21"/>
                <w:highlight w:val="none"/>
              </w:rPr>
              <w:t>履约保证金金额：</w:t>
            </w:r>
            <w:r>
              <w:rPr>
                <w:rFonts w:hint="eastAsia" w:ascii="宋体" w:hAnsi="宋体" w:cs="宋体"/>
                <w:szCs w:val="21"/>
                <w:highlight w:val="none"/>
                <w:lang w:eastAsia="zh-CN"/>
              </w:rPr>
              <w:t>成交</w:t>
            </w:r>
            <w:r>
              <w:rPr>
                <w:rFonts w:hint="eastAsia" w:ascii="宋体" w:hAnsi="宋体" w:cs="宋体"/>
                <w:szCs w:val="21"/>
                <w:highlight w:val="none"/>
              </w:rPr>
              <w:t>金额</w:t>
            </w:r>
            <w:r>
              <w:rPr>
                <w:rFonts w:hint="eastAsia" w:ascii="宋体" w:hAnsi="宋体" w:cs="宋体"/>
                <w:szCs w:val="21"/>
                <w:highlight w:val="none"/>
                <w:lang w:eastAsia="zh-CN"/>
              </w:rPr>
              <w:t>的</w:t>
            </w:r>
            <w:r>
              <w:rPr>
                <w:rFonts w:hint="eastAsia" w:ascii="宋体" w:hAnsi="宋体" w:cs="宋体"/>
                <w:szCs w:val="21"/>
                <w:highlight w:val="none"/>
                <w:lang w:val="en-US" w:eastAsia="zh-CN"/>
              </w:rPr>
              <w:t>5</w:t>
            </w:r>
            <w:r>
              <w:rPr>
                <w:rFonts w:hint="eastAsia" w:ascii="宋体" w:hAnsi="宋体" w:cs="宋体"/>
                <w:szCs w:val="21"/>
                <w:highlight w:val="none"/>
              </w:rPr>
              <w:t>%（若成交供应商被认定为中小企业的，履约保证金数额将按</w:t>
            </w:r>
            <w:r>
              <w:rPr>
                <w:rFonts w:hint="eastAsia" w:ascii="宋体" w:hAnsi="宋体" w:cs="宋体"/>
                <w:szCs w:val="21"/>
                <w:highlight w:val="none"/>
                <w:lang w:eastAsia="zh-CN"/>
              </w:rPr>
              <w:t>成交</w:t>
            </w:r>
            <w:r>
              <w:rPr>
                <w:rFonts w:hint="eastAsia" w:ascii="宋体" w:hAnsi="宋体" w:cs="宋体"/>
                <w:szCs w:val="21"/>
                <w:highlight w:val="none"/>
              </w:rPr>
              <w:t>金额的2%收取）</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rPr>
            </w:pPr>
            <w:r>
              <w:rPr>
                <w:rFonts w:hint="eastAsia" w:ascii="宋体" w:hAnsi="宋体" w:cs="宋体"/>
                <w:szCs w:val="21"/>
                <w:highlight w:val="none"/>
              </w:rPr>
              <w:t>履约保证金递交方式：</w:t>
            </w:r>
            <w:r>
              <w:rPr>
                <w:rFonts w:hint="eastAsia" w:ascii="宋体" w:hAnsi="宋体" w:cs="宋体"/>
                <w:szCs w:val="21"/>
                <w:highlight w:val="none"/>
                <w:lang w:eastAsia="zh-CN"/>
              </w:rPr>
              <w:t>转账或电汇等形式（</w:t>
            </w:r>
            <w:r>
              <w:rPr>
                <w:rFonts w:hint="eastAsia" w:ascii="宋体" w:hAnsi="宋体" w:cs="宋体"/>
                <w:szCs w:val="21"/>
                <w:highlight w:val="none"/>
                <w:lang w:val="en-US" w:eastAsia="zh-CN"/>
              </w:rPr>
              <w:t>支持支票、汇票、本票、保函等形式</w:t>
            </w:r>
            <w:r>
              <w:rPr>
                <w:rFonts w:hint="eastAsia" w:ascii="宋体" w:hAnsi="宋体" w:cs="宋体"/>
                <w:szCs w:val="21"/>
                <w:highlight w:val="none"/>
                <w:lang w:eastAsia="zh-CN"/>
              </w:rPr>
              <w:t>）</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rPr>
            </w:pPr>
            <w:r>
              <w:rPr>
                <w:rFonts w:hint="eastAsia" w:ascii="宋体" w:hAnsi="宋体" w:cs="宋体"/>
                <w:szCs w:val="21"/>
                <w:highlight w:val="none"/>
              </w:rPr>
              <w:t>履约保证金递交时间：签订合同</w:t>
            </w:r>
            <w:r>
              <w:rPr>
                <w:rFonts w:hint="eastAsia" w:ascii="宋体" w:hAnsi="宋体" w:cs="宋体"/>
                <w:szCs w:val="21"/>
                <w:highlight w:val="none"/>
                <w:lang w:val="en-US" w:eastAsia="zh-CN"/>
              </w:rPr>
              <w:t>后3</w:t>
            </w:r>
            <w:r>
              <w:rPr>
                <w:rFonts w:hint="eastAsia" w:ascii="宋体" w:hAnsi="宋体" w:cs="宋体"/>
                <w:szCs w:val="21"/>
                <w:highlight w:val="none"/>
              </w:rPr>
              <w:t>个工作日内由成交供应商转入采购人指定保证金账户。</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lang w:eastAsia="zh-CN"/>
              </w:rPr>
            </w:pPr>
            <w:r>
              <w:rPr>
                <w:rFonts w:hint="eastAsia" w:ascii="宋体" w:hAnsi="宋体" w:cs="宋体"/>
                <w:szCs w:val="21"/>
                <w:highlight w:val="none"/>
              </w:rPr>
              <w:t>履约保证金退还：</w:t>
            </w:r>
            <w:r>
              <w:rPr>
                <w:rFonts w:hint="eastAsia" w:ascii="宋体" w:hAnsi="宋体" w:cs="宋体"/>
                <w:szCs w:val="21"/>
                <w:highlight w:val="none"/>
                <w:lang w:eastAsia="zh-CN"/>
              </w:rPr>
              <w:t>详见《采购需求》</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rPr>
            </w:pPr>
            <w:r>
              <w:rPr>
                <w:rFonts w:hint="eastAsia" w:ascii="宋体" w:hAnsi="宋体" w:cs="宋体"/>
                <w:szCs w:val="21"/>
                <w:highlight w:val="none"/>
              </w:rPr>
              <w:t>保证金指定账户：</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rPr>
            </w:pPr>
            <w:r>
              <w:rPr>
                <w:rFonts w:hint="eastAsia" w:ascii="宋体" w:hAnsi="宋体" w:cs="宋体"/>
                <w:szCs w:val="21"/>
                <w:highlight w:val="none"/>
              </w:rPr>
              <w:t>开户名：广西制造工程职业技术学院</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rPr>
            </w:pPr>
            <w:r>
              <w:rPr>
                <w:rFonts w:hint="eastAsia" w:ascii="宋体" w:hAnsi="宋体" w:cs="宋体"/>
                <w:szCs w:val="21"/>
                <w:highlight w:val="none"/>
              </w:rPr>
              <w:t>开户行：农行南宁东盟经济园区支行</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rPr>
            </w:pPr>
            <w:r>
              <w:rPr>
                <w:rFonts w:hint="eastAsia" w:ascii="宋体" w:hAnsi="宋体" w:cs="宋体"/>
                <w:szCs w:val="21"/>
                <w:highlight w:val="none"/>
              </w:rPr>
              <w:t>账  号：20036501040014065</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rPr>
            </w:pPr>
            <w:r>
              <w:rPr>
                <w:rFonts w:hint="eastAsia" w:ascii="宋体" w:hAnsi="宋体" w:cs="宋体"/>
                <w:szCs w:val="21"/>
                <w:highlight w:val="none"/>
              </w:rPr>
              <w:t>备注：</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ascii="宋体" w:hAnsi="宋体" w:cs="宋体"/>
                <w:b/>
                <w:szCs w:val="21"/>
                <w:highlight w:val="none"/>
              </w:rPr>
            </w:pPr>
            <w:r>
              <w:rPr>
                <w:rFonts w:hint="eastAsia" w:ascii="宋体" w:hAnsi="宋体" w:cs="宋体"/>
                <w:b/>
                <w:szCs w:val="21"/>
                <w:highlight w:val="none"/>
              </w:rPr>
              <w:t>1</w:t>
            </w:r>
            <w:r>
              <w:rPr>
                <w:rFonts w:ascii="宋体" w:hAnsi="宋体" w:cs="宋体"/>
                <w:b/>
                <w:szCs w:val="21"/>
                <w:highlight w:val="none"/>
              </w:rPr>
              <w:t>.</w:t>
            </w:r>
            <w:bookmarkStart w:id="59" w:name="_Hlk54170335"/>
            <w:r>
              <w:rPr>
                <w:rFonts w:hint="eastAsia" w:ascii="宋体" w:hAnsi="宋体"/>
                <w:b/>
                <w:szCs w:val="21"/>
                <w:highlight w:val="none"/>
              </w:rPr>
              <w:t>根据</w:t>
            </w:r>
            <w:r>
              <w:rPr>
                <w:rFonts w:hint="eastAsia" w:ascii="宋体" w:hAnsi="宋体" w:cs="宋体"/>
                <w:b/>
                <w:color w:val="000000"/>
                <w:szCs w:val="21"/>
                <w:highlight w:val="none"/>
              </w:rPr>
              <w:t>《广西壮族自治区财政厅关于规范政府采购货物和服务项目保证金管理的通知》（桂财规〔2022〕8号）</w:t>
            </w:r>
            <w:r>
              <w:rPr>
                <w:rFonts w:hint="eastAsia" w:ascii="宋体" w:hAnsi="宋体"/>
                <w:b/>
                <w:szCs w:val="21"/>
                <w:highlight w:val="none"/>
              </w:rPr>
              <w:t>规定，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59"/>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b/>
                <w:szCs w:val="21"/>
                <w:highlight w:val="none"/>
              </w:rPr>
            </w:pPr>
            <w:r>
              <w:rPr>
                <w:rFonts w:hint="eastAsia" w:ascii="宋体" w:hAnsi="宋体" w:cs="宋体"/>
                <w:b/>
                <w:szCs w:val="21"/>
                <w:highlight w:val="none"/>
              </w:rPr>
              <w:t>2</w:t>
            </w:r>
            <w:r>
              <w:rPr>
                <w:rFonts w:ascii="宋体" w:hAnsi="宋体" w:cs="宋体"/>
                <w:b/>
                <w:szCs w:val="21"/>
                <w:highlight w:val="none"/>
              </w:rPr>
              <w:t>.</w:t>
            </w:r>
            <w:r>
              <w:rPr>
                <w:rFonts w:hint="eastAsia" w:ascii="宋体" w:hAnsi="宋体" w:cs="宋体"/>
                <w:b/>
                <w:szCs w:val="21"/>
                <w:highlight w:val="none"/>
              </w:rPr>
              <w:t>履约保证金不足额缴纳的，或者银行、保险机构出具的保函额度不足的或者保函有效期低于合同履行期限（即签订采购合同之日起至履行完合同约定的权利及义务之日止）的，不予签订合同。</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b/>
                <w:szCs w:val="21"/>
                <w:highlight w:val="none"/>
              </w:rPr>
            </w:pPr>
            <w:r>
              <w:rPr>
                <w:rFonts w:ascii="宋体" w:hAnsi="宋体" w:cs="宋体"/>
                <w:b/>
                <w:szCs w:val="21"/>
                <w:highlight w:val="none"/>
              </w:rPr>
              <w:t>3.</w:t>
            </w:r>
            <w:r>
              <w:rPr>
                <w:rFonts w:hint="eastAsia" w:ascii="宋体" w:hAnsi="宋体" w:cs="宋体"/>
                <w:b/>
                <w:szCs w:val="21"/>
                <w:highlight w:val="none"/>
              </w:rPr>
              <w:t>采用银行、保险机构出具的保函的，必须为无条件保函，否则不予签订合同。</w:t>
            </w:r>
          </w:p>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ascii="宋体" w:hAnsi="宋体" w:cs="宋体"/>
                <w:color w:val="auto"/>
                <w:szCs w:val="21"/>
                <w:highlight w:val="none"/>
              </w:rPr>
            </w:pPr>
            <w:r>
              <w:rPr>
                <w:rFonts w:ascii="宋体" w:hAnsi="宋体" w:cs="宋体"/>
                <w:b/>
                <w:szCs w:val="21"/>
                <w:highlight w:val="none"/>
              </w:rPr>
              <w:t>4.</w:t>
            </w:r>
            <w:r>
              <w:rPr>
                <w:rFonts w:hint="eastAsia" w:ascii="宋体" w:hAnsi="宋体" w:cs="宋体"/>
                <w:b/>
                <w:szCs w:val="21"/>
                <w:highlight w:val="none"/>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广西正海招标有限公司</w:t>
            </w:r>
            <w:r>
              <w:rPr>
                <w:rFonts w:hint="eastAsia" w:ascii="宋体" w:hAnsi="宋体"/>
                <w:color w:val="auto"/>
                <w:szCs w:val="21"/>
                <w:highlight w:val="none"/>
              </w:rPr>
              <w:t>，联系电话：</w:t>
            </w:r>
            <w:r>
              <w:rPr>
                <w:rFonts w:hint="eastAsia" w:ascii="宋体" w:hAnsi="宋体"/>
                <w:color w:val="auto"/>
                <w:szCs w:val="21"/>
                <w:highlight w:val="none"/>
                <w:u w:val="single"/>
              </w:rPr>
              <w:t>0771-2865989</w:t>
            </w: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仿宋"/>
                <w:color w:val="auto"/>
                <w:szCs w:val="21"/>
                <w:highlight w:val="none"/>
                <w:u w:val="single"/>
              </w:rPr>
              <w:t>广西正海招标有限公司（</w:t>
            </w:r>
            <w:r>
              <w:rPr>
                <w:rFonts w:hint="eastAsia" w:ascii="宋体" w:hAnsi="宋体" w:cs="仿宋"/>
                <w:color w:val="auto"/>
                <w:szCs w:val="21"/>
                <w:highlight w:val="none"/>
                <w:u w:val="single"/>
                <w:lang w:eastAsia="zh-CN"/>
              </w:rPr>
              <w:t>南宁市青秀区茅桥路2号习艺基地A栋1号电梯3楼</w:t>
            </w:r>
            <w:r>
              <w:rPr>
                <w:rFonts w:hint="eastAsia" w:ascii="宋体" w:hAnsi="宋体" w:cs="仿宋"/>
                <w:color w:val="auto"/>
                <w:szCs w:val="21"/>
                <w:highlight w:val="none"/>
                <w:u w:val="single"/>
              </w:rPr>
              <w:t>）</w:t>
            </w:r>
          </w:p>
          <w:p>
            <w:pPr>
              <w:pStyle w:val="15"/>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hAnsi="宋体" w:cs="宋体"/>
                <w:color w:val="auto"/>
                <w:kern w:val="2"/>
                <w:sz w:val="21"/>
                <w:highlight w:val="none"/>
              </w:rPr>
            </w:pPr>
            <w:r>
              <w:rPr>
                <w:rFonts w:hint="eastAsia" w:hAnsi="宋体"/>
                <w:color w:val="auto"/>
                <w:kern w:val="2"/>
                <w:sz w:val="21"/>
                <w:highlight w:val="none"/>
              </w:rPr>
              <w:t>业务时间：工作日每天上午8时00分到12时00分，下午3时00分到6时00分。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vAlign w:val="center"/>
          </w:tcPr>
          <w:p>
            <w:pPr>
              <w:pStyle w:val="15"/>
              <w:keepNext w:val="0"/>
              <w:keepLines w:val="0"/>
              <w:pageBreakBefore w:val="0"/>
              <w:widowControl w:val="0"/>
              <w:kinsoku/>
              <w:wordWrap/>
              <w:overflowPunct/>
              <w:topLinePunct w:val="0"/>
              <w:bidi w:val="0"/>
              <w:adjustRightInd/>
              <w:snapToGrid w:val="0"/>
              <w:spacing w:line="440" w:lineRule="exact"/>
              <w:ind w:left="0"/>
              <w:rPr>
                <w:rFonts w:hint="eastAsia" w:hAnsi="宋体" w:cs="宋体"/>
                <w:sz w:val="21"/>
                <w:highlight w:val="none"/>
              </w:rPr>
            </w:pPr>
            <w:r>
              <w:rPr>
                <w:rFonts w:hint="eastAsia" w:hAnsi="宋体" w:cs="宋体"/>
                <w:sz w:val="21"/>
                <w:highlight w:val="none"/>
              </w:rPr>
              <w:t>1.采购代理费支付方式：</w:t>
            </w:r>
          </w:p>
          <w:p>
            <w:pPr>
              <w:pStyle w:val="15"/>
              <w:keepNext w:val="0"/>
              <w:keepLines w:val="0"/>
              <w:pageBreakBefore w:val="0"/>
              <w:widowControl w:val="0"/>
              <w:kinsoku/>
              <w:wordWrap/>
              <w:overflowPunct/>
              <w:topLinePunct w:val="0"/>
              <w:bidi w:val="0"/>
              <w:adjustRightInd/>
              <w:snapToGrid w:val="0"/>
              <w:spacing w:line="440" w:lineRule="exact"/>
              <w:ind w:left="0"/>
              <w:rPr>
                <w:rFonts w:hint="eastAsia" w:hAnsi="宋体" w:cs="宋体"/>
                <w:sz w:val="21"/>
                <w:highlight w:val="none"/>
              </w:rPr>
            </w:pPr>
            <w:r>
              <w:rPr>
                <w:rFonts w:hint="eastAsia" w:hAnsi="宋体" w:cs="宋体"/>
                <w:sz w:val="21"/>
                <w:highlight w:val="none"/>
              </w:rPr>
              <w:sym w:font="Wingdings 2" w:char="0052"/>
            </w:r>
            <w:r>
              <w:rPr>
                <w:rFonts w:hint="eastAsia" w:hAnsi="宋体" w:cs="宋体"/>
                <w:sz w:val="21"/>
                <w:highlight w:val="none"/>
              </w:rPr>
              <w:t>本项目代理服务费按如下规定由</w:t>
            </w:r>
            <w:r>
              <w:rPr>
                <w:rFonts w:hint="eastAsia" w:hAnsi="宋体" w:cs="宋体"/>
                <w:sz w:val="21"/>
                <w:highlight w:val="none"/>
                <w:u w:val="single"/>
              </w:rPr>
              <w:t>成交供应商</w:t>
            </w:r>
            <w:r>
              <w:rPr>
                <w:rFonts w:hint="eastAsia" w:hAnsi="宋体" w:cs="宋体"/>
                <w:sz w:val="21"/>
                <w:highlight w:val="none"/>
              </w:rPr>
              <w:t>在领取成交通知书前，一次性向采购代理机构支付。</w:t>
            </w:r>
          </w:p>
          <w:p>
            <w:pPr>
              <w:pStyle w:val="15"/>
              <w:keepNext w:val="0"/>
              <w:keepLines w:val="0"/>
              <w:pageBreakBefore w:val="0"/>
              <w:widowControl w:val="0"/>
              <w:kinsoku/>
              <w:wordWrap/>
              <w:overflowPunct/>
              <w:topLinePunct w:val="0"/>
              <w:bidi w:val="0"/>
              <w:adjustRightInd/>
              <w:snapToGrid w:val="0"/>
              <w:spacing w:line="440" w:lineRule="exact"/>
              <w:ind w:left="0"/>
              <w:rPr>
                <w:rFonts w:hint="eastAsia" w:hAnsi="宋体" w:cs="宋体"/>
                <w:sz w:val="21"/>
                <w:highlight w:val="none"/>
              </w:rPr>
            </w:pPr>
            <w:r>
              <w:rPr>
                <w:rFonts w:hint="eastAsia" w:hAnsi="宋体" w:cs="宋体"/>
                <w:sz w:val="21"/>
                <w:highlight w:val="none"/>
              </w:rPr>
              <w:t>□采购人支付。</w:t>
            </w:r>
          </w:p>
          <w:p>
            <w:pPr>
              <w:pStyle w:val="15"/>
              <w:keepNext w:val="0"/>
              <w:keepLines w:val="0"/>
              <w:pageBreakBefore w:val="0"/>
              <w:widowControl w:val="0"/>
              <w:kinsoku/>
              <w:wordWrap/>
              <w:overflowPunct/>
              <w:topLinePunct w:val="0"/>
              <w:bidi w:val="0"/>
              <w:adjustRightInd/>
              <w:snapToGrid w:val="0"/>
              <w:spacing w:line="440" w:lineRule="exact"/>
              <w:ind w:left="0"/>
              <w:rPr>
                <w:rFonts w:hint="eastAsia" w:hAnsi="宋体" w:cs="宋体"/>
                <w:sz w:val="21"/>
                <w:highlight w:val="none"/>
              </w:rPr>
            </w:pPr>
            <w:r>
              <w:rPr>
                <w:rFonts w:hint="eastAsia" w:hAnsi="宋体" w:cs="宋体"/>
                <w:sz w:val="21"/>
                <w:highlight w:val="none"/>
              </w:rPr>
              <w:t>2.采购代理费收取标准：</w:t>
            </w:r>
          </w:p>
          <w:p>
            <w:pPr>
              <w:pStyle w:val="15"/>
              <w:keepNext w:val="0"/>
              <w:keepLines w:val="0"/>
              <w:pageBreakBefore w:val="0"/>
              <w:widowControl w:val="0"/>
              <w:kinsoku/>
              <w:wordWrap/>
              <w:overflowPunct/>
              <w:topLinePunct w:val="0"/>
              <w:bidi w:val="0"/>
              <w:adjustRightInd/>
              <w:snapToGrid w:val="0"/>
              <w:spacing w:line="440" w:lineRule="exact"/>
              <w:ind w:left="0"/>
              <w:rPr>
                <w:rFonts w:hint="eastAsia" w:hAnsi="宋体" w:cs="宋体"/>
                <w:sz w:val="21"/>
                <w:highlight w:val="none"/>
              </w:rPr>
            </w:pPr>
            <w:r>
              <w:rPr>
                <w:rFonts w:hint="eastAsia" w:ascii="MS Mincho" w:hAnsi="MS Mincho" w:cs="MS Mincho"/>
                <w:highlight w:val="none"/>
              </w:rPr>
              <w:sym w:font="Wingdings 2" w:char="0052"/>
            </w:r>
            <w:r>
              <w:rPr>
                <w:rFonts w:hint="eastAsia" w:hAnsi="宋体" w:cs="宋体"/>
                <w:sz w:val="21"/>
                <w:highlight w:val="none"/>
              </w:rPr>
              <w:t>以</w:t>
            </w:r>
            <w:r>
              <w:rPr>
                <w:rFonts w:hint="eastAsia" w:hAnsi="宋体" w:cs="宋体"/>
                <w:sz w:val="21"/>
                <w:highlight w:val="none"/>
                <w:lang w:eastAsia="zh-CN"/>
              </w:rPr>
              <w:t>分标</w:t>
            </w:r>
            <w:r>
              <w:rPr>
                <w:rFonts w:hint="eastAsia" w:hAnsi="宋体" w:cs="宋体"/>
                <w:sz w:val="21"/>
                <w:highlight w:val="none"/>
              </w:rPr>
              <w:t>（</w:t>
            </w:r>
            <w:r>
              <w:rPr>
                <w:rFonts w:hint="eastAsia" w:hAnsi="宋体"/>
                <w:highlight w:val="none"/>
              </w:rPr>
              <w:sym w:font="Wingdings 2" w:char="0052"/>
            </w:r>
            <w:r>
              <w:rPr>
                <w:rFonts w:hint="eastAsia" w:hAnsi="宋体" w:cs="宋体"/>
                <w:sz w:val="21"/>
                <w:highlight w:val="none"/>
              </w:rPr>
              <w:t>成交金额/</w:t>
            </w:r>
            <w:r>
              <w:rPr>
                <w:rFonts w:hint="eastAsia" w:ascii="MS Mincho" w:hAnsi="MS Mincho" w:cs="MS Mincho"/>
                <w:highlight w:val="none"/>
              </w:rPr>
              <w:t>□</w:t>
            </w:r>
            <w:r>
              <w:rPr>
                <w:rFonts w:hint="eastAsia" w:hAnsi="宋体" w:cs="宋体"/>
                <w:sz w:val="21"/>
                <w:highlight w:val="none"/>
              </w:rPr>
              <w:t>采购预算/□暂定成交金额/□其他</w:t>
            </w:r>
            <w:r>
              <w:rPr>
                <w:rFonts w:hint="eastAsia" w:hAnsi="宋体" w:cs="宋体"/>
                <w:sz w:val="21"/>
                <w:highlight w:val="none"/>
                <w:u w:val="single"/>
              </w:rPr>
              <w:t xml:space="preserve">   </w:t>
            </w:r>
            <w:r>
              <w:rPr>
                <w:rFonts w:hint="eastAsia" w:hAnsi="宋体" w:cs="宋体"/>
                <w:sz w:val="21"/>
                <w:highlight w:val="none"/>
              </w:rPr>
              <w:t>）为计费额，按本须知正文第35.1条规定的（</w:t>
            </w:r>
            <w:r>
              <w:rPr>
                <w:rFonts w:hint="eastAsia" w:hAnsi="宋体" w:cs="宋体"/>
                <w:sz w:val="21"/>
                <w:highlight w:val="none"/>
              </w:rPr>
              <w:sym w:font="Wingdings 2" w:char="0052"/>
            </w:r>
            <w:r>
              <w:rPr>
                <w:rFonts w:hint="eastAsia" w:hAnsi="宋体" w:cs="宋体"/>
                <w:sz w:val="21"/>
                <w:highlight w:val="none"/>
              </w:rPr>
              <w:t>货物类/</w:t>
            </w:r>
            <w:r>
              <w:rPr>
                <w:rFonts w:hint="eastAsia" w:ascii="MS Mincho" w:hAnsi="MS Mincho" w:eastAsia="宋体" w:cs="MS Mincho"/>
                <w:highlight w:val="none"/>
                <w:lang w:eastAsia="zh-CN"/>
              </w:rPr>
              <w:t>□</w:t>
            </w:r>
            <w:r>
              <w:rPr>
                <w:rFonts w:hint="eastAsia" w:hAnsi="宋体" w:cs="宋体"/>
                <w:sz w:val="21"/>
                <w:highlight w:val="none"/>
              </w:rPr>
              <w:t>服务类/□工程类）标准采用差额定率累进法计算出收费基准价格，采购代理收费以（</w:t>
            </w:r>
            <w:r>
              <w:rPr>
                <w:rFonts w:hint="eastAsia" w:ascii="MS Mincho" w:hAnsi="MS Mincho" w:eastAsia="MS Mincho" w:cs="MS Mincho"/>
                <w:sz w:val="21"/>
                <w:highlight w:val="none"/>
              </w:rPr>
              <w:t>☑</w:t>
            </w:r>
            <w:r>
              <w:rPr>
                <w:rFonts w:hint="eastAsia" w:hAnsi="宋体" w:cs="宋体"/>
                <w:sz w:val="21"/>
                <w:highlight w:val="none"/>
              </w:rPr>
              <w:t>收费基准价格/□收费基准价格下浮</w:t>
            </w:r>
            <w:r>
              <w:rPr>
                <w:rFonts w:hint="eastAsia" w:hAnsi="宋体" w:cs="宋体"/>
                <w:sz w:val="21"/>
                <w:highlight w:val="none"/>
                <w:u w:val="single"/>
              </w:rPr>
              <w:t xml:space="preserve"> %</w:t>
            </w:r>
            <w:r>
              <w:rPr>
                <w:rFonts w:hint="eastAsia" w:hAnsi="宋体" w:cs="宋体"/>
                <w:sz w:val="21"/>
                <w:highlight w:val="none"/>
              </w:rPr>
              <w:t>/□收费基准价格上浮</w:t>
            </w:r>
            <w:r>
              <w:rPr>
                <w:rFonts w:hint="eastAsia" w:hAnsi="宋体" w:cs="宋体"/>
                <w:sz w:val="21"/>
                <w:highlight w:val="none"/>
                <w:u w:val="single"/>
              </w:rPr>
              <w:t xml:space="preserve">   %</w:t>
            </w:r>
            <w:r>
              <w:rPr>
                <w:rFonts w:hint="eastAsia" w:hAnsi="宋体" w:cs="宋体"/>
                <w:sz w:val="21"/>
                <w:highlight w:val="none"/>
              </w:rPr>
              <w:t>）收取，</w:t>
            </w:r>
            <w:r>
              <w:rPr>
                <w:rFonts w:hint="eastAsia" w:hAnsi="宋体" w:cs="宋体"/>
                <w:sz w:val="21"/>
                <w:highlight w:val="none"/>
                <w:lang w:val="en-US" w:eastAsia="zh-CN"/>
              </w:rPr>
              <w:t>如不足人民币捌仟元的按捌仟元收取</w:t>
            </w:r>
            <w:r>
              <w:rPr>
                <w:rFonts w:hint="eastAsia" w:hAnsi="宋体" w:cs="宋体"/>
                <w:sz w:val="21"/>
                <w:highlight w:val="none"/>
              </w:rPr>
              <w:t>。</w:t>
            </w:r>
          </w:p>
          <w:p>
            <w:pPr>
              <w:pStyle w:val="15"/>
              <w:keepNext w:val="0"/>
              <w:keepLines w:val="0"/>
              <w:pageBreakBefore w:val="0"/>
              <w:widowControl w:val="0"/>
              <w:kinsoku/>
              <w:wordWrap/>
              <w:overflowPunct/>
              <w:topLinePunct w:val="0"/>
              <w:bidi w:val="0"/>
              <w:adjustRightInd/>
              <w:snapToGrid w:val="0"/>
              <w:spacing w:line="440" w:lineRule="exact"/>
              <w:ind w:left="0"/>
              <w:rPr>
                <w:rFonts w:hint="eastAsia" w:hAnsi="宋体" w:cs="宋体"/>
                <w:sz w:val="21"/>
                <w:highlight w:val="none"/>
                <w:u w:val="single"/>
              </w:rPr>
            </w:pPr>
            <w:r>
              <w:rPr>
                <w:rFonts w:hint="eastAsia" w:hAnsi="宋体" w:cs="宋体"/>
                <w:sz w:val="21"/>
                <w:highlight w:val="none"/>
              </w:rPr>
              <w:t>□固定采购代理收费</w:t>
            </w:r>
            <w:r>
              <w:rPr>
                <w:rFonts w:hint="eastAsia" w:hAnsi="宋体" w:cs="宋体"/>
                <w:sz w:val="21"/>
                <w:highlight w:val="none"/>
                <w:u w:val="single"/>
              </w:rPr>
              <w:t xml:space="preserve">              。</w:t>
            </w:r>
          </w:p>
          <w:p>
            <w:pPr>
              <w:pStyle w:val="15"/>
              <w:keepNext w:val="0"/>
              <w:keepLines w:val="0"/>
              <w:pageBreakBefore w:val="0"/>
              <w:widowControl w:val="0"/>
              <w:kinsoku/>
              <w:wordWrap/>
              <w:overflowPunct/>
              <w:topLinePunct w:val="0"/>
              <w:bidi w:val="0"/>
              <w:adjustRightInd/>
              <w:snapToGrid w:val="0"/>
              <w:spacing w:line="440" w:lineRule="exact"/>
              <w:ind w:left="0"/>
              <w:rPr>
                <w:rFonts w:hint="eastAsia" w:hAnsi="宋体" w:cs="宋体"/>
                <w:sz w:val="21"/>
                <w:highlight w:val="none"/>
              </w:rPr>
            </w:pPr>
            <w:r>
              <w:rPr>
                <w:rFonts w:hint="eastAsia" w:hAnsi="宋体" w:cs="宋体"/>
                <w:sz w:val="21"/>
                <w:highlight w:val="none"/>
              </w:rPr>
              <w:t>3. 采购代理费收取银行账户</w:t>
            </w:r>
          </w:p>
          <w:p>
            <w:pPr>
              <w:pStyle w:val="15"/>
              <w:keepNext w:val="0"/>
              <w:keepLines w:val="0"/>
              <w:pageBreakBefore w:val="0"/>
              <w:widowControl w:val="0"/>
              <w:kinsoku/>
              <w:wordWrap/>
              <w:overflowPunct/>
              <w:topLinePunct w:val="0"/>
              <w:bidi w:val="0"/>
              <w:adjustRightInd/>
              <w:snapToGrid w:val="0"/>
              <w:spacing w:line="440" w:lineRule="exact"/>
              <w:ind w:left="0"/>
              <w:rPr>
                <w:rFonts w:hint="eastAsia" w:hAnsi="宋体" w:cs="宋体"/>
                <w:sz w:val="21"/>
                <w:highlight w:val="none"/>
              </w:rPr>
            </w:pPr>
            <w:r>
              <w:rPr>
                <w:rFonts w:hint="eastAsia" w:hAnsi="宋体" w:cs="宋体"/>
                <w:sz w:val="21"/>
                <w:highlight w:val="none"/>
              </w:rPr>
              <w:t>开户名称：广西正海招标有限公司</w:t>
            </w:r>
          </w:p>
          <w:p>
            <w:pPr>
              <w:pStyle w:val="15"/>
              <w:keepNext w:val="0"/>
              <w:keepLines w:val="0"/>
              <w:pageBreakBefore w:val="0"/>
              <w:widowControl w:val="0"/>
              <w:kinsoku/>
              <w:wordWrap/>
              <w:overflowPunct/>
              <w:topLinePunct w:val="0"/>
              <w:bidi w:val="0"/>
              <w:adjustRightInd/>
              <w:snapToGrid w:val="0"/>
              <w:spacing w:line="440" w:lineRule="exact"/>
              <w:ind w:left="0"/>
              <w:rPr>
                <w:rFonts w:hint="eastAsia" w:hAnsi="宋体" w:cs="宋体"/>
                <w:sz w:val="21"/>
                <w:highlight w:val="none"/>
              </w:rPr>
            </w:pPr>
            <w:r>
              <w:rPr>
                <w:rFonts w:hint="eastAsia" w:hAnsi="宋体" w:cs="宋体"/>
                <w:sz w:val="21"/>
                <w:highlight w:val="none"/>
              </w:rPr>
              <w:t>开户银行：中国光大银行股份有限公司南宁长湖支行</w:t>
            </w:r>
          </w:p>
          <w:p>
            <w:pPr>
              <w:pStyle w:val="15"/>
              <w:keepNext w:val="0"/>
              <w:keepLines w:val="0"/>
              <w:pageBreakBefore w:val="0"/>
              <w:widowControl w:val="0"/>
              <w:kinsoku/>
              <w:wordWrap/>
              <w:overflowPunct/>
              <w:topLinePunct w:val="0"/>
              <w:bidi w:val="0"/>
              <w:adjustRightInd/>
              <w:snapToGrid w:val="0"/>
              <w:spacing w:line="440" w:lineRule="exact"/>
              <w:ind w:left="0"/>
              <w:rPr>
                <w:color w:val="auto"/>
                <w:sz w:val="21"/>
                <w:highlight w:val="none"/>
              </w:rPr>
            </w:pPr>
            <w:r>
              <w:rPr>
                <w:rFonts w:hint="eastAsia" w:hAnsi="宋体" w:cs="宋体"/>
                <w:sz w:val="21"/>
                <w:highlight w:val="none"/>
              </w:rPr>
              <w:t>银行账号：7908 0188 0000 35937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pPr>
              <w:pStyle w:val="15"/>
              <w:keepNext w:val="0"/>
              <w:keepLines w:val="0"/>
              <w:pageBreakBefore w:val="0"/>
              <w:widowControl w:val="0"/>
              <w:kinsoku/>
              <w:wordWrap/>
              <w:overflowPunct/>
              <w:topLinePunct w:val="0"/>
              <w:bidi w:val="0"/>
              <w:adjustRightInd/>
              <w:snapToGrid w:val="0"/>
              <w:spacing w:line="440" w:lineRule="exact"/>
              <w:ind w:left="0"/>
              <w:rPr>
                <w:rFonts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pPr>
              <w:pStyle w:val="15"/>
              <w:keepNext w:val="0"/>
              <w:keepLines w:val="0"/>
              <w:pageBreakBefore w:val="0"/>
              <w:widowControl w:val="0"/>
              <w:kinsoku/>
              <w:wordWrap/>
              <w:overflowPunct/>
              <w:topLinePunct w:val="0"/>
              <w:bidi w:val="0"/>
              <w:adjustRightInd/>
              <w:snapToGrid w:val="0"/>
              <w:spacing w:line="440" w:lineRule="exact"/>
              <w:ind w:left="0"/>
              <w:rPr>
                <w:rFonts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pPr>
              <w:pStyle w:val="15"/>
              <w:keepNext w:val="0"/>
              <w:keepLines w:val="0"/>
              <w:pageBreakBefore w:val="0"/>
              <w:widowControl w:val="0"/>
              <w:kinsoku/>
              <w:wordWrap/>
              <w:overflowPunct/>
              <w:topLinePunct w:val="0"/>
              <w:bidi w:val="0"/>
              <w:adjustRightInd/>
              <w:snapToGrid w:val="0"/>
              <w:spacing w:line="440" w:lineRule="exact"/>
              <w:ind w:left="0"/>
              <w:rPr>
                <w:rFonts w:hAnsi="宋体" w:cs="宋体"/>
                <w:bCs/>
                <w:color w:val="auto"/>
                <w:sz w:val="21"/>
                <w:highlight w:val="none"/>
              </w:rPr>
            </w:pPr>
            <w:r>
              <w:rPr>
                <w:rFonts w:hint="eastAsia" w:hAnsi="宋体" w:cs="宋体"/>
                <w:bCs/>
                <w:color w:val="auto"/>
                <w:sz w:val="21"/>
                <w:highlight w:val="none"/>
              </w:rPr>
              <w:t>2.本谈判文件所称的“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w:t>
            </w:r>
            <w:r>
              <w:rPr>
                <w:rFonts w:hint="eastAsia" w:hAnsi="宋体"/>
                <w:color w:val="auto"/>
                <w:sz w:val="21"/>
                <w:highlight w:val="none"/>
                <w:lang w:eastAsia="zh-CN"/>
              </w:rPr>
              <w:t>广西政府采购云平台</w:t>
            </w:r>
            <w:r>
              <w:rPr>
                <w:rFonts w:hint="eastAsia" w:hAnsi="宋体"/>
                <w:color w:val="auto"/>
                <w:sz w:val="21"/>
                <w:highlight w:val="none"/>
              </w:rPr>
              <w:t>认可的CA认证的电子签名数据为表现形式的印章，可用于签署电子响应文件，电子印章与实物印章具有同等法律效力，不因其采用电子化表现形式而否定其法律效力。</w:t>
            </w:r>
          </w:p>
          <w:p>
            <w:pPr>
              <w:pStyle w:val="15"/>
              <w:keepNext w:val="0"/>
              <w:keepLines w:val="0"/>
              <w:pageBreakBefore w:val="0"/>
              <w:widowControl w:val="0"/>
              <w:kinsoku/>
              <w:wordWrap/>
              <w:overflowPunct/>
              <w:topLinePunct w:val="0"/>
              <w:bidi w:val="0"/>
              <w:adjustRightInd/>
              <w:snapToGrid w:val="0"/>
              <w:spacing w:line="440" w:lineRule="exact"/>
              <w:ind w:left="0"/>
              <w:rPr>
                <w:rFonts w:hAnsi="宋体" w:cs="宋体"/>
                <w:bCs/>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pPr>
              <w:pStyle w:val="15"/>
              <w:keepNext w:val="0"/>
              <w:keepLines w:val="0"/>
              <w:pageBreakBefore w:val="0"/>
              <w:widowControl w:val="0"/>
              <w:kinsoku/>
              <w:wordWrap/>
              <w:overflowPunct/>
              <w:topLinePunct w:val="0"/>
              <w:bidi w:val="0"/>
              <w:adjustRightInd/>
              <w:snapToGrid w:val="0"/>
              <w:spacing w:line="440" w:lineRule="exact"/>
              <w:ind w:left="0"/>
              <w:rPr>
                <w:rFonts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pPr>
              <w:pStyle w:val="15"/>
              <w:keepNext w:val="0"/>
              <w:keepLines w:val="0"/>
              <w:pageBreakBefore w:val="0"/>
              <w:widowControl w:val="0"/>
              <w:kinsoku/>
              <w:wordWrap/>
              <w:overflowPunct/>
              <w:topLinePunct w:val="0"/>
              <w:bidi w:val="0"/>
              <w:adjustRightInd/>
              <w:snapToGrid w:val="0"/>
              <w:spacing w:line="440" w:lineRule="exact"/>
              <w:ind w:left="0"/>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本谈判文件所称的“以上”“以下”“以内”“届满”，包括本数；所称的“不满”“超过”“以外”，不包括本数。</w:t>
            </w:r>
          </w:p>
        </w:tc>
      </w:tr>
    </w:tbl>
    <w:p>
      <w:pPr>
        <w:spacing w:line="400" w:lineRule="exact"/>
        <w:jc w:val="center"/>
        <w:rPr>
          <w:rFonts w:ascii="宋体" w:hAnsi="宋体" w:cs="宋体"/>
          <w:b/>
          <w:color w:val="auto"/>
          <w:sz w:val="32"/>
          <w:szCs w:val="32"/>
          <w:highlight w:val="none"/>
        </w:rPr>
      </w:pPr>
      <w:r>
        <w:rPr>
          <w:rFonts w:ascii="宋体" w:hAnsi="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pPr>
        <w:spacing w:line="400" w:lineRule="exact"/>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 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 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2.2“采购代理机构”</w:t>
      </w:r>
      <w:r>
        <w:rPr>
          <w:rFonts w:hint="eastAsia" w:ascii="宋体" w:hAnsi="宋体" w:cs="宋体"/>
          <w:b/>
          <w:color w:val="auto"/>
          <w:szCs w:val="21"/>
          <w:highlight w:val="none"/>
        </w:rPr>
        <w:t>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 “实质性要求”是指采购需求中带“</w:t>
      </w:r>
      <w:r>
        <w:rPr>
          <w:rFonts w:hint="eastAsia" w:ascii="宋体" w:hAnsi="宋体" w:cs="宋体"/>
          <w:b/>
          <w:bCs/>
          <w:color w:val="auto"/>
          <w:kern w:val="0"/>
          <w:szCs w:val="21"/>
          <w:highlight w:val="none"/>
        </w:rPr>
        <w:t>▲</w:t>
      </w:r>
      <w:r>
        <w:rPr>
          <w:rFonts w:hint="eastAsia" w:ascii="宋体" w:hAnsi="宋体" w:cs="宋体"/>
          <w:color w:val="auto"/>
          <w:szCs w:val="21"/>
          <w:highlight w:val="none"/>
        </w:rPr>
        <w:t>”的条款或者不能负偏离的条款或者已经指明不满足按响应文件按无效处理的条款。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3. 供应商的资格条件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 竞标费用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60" w:name="_Hlk65857072"/>
      <w:r>
        <w:rPr>
          <w:rFonts w:hint="eastAsia" w:ascii="宋体" w:hAnsi="宋体" w:cs="宋体"/>
          <w:color w:val="auto"/>
          <w:szCs w:val="21"/>
          <w:highlight w:val="none"/>
        </w:rPr>
        <w:t>根据《政府采购促进中小企业发展管理办法》（财库〔2020〕46号）及</w:t>
      </w:r>
      <w:r>
        <w:rPr>
          <w:rFonts w:hint="eastAsia" w:ascii="宋体" w:hAnsi="宋体" w:cs="宋体"/>
          <w:bCs/>
          <w:sz w:val="21"/>
          <w:szCs w:val="21"/>
          <w:lang w:eastAsia="zh-CN"/>
        </w:rPr>
        <w:t>《广西壮族自治区财政厅关于持续优化政府采购营商环境推动高质量发展的通知》（桂财采〔2024〕55号）</w:t>
      </w:r>
      <w:r>
        <w:rPr>
          <w:rFonts w:hint="eastAsia" w:ascii="宋体" w:hAnsi="宋体" w:cs="宋体"/>
          <w:color w:val="auto"/>
          <w:szCs w:val="21"/>
          <w:highlight w:val="none"/>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具体详见《评审程序和评定成交的标准》。</w:t>
      </w:r>
      <w:bookmarkEnd w:id="6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bookmarkStart w:id="61" w:name="_Toc254970532"/>
      <w:bookmarkStart w:id="62" w:name="_Toc254970673"/>
      <w:r>
        <w:rPr>
          <w:rFonts w:hint="eastAsia" w:ascii="宋体" w:hAnsi="宋体" w:eastAsia="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61"/>
      <w:bookmarkEnd w:id="62"/>
    </w:p>
    <w:p>
      <w:pPr>
        <w:spacing w:line="360" w:lineRule="auto"/>
        <w:ind w:firstLine="420" w:firstLineChars="200"/>
        <w:rPr>
          <w:rFonts w:ascii="宋体" w:hAnsi="宋体" w:cs="宋体"/>
          <w:color w:val="auto"/>
          <w:szCs w:val="21"/>
          <w:highlight w:val="none"/>
        </w:rPr>
      </w:pPr>
      <w:bookmarkStart w:id="63" w:name="_8.1提供相同品牌产品且通过资格审查、符合性审查的不同投标人参加同一合"/>
      <w:bookmarkEnd w:id="63"/>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4" w:name="_Hlk54682620"/>
      <w:r>
        <w:rPr>
          <w:rFonts w:hint="eastAsia" w:ascii="宋体" w:hAnsi="宋体" w:cs="宋体"/>
          <w:color w:val="auto"/>
          <w:szCs w:val="21"/>
          <w:highlight w:val="none"/>
        </w:rPr>
        <w:t>，将报同级监督管理部门</w:t>
      </w:r>
      <w:bookmarkEnd w:id="64"/>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ind w:left="1" w:firstLine="417" w:firstLineChars="199"/>
        <w:jc w:val="center"/>
        <w:rPr>
          <w:rFonts w:ascii="宋体" w:hAnsi="宋体" w:cs="宋体"/>
          <w:color w:val="auto"/>
          <w:highlight w:val="none"/>
        </w:rPr>
      </w:pPr>
      <w:bookmarkStart w:id="65" w:name="_Toc254970675"/>
      <w:bookmarkStart w:id="66" w:name="_Toc254970534"/>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二、谈判文件</w:t>
      </w:r>
      <w:bookmarkEnd w:id="65"/>
      <w:bookmarkEnd w:id="66"/>
    </w:p>
    <w:p>
      <w:pPr>
        <w:spacing w:line="360" w:lineRule="auto"/>
        <w:jc w:val="center"/>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8.谈判文件的构成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（1）竞争性谈判公告/竞标邀请函；</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（4）响应文件格式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（5）合同文本；</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（6）评审程序和评定成交的标准；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供应商应认真阅读谈判文件的采购需求，如供应商对谈判文件有疑问的，如要求采购人作出澄清或者修改的，供应商尽可能在提交首次响应文件截止之日前，以书面形式向采购人、采购代理机构提出。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10.谈判文件的澄清和修改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 w:val="32"/>
          <w:szCs w:val="32"/>
          <w:highlight w:val="none"/>
        </w:rPr>
        <w:t>三、响应文件的编制</w:t>
      </w:r>
    </w:p>
    <w:p>
      <w:pPr>
        <w:spacing w:line="360" w:lineRule="auto"/>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15.3.3竞标报价（包含首次报价、最后报价）超过分项采购预算金额或者最高限价的，其响应文件将按无效处理。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17.竞标保证金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17.2竞标保证金的退还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；成交供应商的竞标保证金自签订合同之日起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个工作日内退还。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17.3竞标保证金不计息。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 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w:t>
      </w:r>
      <w:r>
        <w:rPr>
          <w:rFonts w:hint="eastAsia"/>
          <w:color w:val="000000"/>
        </w:rPr>
        <w:t>广西政府采购客户端</w:t>
      </w:r>
      <w:r>
        <w:rPr>
          <w:rFonts w:hint="eastAsia" w:ascii="宋体" w:hAnsi="宋体" w:cs="宋体"/>
          <w:color w:val="auto"/>
          <w:szCs w:val="21"/>
          <w:highlight w:val="none"/>
        </w:rPr>
        <w:t>”（请自行前往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进行下载），并按照本项目谈判文件规定的格式和顺序和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19.电子</w:t>
      </w:r>
      <w:r>
        <w:rPr>
          <w:rFonts w:hint="eastAsia" w:ascii="宋体" w:hAnsi="宋体" w:cs="宋体"/>
          <w:b/>
          <w:color w:val="auto"/>
          <w:sz w:val="24"/>
          <w:highlight w:val="none"/>
        </w:rPr>
        <w:t>备份响应文件</w:t>
      </w:r>
    </w:p>
    <w:p>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电子备份响应文件是指通过“广西政府采购客户端”在线编制生成且后缀名为“bfbs”的文件，是否接受电子备份响应文件</w:t>
      </w:r>
      <w:r>
        <w:rPr>
          <w:rFonts w:hint="eastAsia" w:ascii="宋体" w:hAnsi="宋体" w:cs="宋体"/>
          <w:bCs/>
          <w:color w:val="auto"/>
          <w:szCs w:val="21"/>
          <w:highlight w:val="none"/>
        </w:rPr>
        <w:t>详见在“供应商须知前附表”。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pPr>
        <w:spacing w:line="360" w:lineRule="auto"/>
        <w:ind w:firstLine="420" w:firstLineChars="200"/>
        <w:rPr>
          <w:rFonts w:ascii="宋体" w:hAnsi="宋体" w:cs="宋体"/>
          <w:b/>
          <w:color w:val="auto"/>
          <w:highlight w:val="none"/>
        </w:rPr>
      </w:pPr>
      <w:r>
        <w:rPr>
          <w:rFonts w:hint="eastAsia" w:ascii="宋体" w:hAnsi="宋体" w:cs="宋体"/>
          <w:bCs/>
          <w:color w:val="auto"/>
          <w:szCs w:val="21"/>
          <w:highlight w:val="none"/>
        </w:rPr>
        <w:t>20.1供应商必须按“供应商须知前附表”规定的</w:t>
      </w:r>
      <w:r>
        <w:rPr>
          <w:rFonts w:hint="eastAsia" w:ascii="宋体" w:hAnsi="宋体" w:cs="宋体"/>
          <w:color w:val="auto"/>
          <w:szCs w:val="21"/>
          <w:highlight w:val="none"/>
        </w:rPr>
        <w:t>时间及</w:t>
      </w:r>
      <w:r>
        <w:rPr>
          <w:rFonts w:hint="eastAsia" w:ascii="宋体" w:hAnsi="宋体" w:cs="宋体"/>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20.2未在规定时间内提交或者未按照谈判文件要求加密的电子响应文件，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napToGrid w:val="0"/>
        <w:spacing w:line="360" w:lineRule="auto"/>
        <w:ind w:firstLine="420"/>
        <w:jc w:val="left"/>
        <w:rPr>
          <w:rFonts w:ascii="宋体" w:hAnsi="宋体" w:cs="宋体"/>
          <w:color w:val="auto"/>
          <w:szCs w:val="21"/>
          <w:highlight w:val="none"/>
        </w:rPr>
      </w:pPr>
      <w:bookmarkStart w:id="67" w:name="_Toc254970684"/>
      <w:bookmarkStart w:id="68" w:name="_Toc254970543"/>
      <w:r>
        <w:rPr>
          <w:rFonts w:hint="eastAsia" w:ascii="宋体" w:hAnsi="宋体" w:cs="宋体"/>
          <w:color w:val="auto"/>
          <w:szCs w:val="21"/>
          <w:highlight w:val="none"/>
        </w:rPr>
        <w:t>21.1</w:t>
      </w:r>
      <w:r>
        <w:rPr>
          <w:rFonts w:hint="eastAsia" w:ascii="宋体" w:hAnsi="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r>
        <w:rPr>
          <w:rFonts w:hint="eastAsia" w:ascii="宋体" w:hAnsi="宋体" w:cs="宋体"/>
          <w:color w:val="auto"/>
          <w:szCs w:val="21"/>
          <w:highlight w:val="none"/>
        </w:rPr>
        <w:t>（补充、修改或者撤回方式可登陆</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进入“服务中心”中查看 “电子投标文件制作与投送教程”）</w:t>
      </w:r>
    </w:p>
    <w:bookmarkEnd w:id="67"/>
    <w:bookmarkEnd w:id="68"/>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21.2在提交响应文件截止时间前，除供应商补充、修改或者撤回响应文件外，任何单位和个人不得解密或提取响应文件。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22.响应文件的退回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四、评审及谈判</w:t>
      </w:r>
    </w:p>
    <w:p>
      <w:pPr>
        <w:spacing w:line="360" w:lineRule="auto"/>
        <w:ind w:left="420" w:firstLine="420"/>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24.谈判小组成立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ascii="宋体" w:hAnsi="宋体" w:cs="宋体"/>
          <w:bCs/>
          <w:color w:val="auto"/>
          <w:szCs w:val="21"/>
          <w:highlight w:val="none"/>
        </w:rPr>
        <w:t>采购代理机构</w:t>
      </w:r>
      <w:r>
        <w:rPr>
          <w:rFonts w:hint="eastAsia" w:ascii="宋体" w:hAnsi="宋体" w:cs="宋体"/>
          <w:bCs/>
          <w:color w:val="auto"/>
          <w:highlight w:val="none"/>
        </w:rPr>
        <w:t>应当</w:t>
      </w:r>
      <w:r>
        <w:rPr>
          <w:rFonts w:hint="eastAsia" w:ascii="宋体" w:hAnsi="宋体" w:cs="宋体"/>
          <w:bCs/>
          <w:color w:val="auto"/>
          <w:szCs w:val="21"/>
          <w:highlight w:val="none"/>
        </w:rPr>
        <w:t>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highlight w:val="none"/>
        </w:rPr>
        <w:t>抽（选）取</w:t>
      </w:r>
      <w:r>
        <w:rPr>
          <w:rFonts w:hint="eastAsia" w:ascii="宋体" w:hAnsi="宋体" w:cs="宋体"/>
          <w:bCs/>
          <w:color w:val="auto"/>
          <w:szCs w:val="21"/>
          <w:highlight w:val="none"/>
        </w:rPr>
        <w:t>评审专家。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 首次响应文件的开启和解密</w:t>
      </w:r>
    </w:p>
    <w:p>
      <w:pPr>
        <w:spacing w:line="360" w:lineRule="auto"/>
        <w:ind w:firstLine="420"/>
        <w:rPr>
          <w:rFonts w:ascii="宋体" w:hAnsi="宋体" w:cs="宋体"/>
          <w:b/>
          <w:bCs/>
          <w:color w:val="auto"/>
          <w:sz w:val="24"/>
          <w:highlight w:val="none"/>
        </w:rPr>
      </w:pPr>
      <w:r>
        <w:rPr>
          <w:rFonts w:hint="eastAsia" w:ascii="宋体" w:hAnsi="宋体" w:cs="宋体"/>
          <w:bCs/>
          <w:color w:val="auto"/>
          <w:highlight w:val="none"/>
        </w:rPr>
        <w:t>采购代理机构将在“供应商须知前附表”规定的时</w:t>
      </w:r>
      <w:r>
        <w:rPr>
          <w:rFonts w:hint="eastAsia" w:ascii="宋体" w:hAnsi="宋体" w:cs="宋体"/>
          <w:color w:val="auto"/>
          <w:highlight w:val="none"/>
        </w:rPr>
        <w:t>间通过电子交易平台组织响应文件开启，供应商的法定代表人或其委托代理人须携带加密时所用的CA锁，按平台提示和谈判文件的规定登录到</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电子开标大厅签到，采购代理机构依托</w:t>
      </w:r>
      <w:r>
        <w:rPr>
          <w:rFonts w:hint="eastAsia" w:ascii="宋体" w:hAnsi="宋体" w:cs="宋体"/>
          <w:color w:val="auto"/>
          <w:highlight w:val="none"/>
          <w:lang w:eastAsia="zh-CN"/>
        </w:rPr>
        <w:t>广西政府采购云平台</w:t>
      </w:r>
      <w:r>
        <w:rPr>
          <w:rFonts w:hint="eastAsia" w:ascii="宋体" w:hAnsi="宋体" w:cs="宋体"/>
          <w:color w:val="auto"/>
          <w:highlight w:val="none"/>
        </w:rPr>
        <w:t>向各供应商发出电子加密响应文件【开始解密】通知，由供应商按</w:t>
      </w:r>
      <w:r>
        <w:rPr>
          <w:rFonts w:hint="eastAsia" w:ascii="宋体" w:hAnsi="宋体" w:cs="宋体"/>
          <w:bCs/>
          <w:color w:val="auto"/>
          <w:szCs w:val="21"/>
          <w:highlight w:val="none"/>
        </w:rPr>
        <w:t>“供应商须知前附表”</w:t>
      </w:r>
      <w:r>
        <w:rPr>
          <w:rFonts w:hint="eastAsia" w:ascii="宋体" w:hAnsi="宋体" w:cs="宋体"/>
          <w:color w:val="auto"/>
          <w:highlight w:val="none"/>
        </w:rPr>
        <w:t>规定的时间内自行进行响应文件解密。</w:t>
      </w:r>
      <w:r>
        <w:rPr>
          <w:rFonts w:hint="eastAsia" w:ascii="宋体" w:hAnsi="宋体" w:cs="宋体"/>
          <w:b/>
          <w:color w:val="auto"/>
          <w:highlight w:val="none"/>
        </w:rPr>
        <w:t>供应商未在规定的时间内解密响应文件或者解密失败的，供应商</w:t>
      </w:r>
      <w:r>
        <w:rPr>
          <w:rFonts w:hint="eastAsia" w:ascii="宋体" w:hAnsi="宋体" w:cs="宋体"/>
          <w:b/>
          <w:color w:val="auto"/>
          <w:szCs w:val="21"/>
          <w:highlight w:val="none"/>
        </w:rPr>
        <w:t>的响应文件作无效处理</w:t>
      </w:r>
      <w:r>
        <w:rPr>
          <w:rFonts w:hint="eastAsia" w:ascii="宋体" w:hAnsi="宋体" w:cs="宋体"/>
          <w:b/>
          <w:color w:val="auto"/>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 评审程序和评定成交的标准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s="宋体"/>
          <w:color w:val="auto"/>
          <w:szCs w:val="21"/>
          <w:highlight w:val="none"/>
        </w:rPr>
        <w:t>“供应商须知前附表”。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商务/技术要求允许负偏离的条款数详见“供应商须知前附表”。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27.3出现下列情形之一的，采购人或者采购代理机构应当终止竞争性谈判采购活动，发布项目终止公告并说明原因，重新开展采购活动：</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（1）因情况变化，不再符合规定的竞争性谈判采购方式适用情形的；</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（2）出现影响采购公正的违法、违规行为的；</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（3）在采购过程中符合竞争要求的供应商或者报价未超过采购预算的供应商不足3家的，但“第四章 评审程序和评定成交的标准”第3.7条规定的情形除外。</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28.2在履约保证金退还日期前，若成交供应商的开户名称、开户银行、帐号有变动的，请以书面形式通知履约保证金收取单位，否则由此产生的后果由成交供应商自负。</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pPr>
        <w:spacing w:after="120" w:line="360" w:lineRule="auto"/>
        <w:ind w:firstLine="420"/>
        <w:rPr>
          <w:rFonts w:ascii="宋体" w:hAnsi="宋体" w:cs="宋体"/>
          <w:color w:val="auto"/>
          <w:szCs w:val="21"/>
          <w:highlight w:val="none"/>
        </w:rPr>
      </w:pPr>
      <w:r>
        <w:rPr>
          <w:rFonts w:hint="eastAsia" w:ascii="宋体" w:hAnsi="宋体" w:cs="宋体"/>
          <w:color w:val="auto"/>
          <w:szCs w:val="20"/>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32.1代理服务收取标准详见“供应商须知前附表”，供应商为联合体的，可以由联合体中的一方或者多方共同交纳代理服务费：</w:t>
      </w:r>
    </w:p>
    <w:tbl>
      <w:tblPr>
        <w:tblStyle w:val="2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8"/>
        <w:gridCol w:w="1991"/>
        <w:gridCol w:w="1839"/>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Borders>
              <w:tl2br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991" w:type="dxa"/>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83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85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991"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85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991"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85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991"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85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991"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85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991"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85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991"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83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85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991"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83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85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991"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85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991"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85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991"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85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 xml:space="preserve">注： </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（2）采购代理收费按差额定率累进法计算。</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例如：某货物采购代理业务成交金额或者暂定价为150万元，计算采购代理收费额如下：</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100 万元 ×l.5 %＝ 1.5 万元</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 150 － 100 ）万元 ×1.1%＝ 0.55 万元</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合计收费＝ 1.5 ＋ 0.55＝ 2.05 （万元）</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contextualSpacing/>
        <w:textAlignment w:val="auto"/>
        <w:rPr>
          <w:rFonts w:ascii="宋体" w:hAnsi="宋体" w:cs="宋体"/>
          <w:b/>
          <w:bCs/>
          <w:color w:val="auto"/>
          <w:sz w:val="24"/>
          <w:highlight w:val="none"/>
        </w:rPr>
      </w:pPr>
      <w:r>
        <w:rPr>
          <w:rFonts w:hint="eastAsia" w:ascii="宋体" w:hAnsi="宋体" w:cs="宋体"/>
          <w:b/>
          <w:bCs/>
          <w:color w:val="auto"/>
          <w:sz w:val="24"/>
          <w:highlight w:val="none"/>
        </w:rPr>
        <w:t>33. 需要补充的其他内容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33.1本谈判文件解释规则详见“供应商须知前附表”。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auto"/>
          <w:highlight w:val="none"/>
        </w:rPr>
      </w:pPr>
      <w:r>
        <w:rPr>
          <w:rFonts w:hint="eastAsia" w:ascii="宋体" w:hAnsi="宋体" w:cs="宋体"/>
          <w:color w:val="auto"/>
          <w:kern w:val="0"/>
          <w:szCs w:val="21"/>
          <w:highlight w:val="none"/>
        </w:rPr>
        <w:t>33.2 其他事</w:t>
      </w:r>
      <w:r>
        <w:rPr>
          <w:rFonts w:hint="eastAsia" w:ascii="宋体" w:hAnsi="宋体" w:cs="宋体"/>
          <w:color w:val="auto"/>
          <w:highlight w:val="none"/>
        </w:rPr>
        <w:t>项详见“供应商须知前附表”。</w:t>
      </w:r>
    </w:p>
    <w:p>
      <w:pPr>
        <w:keepNext w:val="0"/>
        <w:keepLines w:val="0"/>
        <w:pageBreakBefore w:val="0"/>
        <w:widowControl w:val="0"/>
        <w:kinsoku/>
        <w:wordWrap/>
        <w:overflowPunct/>
        <w:topLinePunct w:val="0"/>
        <w:autoSpaceDE/>
        <w:autoSpaceDN/>
        <w:bidi w:val="0"/>
        <w:adjustRightInd/>
        <w:snapToGrid/>
        <w:spacing w:line="420" w:lineRule="exact"/>
        <w:ind w:firstLine="400" w:firstLineChars="200"/>
        <w:contextualSpacing/>
        <w:textAlignment w:val="auto"/>
        <w:rPr>
          <w:rFonts w:ascii="宋体" w:hAnsi="宋体" w:cs="宋体"/>
          <w:color w:val="auto"/>
          <w:kern w:val="0"/>
          <w:szCs w:val="21"/>
          <w:highlight w:val="none"/>
        </w:rPr>
      </w:pPr>
      <w:r>
        <w:rPr>
          <w:rFonts w:hint="eastAsia" w:ascii="宋体" w:hAnsi="宋体" w:cs="宋体"/>
          <w:color w:val="auto"/>
          <w:kern w:val="0"/>
          <w:sz w:val="20"/>
          <w:szCs w:val="21"/>
          <w:highlight w:val="none"/>
        </w:rPr>
        <w:t>33.3</w:t>
      </w:r>
      <w:bookmarkStart w:id="69" w:name="_Hlk65857140"/>
      <w:r>
        <w:rPr>
          <w:rFonts w:hint="eastAsia" w:ascii="宋体" w:hAnsi="宋体" w:cs="宋体"/>
          <w:color w:val="auto"/>
          <w:kern w:val="0"/>
          <w:szCs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（1）在货物采购项目中，货物由中小企业制造，即货物由中小企业生产且使用该中小企业商号或者注册商标，不对其中涉及的工程承建商和服务的承接商作出要求；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（2）在工程采购项目中，工程由中小企业承建，即工程施工单位为中小企业，不对其中涉及的货物的制造商和服务的承接商作出要求；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cs="宋体"/>
          <w:color w:val="auto"/>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highlight w:val="none"/>
        </w:rPr>
        <w:t>依据本谈判文件规定享受扶持政策获得政府采购合同的，小微企业不得将合同分包给大中型企业，中型企业不得将合同分包给大型企业。</w:t>
      </w:r>
      <w:bookmarkEnd w:id="69"/>
    </w:p>
    <w:p>
      <w:pPr>
        <w:pStyle w:val="18"/>
        <w:rPr>
          <w:color w:val="auto"/>
          <w:highlight w:val="none"/>
        </w:rPr>
      </w:pPr>
    </w:p>
    <w:p>
      <w:pPr>
        <w:snapToGrid w:val="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附件1：</w:t>
      </w:r>
    </w:p>
    <w:p>
      <w:pPr>
        <w:widowControl/>
        <w:shd w:val="clear" w:color="auto" w:fill="FFFFFF"/>
        <w:spacing w:line="480" w:lineRule="atLeas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采购项目合同验收书（格式）</w:t>
      </w:r>
    </w:p>
    <w:p>
      <w:pPr>
        <w:widowControl/>
        <w:shd w:val="clear" w:color="auto" w:fill="FFFFFF"/>
        <w:snapToGrid w:val="0"/>
        <w:spacing w:line="320" w:lineRule="atLeast"/>
        <w:ind w:firstLine="480"/>
        <w:jc w:val="left"/>
        <w:rPr>
          <w:rFonts w:ascii="宋体" w:hAnsi="宋体" w:cs="宋体"/>
          <w:color w:val="auto"/>
          <w:kern w:val="0"/>
          <w:szCs w:val="21"/>
          <w:highlight w:val="none"/>
        </w:rPr>
      </w:pPr>
    </w:p>
    <w:p>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）提供的货物（或工程、服务）进行了验收，验收情况如下：</w:t>
      </w:r>
    </w:p>
    <w:tbl>
      <w:tblPr>
        <w:tblStyle w:val="27"/>
        <w:tblW w:w="8642" w:type="dxa"/>
        <w:jc w:val="center"/>
        <w:tblLayout w:type="fixed"/>
        <w:tblCellMar>
          <w:top w:w="0" w:type="dxa"/>
          <w:left w:w="0" w:type="dxa"/>
          <w:bottom w:w="0" w:type="dxa"/>
          <w:right w:w="0" w:type="dxa"/>
        </w:tblCellMar>
      </w:tblPr>
      <w:tblGrid>
        <w:gridCol w:w="1578"/>
        <w:gridCol w:w="1681"/>
        <w:gridCol w:w="664"/>
        <w:gridCol w:w="2017"/>
        <w:gridCol w:w="186"/>
        <w:gridCol w:w="720"/>
        <w:gridCol w:w="1796"/>
      </w:tblGrid>
      <w:tr>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383"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验收结论性意见：</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highlight w:val="none"/>
              </w:rPr>
            </w:pP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right="-223" w:rightChars="-106"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719"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采购人或受托机构的意见（盖章）：</w:t>
            </w:r>
          </w:p>
          <w:p>
            <w:pPr>
              <w:widowControl/>
              <w:spacing w:before="100" w:beforeAutospacing="1" w:after="100" w:afterAutospacing="1" w:line="320" w:lineRule="atLeast"/>
              <w:ind w:left="399" w:leftChars="19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spacing w:line="360" w:lineRule="auto"/>
        <w:ind w:firstLine="420" w:firstLineChars="200"/>
        <w:contextualSpacing/>
        <w:rPr>
          <w:rFonts w:ascii="宋体" w:hAnsi="宋体" w:cs="宋体"/>
          <w:color w:val="auto"/>
          <w:highlight w:val="none"/>
        </w:rPr>
      </w:pPr>
    </w:p>
    <w:p>
      <w:pPr>
        <w:snapToGrid w:val="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附件2：</w:t>
      </w: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采购项目履约保证金退付意见书</w:t>
      </w:r>
    </w:p>
    <w:p>
      <w:pPr>
        <w:jc w:val="center"/>
        <w:rPr>
          <w:rFonts w:ascii="黑体" w:hAnsi="黑体" w:eastAsia="黑体"/>
          <w:color w:val="auto"/>
          <w:sz w:val="36"/>
          <w:szCs w:val="36"/>
          <w:highlight w:val="none"/>
        </w:rPr>
      </w:pPr>
    </w:p>
    <w:tbl>
      <w:tblPr>
        <w:tblStyle w:val="27"/>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w:t>
            </w:r>
          </w:p>
        </w:tc>
        <w:tc>
          <w:tcPr>
            <w:tcW w:w="800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ascii="宋体" w:hAnsi="宋体" w:eastAsia="宋体" w:cs="宋体"/>
                <w:color w:val="auto"/>
                <w:sz w:val="21"/>
                <w:szCs w:val="21"/>
                <w:highlight w:val="none"/>
              </w:rPr>
            </w:pPr>
          </w:p>
        </w:tc>
        <w:tc>
          <w:tcPr>
            <w:tcW w:w="800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ascii="宋体" w:hAnsi="宋体" w:eastAsia="宋体" w:cs="宋体"/>
                <w:color w:val="auto"/>
                <w:sz w:val="21"/>
                <w:szCs w:val="21"/>
                <w:highlight w:val="none"/>
              </w:rPr>
            </w:pPr>
          </w:p>
        </w:tc>
        <w:tc>
          <w:tcPr>
            <w:tcW w:w="8009" w:type="dxa"/>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该项目已于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日验收并交付使用。根据合同规定，该项目的履约保证金期限于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日已满，请将履约保证金</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（小写）退付到达以下帐户。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w:t>
            </w:r>
          </w:p>
          <w:p>
            <w:pP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供应商签章：</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p>
        </w:tc>
        <w:tc>
          <w:tcPr>
            <w:tcW w:w="8009" w:type="dxa"/>
          </w:tcPr>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退付意见：是否同意退付履约保证金及退付金额：</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联系人及电话：                                </w:t>
            </w:r>
          </w:p>
          <w:p>
            <w:pPr>
              <w:rPr>
                <w:rFonts w:hint="eastAsia" w:ascii="宋体" w:hAnsi="宋体" w:eastAsia="宋体" w:cs="宋体"/>
                <w:color w:val="auto"/>
                <w:sz w:val="21"/>
                <w:szCs w:val="21"/>
                <w:highlight w:val="none"/>
              </w:rPr>
            </w:pPr>
          </w:p>
          <w:p>
            <w:pPr>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采购人签章：</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009" w:type="dxa"/>
          </w:tcPr>
          <w:p>
            <w:pPr>
              <w:rPr>
                <w:rFonts w:hint="eastAsia" w:ascii="宋体" w:hAnsi="宋体" w:eastAsia="宋体" w:cs="宋体"/>
                <w:color w:val="auto"/>
                <w:sz w:val="21"/>
                <w:szCs w:val="21"/>
                <w:highlight w:val="none"/>
              </w:rPr>
            </w:pPr>
          </w:p>
        </w:tc>
      </w:tr>
    </w:tbl>
    <w:p>
      <w:pPr>
        <w:spacing w:after="120"/>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pPr>
        <w:spacing w:line="400" w:lineRule="exact"/>
        <w:jc w:val="center"/>
        <w:rPr>
          <w:rFonts w:ascii="黑体" w:hAnsi="黑体" w:eastAsia="黑体" w:cs="黑体"/>
          <w:bCs/>
          <w:color w:val="auto"/>
          <w:sz w:val="32"/>
          <w:szCs w:val="32"/>
          <w:highlight w:val="none"/>
        </w:rPr>
      </w:pPr>
      <w:r>
        <w:rPr>
          <w:rFonts w:ascii="黑体" w:hAnsi="黑体" w:eastAsia="黑体" w:cs="黑体"/>
          <w:bCs/>
          <w:color w:val="auto"/>
          <w:sz w:val="32"/>
          <w:szCs w:val="32"/>
          <w:highlight w:val="none"/>
        </w:rPr>
        <w:t xml:space="preserve"> </w:t>
      </w:r>
    </w:p>
    <w:p>
      <w:pPr>
        <w:spacing w:line="360" w:lineRule="auto"/>
        <w:ind w:firstLine="640" w:firstLineChars="200"/>
        <w:contextualSpacing/>
        <w:rPr>
          <w:rFonts w:ascii="宋体"/>
          <w:b/>
          <w:bCs/>
          <w:color w:val="auto"/>
          <w:sz w:val="18"/>
          <w:szCs w:val="18"/>
          <w:highlight w:val="none"/>
        </w:rPr>
      </w:pPr>
      <w:r>
        <w:rPr>
          <w:rFonts w:ascii="黑体" w:hAnsi="黑体" w:eastAsia="黑体" w:cs="黑体"/>
          <w:bCs/>
          <w:color w:val="auto"/>
          <w:sz w:val="32"/>
          <w:szCs w:val="32"/>
          <w:highlight w:val="none"/>
        </w:rPr>
        <w:br w:type="page"/>
      </w:r>
    </w:p>
    <w:p>
      <w:pPr>
        <w:pStyle w:val="4"/>
        <w:jc w:val="center"/>
        <w:rPr>
          <w:color w:val="auto"/>
          <w:highlight w:val="none"/>
        </w:rPr>
      </w:pPr>
      <w:bookmarkStart w:id="70" w:name="_Toc129703550"/>
      <w:r>
        <w:rPr>
          <w:rFonts w:hint="eastAsia"/>
          <w:color w:val="auto"/>
          <w:highlight w:val="none"/>
        </w:rPr>
        <w:t>第三章 采购需求</w:t>
      </w:r>
      <w:bookmarkEnd w:id="70"/>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宋体"/>
          <w:color w:val="auto"/>
          <w:highlight w:val="none"/>
        </w:rPr>
      </w:pPr>
      <w:r>
        <w:rPr>
          <w:rFonts w:hint="eastAsia" w:ascii="宋体" w:hAnsi="宋体" w:cs="宋体"/>
          <w:color w:val="auto"/>
          <w:highlight w:val="none"/>
        </w:rPr>
        <w:t>说明：</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auto"/>
          <w:highlight w:val="none"/>
        </w:rPr>
      </w:pPr>
      <w:r>
        <w:rPr>
          <w:rFonts w:hint="eastAsia"/>
          <w:color w:val="auto"/>
          <w:highlight w:val="none"/>
        </w:rPr>
        <w:t>1. 为落实政府采购政策需满足的要求（根据项目实际情况填写内容）</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（1）本竞争性谈判采购文件所称中小企业必须符合《政府采购促进中小企业发展管理办法》（财库〔2020〕46号）的规定。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jc w:val="left"/>
        <w:textAlignment w:val="auto"/>
        <w:rPr>
          <w:rFonts w:hint="eastAsia" w:ascii="宋体" w:hAnsi="宋体" w:cs="宋体"/>
          <w:color w:val="auto"/>
          <w:highlight w:val="none"/>
        </w:rPr>
      </w:pPr>
      <w:r>
        <w:rPr>
          <w:rFonts w:hint="eastAsia" w:ascii="宋体" w:hAnsi="宋体" w:cs="宋体"/>
          <w:b/>
          <w:color w:val="auto"/>
          <w:highlight w:val="none"/>
        </w:rPr>
        <w:t>（3）根据《关于调整网络安全专用产品安全管理有关事项的公告》（2023年1号）规定，本项目采购需求中的产品如果包括《网络关键设备和网络安全专用产品目录》的网络安全专用产品，供应商在</w:t>
      </w:r>
      <w:r>
        <w:rPr>
          <w:rFonts w:hint="eastAsia" w:ascii="宋体" w:hAnsi="宋体" w:cs="宋体"/>
          <w:b/>
          <w:color w:val="auto"/>
          <w:highlight w:val="none"/>
          <w:lang w:eastAsia="zh-CN"/>
        </w:rPr>
        <w:t>响应文件</w:t>
      </w:r>
      <w:r>
        <w:rPr>
          <w:rFonts w:hint="eastAsia" w:ascii="宋体" w:hAnsi="宋体" w:cs="宋体"/>
          <w:b/>
          <w:color w:val="auto"/>
          <w:highlight w:val="none"/>
        </w:rPr>
        <w:t>中应主动列明供货范围中属于网络安全专用产品的</w:t>
      </w:r>
      <w:r>
        <w:rPr>
          <w:rFonts w:hint="eastAsia" w:ascii="宋体" w:hAnsi="宋体" w:cs="宋体"/>
          <w:b/>
          <w:color w:val="auto"/>
          <w:highlight w:val="none"/>
          <w:lang w:eastAsia="zh-CN"/>
        </w:rPr>
        <w:t>竞标</w:t>
      </w:r>
      <w:r>
        <w:rPr>
          <w:rFonts w:hint="eastAsia" w:ascii="宋体" w:hAnsi="宋体" w:cs="宋体"/>
          <w:b/>
          <w:color w:val="auto"/>
          <w:highlight w:val="none"/>
        </w:rPr>
        <w:t>产品，并在</w:t>
      </w:r>
      <w:r>
        <w:rPr>
          <w:rFonts w:hint="eastAsia" w:ascii="宋体" w:hAnsi="宋体" w:cs="宋体"/>
          <w:b/>
          <w:color w:val="auto"/>
          <w:highlight w:val="none"/>
          <w:lang w:eastAsia="zh-CN"/>
        </w:rPr>
        <w:t>响应</w:t>
      </w:r>
      <w:r>
        <w:rPr>
          <w:rFonts w:hint="eastAsia" w:ascii="宋体" w:hAnsi="宋体" w:cs="宋体"/>
          <w:b/>
          <w:color w:val="auto"/>
          <w:highlight w:val="none"/>
        </w:rPr>
        <w:t>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w:t>
      </w:r>
      <w:r>
        <w:rPr>
          <w:rFonts w:hint="eastAsia" w:ascii="宋体" w:hAnsi="宋体" w:cs="宋体"/>
          <w:b/>
          <w:color w:val="auto"/>
          <w:highlight w:val="none"/>
          <w:lang w:eastAsia="zh-CN"/>
        </w:rPr>
        <w:t>响应</w:t>
      </w:r>
      <w:r>
        <w:rPr>
          <w:rFonts w:hint="eastAsia" w:ascii="宋体" w:hAnsi="宋体" w:cs="宋体"/>
          <w:b/>
          <w:color w:val="auto"/>
          <w:highlight w:val="none"/>
        </w:rPr>
        <w:t>处理。如属于《网络关键设备和网络安全专用产品目录》中“二、网络安全专用产品”内“产品类别”中的所描述的产品，但不属于所列“产品描述”情形的，应提供相应的说明及证明材料。</w:t>
      </w: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jc w:val="left"/>
        <w:textAlignment w:val="auto"/>
        <w:rPr>
          <w:rFonts w:hint="eastAsia" w:ascii="宋体" w:hAnsi="宋体" w:cs="宋体"/>
          <w:b/>
          <w:bCs/>
          <w:color w:val="auto"/>
          <w:highlight w:val="none"/>
        </w:rPr>
      </w:pPr>
      <w:r>
        <w:rPr>
          <w:rFonts w:hint="eastAsia" w:ascii="宋体" w:hAnsi="宋体" w:cs="宋体"/>
          <w:b/>
          <w:color w:val="auto"/>
          <w:highlight w:val="none"/>
        </w:rPr>
        <w:t>2.</w:t>
      </w:r>
      <w:r>
        <w:rPr>
          <w:rFonts w:hint="eastAsia" w:ascii="宋体" w:hAnsi="宋体" w:cs="宋体"/>
          <w:b/>
          <w:bCs/>
          <w:color w:val="auto"/>
          <w:highlight w:val="none"/>
        </w:rPr>
        <w:t>“实质性要求”是指采购需求中带“▲”的条款或者不能负偏离的条款或者已经指明不满足按响应文件作无效处理的条款。</w:t>
      </w: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jc w:val="left"/>
        <w:textAlignment w:val="auto"/>
        <w:rPr>
          <w:rFonts w:hint="eastAsia" w:ascii="宋体" w:hAnsi="宋体" w:cs="宋体"/>
          <w:b/>
          <w:bCs/>
          <w:color w:val="auto"/>
          <w:highlight w:val="none"/>
        </w:rPr>
      </w:pPr>
      <w:r>
        <w:rPr>
          <w:rFonts w:hint="eastAsia" w:ascii="宋体" w:hAnsi="宋体" w:cs="宋体"/>
          <w:b/>
          <w:color w:val="auto"/>
          <w:highlight w:val="none"/>
        </w:rPr>
        <w:t>3.</w:t>
      </w:r>
      <w:r>
        <w:rPr>
          <w:rFonts w:hint="eastAsia" w:ascii="宋体" w:hAnsi="宋体" w:cs="宋体"/>
          <w:b/>
          <w:bCs/>
          <w:color w:val="auto"/>
          <w:highlight w:val="none"/>
        </w:rPr>
        <w:t>供应商应根据自身实际情况如实响应竞争性</w:t>
      </w:r>
      <w:r>
        <w:rPr>
          <w:rFonts w:hint="eastAsia" w:ascii="宋体" w:hAnsi="宋体" w:cs="宋体"/>
          <w:b/>
          <w:bCs/>
          <w:color w:val="auto"/>
          <w:highlight w:val="none"/>
          <w:lang w:eastAsia="zh-CN"/>
        </w:rPr>
        <w:t>谈判</w:t>
      </w:r>
      <w:r>
        <w:rPr>
          <w:rFonts w:hint="eastAsia" w:ascii="宋体" w:hAnsi="宋体" w:cs="宋体"/>
          <w:b/>
          <w:bCs/>
          <w:color w:val="auto"/>
          <w:highlight w:val="none"/>
        </w:rPr>
        <w:t>文件，否则将作无效响应处理。对于重要技术条款或技术参数应当在响应文件中提供技术支持资料，技术支持资料以竞争性</w:t>
      </w:r>
      <w:r>
        <w:rPr>
          <w:rFonts w:hint="eastAsia" w:ascii="宋体" w:hAnsi="宋体" w:cs="宋体"/>
          <w:b/>
          <w:bCs/>
          <w:color w:val="auto"/>
          <w:highlight w:val="none"/>
          <w:lang w:eastAsia="zh-CN"/>
        </w:rPr>
        <w:t>谈判</w:t>
      </w:r>
      <w:r>
        <w:rPr>
          <w:rFonts w:hint="eastAsia" w:ascii="宋体" w:hAnsi="宋体" w:cs="宋体"/>
          <w:b/>
          <w:bCs/>
          <w:color w:val="auto"/>
          <w:highlight w:val="none"/>
        </w:rPr>
        <w:t>文件中规定的形式为准，否则将视为无效技术支持资料。</w:t>
      </w:r>
    </w:p>
    <w:p>
      <w:pPr>
        <w:keepNext w:val="0"/>
        <w:keepLines w:val="0"/>
        <w:pageBreakBefore w:val="0"/>
        <w:widowControl w:val="0"/>
        <w:kinsoku/>
        <w:wordWrap/>
        <w:overflowPunct/>
        <w:topLinePunct w:val="0"/>
        <w:autoSpaceDE/>
        <w:autoSpaceDN/>
        <w:bidi w:val="0"/>
        <w:adjustRightInd/>
        <w:snapToGrid/>
        <w:spacing w:line="520" w:lineRule="exact"/>
        <w:ind w:firstLine="424" w:firstLineChars="202"/>
        <w:textAlignment w:val="auto"/>
        <w:rPr>
          <w:rFonts w:hint="eastAsia" w:ascii="宋体" w:hAnsi="宋体" w:cs="宋体"/>
          <w:color w:val="auto"/>
          <w:highlight w:val="none"/>
        </w:rPr>
      </w:pPr>
      <w:r>
        <w:rPr>
          <w:rFonts w:hint="eastAsia" w:ascii="宋体" w:hAnsi="宋体" w:cs="宋体"/>
          <w:color w:val="auto"/>
          <w:highlight w:val="none"/>
        </w:rPr>
        <w:t>4. 供应商必须自行为其</w:t>
      </w:r>
      <w:r>
        <w:rPr>
          <w:rFonts w:hint="eastAsia" w:ascii="宋体" w:hAnsi="宋体" w:cs="宋体"/>
          <w:color w:val="auto"/>
          <w:highlight w:val="none"/>
          <w:lang w:eastAsia="zh-CN"/>
        </w:rPr>
        <w:t>应标</w:t>
      </w:r>
      <w:r>
        <w:rPr>
          <w:rFonts w:hint="eastAsia" w:ascii="宋体" w:hAnsi="宋体" w:cs="宋体"/>
          <w:color w:val="auto"/>
          <w:highlight w:val="none"/>
        </w:rPr>
        <w:t>产品侵犯他人的知识产权或者专利成果的行为承担相应法律责任。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textAlignment w:val="auto"/>
        <w:rPr>
          <w:rFonts w:hint="eastAsia" w:ascii="宋体" w:hAnsi="宋体" w:eastAsia="宋体" w:cs="宋体"/>
          <w:b/>
          <w:color w:val="auto"/>
          <w:szCs w:val="21"/>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 所属行业：</w:t>
      </w:r>
      <w:r>
        <w:rPr>
          <w:rFonts w:hint="eastAsia" w:ascii="宋体" w:hAnsi="宋体" w:eastAsia="宋体" w:cs="宋体"/>
          <w:b/>
          <w:color w:val="auto"/>
          <w:szCs w:val="21"/>
          <w:highlight w:val="none"/>
          <w:lang w:eastAsia="zh-CN"/>
        </w:rPr>
        <w:t>工业</w:t>
      </w:r>
      <w:r>
        <w:rPr>
          <w:rFonts w:hint="eastAsia" w:ascii="宋体" w:hAnsi="宋体" w:eastAsia="宋体" w:cs="宋体"/>
          <w:b/>
          <w:color w:val="auto"/>
          <w:szCs w:val="21"/>
          <w:highlight w:val="none"/>
        </w:rPr>
        <w:t>。</w:t>
      </w:r>
    </w:p>
    <w:p>
      <w:pPr>
        <w:pStyle w:val="18"/>
        <w:rPr>
          <w:rFonts w:hint="eastAsia" w:ascii="宋体" w:hAnsi="宋体" w:eastAsia="宋体" w:cs="宋体"/>
          <w:b/>
          <w:color w:val="auto"/>
          <w:szCs w:val="21"/>
          <w:highlight w:val="none"/>
        </w:rPr>
      </w:pPr>
    </w:p>
    <w:p>
      <w:pPr>
        <w:pStyle w:val="18"/>
        <w:jc w:val="both"/>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A分标：校园安防体系新增监控设备项目</w:t>
      </w:r>
    </w:p>
    <w:tbl>
      <w:tblPr>
        <w:tblStyle w:val="27"/>
        <w:tblpPr w:leftFromText="180" w:rightFromText="180" w:vertAnchor="text" w:horzAnchor="page" w:tblpX="1256" w:tblpY="265"/>
        <w:tblOverlap w:val="never"/>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0"/>
        <w:gridCol w:w="600"/>
        <w:gridCol w:w="675"/>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1" w:type="dxa"/>
            <w:vAlign w:val="center"/>
          </w:tcPr>
          <w:p>
            <w:pPr>
              <w:keepNext w:val="0"/>
              <w:keepLines w:val="0"/>
              <w:pageBreakBefore w:val="0"/>
              <w:widowControl/>
              <w:kinsoku/>
              <w:wordWrap/>
              <w:overflowPunct/>
              <w:autoSpaceDE/>
              <w:autoSpaceDN/>
              <w:bidi w:val="0"/>
              <w:spacing w:line="360" w:lineRule="auto"/>
              <w:ind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序号</w:t>
            </w:r>
          </w:p>
        </w:tc>
        <w:tc>
          <w:tcPr>
            <w:tcW w:w="950" w:type="dxa"/>
            <w:vAlign w:val="center"/>
          </w:tcPr>
          <w:p>
            <w:pPr>
              <w:keepNext w:val="0"/>
              <w:keepLines w:val="0"/>
              <w:pageBreakBefore w:val="0"/>
              <w:widowControl/>
              <w:kinsoku/>
              <w:wordWrap/>
              <w:overflowPunct/>
              <w:autoSpaceDE/>
              <w:autoSpaceDN/>
              <w:bidi w:val="0"/>
              <w:spacing w:line="360" w:lineRule="auto"/>
              <w:ind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eastAsia="zh-CN"/>
              </w:rPr>
              <w:t>货物</w:t>
            </w:r>
            <w:r>
              <w:rPr>
                <w:rFonts w:hint="eastAsia" w:ascii="宋体" w:hAnsi="宋体" w:eastAsia="宋体" w:cs="宋体"/>
                <w:color w:val="auto"/>
                <w:kern w:val="0"/>
                <w:sz w:val="21"/>
                <w:szCs w:val="21"/>
                <w:highlight w:val="none"/>
              </w:rPr>
              <w:t>名称</w:t>
            </w:r>
          </w:p>
        </w:tc>
        <w:tc>
          <w:tcPr>
            <w:tcW w:w="600" w:type="dxa"/>
            <w:vAlign w:val="center"/>
          </w:tcPr>
          <w:p>
            <w:pPr>
              <w:keepNext w:val="0"/>
              <w:keepLines w:val="0"/>
              <w:pageBreakBefore w:val="0"/>
              <w:widowControl/>
              <w:kinsoku/>
              <w:wordWrap/>
              <w:overflowPunct/>
              <w:autoSpaceDE/>
              <w:autoSpaceDN/>
              <w:bidi w:val="0"/>
              <w:spacing w:line="360" w:lineRule="auto"/>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数量</w:t>
            </w:r>
          </w:p>
        </w:tc>
        <w:tc>
          <w:tcPr>
            <w:tcW w:w="675" w:type="dxa"/>
            <w:vAlign w:val="center"/>
          </w:tcPr>
          <w:p>
            <w:pPr>
              <w:keepNext w:val="0"/>
              <w:keepLines w:val="0"/>
              <w:pageBreakBefore w:val="0"/>
              <w:widowControl/>
              <w:kinsoku/>
              <w:wordWrap/>
              <w:overflowPunct/>
              <w:autoSpaceDE/>
              <w:autoSpaceDN/>
              <w:bidi w:val="0"/>
              <w:spacing w:line="360" w:lineRule="auto"/>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单位</w:t>
            </w:r>
          </w:p>
        </w:tc>
        <w:tc>
          <w:tcPr>
            <w:tcW w:w="6762" w:type="dxa"/>
            <w:vAlign w:val="center"/>
          </w:tcPr>
          <w:p>
            <w:pPr>
              <w:keepNext w:val="0"/>
              <w:keepLines w:val="0"/>
              <w:pageBreakBefore w:val="0"/>
              <w:widowControl/>
              <w:kinsoku/>
              <w:wordWrap/>
              <w:overflowPunct/>
              <w:autoSpaceDE/>
              <w:autoSpaceDN/>
              <w:bidi w:val="0"/>
              <w:spacing w:line="360" w:lineRule="auto"/>
              <w:ind w:right="0"/>
              <w:jc w:val="center"/>
              <w:textAlignment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8" w:type="dxa"/>
            <w:gridSpan w:val="5"/>
            <w:vAlign w:val="center"/>
          </w:tcPr>
          <w:p>
            <w:pPr>
              <w:keepNext w:val="0"/>
              <w:keepLines w:val="0"/>
              <w:pageBreakBefore w:val="0"/>
              <w:widowControl/>
              <w:kinsoku/>
              <w:wordWrap/>
              <w:overflowPunct/>
              <w:autoSpaceDE/>
              <w:autoSpaceDN/>
              <w:bidi w:val="0"/>
              <w:spacing w:line="360" w:lineRule="auto"/>
              <w:ind w:right="0"/>
              <w:jc w:val="both"/>
              <w:textAlignment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一、前端设备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keepNext w:val="0"/>
              <w:keepLines w:val="0"/>
              <w:pageBreakBefore w:val="0"/>
              <w:widowControl/>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9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400万红外定焦枪型网络摄像机</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234</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olor w:val="auto"/>
                <w:kern w:val="0"/>
                <w:sz w:val="21"/>
                <w:szCs w:val="21"/>
                <w:highlight w:val="none"/>
                <w:u w:val="none"/>
                <w:lang w:val="en-US" w:eastAsia="zh-CN" w:bidi="ar"/>
              </w:rPr>
              <w:t>台</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1、采用≥400万像素1/2.9英寸CMOS高性能图像传感器。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2、可输出≥400万（2560×1440）@25fps。</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3、支持H.265编码，压缩比高，实现超低码流传输。</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4、网络安全：码流加密；配置加密；Digest；WSSE；帐户锁定；安全日志；X.509证书生成与导入；HTTPS；可信启动；可信执行；可信升级。</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5、报警事件：网络断开；IP冲突；非法访问；动态检测；视频遮挡；音频异常侦测；SMD（人）；安全异常。</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6、支持图像翻转，支持镜像，支持≥4块隐私遮挡。</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7、支持智能动检（人形），采用ISP图像处理技术，通过智能算法控制补光切换，既能红外又能暖光全彩监控。</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8、内置高效暖光灯，红外补光灯，最大红外监控距离60米，最大暖光监控距离40米。</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9、支持宽动态，3D降噪，强光抑制，背光补偿，数字水印，适用多种监控环境。</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10、支持ROI，SMART H.264/H.265，灵活编码，适用不同带宽和存储环境。</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11、内置≥1个MIC。</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12、支持DC12V/PoE供电方式。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13、支持≥IP67防护等级。</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14、含枪机壁装支架。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keepNext w:val="0"/>
              <w:keepLines w:val="0"/>
              <w:pageBreakBefore w:val="0"/>
              <w:widowControl/>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9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400万红外定焦半球网络摄像机</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1、采用≥400万像素1/2.9英寸CMOS高性能图像传感器。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2、可输出≥400万（2560×1440）@25fps。</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3、支持H.265编码，压缩比高，实现超低码流传输。</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4、网络安全：码流加密；配置加密；Digest；WSSE；帐户锁定；安全日志；X.509证书生成与导入；HTTPS；可信启动；可信执行；可信升级。</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5、报警事件：网络断开；IP冲突；非法访问；动态检测；视频遮挡；音频异常侦测；SMD（人）；安全异常。</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6、支持图像翻转，支持镜像，支持≥4块隐私遮挡。</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7、支持智能动检（人形），采用ISP图像处理技术，通过智能算法控制补光切换，既能红外又能暖光全彩监控。</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8、内置高效暖光灯，红外补光灯，最大红外监控距离60米，最大暖光监控距离40米。</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9、支持宽动态，3D降噪，强光抑制，背光补偿，数字水印，适用多种监控环境。</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10、支持ROI，SMART H.264/H.265，灵活编码，适用不同带宽和存储环境。</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11、内置≥1个MIC。</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12、支持DC12V/PoE供电方式，含DC12V 2A电源适配器。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13、支持≥IP67防护等级。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keepNext w:val="0"/>
              <w:keepLines w:val="0"/>
              <w:pageBreakBefore w:val="0"/>
              <w:widowControl/>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9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高清网络球机</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1、采用≥400万像素1/2.8英寸CMOS传感器。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2、支持超低照度，彩色：0.005lux@F1.6，黑白：0.0005lux@F1.60Lux。</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3、支持H.265编码，实现超低码流传输。</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4、支持人脸检测；支持人脸轨迹框；支持抓拍；支持人脸增强；支持人脸抠图区域可设：人脸，单寸照。</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5、支持实时抓拍，质量优先二种抓拍策略。</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6、支持绊线入侵，支持区域入侵，支持穿越围栏，支持徘徊检测，支持物品遗留，支持物品搬移，支持快速移动，支持停车检测，支持人员聚集，支持人车分类报警；支持联动跟踪。</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7、智能（包括SMD）与数字变倍与电子防抖互斥。</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8、隐私遮挡支持≥24块区域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同时≥有8块区域在同一个画面；支持多种颜色可选。</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9、支持≥32倍光学变倍，≥16倍数字变倍。</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10、内置≥150米红外灯补光，采用倍率与补光灯功率匹配算法，补光效果更均匀。</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11、水平方向360°连续旋转，垂直方向-20°～90°自动翻转180°后连续观察,无观察盲区。</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12、支持≥300个预置位，≥8条巡航路径，≥5条巡迹路径。</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13、支持≥1路音频输入，≥1路音频输出。</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14、内置≥2路报警输入，≥1路报警输出，支持报警联动功能。</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15、支持≥IP66防护等级，6000V防雷、防浪涌和防突波保护。</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16、支持DC24V±25%宽电压输入。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keepNext w:val="0"/>
              <w:keepLines w:val="0"/>
              <w:pageBreakBefore w:val="0"/>
              <w:widowControl/>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9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无线网桥</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对</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电梯监控专用无线网桥，免配置，传输距离≥100米。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keepNext w:val="0"/>
              <w:keepLines w:val="0"/>
              <w:pageBreakBefore w:val="0"/>
              <w:widowControl/>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9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16口POE交换机</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标准19英寸1U高机架设备，可上机架，实配固化千兆电接口数≥16个，千兆SFP光口≥2个，最大可用端口≥18个。</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支持PoE/PoE+，整机PoE功率≥240W，单口最大输出功率≥30W。</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交换容量≥36Gbps，包转发率≥27Mpps。</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工作温度0℃～40℃。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keepNext w:val="0"/>
              <w:keepLines w:val="0"/>
              <w:pageBreakBefore w:val="0"/>
              <w:widowControl/>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9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8口POE交换机</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个</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以太网PoE交换机，金属壳体，内置电源开关，提供不低于10个10/100/1000Mbps RJ45自适应端口，支持所有端口线速转发。</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≥2个上联端口，≥8个端口具有PoE功能，可作为以太网供电设备。能自动检测与识别符合IEEE 802.3af及IEEE802.3at标准的受电设备，并通过网线为其供电。整机最大PoE输出功率80W，单口最大PoE输出功率30W。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01" w:type="dxa"/>
            <w:vAlign w:val="center"/>
          </w:tcPr>
          <w:p>
            <w:pPr>
              <w:keepNext w:val="0"/>
              <w:keepLines w:val="0"/>
              <w:pageBreakBefore w:val="0"/>
              <w:widowControl/>
              <w:kinsoku/>
              <w:wordWrap/>
              <w:overflowPunct/>
              <w:topLinePunct w:val="0"/>
              <w:autoSpaceDE/>
              <w:autoSpaceDN/>
              <w:bidi w:val="0"/>
              <w:adjustRightInd/>
              <w:snapToGrid/>
              <w:spacing w:line="360" w:lineRule="auto"/>
              <w:ind w:right="0"/>
              <w:jc w:val="both"/>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9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4口POE交换机</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1、‌端口数量‌：≥6个10/100/1000Mbps RJ45自适应端口</w:t>
            </w:r>
            <w:r>
              <w:rPr>
                <w:rFonts w:hint="eastAsia" w:ascii="宋体" w:hAnsi="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2、‌PoE端口数量‌：≥4个，支持IEEE 802.3af和IEEE802.3at标准</w:t>
            </w:r>
            <w:r>
              <w:rPr>
                <w:rFonts w:hint="eastAsia" w:ascii="宋体" w:hAnsi="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3、‌PoE供电功率‌：每个端口最大30W，整机最大60W</w:t>
            </w:r>
            <w:r>
              <w:rPr>
                <w:rFonts w:hint="eastAsia" w:ascii="宋体" w:hAnsi="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4、‌传输速率‌：10/100/1000Mbps</w:t>
            </w:r>
            <w:r>
              <w:rPr>
                <w:rFonts w:hint="eastAsia" w:ascii="宋体" w:hAnsi="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5、‌网络标准‌：IEEE 802.3,IEEE 802.3u,IEEE 802.3ab,IEEE 802.3at</w:t>
            </w:r>
            <w:r>
              <w:rPr>
                <w:rFonts w:hint="eastAsia" w:ascii="宋体" w:hAnsi="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6、‌网络协议‌：TCP/IP,UDP,ICMP,DHCP,FTP,HTTP,DNS,Telnet</w:t>
            </w:r>
            <w:r>
              <w:rPr>
                <w:rFonts w:hint="eastAsia" w:ascii="宋体" w:hAnsi="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7、‌管理方式‌：无管理型，即插即用</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8</w:t>
            </w:r>
          </w:p>
        </w:tc>
        <w:tc>
          <w:tcPr>
            <w:tcW w:w="9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bidi="ar"/>
              </w:rPr>
              <w:t>千兆光纤收发器</w:t>
            </w:r>
          </w:p>
        </w:tc>
        <w:tc>
          <w:tcPr>
            <w:tcW w:w="600"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sz w:val="21"/>
                <w:szCs w:val="21"/>
              </w:rPr>
              <w:t>7</w:t>
            </w:r>
          </w:p>
        </w:tc>
        <w:tc>
          <w:tcPr>
            <w:tcW w:w="675"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lang w:bidi="ar"/>
              </w:rPr>
              <w:t>对</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SC光口，≥1个100/1000M自适应网络电口。采用全新的高品质芯片，无延迟传输，安全可靠，具有高效分配处理能力，识别能力强悍，忽略干扰，电源消耗小。防雷可达2KV。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9</w:t>
            </w:r>
          </w:p>
        </w:tc>
        <w:tc>
          <w:tcPr>
            <w:tcW w:w="9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bidi="ar"/>
              </w:rPr>
              <w:t>立杆</w:t>
            </w:r>
          </w:p>
        </w:tc>
        <w:tc>
          <w:tcPr>
            <w:tcW w:w="600"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sz w:val="21"/>
                <w:szCs w:val="21"/>
              </w:rPr>
              <w:t>5</w:t>
            </w:r>
          </w:p>
        </w:tc>
        <w:tc>
          <w:tcPr>
            <w:tcW w:w="675"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lang w:bidi="ar"/>
              </w:rPr>
              <w:t>根</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4米杆+0.5米横臂，含地笼、配电箱、防雷器等。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10</w:t>
            </w:r>
          </w:p>
        </w:tc>
        <w:tc>
          <w:tcPr>
            <w:tcW w:w="9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bidi="ar"/>
              </w:rPr>
              <w:t>弱电设备箱</w:t>
            </w:r>
          </w:p>
        </w:tc>
        <w:tc>
          <w:tcPr>
            <w:tcW w:w="600"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sz w:val="21"/>
                <w:szCs w:val="21"/>
              </w:rPr>
              <w:t>35</w:t>
            </w:r>
          </w:p>
        </w:tc>
        <w:tc>
          <w:tcPr>
            <w:tcW w:w="675"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lang w:bidi="ar"/>
              </w:rPr>
              <w:t>个</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设备箱，（高×宽×深）约220×400×350（mm），容量≥4U，颜色灰白色，前门单开玻璃门，壁挂安装。含风扇、插座等。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11</w:t>
            </w:r>
          </w:p>
        </w:tc>
        <w:tc>
          <w:tcPr>
            <w:tcW w:w="9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bidi="ar"/>
              </w:rPr>
              <w:t>六类网线</w:t>
            </w:r>
          </w:p>
        </w:tc>
        <w:tc>
          <w:tcPr>
            <w:tcW w:w="600"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rPr>
              <w:t>41</w:t>
            </w:r>
          </w:p>
        </w:tc>
        <w:tc>
          <w:tcPr>
            <w:tcW w:w="675"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lang w:bidi="ar"/>
              </w:rPr>
              <w:t>箱</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1、产品符合：GB/T 50312、YD/T 1019相关标准。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2、线对：4对。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3、规格：线规23AWG，≥305米/箱。</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4、导体直径：约0.57mm符合TR型软圆铜线的要求。</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5、绝缘材质：高密度聚乙烯（HDPE）。</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6、带宽及应用：支持250MHz，满足IEEE 802.3（1000BASE-T）应用。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7、带有十字骨架，分隔开对绞线，减少线对间近端串扰。</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8、工作温度-20～+60℃。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12</w:t>
            </w:r>
          </w:p>
        </w:tc>
        <w:tc>
          <w:tcPr>
            <w:tcW w:w="9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bidi="ar"/>
              </w:rPr>
              <w:t>电源线</w:t>
            </w:r>
          </w:p>
        </w:tc>
        <w:tc>
          <w:tcPr>
            <w:tcW w:w="600"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rPr>
              <w:t>2500</w:t>
            </w:r>
          </w:p>
        </w:tc>
        <w:tc>
          <w:tcPr>
            <w:tcW w:w="675"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lang w:bidi="ar"/>
              </w:rPr>
              <w:t>米</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1、RVV2×1.5；导体为纯无氧铜。</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2、导体中单线最大直径 mm：0.20。</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3、绝缘厚度（mm）：≥0.7。</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4、套厚度（mm）：≥0.8。</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5、平均外径上限（mm）：9.0。</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6、额定电压：300/500V。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13</w:t>
            </w:r>
          </w:p>
        </w:tc>
        <w:tc>
          <w:tcPr>
            <w:tcW w:w="9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bidi="ar"/>
              </w:rPr>
              <w:t>光缆</w:t>
            </w:r>
          </w:p>
        </w:tc>
        <w:tc>
          <w:tcPr>
            <w:tcW w:w="600"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rPr>
              <w:t>2000</w:t>
            </w:r>
          </w:p>
        </w:tc>
        <w:tc>
          <w:tcPr>
            <w:tcW w:w="675"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lang w:bidi="ar"/>
              </w:rPr>
              <w:t>米</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1、纤芯类型：OS2 芯数：4；单模；结构：GYXTW。</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2、符合 GB/T 13993、GB/T15972 相关标准。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3、松套管中和缆芯所有缝隙全填充防潮油膏和化合物，能防潮和纵向不渗水。</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4、加强构件为两根平行的高杨氏模量的磷化圆钢丝，松套管外用双面镀铬涂塑钢带纵包。</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5、具有外径小、重量轻，弯曲性能好。</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6、敷设方式：管道、架空可用。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7、敷设最小弯曲半径：动态弯曲半径≥20倍光缆外径。</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8、静态弯曲半径≥10倍光缆外径。</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9、敷设拉力：敷设时短期拉力≤1500N。</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10、使用拉力：使用时长期拉力≤600N。</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11、敷设压扁力：敷设时短期压扁力≤1000N。</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12、使用压扁力：使用时长期压扁力≤300N。</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13、施工温度：0～40℃。</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14、使用温度：-10～70℃。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14</w:t>
            </w:r>
          </w:p>
        </w:tc>
        <w:tc>
          <w:tcPr>
            <w:tcW w:w="9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bidi="ar"/>
              </w:rPr>
              <w:t>辅材</w:t>
            </w:r>
          </w:p>
        </w:tc>
        <w:tc>
          <w:tcPr>
            <w:tcW w:w="600"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rPr>
              <w:t>1</w:t>
            </w:r>
          </w:p>
        </w:tc>
        <w:tc>
          <w:tcPr>
            <w:tcW w:w="675"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lang w:bidi="ar"/>
              </w:rPr>
              <w:t>项</w:t>
            </w:r>
          </w:p>
        </w:tc>
        <w:tc>
          <w:tcPr>
            <w:tcW w:w="6762"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含线管、管夹、光纤终端盒、水晶头、波纹管、胶塞、胶布、扎带等满足本项目安装所需一切材料。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588" w:type="dxa"/>
            <w:gridSpan w:val="5"/>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二、视频监控系统存储扩容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tabs>
                <w:tab w:val="left" w:pos="-728"/>
              </w:tabs>
              <w:spacing w:line="360" w:lineRule="exact"/>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9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网络视频存储一体机（含 48 块10T硬盘）</w:t>
            </w:r>
          </w:p>
        </w:tc>
        <w:tc>
          <w:tcPr>
            <w:tcW w:w="600"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75" w:type="dxa"/>
            <w:vAlign w:val="center"/>
          </w:tcPr>
          <w:p>
            <w:pPr>
              <w:widowControl/>
              <w:spacing w:line="360" w:lineRule="exact"/>
              <w:ind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6762" w:type="dxa"/>
            <w:vAlign w:val="top"/>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1、采用LINUX操作系统，64位四核处理器，≥8G内存，可扩展不低于128G高速缓存。</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2、支持JBOD、RAID 0/1/5/6/10/50/60、SRAID 支持全局热备和局部热备。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3、不少于48个内置SATA接口，配有48块10T企业级硬盘：容量10000G；转速≥7200RPM；缓存≥256M；SATA/SAS接口；规格3.5英寸。</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4、支持视频直存，前端接入≥800Mbps，储存≥800Mbps，转发≥800Mbps，网络回放≥64Mbps。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5、支持视频流直存，减少流媒体服务器的成本。</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6、支持存储配额管理，支持基于通道的维度进行存储周期管理。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支持双音轨模式，可以同时左右轨或者分别左右轨播放音频，可安装不少于2个电池，掉电时能保护缓存中的数据，恢复供电后数据不丢失，并且可查看断电前10s，断电后17s的视频录像（响应文件中须提供有资质的检测机构出具针对上述技术参数要求的检测报告复印件并加盖供应商公章，否则竞标无效）。</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8、支持通用存储协议：ISCSI/SAMBA/NFS/FTP。</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9、针对关键重要的视频，提供对实时流和历史视频进行加锁，确保不被循环覆盖。</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10、支持不少于2个冗余电池，主机可以查询电池的健康程度，并且可以检测到电池健康度过低时产生报警事件，触发蜂鸣报警（响应文件中须提供有资质的检测机构出具针对上述技术参数要求的检测报告复印件并加盖供应商公章，否则竞标无效）。</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11、支持定制专用存储硬盘并升级专用硬盘固件，主机可以实时检测硬盘的健康度；当主机检测硬盘健康度时，可以按照硬盘的健康程度进行五大分类，类别包含了“硬盘良好状态”、“硬盘告警状态”、“硬盘错误状态”、“硬盘即将损坏”和“硬盘损坏状态”（响应文件中须提供有资质的检测机构出具针对上述技术参数要求的检测报告复印件并加盖供应商公章，否则竞标无效）。</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12、支持N+M模式下的视频和图片集群功能；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13、支持纠删码技术，最多可以支持不少于8个盘掉线或者损坏，当硬盘掉线或损坏时，数据仍然有效，保留的硬盘中的数据可正常读出，且新数据可正常写入，创建RAID后即为同步完成状态（响应文件中须提供有资质的检测机构出具针对上述技术参数要求的检测报告复印件并加盖供应商公章，否则竞标无效）。</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14、支持一键诊断功能：支持硬盘状态、单盘性能、RAID状态、raid配置、硬盘盘组、网络状态、录像状态的健康状态诊断，诊断用户配置合规性，协助用户更好的使用设备。</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15、主机支持灵活更换板卡，可通过更换板卡的方式支持13个千兆电口，或者11个千兆电口+2个万兆光口,或者9个千兆电口+4个万兆光口。</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16、≥1个外置eSATA接口。</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17、不少于1个RS232接口，1个VGA接口。</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18、不少于1个千兆管理接口，4个千兆数据接口。</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19、不少于2个USB3.0接口，2个USB2.0接口。</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20、工作湿度：10%～80%；工作温度0℃～45℃。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1" w:type="dxa"/>
            <w:vAlign w:val="center"/>
          </w:tcPr>
          <w:p>
            <w:pPr>
              <w:tabs>
                <w:tab w:val="left" w:pos="-728"/>
              </w:tabs>
              <w:spacing w:line="360" w:lineRule="exact"/>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9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视频通道接入</w:t>
            </w:r>
          </w:p>
        </w:tc>
        <w:tc>
          <w:tcPr>
            <w:tcW w:w="600" w:type="dxa"/>
            <w:vAlign w:val="center"/>
          </w:tcPr>
          <w:p>
            <w:pPr>
              <w:widowControl/>
              <w:spacing w:line="360" w:lineRule="exact"/>
              <w:ind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675" w:type="dxa"/>
            <w:vAlign w:val="center"/>
          </w:tcPr>
          <w:p>
            <w:pPr>
              <w:widowControl/>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路</w:t>
            </w:r>
          </w:p>
        </w:tc>
        <w:tc>
          <w:tcPr>
            <w:tcW w:w="6762" w:type="dxa"/>
            <w:vAlign w:val="top"/>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1、支持实时预览，云台控制、录像回放、视频上墙等基础功能。</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2、支持flv/hls/rtmp协议拉流，提供给第三方调用。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3、支持mac采集设备，能够将前端设备采集到的mac信息在客户端上展示。</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4、支持视频云存储直存节点，满足用户对视频云存储多种部署方式的要求。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88" w:type="dxa"/>
            <w:gridSpan w:val="5"/>
            <w:vAlign w:val="center"/>
          </w:tcPr>
          <w:p>
            <w:pPr>
              <w:keepNext w:val="0"/>
              <w:keepLines w:val="0"/>
              <w:pageBreakBefore w:val="0"/>
              <w:widowControl/>
              <w:kinsoku/>
              <w:wordWrap/>
              <w:overflowPunct/>
              <w:topLinePunct w:val="0"/>
              <w:autoSpaceDE/>
              <w:autoSpaceDN/>
              <w:bidi w:val="0"/>
              <w:spacing w:line="460" w:lineRule="exact"/>
              <w:ind w:right="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highlight w:val="none"/>
              </w:rPr>
              <w:t>▲</w:t>
            </w:r>
            <w:r>
              <w:rPr>
                <w:rFonts w:hint="eastAsia" w:ascii="宋体" w:hAnsi="宋体" w:eastAsia="宋体" w:cs="宋体"/>
                <w:b/>
                <w:color w:val="auto"/>
                <w:sz w:val="21"/>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keepNext w:val="0"/>
              <w:keepLines w:val="0"/>
              <w:pageBreakBefore w:val="0"/>
              <w:widowControl/>
              <w:tabs>
                <w:tab w:val="left" w:pos="5450"/>
              </w:tabs>
              <w:kinsoku/>
              <w:wordWrap/>
              <w:overflowPunct/>
              <w:topLinePunct w:val="0"/>
              <w:autoSpaceDE/>
              <w:autoSpaceDN/>
              <w:bidi w:val="0"/>
              <w:adjustRightInd w:val="0"/>
              <w:snapToGrid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规范标准</w:t>
            </w:r>
          </w:p>
        </w:tc>
        <w:tc>
          <w:tcPr>
            <w:tcW w:w="8037" w:type="dxa"/>
            <w:gridSpan w:val="3"/>
            <w:vAlign w:val="center"/>
          </w:tcPr>
          <w:p>
            <w:pPr>
              <w:keepNext w:val="0"/>
              <w:keepLines w:val="0"/>
              <w:pageBreakBefore w:val="0"/>
              <w:widowControl/>
              <w:tabs>
                <w:tab w:val="left" w:pos="5450"/>
              </w:tabs>
              <w:kinsoku/>
              <w:wordWrap/>
              <w:overflowPunct/>
              <w:topLinePunct w:val="0"/>
              <w:autoSpaceDE/>
              <w:autoSpaceDN/>
              <w:bidi w:val="0"/>
              <w:adjustRightInd w:val="0"/>
              <w:snapToGrid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keepNext w:val="0"/>
              <w:keepLines w:val="0"/>
              <w:pageBreakBefore w:val="0"/>
              <w:widowControl/>
              <w:tabs>
                <w:tab w:val="left" w:pos="5450"/>
              </w:tabs>
              <w:kinsoku/>
              <w:wordWrap/>
              <w:overflowPunct/>
              <w:topLinePunct w:val="0"/>
              <w:autoSpaceDE/>
              <w:autoSpaceDN/>
              <w:bidi w:val="0"/>
              <w:adjustRightInd w:val="0"/>
              <w:snapToGrid w:val="0"/>
              <w:spacing w:line="4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8037" w:type="dxa"/>
            <w:gridSpan w:val="3"/>
            <w:vAlign w:val="center"/>
          </w:tcPr>
          <w:p>
            <w:pPr>
              <w:keepNext w:val="0"/>
              <w:keepLines w:val="0"/>
              <w:pageBreakBefore w:val="0"/>
              <w:widowControl/>
              <w:tabs>
                <w:tab w:val="left" w:pos="5450"/>
              </w:tabs>
              <w:kinsoku/>
              <w:wordWrap/>
              <w:overflowPunct/>
              <w:topLinePunct w:val="0"/>
              <w:autoSpaceDE/>
              <w:autoSpaceDN/>
              <w:bidi w:val="0"/>
              <w:adjustRightInd w:val="0"/>
              <w:snapToGrid w:val="0"/>
              <w:spacing w:line="4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keepNext w:val="0"/>
              <w:keepLines w:val="0"/>
              <w:pageBreakBefore w:val="0"/>
              <w:widowControl/>
              <w:tabs>
                <w:tab w:val="left" w:pos="5450"/>
              </w:tabs>
              <w:kinsoku/>
              <w:wordWrap/>
              <w:overflowPunct/>
              <w:topLinePunct w:val="0"/>
              <w:autoSpaceDE/>
              <w:autoSpaceDN/>
              <w:bidi w:val="0"/>
              <w:adjustRightInd w:val="0"/>
              <w:snapToGrid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交货时间</w:t>
            </w:r>
            <w:r>
              <w:rPr>
                <w:rFonts w:hint="eastAsia" w:ascii="宋体" w:hAnsi="宋体" w:eastAsia="宋体" w:cs="宋体"/>
                <w:color w:val="auto"/>
                <w:sz w:val="21"/>
                <w:szCs w:val="21"/>
                <w:highlight w:val="none"/>
              </w:rPr>
              <w:t>及地点</w:t>
            </w:r>
          </w:p>
        </w:tc>
        <w:tc>
          <w:tcPr>
            <w:tcW w:w="8037" w:type="dxa"/>
            <w:gridSpan w:val="3"/>
            <w:vAlign w:val="center"/>
          </w:tcPr>
          <w:p>
            <w:pPr>
              <w:keepNext w:val="0"/>
              <w:keepLines w:val="0"/>
              <w:pageBreakBefore w:val="0"/>
              <w:widowControl/>
              <w:tabs>
                <w:tab w:val="left" w:pos="5450"/>
              </w:tabs>
              <w:kinsoku/>
              <w:wordWrap/>
              <w:overflowPunct/>
              <w:topLinePunct w:val="0"/>
              <w:autoSpaceDE/>
              <w:autoSpaceDN/>
              <w:bidi w:val="0"/>
              <w:adjustRightInd w:val="0"/>
              <w:snapToGrid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交货时间</w:t>
            </w:r>
            <w:r>
              <w:rPr>
                <w:rFonts w:hint="eastAsia" w:ascii="宋体" w:hAnsi="宋体" w:eastAsia="宋体" w:cs="宋体"/>
                <w:color w:val="auto"/>
                <w:sz w:val="21"/>
                <w:szCs w:val="21"/>
                <w:highlight w:val="none"/>
              </w:rPr>
              <w:t>：自签订合同之日起</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日历日内全部交货安装完成并验收合格。</w:t>
            </w:r>
          </w:p>
          <w:p>
            <w:pPr>
              <w:keepNext w:val="0"/>
              <w:keepLines w:val="0"/>
              <w:pageBreakBefore w:val="0"/>
              <w:widowControl/>
              <w:tabs>
                <w:tab w:val="left" w:pos="5450"/>
              </w:tabs>
              <w:kinsoku/>
              <w:wordWrap/>
              <w:overflowPunct/>
              <w:topLinePunct w:val="0"/>
              <w:autoSpaceDE/>
              <w:autoSpaceDN/>
              <w:bidi w:val="0"/>
              <w:adjustRightInd w:val="0"/>
              <w:snapToGrid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交货地点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广西区内（南宁市指定地点）</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keepNext w:val="0"/>
              <w:keepLines w:val="0"/>
              <w:pageBreakBefore w:val="0"/>
              <w:widowControl/>
              <w:tabs>
                <w:tab w:val="left" w:pos="5450"/>
              </w:tabs>
              <w:kinsoku/>
              <w:wordWrap/>
              <w:overflowPunct/>
              <w:topLinePunct w:val="0"/>
              <w:autoSpaceDE/>
              <w:autoSpaceDN/>
              <w:bidi w:val="0"/>
              <w:adjustRightInd w:val="0"/>
              <w:snapToGrid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cs="宋体"/>
                <w:b w:val="0"/>
                <w:bCs w:val="0"/>
                <w:color w:val="000000"/>
                <w:szCs w:val="21"/>
              </w:rPr>
              <w:t>质量保证</w:t>
            </w:r>
          </w:p>
        </w:tc>
        <w:tc>
          <w:tcPr>
            <w:tcW w:w="8037" w:type="dxa"/>
            <w:gridSpan w:val="3"/>
            <w:vAlign w:val="center"/>
          </w:tcPr>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1.按国家有关产品“三包”规定执行“三包”， 自交货验收合格之日起所有软硬件设备、配件提供不少于三年的质保及软件升级服务。</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2.成交供应商完成本项目相关安装、调试、运行等，须符合国家相关标准和规范；安装前应向采购人提交安装方案并经采购人确认后方可实施。实施过程有关安全生产由成交供应商负责，与采购人无关。</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3.从通过验收即日起质保期内所有由于质量问题导致的软、硬件产品故障以</w:t>
            </w:r>
            <w:r>
              <w:rPr>
                <w:rFonts w:hint="eastAsia" w:ascii="宋体" w:hAnsi="宋体" w:cs="宋体"/>
                <w:color w:val="auto"/>
                <w:sz w:val="21"/>
                <w:szCs w:val="21"/>
                <w:highlight w:val="none"/>
                <w:lang w:val="en-US" w:eastAsia="zh-CN"/>
              </w:rPr>
              <w:t>负责</w:t>
            </w:r>
            <w:r>
              <w:rPr>
                <w:rFonts w:hint="eastAsia" w:ascii="宋体" w:hAnsi="宋体" w:eastAsia="宋体" w:cs="宋体"/>
                <w:color w:val="auto"/>
                <w:sz w:val="21"/>
                <w:szCs w:val="21"/>
                <w:highlight w:val="none"/>
              </w:rPr>
              <w:t>保修、</w:t>
            </w:r>
            <w:r>
              <w:rPr>
                <w:rFonts w:hint="eastAsia" w:ascii="宋体" w:hAnsi="宋体" w:cs="宋体"/>
                <w:color w:val="auto"/>
                <w:sz w:val="21"/>
                <w:szCs w:val="21"/>
                <w:highlight w:val="none"/>
                <w:lang w:val="en-US" w:eastAsia="zh-CN"/>
              </w:rPr>
              <w:t>负责</w:t>
            </w:r>
            <w:r>
              <w:rPr>
                <w:rFonts w:hint="eastAsia" w:ascii="宋体" w:hAnsi="宋体" w:eastAsia="宋体" w:cs="宋体"/>
                <w:color w:val="auto"/>
                <w:sz w:val="21"/>
                <w:szCs w:val="21"/>
                <w:highlight w:val="none"/>
              </w:rPr>
              <w:t>人工及</w:t>
            </w:r>
            <w:r>
              <w:rPr>
                <w:rFonts w:hint="eastAsia" w:ascii="宋体" w:hAnsi="宋体" w:cs="宋体"/>
                <w:color w:val="auto"/>
                <w:sz w:val="21"/>
                <w:szCs w:val="21"/>
                <w:highlight w:val="none"/>
                <w:lang w:val="en-US" w:eastAsia="zh-CN"/>
              </w:rPr>
              <w:t>负责</w:t>
            </w:r>
            <w:r>
              <w:rPr>
                <w:rFonts w:hint="eastAsia" w:ascii="宋体" w:hAnsi="宋体" w:eastAsia="宋体" w:cs="宋体"/>
                <w:color w:val="auto"/>
                <w:sz w:val="21"/>
                <w:szCs w:val="21"/>
                <w:highlight w:val="none"/>
              </w:rPr>
              <w:t>更换备件标准上门服务，并提供终身维护（其报价包含在竞标报价中，竞标人须综合考虑）。</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第一年内出现非人为操作失误引发的重大故障，应予以负责换货。保修期满前1个月内成交供应商应负责一次全面检查，并对发现的问题负责整改好；质保期满后，以不高于市场同类同期的价格提供优惠维修服务和备件更换，所更换备件须提供原厂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keepNext w:val="0"/>
              <w:keepLines w:val="0"/>
              <w:pageBreakBefore w:val="0"/>
              <w:widowControl/>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8037" w:type="dxa"/>
            <w:gridSpan w:val="3"/>
            <w:vAlign w:val="center"/>
          </w:tcPr>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自合同签订之日起10个工作日内，采购人向成交供应商支付合同金额的50%预付款；全部货物安装调试且验收合格后20日历日内，采购人向成交供应商一次性支付至合同金额的100%。 若货物中包含软件产品，则需采购人自软件安装调试完成之日起，先行试用合格后方可进行验收。</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付款前，成交供应商应向采购人开具等额有效的增值税普通发票，采购人未收到发票的，有权不予支付相应款项直至成交供应商提供合格发票，并不承担延迟付款责任。发票认证通过是付款的必要前提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keepNext w:val="0"/>
              <w:keepLines w:val="0"/>
              <w:pageBreakBefore w:val="0"/>
              <w:widowControl/>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要求</w:t>
            </w:r>
          </w:p>
        </w:tc>
        <w:tc>
          <w:tcPr>
            <w:tcW w:w="8037" w:type="dxa"/>
            <w:gridSpan w:val="3"/>
            <w:vAlign w:val="center"/>
          </w:tcPr>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报价必须含以下部分，包括：</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（2）必要的保险费用和各项税金；</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（3）其他（如运输、装卸、安装、调试、培训、技术支持、售后货物、更新升级等费用，根据项目具体情况填写）： 包括货款、随配附件、备品备件、专用工具、包装、运输、装卸、保险、运抵指定交货地点、送货上门服务、现场安装调试、保修等各种费用和售后服务、培训、税金</w:t>
            </w:r>
            <w:r>
              <w:rPr>
                <w:rFonts w:hint="eastAsia" w:ascii="宋体" w:hAnsi="宋体" w:eastAsia="宋体" w:cs="宋体"/>
                <w:color w:val="auto"/>
                <w:sz w:val="21"/>
                <w:szCs w:val="21"/>
                <w:highlight w:val="none"/>
                <w:lang w:eastAsia="zh-CN"/>
              </w:rPr>
              <w:t>、招标代理服务费</w:t>
            </w:r>
            <w:r>
              <w:rPr>
                <w:rFonts w:hint="eastAsia" w:ascii="宋体" w:hAnsi="宋体" w:eastAsia="宋体" w:cs="宋体"/>
                <w:color w:val="auto"/>
                <w:sz w:val="21"/>
                <w:szCs w:val="21"/>
                <w:highlight w:val="none"/>
              </w:rPr>
              <w:t>及其他所有成本费用的总和。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keepNext w:val="0"/>
              <w:keepLines w:val="0"/>
              <w:pageBreakBefore w:val="0"/>
              <w:widowControl/>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其它要求</w:t>
            </w:r>
          </w:p>
        </w:tc>
        <w:tc>
          <w:tcPr>
            <w:tcW w:w="8037" w:type="dxa"/>
            <w:gridSpan w:val="3"/>
            <w:vAlign w:val="center"/>
          </w:tcPr>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需求中带▲号的内容或“须”、“必须”的内容描述均为实质性要求，必须全部满足。采购人有权利追究成交供应商的相关责任。成交供应商保证向采购人提供的货物是符合国家质量标准和本项目规定标准的全新、完整、未使用过的，本次采购货物不接受进口产品且所有产品必须有合格证书。</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1.为确保售后服务质量，成交供应商必须提供不少于1人的运维服务人员名单、联系电话。</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2.成交供应商必须严格按时间进度和本项目要求完成所有工作，若出现不按要求完成相关工作的，经双方协商未果，采购方有权解除合同并追究成交供应商相关责任。</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必须实质性能够满足产品带▲参数要求，为避免假冒伪劣产品，保障货物为全新原厂整机产品，对不能满足参数要求，或者无法正常交货，或者提供非原厂整机产品影响采购人使用的，采购人有权不支付相关费用，一切后果由成交供应商自己承担。</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4.为避免假冒伪劣产品， 成交供应商在签订合同后，货物验收前，供应商须提供网络视频存储一体机生产厂家的针对本次竞标的产品授权，售后服务承诺书原件，否则不予验收。</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要求：（1）按合同要求及国家标准进行验收；（2）本项目验收如委托第三方机构组织实施的，验收过程中所产生的一切费用均由成交供应商承担，报价时应考虑相关费用。（3）验收时，成交供应商须对采购文件的产品功能逐一演示，以确认竞标产品是否满足采购文件要求；(4)验收中发现任何不符合采购文件的技术需求及要求、提供虚假承诺或虚假应标的行为，采购人有权要求成交供应商进行整改，整改后仍不符合要求的，采购人有权取消合同，并保留对成交供应商追究相关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cs="宋体"/>
                <w:b w:val="0"/>
                <w:bCs/>
                <w:color w:val="000000"/>
                <w:szCs w:val="21"/>
              </w:rPr>
              <w:t>其他说明</w:t>
            </w:r>
          </w:p>
        </w:tc>
        <w:tc>
          <w:tcPr>
            <w:tcW w:w="8037" w:type="dxa"/>
            <w:gridSpan w:val="3"/>
            <w:vAlign w:val="center"/>
          </w:tcPr>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1.在合同有效期内，因不可抗力事件导致影响正常履行合同，任何一方提供相关部门的有效文件，则合同履行期可延长（延长期与不可抗力影响期相同）。</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成交供应商提供的所有货物必须为品牌厂家原厂制造、合法渠道供应的全新产品，并保证本项目使用的任何产品和服务不会产生因第三方检测机构提出侵犯其所有权而引起的法律和经济纠纷，如侵犯了第三方合法权益而引发的任何纠纷或诉讼，均由成交供应商负责交涉并承担全部责任；由此给采购人造成损失的，成交供应商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cs="宋体"/>
                <w:b w:val="0"/>
                <w:bCs w:val="0"/>
                <w:sz w:val="21"/>
                <w:szCs w:val="21"/>
              </w:rPr>
              <w:t>现场考察</w:t>
            </w:r>
          </w:p>
        </w:tc>
        <w:tc>
          <w:tcPr>
            <w:tcW w:w="8037" w:type="dxa"/>
            <w:gridSpan w:val="3"/>
            <w:vAlign w:val="center"/>
          </w:tcPr>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鉴于本项目需要根据现场情况综合评估成本估算，供应商可在投标截止时间前自行到现场考察（交通工具、费用由各供应商自行负责），以便供应商了解真实的现场情况和项目实际需求，保证项目按时按质按量完成。供应商需自行承担参与现场考察的所有责任和风险。</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2.现场考察携带的资料：供应商前往人员的身份证复印件（不能体现投标人单位名称和加盖公章等，预防泄露投标人信息，造成的后果由供应商自行承担）。</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现场考察时间：自公告发出之日起至响应文件递交截止时间止，工作日下午15:00-17:00，逾时不予接待，未在规定时间到场考察的竞标人将视为自动放弃现场考察的权利。各竞标人须于考察前一个工作日提前联系，如过后联系不上后果自负。现场踏勘联系人：何老师，联系电话：13978668082</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keepNext w:val="0"/>
              <w:keepLines w:val="0"/>
              <w:pageBreakBefore w:val="0"/>
              <w:kinsoku/>
              <w:wordWrap/>
              <w:overflowPunct/>
              <w:topLinePunct w:val="0"/>
              <w:autoSpaceDE/>
              <w:autoSpaceDN/>
              <w:bidi w:val="0"/>
              <w:spacing w:line="460" w:lineRule="exact"/>
              <w:ind w:right="0" w:rightChars="0"/>
              <w:jc w:val="both"/>
              <w:textAlignment w:val="auto"/>
              <w:rPr>
                <w:rFonts w:hint="eastAsia" w:ascii="宋体" w:hAnsi="宋体" w:cs="宋体"/>
                <w:b w:val="0"/>
                <w:bCs w:val="0"/>
                <w:sz w:val="21"/>
                <w:szCs w:val="21"/>
                <w:highlight w:val="none"/>
              </w:rPr>
            </w:pPr>
            <w:r>
              <w:rPr>
                <w:rFonts w:hint="eastAsia" w:ascii="宋体" w:hAnsi="宋体" w:eastAsia="宋体" w:cs="宋体"/>
                <w:color w:val="auto"/>
                <w:sz w:val="21"/>
                <w:szCs w:val="21"/>
                <w:highlight w:val="none"/>
              </w:rPr>
              <w:t>履约保证金</w:t>
            </w:r>
          </w:p>
        </w:tc>
        <w:tc>
          <w:tcPr>
            <w:tcW w:w="8037" w:type="dxa"/>
            <w:gridSpan w:val="3"/>
            <w:vAlign w:val="center"/>
          </w:tcPr>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w:t>
            </w:r>
            <w:r>
              <w:rPr>
                <w:rFonts w:hint="eastAsia" w:ascii="宋体" w:hAnsi="宋体" w:eastAsia="宋体" w:cs="宋体"/>
                <w:color w:val="auto"/>
                <w:sz w:val="21"/>
                <w:szCs w:val="21"/>
                <w:highlight w:val="none"/>
                <w:lang w:eastAsia="zh-CN"/>
              </w:rPr>
              <w:t>成交金额</w:t>
            </w:r>
            <w:r>
              <w:rPr>
                <w:rFonts w:hint="eastAsia" w:ascii="宋体" w:hAnsi="宋体" w:eastAsia="宋体" w:cs="宋体"/>
                <w:color w:val="auto"/>
                <w:sz w:val="21"/>
                <w:szCs w:val="21"/>
                <w:highlight w:val="none"/>
              </w:rPr>
              <w:t>的5%（若成交供应商被认定为中小企业的，履约保证金数额将按</w:t>
            </w:r>
            <w:r>
              <w:rPr>
                <w:rFonts w:hint="eastAsia" w:ascii="宋体" w:hAnsi="宋体" w:eastAsia="宋体" w:cs="宋体"/>
                <w:color w:val="auto"/>
                <w:sz w:val="21"/>
                <w:szCs w:val="21"/>
                <w:highlight w:val="none"/>
                <w:lang w:eastAsia="zh-CN"/>
              </w:rPr>
              <w:t>成交金额</w:t>
            </w:r>
            <w:r>
              <w:rPr>
                <w:rFonts w:hint="eastAsia" w:ascii="宋体" w:hAnsi="宋体" w:eastAsia="宋体" w:cs="宋体"/>
                <w:color w:val="auto"/>
                <w:sz w:val="21"/>
                <w:szCs w:val="21"/>
                <w:highlight w:val="none"/>
              </w:rPr>
              <w:t>的2%收取）</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w:t>
            </w:r>
            <w:r>
              <w:rPr>
                <w:rFonts w:hint="eastAsia" w:ascii="宋体" w:hAnsi="宋体" w:cs="宋体"/>
                <w:szCs w:val="21"/>
                <w:highlight w:val="none"/>
                <w:lang w:eastAsia="zh-CN"/>
              </w:rPr>
              <w:t>转账或电汇等形式（</w:t>
            </w:r>
            <w:r>
              <w:rPr>
                <w:rFonts w:hint="eastAsia" w:ascii="宋体" w:hAnsi="宋体" w:cs="宋体"/>
                <w:szCs w:val="21"/>
                <w:highlight w:val="none"/>
                <w:lang w:val="en-US" w:eastAsia="zh-CN"/>
              </w:rPr>
              <w:t>支持支票、汇票、本票、保函等形式</w:t>
            </w:r>
            <w:r>
              <w:rPr>
                <w:rFonts w:hint="eastAsia" w:ascii="宋体" w:hAnsi="宋体" w:cs="宋体"/>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3、履约保证金递交时间：签订合同</w:t>
            </w:r>
            <w:r>
              <w:rPr>
                <w:rFonts w:hint="eastAsia" w:ascii="宋体" w:hAnsi="宋体" w:cs="宋体"/>
                <w:color w:val="auto"/>
                <w:sz w:val="21"/>
                <w:szCs w:val="21"/>
                <w:highlight w:val="none"/>
                <w:lang w:val="en-US" w:eastAsia="zh-CN"/>
              </w:rPr>
              <w:t>后3</w:t>
            </w:r>
            <w:r>
              <w:rPr>
                <w:rFonts w:hint="eastAsia" w:ascii="宋体" w:hAnsi="宋体" w:eastAsia="宋体" w:cs="宋体"/>
                <w:color w:val="auto"/>
                <w:sz w:val="21"/>
                <w:szCs w:val="21"/>
                <w:highlight w:val="none"/>
              </w:rPr>
              <w:t>个工作日内由成交供应商转入采购人指定保证金账户。</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rPr>
            </w:pPr>
            <w:r>
              <w:rPr>
                <w:rFonts w:hint="eastAsia" w:ascii="宋体" w:hAnsi="宋体" w:eastAsia="宋体" w:cs="宋体"/>
                <w:color w:val="auto"/>
                <w:sz w:val="21"/>
                <w:szCs w:val="21"/>
                <w:highlight w:val="none"/>
              </w:rPr>
              <w:t>4、履约保证金退还：</w:t>
            </w:r>
            <w:r>
              <w:rPr>
                <w:rFonts w:hint="eastAsia" w:ascii="宋体" w:hAnsi="宋体" w:cs="宋体"/>
                <w:color w:val="auto"/>
                <w:sz w:val="21"/>
                <w:szCs w:val="21"/>
                <w:highlight w:val="none"/>
                <w:lang w:val="en-US" w:eastAsia="zh-CN"/>
              </w:rPr>
              <w:t>验收通过后一年（自验收通过之日起算）</w:t>
            </w:r>
            <w:r>
              <w:rPr>
                <w:rFonts w:hint="eastAsia" w:ascii="宋体" w:hAnsi="宋体" w:eastAsia="宋体" w:cs="宋体"/>
                <w:color w:val="auto"/>
                <w:sz w:val="21"/>
                <w:szCs w:val="21"/>
                <w:highlight w:val="none"/>
              </w:rPr>
              <w:t>无质量问题，成交供应商提供《政府采购项目履约保证金退付意见书》及《政府采购项目合同验收报告》，</w:t>
            </w:r>
            <w:r>
              <w:rPr>
                <w:rFonts w:hint="eastAsia" w:ascii="宋体" w:hAnsi="宋体" w:cs="宋体"/>
                <w:szCs w:val="21"/>
                <w:highlight w:val="none"/>
              </w:rPr>
              <w:t>向采购人提出书面申请退还，采购人在收到申请后10个工作日内按照履约保证金缴纳的具体方式，配合供应商办理无息退还事宜。</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szCs w:val="21"/>
                <w:highlight w:val="none"/>
              </w:rPr>
            </w:pPr>
            <w:r>
              <w:rPr>
                <w:rFonts w:hint="eastAsia" w:ascii="宋体" w:hAnsi="宋体" w:cs="宋体"/>
                <w:szCs w:val="21"/>
                <w:highlight w:val="none"/>
              </w:rPr>
              <w:t>保证金指定账户：</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开户名：广西制造工程职业技术学院</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开户行：农行南宁东盟经济园区支行</w:t>
            </w:r>
          </w:p>
          <w:p>
            <w:pPr>
              <w:keepNext w:val="0"/>
              <w:keepLines w:val="0"/>
              <w:pageBreakBefore w:val="0"/>
              <w:kinsoku/>
              <w:wordWrap/>
              <w:overflowPunct/>
              <w:topLinePunct w:val="0"/>
              <w:autoSpaceDE/>
              <w:autoSpaceDN/>
              <w:bidi w:val="0"/>
              <w:spacing w:line="4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号：20036501040014065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gridSpan w:val="2"/>
            <w:vAlign w:val="center"/>
          </w:tcPr>
          <w:p>
            <w:pPr>
              <w:keepNext w:val="0"/>
              <w:keepLines w:val="0"/>
              <w:pageBreakBefore w:val="0"/>
              <w:widowControl/>
              <w:kinsoku/>
              <w:wordWrap/>
              <w:overflowPunct/>
              <w:topLinePunct w:val="0"/>
              <w:autoSpaceDE/>
              <w:autoSpaceDN/>
              <w:bidi w:val="0"/>
              <w:adjustRightInd/>
              <w:snapToGrid/>
              <w:spacing w:line="460" w:lineRule="exact"/>
              <w:ind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知识产权</w:t>
            </w:r>
          </w:p>
        </w:tc>
        <w:tc>
          <w:tcPr>
            <w:tcW w:w="8037" w:type="dxa"/>
            <w:gridSpan w:val="3"/>
            <w:vAlign w:val="center"/>
          </w:tcPr>
          <w:p>
            <w:pPr>
              <w:keepNext w:val="0"/>
              <w:keepLines w:val="0"/>
              <w:pageBreakBefore w:val="0"/>
              <w:widowControl/>
              <w:kinsoku/>
              <w:wordWrap/>
              <w:overflowPunct/>
              <w:topLinePunct w:val="0"/>
              <w:autoSpaceDE/>
              <w:autoSpaceDN/>
              <w:bidi w:val="0"/>
              <w:adjustRightInd/>
              <w:snapToGrid/>
              <w:spacing w:line="46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采购人在中华人民共和国境内使用供应商提供的产品及服务时免受第三方提出的侵犯其专利权或其它知识产权的起诉。如果第三方提出侵权指控，成交人承担由此而引起的一切法律责任和费用。</w:t>
            </w:r>
          </w:p>
        </w:tc>
      </w:tr>
    </w:tbl>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cs="宋体"/>
          <w:b/>
          <w:color w:val="auto"/>
          <w:sz w:val="18"/>
          <w:szCs w:val="18"/>
          <w:highlight w:val="none"/>
          <w:lang w:val="en-US" w:eastAsia="zh-CN"/>
        </w:rPr>
      </w:pPr>
    </w:p>
    <w:p>
      <w:pPr>
        <w:pStyle w:val="18"/>
        <w:jc w:val="both"/>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B分标：智慧电子班牌二期建设</w:t>
      </w:r>
    </w:p>
    <w:tbl>
      <w:tblPr>
        <w:tblStyle w:val="27"/>
        <w:tblpPr w:leftFromText="180" w:rightFromText="180" w:vertAnchor="text" w:horzAnchor="page" w:tblpX="1256" w:tblpY="265"/>
        <w:tblOverlap w:val="never"/>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22"/>
        <w:gridCol w:w="679"/>
        <w:gridCol w:w="750"/>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vAlign w:val="center"/>
          </w:tcPr>
          <w:p>
            <w:pPr>
              <w:keepNext w:val="0"/>
              <w:keepLines w:val="0"/>
              <w:pageBreakBefore w:val="0"/>
              <w:widowControl/>
              <w:kinsoku/>
              <w:wordWrap/>
              <w:overflowPunct/>
              <w:topLinePunct w:val="0"/>
              <w:autoSpaceDE/>
              <w:autoSpaceDN/>
              <w:bidi w:val="0"/>
              <w:spacing w:line="440" w:lineRule="exact"/>
              <w:ind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序号</w:t>
            </w:r>
          </w:p>
        </w:tc>
        <w:tc>
          <w:tcPr>
            <w:tcW w:w="822" w:type="dxa"/>
            <w:vAlign w:val="center"/>
          </w:tcPr>
          <w:p>
            <w:pPr>
              <w:keepNext w:val="0"/>
              <w:keepLines w:val="0"/>
              <w:pageBreakBefore w:val="0"/>
              <w:widowControl/>
              <w:kinsoku/>
              <w:wordWrap/>
              <w:overflowPunct/>
              <w:topLinePunct w:val="0"/>
              <w:autoSpaceDE/>
              <w:autoSpaceDN/>
              <w:bidi w:val="0"/>
              <w:spacing w:line="440" w:lineRule="exact"/>
              <w:ind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eastAsia="zh-CN"/>
              </w:rPr>
              <w:t>货物</w:t>
            </w:r>
            <w:r>
              <w:rPr>
                <w:rFonts w:hint="eastAsia" w:ascii="宋体" w:hAnsi="宋体" w:eastAsia="宋体" w:cs="宋体"/>
                <w:color w:val="auto"/>
                <w:kern w:val="0"/>
                <w:sz w:val="21"/>
                <w:szCs w:val="21"/>
                <w:highlight w:val="none"/>
              </w:rPr>
              <w:t>名称</w:t>
            </w:r>
          </w:p>
        </w:tc>
        <w:tc>
          <w:tcPr>
            <w:tcW w:w="679" w:type="dxa"/>
            <w:vAlign w:val="center"/>
          </w:tcPr>
          <w:p>
            <w:pPr>
              <w:keepNext w:val="0"/>
              <w:keepLines w:val="0"/>
              <w:pageBreakBefore w:val="0"/>
              <w:widowControl/>
              <w:kinsoku/>
              <w:wordWrap/>
              <w:overflowPunct/>
              <w:topLinePunct w:val="0"/>
              <w:autoSpaceDE/>
              <w:autoSpaceDN/>
              <w:bidi w:val="0"/>
              <w:spacing w:line="440" w:lineRule="exact"/>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数量</w:t>
            </w:r>
          </w:p>
        </w:tc>
        <w:tc>
          <w:tcPr>
            <w:tcW w:w="750" w:type="dxa"/>
            <w:vAlign w:val="center"/>
          </w:tcPr>
          <w:p>
            <w:pPr>
              <w:keepNext w:val="0"/>
              <w:keepLines w:val="0"/>
              <w:pageBreakBefore w:val="0"/>
              <w:widowControl/>
              <w:kinsoku/>
              <w:wordWrap/>
              <w:overflowPunct/>
              <w:topLinePunct w:val="0"/>
              <w:autoSpaceDE/>
              <w:autoSpaceDN/>
              <w:bidi w:val="0"/>
              <w:spacing w:line="440" w:lineRule="exact"/>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单位</w:t>
            </w:r>
          </w:p>
        </w:tc>
        <w:tc>
          <w:tcPr>
            <w:tcW w:w="6734" w:type="dxa"/>
            <w:vAlign w:val="center"/>
          </w:tcPr>
          <w:p>
            <w:pPr>
              <w:keepNext w:val="0"/>
              <w:keepLines w:val="0"/>
              <w:pageBreakBefore w:val="0"/>
              <w:widowControl/>
              <w:kinsoku/>
              <w:wordWrap/>
              <w:overflowPunct/>
              <w:topLinePunct w:val="0"/>
              <w:autoSpaceDE/>
              <w:autoSpaceDN/>
              <w:bidi w:val="0"/>
              <w:spacing w:line="440" w:lineRule="exact"/>
              <w:ind w:right="0"/>
              <w:jc w:val="center"/>
              <w:textAlignment w:val="center"/>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 w:val="21"/>
                <w:szCs w:val="21"/>
                <w:highlight w:val="none"/>
              </w:rPr>
              <w:t>技术</w:t>
            </w:r>
            <w:r>
              <w:rPr>
                <w:rFonts w:hint="eastAsia" w:ascii="宋体" w:hAnsi="宋体" w:eastAsia="宋体" w:cs="宋体"/>
                <w:color w:val="auto"/>
                <w:kern w:val="0"/>
                <w:sz w:val="21"/>
                <w:szCs w:val="21"/>
                <w:highlight w:val="none"/>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1</w:t>
            </w:r>
          </w:p>
        </w:tc>
        <w:tc>
          <w:tcPr>
            <w:tcW w:w="822" w:type="dxa"/>
            <w:vAlign w:val="center"/>
          </w:tcPr>
          <w:p>
            <w:pPr>
              <w:widowControl/>
              <w:spacing w:line="360" w:lineRule="exact"/>
              <w:ind w:firstLine="0" w:firstLineChars="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kern w:val="0"/>
                <w:sz w:val="21"/>
                <w:szCs w:val="21"/>
                <w:lang w:bidi="ar"/>
              </w:rPr>
              <w:t>电子班牌</w:t>
            </w:r>
          </w:p>
        </w:tc>
        <w:tc>
          <w:tcPr>
            <w:tcW w:w="679" w:type="dxa"/>
            <w:vAlign w:val="center"/>
          </w:tcPr>
          <w:p>
            <w:pPr>
              <w:widowControl/>
              <w:spacing w:line="360" w:lineRule="exact"/>
              <w:ind w:firstLine="0" w:firstLine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lang w:bidi="ar"/>
              </w:rPr>
              <w:t>50</w:t>
            </w:r>
          </w:p>
        </w:tc>
        <w:tc>
          <w:tcPr>
            <w:tcW w:w="750" w:type="dxa"/>
            <w:vAlign w:val="center"/>
          </w:tcPr>
          <w:p>
            <w:pPr>
              <w:widowControl/>
              <w:spacing w:line="360" w:lineRule="exact"/>
              <w:ind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000000"/>
                <w:kern w:val="0"/>
                <w:sz w:val="21"/>
                <w:szCs w:val="21"/>
                <w:lang w:bidi="ar"/>
              </w:rPr>
              <w:t>台</w:t>
            </w:r>
          </w:p>
        </w:tc>
        <w:tc>
          <w:tcPr>
            <w:tcW w:w="6734" w:type="dxa"/>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1、班牌整机背板采用金属材质，抗撞抗划抗腐蚀，结构设计考虑半户外条件下的防水功能。表面无尖锐边缘或凸起,保证师生安全使用。带防盗卡口，支持防盗；</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系统定制，学生无法跳出班牌节目界面，不能设置班牌密码；支持后台统一管理，班牌终端软件支持交互操作；班牌主屏可根据用户需求显示相应功能模块；用户也可切换副屏，可打开通知、班级相册、班级视频、班级荣誉、课表、巡课、考勤等应用；</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▲3、采用Android 11.0或同档次及以上操作系统，CPU：≥四核64位Cortex-A55或同档次及以上配置，GPU：ARM G52 2EE或同档次及以上配置，主频≥2.0GHz，内存性能不低于DDR3 1600，内存容量（RAM）≥2G，内置存储(ROM)≥16G；</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▲4、整机屏幕应不小于21.5英寸；屏幕采用A 规液晶屏体，采用直下式背光，屏幕显示分辨率不低于1920×1080 pixel，并支持4k视频播放；色彩像素不低于0.2493×0.241mm；屏幕帧率60HZ；可视角度为：178 度 (H) / 178 度 (V)；屏体对比度≥3000:1，超高亮度 (typ)/(min)≥500cd/㎡(typ.)；亮度可自动调；色彩度8bit；支持防蓝光、防炫光；</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5、屏幕表面采用不低于 3mm 厚度钢化玻璃，防划防撞；要求钢化玻璃可见光透射比不低于85%；屏幕硬度≥7H；</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6、采用电容式触摸屏，触控方式采用G+G，支持10指触控；触控最小面积直径≥4mm，触控响应时间不超过20ms；</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7、屏幕采用防黑化设计，阳光直射的情况下也能保持屏幕稳定显示；</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8、扬声器采用侧边开孔设计，支持双声道输出, 内置双通道4Ω×3W×2扬声器；最大音量可达 80±3dB；</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9、班牌内置摄像头不低于500万像素，摄像头分辨率为≥2560×1920，采用78°±3°水平视角、有利于人脸考勤的信息采集；</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10、兼容多种多媒体格式，至少支持MP4等视频格式；支持 JPG、JPEG、PNG 等图片格式；</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11、设备接口： ≥1 路 DC IN，≥1 路千兆自适应RJ45网口，≥1路门禁接口，≥2 路 USB 3.0；</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12、设备刷卡功能：支持IC M1 NFC协议；读卡距离≤20mm，读卡时间≤150ms；</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13、网络：支持100M/1000M自适应以太网（有线）、支持2.4G  WIFI网络；</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14、内置高保真麦克风，拾音距离≥1m；</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15、支持人脸识别功能：人脸识别最快响应时间≤300ms；人脸识别距离≤2m；</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16、为保证用户用电安全，采用外置电源方式，班牌工作电压不高于DC 12V，功耗≤60W；</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▲17、设备采用隐藏式拨码设备开关及复位按钮；防止学生误触；</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18、班牌支持usb升级、ota升级两种方式；</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▲19、班牌可支持横装及竖装两种安装方式；</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电子班牌终端软件：</w:t>
            </w:r>
          </w:p>
          <w:p>
            <w:pPr>
              <w:keepNext w:val="0"/>
              <w:keepLines w:val="0"/>
              <w:pageBreakBefore w:val="0"/>
              <w:numPr>
                <w:ilvl w:val="0"/>
                <w:numId w:val="1"/>
              </w:numPr>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支持课程模式、考场模式、会议模式三种空间应用场景切换；</w:t>
            </w:r>
          </w:p>
          <w:p>
            <w:pPr>
              <w:keepNext w:val="0"/>
              <w:keepLines w:val="0"/>
              <w:pageBreakBefore w:val="0"/>
              <w:numPr>
                <w:ilvl w:val="0"/>
                <w:numId w:val="0"/>
              </w:numPr>
              <w:kinsoku/>
              <w:wordWrap/>
              <w:overflowPunct/>
              <w:topLinePunct w:val="0"/>
              <w:autoSpaceDE/>
              <w:autoSpaceDN/>
              <w:bidi w:val="0"/>
              <w:spacing w:line="4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▲21、终端支持人脸识别、刷卡、密码三种方式进行管理及查询；（响应文件中提供演示画面的照片或截图，加盖供应商公章）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班牌支持课程模式，首页突出展示课程名称、主讲教师、应到学生、空间状态；班牌首页功能区≤4个，功能区的功能不固定，可自由定义和替换；最少有一个功能区可在小窗口播放视频，点击小窗口视频即可全屏播放，并可拖动进度条任意快进快退；（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本教室空间的占用情况及课表信息，在权限允许的条件下，可在班牌上自由查询。支持在终端上查询显示当前空间的日课程表；支持日历视图选择日期，并查看当前空间任意时间的课表，并针对当前时段判断节次以颜色底纹加深显示</w:t>
            </w:r>
            <w:bookmarkStart w:id="85" w:name="_GoBack"/>
            <w:bookmarkEnd w:id="85"/>
            <w:r>
              <w:rPr>
                <w:rFonts w:hint="eastAsia" w:ascii="宋体" w:hAnsi="宋体" w:eastAsia="宋体" w:cs="宋体"/>
                <w:color w:val="auto"/>
                <w:sz w:val="21"/>
                <w:szCs w:val="21"/>
                <w:highlight w:val="none"/>
              </w:rPr>
              <w:t>。支持终端查询对应空间任意时间段的使用情况及课表信息，包括上课时间、课程信息、授课教师信息、课程应到人数，方便查询；（响应文件中提供演示画面的照片或截图，加盖供应商公章）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24、学生和老师的个人课表信息，在身份验证通过后，可在班牌上查询本人的相关信息。可查看课程详情，包括课程时间、课程内容、授课地点；</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25、支持系统终端、后台、电磁锁组成门禁系统，实现对进入房间门禁的控制及管理。支持设置房间白名单控制进入权限，开通权限的人可终端人脸识别或刷卡开门进入房间；</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26、班牌支持刷卡的方式进行考勤，考勤成功后，学生头像短暂显示不低于3秒；如考勤未成功，则红叉显示考勤失败并提示原因；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27、在权限允许的条件下，支持查询课程考勤记录，包括应到、未到、实到数据，并显示人员头像，已到人员头像亮起，未到人员头像灰色；</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班牌支持考场模式，首页突出展示考试科目、教室号、考试时间、监考老师、参考人数、下节考试科目；可视化图例显示考生实到率、考试时间倒计时；考场模式功能模块包括考生身份验证、签到详情、科目查询；</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29、班牌支持终端预约和后台预约两种模式，也可对接学校原有办公自动化系统，在不改变预约习惯的前提下，实现预约查询、显示、考勤；</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支持人员在终端上通过刷卡/刷脸/密码三种方式验证身份查询自己的预约记录；支持通过终端利用空间类型、日期、时间、容纳人数等条件可查询自己想要预约的空间；（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▲31、支持人员在终端上通过验证身份发起预约申请，并且可以手动取消（响应文件中提供演示画面的照片或截图，加盖供应商公章）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32、支持教师通过身份验证进入班牌巡课模块；</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33、支持发起服务跟踪，设置设备维修时间，查询维修记录及空间设备运维状态；</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34、支持视频语音通话功能，可进行双向视频通话；</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35、信息发布可设置媒体播放模式，包括关闭、空闲播放、指定时段播放、自动播放。</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▲36、为保障设备兼容性，要求与第3项产品“智慧空间管理系统”同一品牌。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3" w:type="dxa"/>
            <w:vAlign w:val="center"/>
          </w:tcPr>
          <w:p>
            <w:pPr>
              <w:tabs>
                <w:tab w:val="left" w:pos="-728"/>
              </w:tabs>
              <w:spacing w:line="36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2</w:t>
            </w:r>
          </w:p>
        </w:tc>
        <w:tc>
          <w:tcPr>
            <w:tcW w:w="822"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0"/>
                <w:sz w:val="21"/>
                <w:szCs w:val="21"/>
                <w:lang w:bidi="ar"/>
              </w:rPr>
              <w:t>视觉算法模块</w:t>
            </w:r>
          </w:p>
        </w:tc>
        <w:tc>
          <w:tcPr>
            <w:tcW w:w="679"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bidi="ar"/>
              </w:rPr>
              <w:t>50</w:t>
            </w:r>
          </w:p>
        </w:tc>
        <w:tc>
          <w:tcPr>
            <w:tcW w:w="7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套</w:t>
            </w:r>
          </w:p>
        </w:tc>
        <w:tc>
          <w:tcPr>
            <w:tcW w:w="6734" w:type="dxa"/>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1、完全独立离线的SDK，离线激活，完全脱离网络影响，班牌断网后可以独立使用；</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2、支持同时识别约10 人；</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3、支持活体检测，判断图片是否为翻拍，过滤检测中不符合标准的人脸；</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4、毫秒级识别，识别速度200ms以内，支持最小检测人脸大小50px×50px，可识别人脸角度yaw≤±30°, pitch ≤±30°，检测速度≤50 ms，追踪速度≤7 ms；</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▲5、离线状态下，单个班牌支持10000名以上学生面部识别，精准识别每个学生获取对应权限；</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6、支持与学校原有人脸数据对接。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3"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3</w:t>
            </w:r>
          </w:p>
        </w:tc>
        <w:tc>
          <w:tcPr>
            <w:tcW w:w="822"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0"/>
                <w:sz w:val="21"/>
                <w:szCs w:val="21"/>
                <w:lang w:bidi="ar"/>
              </w:rPr>
              <w:t>智慧空间管理系统</w:t>
            </w:r>
          </w:p>
        </w:tc>
        <w:tc>
          <w:tcPr>
            <w:tcW w:w="679"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bidi="ar"/>
              </w:rPr>
              <w:t>50</w:t>
            </w:r>
          </w:p>
        </w:tc>
        <w:tc>
          <w:tcPr>
            <w:tcW w:w="7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套</w:t>
            </w:r>
          </w:p>
        </w:tc>
        <w:tc>
          <w:tcPr>
            <w:tcW w:w="6734" w:type="dxa"/>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1、终端设备管理</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（1）支持后台统一管理，可远程添加终端设备，并可对终端进行分组分类管理；</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◆（2）支持三种模式切换，课程模式、会议模式、考场模式，可以自动切换或一键切换，每种模式支持单独配置。</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管理平台权限管理，功能模块设定使用权限；登录管理系统可根据不同管理者角色设置不同操作权限，可设置多组管理者权限；不同功能模块对不同教室的终端设定人员不同的使用权限，功能管理便捷，权利分配清晰。</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2、数据管理</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（1）支持系统平台与学校系统对接，数据对接分教务系统和一卡通对接两部分；</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（2）教务系统对接人员基础数据、建筑基础数据、课程数据；</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（3）一卡通对接卡号关联获得学生、教师、楼宇、教室、课程等相关的数据信息；</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（4）教务系统和一卡通对接支持定时增量、全量同步； </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（5）支持后台自定义设置课程/考试的考勤时段，考勤数据自动留存可导出，以备后期统计分析； </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（6）支持设定考勤签到界面的出现时间，并设定正常签到、迟到的时间段； </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3、空间预约查询</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（1）支持预约审核机制，审核结果可以通过终端、后台查看；</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（2）用户可以在终端/后台查看自己的预约记录，便捷管理自己的预约； </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（3）支持后台针对人员设定三种预约权限，预约者/审核者/管理者，每种权限功能管理不同，操作的视图页面也不相同；</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4、服务跟踪</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（1）支持服务内容自定义添加；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（2）支持开通权限的人员发起服务请求，服务即时上传到后台管理系统，再由系统通知对应的服务人员；</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▲（3）支持多种服务状态，发起服务请求后，有待处理、服务中和服务完成三种状态，方便对服务整个过程进行跟踪记录； （响应文件中提供演示画面的照片或截图，加盖供应商公章）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（4）服务过程可追溯，包括服务响应时间、服务过程时间、服务完成时间等数据可自动统计。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5、教师巡课</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（1）巡课教师无需进教室即可通过终端查看任意一间教室内实时教学画面； </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（2）支持对接校园网络监控系统，在终端上可以通过教室内网络摄像机显示教室内实时教学情况； </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（3）支持设置教师巡课权限，开通权限的人员可查看实时教学画面。</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6、信息互动管理</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（1）支持播放图片、视频、动态文本等多种媒体样式；</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（2）支持显示LOGO、日期/时间/星期、天气预报等；</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（3）支持在WEB后台添加发布滚动字幕通知，支持在终端显示。</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7、信息发布与班牌界面切换</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（1）支持信息发布界面与班牌界面的相互切换；</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（2）终端开机默认为信息发布界面，不使用班牌时，自动播放校园公播信息、班级信息、活动图片、教学视频短片等多媒体信息；使用班牌时，在信息发布界面单击即可跳转到班牌界面，进行班牌界面的操作；</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（3）当班牌界面按照预设定的时间不操作时，会自动跳转到信息发布界面，展示校园风采；</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后台设定终端信发播放四种模式，分别为：关闭自动跳转手动播放、按照设定多条时间段内自动播放、根据空闲下课时间自动播放、根据无人使用时自动播放（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8、考场管理</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（1）支持通过后台一键切换课程模式、考场模式，支持在考试前20分钟(可设定)自动从课程切换为考场模式，考试结束后自动切回课程模式；</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（2）支持后台对接考务系统或手动方式录入考试数据，将教室号转换为考场。</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9、门禁管理</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（1）支持系统终端、后台、电磁锁组成门禁系统，实现对进入房间门禁的控制及管理；</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▲（2）支持设置房间白名单控制进入权限，开通权限的人可终端人脸识别或刷卡开门进入房间；（响应文件中提供演示画面的照片或截图，加盖供应商公章）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（3）支持针对终端设定定时开关门，保持开门、临时开门、永久开门三种方式定时控制；</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▲（4）支持设定课程/会议/考试相关人员在课程/会议/考试开始时验证身份开门，过了相关占用时间则无权限开门；（响应文件中提供演示画面的照片或截图，加盖供应商公章）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（5）支持设定课程/会议/考试相关人员在课程/会议/考试开始时自动开门，过了相关占用时间则自动锁门；</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10、扩展功能</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（1）支持对接学校门户新闻网站，在终端中互动查询。支持对接第三方程序以程序跳转方式实现终端交互；</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后台对应终端自由编辑图片文字内容，以教室文化或班级文化方式展示.支持功能、运维服务项图标文字修改，首页卡片视窗可自由编辑名称替换显示（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▲（3）视频通话：终端独立视频语音通话功能，支持多对一呼叫，实时双向视频通话（响应文件中提供演示画面的照片或截图，加盖供应商公章）；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▲（4）注册报到：按照注册时间批次对接注册名单，开学时学生通过人脸识别注册报到，支持人员多种状态智能判断，实时上报注册记录，拍照留存；并且支持查询以往注册记录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（响应文件中提供演示画面的照片或截图，加盖供应商公章）</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◆（5）支持后台自定义创建注册报到批次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▲11、须兼容现有的鸿合智慧空间管理系统，通过现有的管理平台能够实现数据互联互通，新旧统一管理。（响应文件中提供系统兼容承诺书并加盖供应商单公章，承诺书格式自拟）。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3"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4</w:t>
            </w:r>
          </w:p>
        </w:tc>
        <w:tc>
          <w:tcPr>
            <w:tcW w:w="822"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sz w:val="21"/>
                <w:szCs w:val="21"/>
              </w:rPr>
              <w:t>考勤功能WEB页面定制开发</w:t>
            </w:r>
          </w:p>
        </w:tc>
        <w:tc>
          <w:tcPr>
            <w:tcW w:w="679"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1</w:t>
            </w:r>
          </w:p>
        </w:tc>
        <w:tc>
          <w:tcPr>
            <w:tcW w:w="7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项</w:t>
            </w:r>
          </w:p>
        </w:tc>
        <w:tc>
          <w:tcPr>
            <w:tcW w:w="6734" w:type="dxa"/>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电子班牌web后台考勤功能页面定制开发内容：</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一：功能技术要求</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实况考勤页面设计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1.1可实现增加教师签到情况、教师签到时间、上课班级等字段选项，关键词可以搜索上课班级；</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1.2可实现增加学院筛选条件，筛选学院后以此条件为准，显示对应学院的老师课程考勤列表；</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课堂及课程筛选后页面设计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2.1可实现增加教师签到情况、教师签到时间、上课班级等字段选项，关键词可以搜索上课班级；</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2.2可实现课堂查询默认页面为教师个人考勤统计排名；</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2.3可实现增加学院筛选条件，筛选学院后以此条件为准，显示对应学院的老师课程考勤列表；</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教师考勤页面设计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可实现教师考勤默认页面为个人考勤统计汇总对比；</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教师个人考勤查询页面设计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4.1可实现对教师个人考勤，包括应到、实到、未到节数统计；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4.2可实现课节数、缺勤、排名的统计；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4.3可实现每周出勤趋势统计，提供每周上课总节数和教师个人实际出勤节数占比趋势图；</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4.4可实现签到情况、教师签到时间、上课班级等功能，关键词可以搜索上课班级；</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4.5列表中可实现导出功能，可根据筛选条件进行导出；</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个人登陆页面设计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教师个人登陆页面，根据个人工号密码登陆到个人考勤页面；</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实况考勤数据数据库、接口开发</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6.1教师实况考勤数据，实况缓存数据库创建，数据库和平台接口建立，调用上课班级数据库关联；</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历史课堂及课程数据库、索引、存储过程、接口开发</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7.1建立历史课程考勤数据库，关联上课教学班、增加索引条件计算数据表，可调用教师考勤记录缓存表，建立查询通讯接口</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教师考勤数据统计接口开发</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可实现按照每个教师考勤数据建立相应存储表，按照需求建立筛选条件，建立平台和数据库接口通讯接口；</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教师个人考勤数据汇总统计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可实现根据筛选和汇总数据需求，以学期、周条件建立做存储过程，调用多个数据库表，教学班、签到时间戳、上课节数做临时统计表，个人考勤表中数据字段类型翻译做报表导出功能；</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个人登陆页面通讯设计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根据每个教师考勤数据指向考勤页面，做平台通讯接口，web页面做区分个人数据界面；</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二：需求设计服务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1.提供需求调研，含现场调研（不少于1 次）及远程调研（若干次）；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2.提供系统方案设计，包含技术架构，数据库，界面设计等；</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三：运维服务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1、平台运维服务不低于三年，全力保障系统服务正常；</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2、平台功能现场培训不少于1次，远程培训服务若干次；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四：开发配套服务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1、系统功能测试和系统部署实施；</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2、提供平台安装部署手册文档（针对技术人员）；</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3、提供平台功能操作手册文档（针对用户应用）。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3" w:type="dxa"/>
            <w:vAlign w:val="center"/>
          </w:tcPr>
          <w:p>
            <w:pPr>
              <w:tabs>
                <w:tab w:val="left" w:pos="-728"/>
              </w:tabs>
              <w:spacing w:line="360" w:lineRule="exact"/>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5</w:t>
            </w:r>
          </w:p>
        </w:tc>
        <w:tc>
          <w:tcPr>
            <w:tcW w:w="822"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sz w:val="21"/>
                <w:szCs w:val="21"/>
              </w:rPr>
              <w:t>系统集成</w:t>
            </w:r>
          </w:p>
        </w:tc>
        <w:tc>
          <w:tcPr>
            <w:tcW w:w="679"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1</w:t>
            </w:r>
          </w:p>
        </w:tc>
        <w:tc>
          <w:tcPr>
            <w:tcW w:w="750" w:type="dxa"/>
            <w:vAlign w:val="center"/>
          </w:tcPr>
          <w:p>
            <w:pPr>
              <w:widowControl/>
              <w:spacing w:line="360" w:lineRule="exact"/>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项</w:t>
            </w:r>
          </w:p>
        </w:tc>
        <w:tc>
          <w:tcPr>
            <w:tcW w:w="6734" w:type="dxa"/>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与学校现有的业务系统，如教务系统、学工系统、一卡通系统等对接，实现数据互联互通，并能统一门户管理。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88" w:type="dxa"/>
            <w:gridSpan w:val="5"/>
            <w:vAlign w:val="center"/>
          </w:tcPr>
          <w:p>
            <w:pPr>
              <w:keepNext w:val="0"/>
              <w:keepLines w:val="0"/>
              <w:pageBreakBefore w:val="0"/>
              <w:widowControl/>
              <w:kinsoku/>
              <w:wordWrap/>
              <w:overflowPunct/>
              <w:topLinePunct w:val="0"/>
              <w:autoSpaceDE/>
              <w:autoSpaceDN/>
              <w:bidi w:val="0"/>
              <w:spacing w:line="440" w:lineRule="exact"/>
              <w:ind w:right="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规范标准</w:t>
            </w:r>
          </w:p>
        </w:tc>
        <w:tc>
          <w:tcPr>
            <w:tcW w:w="8163" w:type="dxa"/>
            <w:gridSpan w:val="3"/>
            <w:vAlign w:val="top"/>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8163" w:type="dxa"/>
            <w:gridSpan w:val="3"/>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交货时间</w:t>
            </w:r>
            <w:r>
              <w:rPr>
                <w:rFonts w:hint="eastAsia" w:ascii="宋体" w:hAnsi="宋体" w:eastAsia="宋体" w:cs="宋体"/>
                <w:color w:val="auto"/>
                <w:sz w:val="21"/>
                <w:szCs w:val="21"/>
                <w:highlight w:val="none"/>
              </w:rPr>
              <w:t>及地点</w:t>
            </w:r>
          </w:p>
        </w:tc>
        <w:tc>
          <w:tcPr>
            <w:tcW w:w="8163" w:type="dxa"/>
            <w:gridSpan w:val="3"/>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交货时间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自签订合同之日起30日历日内全部交货安装完成并验收合格</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交货地点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广西区内（南宁市指定地点）</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质保期限</w:t>
            </w:r>
          </w:p>
        </w:tc>
        <w:tc>
          <w:tcPr>
            <w:tcW w:w="8163" w:type="dxa"/>
            <w:gridSpan w:val="3"/>
            <w:vAlign w:val="top"/>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有关产品“三包”规定执行“三包”，自货物验收合格之日起计算，产品质保期最短不少于1年（“技术参数要求”有要求的则按其要求）。若厂家质保期超过此年限的，合同履行过程中按厂家规定执行。质保期满后，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c>
          <w:tcPr>
            <w:tcW w:w="8163" w:type="dxa"/>
            <w:gridSpan w:val="3"/>
            <w:vAlign w:val="top"/>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1、成交供应商按采购人指定的地点负责送货上门、安装、调试，负责培训使用人员和维护人员。</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必须提供安装、配线以及软硬件的测试和调整服务。系统安装之前，应先对采购人的操作人员进行现场培训。开始安装时，应让采购人的硬软件和系统集成人员参与安装、检测和排除故障。成交供应商在施工、安装、调试等全过程中接受采购人的监督。</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3、在成交供应商承诺的质保期内，设备保修包换所需要的配件均是原厂原装，不得使用兼容货物。</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4、售后服务按厂家承诺执行。成交供应商超过厂家承诺标准的，按成交供应商提交的售后服务承诺书执行。成交供应商定期回访以及对设备进行维护；质保期后成交供应商需提供维修维护服务。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5、成交供应商在质量保证期内应当为采购人提供以下技术支持和服务：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（1）电话咨询</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成交供应商应当为采购人提供技术援助电话，解答采购人在使用中遇到的问题，及时为采购人提出解决问题的建议。</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（2）服务响应时间</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内，采购人遇到使用或技术问题，电话咨询不能解决的，成交供应商应在8小时内到达现场进行处理，到达现场后5小时内排除故障，恢复正常使用。保证采购人正常使用，产生的一切费用由成交供应商承担。</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（3）技术升级</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在质保期内，如果成交供应商的产品或服务升级，成交供应商应及时通知采购人，如采购人有相应要求，成交供应商应对采购人购买的产品或服务进行升级。</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6、质保期外服务要求</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质量保证期过后，采购人需要继续由原成交供应商提供售后服务的，成交供应商应提供电话咨询服务，并应承诺提供产品或服务上门维护，成交供应商和制造商应以优惠价格提供售后服务。</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7、备品备件及易损件</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成交供应商售后服务中，维修使用的备品备件及易损件应为原厂配件，未经采购人同意不得使用非原厂配件。</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8、培训要求：成交供应商对其提供产品或服务的使用和操作应尽培训义务。成交供应商应提供对本项目的使用单位进行培训服务，涉及的相关费用应计算在项目报价内，并使使用人员能独立、熟练操作系统。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8163" w:type="dxa"/>
            <w:gridSpan w:val="3"/>
            <w:vAlign w:val="top"/>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1、合同签订后10个工作日内，采购人向成交供应商支付合同款总额的50%作为预付款；全部安装及试运行完成且经采购人验收合格后10个工作日内，采购人向成交供应商支付剩余的50%合同金额。</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付款前，成交供应商应向采购人开具等额有效的增值税普通发票，采购人未收到发票的，有权不予支付相应款项直至成交供应商提供合格发票，并不承担延迟付款责任。发票认证通过是付款的必要前提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8163" w:type="dxa"/>
            <w:gridSpan w:val="3"/>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w:t>
            </w:r>
            <w:r>
              <w:rPr>
                <w:rFonts w:hint="eastAsia" w:ascii="宋体" w:hAnsi="宋体" w:eastAsia="宋体" w:cs="宋体"/>
                <w:color w:val="auto"/>
                <w:sz w:val="21"/>
                <w:szCs w:val="21"/>
                <w:highlight w:val="none"/>
                <w:lang w:eastAsia="zh-CN"/>
              </w:rPr>
              <w:t>成交金额</w:t>
            </w:r>
            <w:r>
              <w:rPr>
                <w:rFonts w:hint="eastAsia" w:ascii="宋体" w:hAnsi="宋体" w:eastAsia="宋体" w:cs="宋体"/>
                <w:color w:val="auto"/>
                <w:sz w:val="21"/>
                <w:szCs w:val="21"/>
                <w:highlight w:val="none"/>
              </w:rPr>
              <w:t>的5 %（若成交供应商被认定为中小企业的，履约保证金数额将按</w:t>
            </w:r>
            <w:r>
              <w:rPr>
                <w:rFonts w:hint="eastAsia" w:ascii="宋体" w:hAnsi="宋体" w:eastAsia="宋体" w:cs="宋体"/>
                <w:color w:val="auto"/>
                <w:sz w:val="21"/>
                <w:szCs w:val="21"/>
                <w:highlight w:val="none"/>
                <w:lang w:eastAsia="zh-CN"/>
              </w:rPr>
              <w:t>成交金额</w:t>
            </w:r>
            <w:r>
              <w:rPr>
                <w:rFonts w:hint="eastAsia" w:ascii="宋体" w:hAnsi="宋体" w:eastAsia="宋体" w:cs="宋体"/>
                <w:color w:val="auto"/>
                <w:sz w:val="21"/>
                <w:szCs w:val="21"/>
                <w:highlight w:val="none"/>
              </w:rPr>
              <w:t>的2%收取）</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2、履约保证金递交方式：银行转账、电汇、网上支付、支票、汇票、本票、保函等非现金形式。</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3、履约保证金递交时间：签订合同</w:t>
            </w:r>
            <w:r>
              <w:rPr>
                <w:rFonts w:hint="eastAsia" w:ascii="宋体" w:hAnsi="宋体" w:cs="宋体"/>
                <w:color w:val="auto"/>
                <w:sz w:val="21"/>
                <w:szCs w:val="21"/>
                <w:highlight w:val="none"/>
                <w:lang w:val="en-US" w:eastAsia="zh-CN"/>
              </w:rPr>
              <w:t>后3</w:t>
            </w:r>
            <w:r>
              <w:rPr>
                <w:rFonts w:hint="eastAsia" w:ascii="宋体" w:hAnsi="宋体" w:eastAsia="宋体" w:cs="宋体"/>
                <w:color w:val="auto"/>
                <w:sz w:val="21"/>
                <w:szCs w:val="21"/>
                <w:highlight w:val="none"/>
              </w:rPr>
              <w:t>个工作日内由成交供应商转入采购人指定保证金账户。</w:t>
            </w:r>
          </w:p>
          <w:p>
            <w:pPr>
              <w:keepNext w:val="0"/>
              <w:keepLines w:val="0"/>
              <w:pageBreakBefore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4、履约保证金退还：</w:t>
            </w:r>
            <w:r>
              <w:rPr>
                <w:rFonts w:hint="eastAsia" w:ascii="宋体" w:hAnsi="宋体" w:cs="宋体"/>
                <w:color w:val="auto"/>
                <w:sz w:val="21"/>
                <w:szCs w:val="21"/>
                <w:highlight w:val="none"/>
                <w:lang w:eastAsia="zh-CN"/>
              </w:rPr>
              <w:t>质保期满后（</w:t>
            </w:r>
            <w:r>
              <w:rPr>
                <w:rFonts w:hint="eastAsia" w:ascii="宋体" w:hAnsi="宋体" w:cs="宋体"/>
                <w:color w:val="auto"/>
                <w:sz w:val="21"/>
                <w:szCs w:val="21"/>
                <w:highlight w:val="none"/>
                <w:lang w:val="en-US" w:eastAsia="zh-CN"/>
              </w:rPr>
              <w:t>1年，自项目验收通过之日起算，供应商承诺延长的则按延长执行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无质量问题，成交供应商提供《政府采购项目履约保证金退付意见书》及《政府采购项目合同验收报告》，向采购人提出书面申请退还，采购人在收到申请后10个工作日内按照履约保证金缴纳的具体方式，配合供应商办理无息退还事宜。保证金指定账户：</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开户名：广西制造工程职业技术学院</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开户行：农行南宁东盟经济园区支行</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号：20036501040014065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要求</w:t>
            </w:r>
          </w:p>
        </w:tc>
        <w:tc>
          <w:tcPr>
            <w:tcW w:w="8163" w:type="dxa"/>
            <w:gridSpan w:val="3"/>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报价必须含以下部分，包括：</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（2）必要的保险费用和各项税金；</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（3）其他（如运输、装卸、安装、调试、培训、技术支持、售后货物、更新升级等费用，根据项目具体情况填写）： 包括货款、随配附件、备品备件、专用工具、包装、运输、装卸、保险、运抵指定交货地点、送货上门服务、现场安装调试、保修等各种费用和售后服务、培训、税金</w:t>
            </w:r>
            <w:r>
              <w:rPr>
                <w:rFonts w:hint="eastAsia" w:ascii="宋体" w:hAnsi="宋体" w:eastAsia="宋体" w:cs="宋体"/>
                <w:color w:val="auto"/>
                <w:sz w:val="21"/>
                <w:szCs w:val="21"/>
                <w:highlight w:val="none"/>
                <w:lang w:eastAsia="zh-CN"/>
              </w:rPr>
              <w:t>、招标代理服务费</w:t>
            </w:r>
            <w:r>
              <w:rPr>
                <w:rFonts w:hint="eastAsia" w:ascii="宋体" w:hAnsi="宋体" w:eastAsia="宋体" w:cs="宋体"/>
                <w:color w:val="auto"/>
                <w:sz w:val="21"/>
                <w:szCs w:val="21"/>
                <w:highlight w:val="none"/>
              </w:rPr>
              <w:t xml:space="preserve">及其他所有成本费用的总和。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备品备件及</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耗材等要求</w:t>
            </w:r>
          </w:p>
        </w:tc>
        <w:tc>
          <w:tcPr>
            <w:tcW w:w="8163" w:type="dxa"/>
            <w:gridSpan w:val="3"/>
            <w:vAlign w:val="top"/>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稳定的备件供应渠道，并从设备厂商的中国公司及其分销商购置整机和备件补充，可以满足客户的设备在升级、扩充和保修服务配件及消耗品等多方面的需求，成交供应商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验收标准及要求</w:t>
            </w:r>
          </w:p>
        </w:tc>
        <w:tc>
          <w:tcPr>
            <w:tcW w:w="8163" w:type="dxa"/>
            <w:gridSpan w:val="3"/>
            <w:vAlign w:val="top"/>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1、验收依据</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按合同要求及国家标准进行验收。</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2、验收标准</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（1）所供产品的规格、数量、功能、材质、颜色等符合招标文件采购需求及采购合同约定的要求。</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（2）所供产品的外观完好，无严重碰撞、表皮脱落、五金件生锈等明显瑕疵。</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（3）所供产品结构牢固，无安全隐患。</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（4）如有抽检要求的，检测结果符合招标文件采购需求及采购合同约定的要求。</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（5）所有产品均已运输至指定地点，并安装调试完毕。</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（6）招标文件采购需求及采购合同约定的附件、工具、技术资料等齐全；提供产品使用说明书、合格证。</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3、验收要求</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（1）采购人可以根据采购项目具体情况自行组织验收，或者委托第三方机构或部门开展采购项目履约验收工作，验收过程中所产生的一切费用均由成交供应商承担，报价时应考虑相关费用。</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验收如委托第三方机构组织实施的，由验收小组对照招标文件的技术参数要求核对检验，如不符合招标文件的技术参数要求的，按合同约定执行，成交供应商承担所有责任和费用。采购人保留进一步追究责任的权利。</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①验收活动开始前，成交供应商应对货物作出全面检查和对验收文件进行整理，并列出清单，作为采购人收货验收和使用的技术条件依据。</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②因验收不合格的，需要再次组织验收的，由此产生相关成本费用由成交供应商承担。</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（3）验收时成交供应商提供验收文档，具体如下：技术方案、实施方案、售后服务方案、培训方案、系统部署文档、测试文档、使用说明书、电子文档等。</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所有要求出具的证明文件的原件进行核查，如不符合招标文件的技术需求及要求，以及提供虚假承诺的，按相关规定做退货处理及违约处理，成交供应商承担所有责任和费用，采购人保留进一步追究责任的权利。</w:t>
            </w:r>
          </w:p>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（5）项目验收过程中，需委托第三方检测机构介入的，费用由成交供应商另行承担。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w:t>
            </w:r>
          </w:p>
        </w:tc>
        <w:tc>
          <w:tcPr>
            <w:tcW w:w="8163" w:type="dxa"/>
            <w:gridSpan w:val="3"/>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采购人在中华人民共和国境内使用供应商提供的产品及服务时免受第三方提出的侵犯其专利权或其它知识产权的起诉。如果第三方提出侵权指控，成交人承担由此而引起的一切法律责任和费用。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特殊说明</w:t>
            </w:r>
          </w:p>
        </w:tc>
        <w:tc>
          <w:tcPr>
            <w:tcW w:w="8163" w:type="dxa"/>
            <w:gridSpan w:val="3"/>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本项目不接受进口产品投标，如供应商采用进口产品投标则作无效投标处理。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8" w:type="dxa"/>
            <w:gridSpan w:val="5"/>
            <w:vAlign w:val="center"/>
          </w:tcPr>
          <w:p>
            <w:pPr>
              <w:pStyle w:val="2"/>
              <w:tabs>
                <w:tab w:val="left" w:pos="987"/>
              </w:tabs>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涉及项目的其他要求及说明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其他说明</w:t>
            </w:r>
          </w:p>
        </w:tc>
        <w:tc>
          <w:tcPr>
            <w:tcW w:w="8163" w:type="dxa"/>
            <w:gridSpan w:val="3"/>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本标段不组织现场考察。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线上演示</w:t>
            </w:r>
          </w:p>
        </w:tc>
        <w:tc>
          <w:tcPr>
            <w:tcW w:w="8163" w:type="dxa"/>
            <w:gridSpan w:val="3"/>
            <w:vAlign w:val="center"/>
          </w:tcPr>
          <w:p>
            <w:pPr>
              <w:keepNext w:val="0"/>
              <w:keepLines w:val="0"/>
              <w:pageBreakBefore w:val="0"/>
              <w:kinsoku/>
              <w:wordWrap/>
              <w:overflowPunct/>
              <w:topLinePunct w:val="0"/>
              <w:autoSpaceDE/>
              <w:autoSpaceDN/>
              <w:bidi w:val="0"/>
              <w:spacing w:line="460" w:lineRule="exact"/>
              <w:ind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须在评审时（具体时间由采购代理机构通知）对《采购需求》中标注“◆”的货物部分功能基于真实系统的视频演示，通过广西政府采购云平台进行在线讲解和阐述。供应商自行准备线上演示所需的摄像头、话筒等设备，每家供应商线上演示时间均不超过10分钟，不演示或者演示不齐全或者演示内容不符合采购文件要求的，竞标无效。</w:t>
            </w:r>
          </w:p>
        </w:tc>
      </w:tr>
    </w:tbl>
    <w:p>
      <w:pPr>
        <w:pStyle w:val="15"/>
        <w:jc w:val="left"/>
        <w:rPr>
          <w:rFonts w:hint="eastAsia" w:hAnsi="宋体" w:cs="宋体"/>
          <w:color w:val="auto"/>
          <w:sz w:val="32"/>
          <w:szCs w:val="32"/>
          <w:highlight w:val="none"/>
        </w:rPr>
      </w:pPr>
    </w:p>
    <w:p>
      <w:pPr>
        <w:pStyle w:val="7"/>
        <w:rPr>
          <w:rFonts w:hint="eastAsia"/>
        </w:rPr>
      </w:pPr>
    </w:p>
    <w:p>
      <w:pPr>
        <w:pStyle w:val="7"/>
        <w:rPr>
          <w:rFonts w:hint="eastAsia" w:hAnsi="宋体" w:cs="宋体"/>
          <w:color w:val="auto"/>
          <w:sz w:val="32"/>
          <w:szCs w:val="32"/>
          <w:highlight w:val="none"/>
        </w:rPr>
      </w:pPr>
    </w:p>
    <w:p>
      <w:pPr>
        <w:rPr>
          <w:rFonts w:hint="eastAsia" w:hAnsi="宋体" w:cs="宋体"/>
          <w:color w:val="auto"/>
          <w:sz w:val="32"/>
          <w:szCs w:val="32"/>
          <w:highlight w:val="none"/>
        </w:rPr>
      </w:pPr>
    </w:p>
    <w:p>
      <w:pPr>
        <w:rPr>
          <w:rFonts w:hint="eastAsia" w:hAnsi="宋体" w:cs="宋体"/>
          <w:color w:val="auto"/>
          <w:sz w:val="32"/>
          <w:szCs w:val="32"/>
          <w:highlight w:val="none"/>
        </w:rPr>
      </w:pPr>
    </w:p>
    <w:p>
      <w:pPr>
        <w:rPr>
          <w:rFonts w:hint="eastAsia" w:hAnsi="宋体" w:cs="宋体"/>
          <w:color w:val="auto"/>
          <w:sz w:val="32"/>
          <w:szCs w:val="32"/>
          <w:highlight w:val="none"/>
        </w:rPr>
      </w:pPr>
    </w:p>
    <w:p>
      <w:pPr>
        <w:rPr>
          <w:rFonts w:hint="eastAsia" w:hAnsi="宋体" w:cs="宋体"/>
          <w:color w:val="auto"/>
          <w:sz w:val="32"/>
          <w:szCs w:val="32"/>
          <w:highlight w:val="none"/>
        </w:rPr>
      </w:pPr>
    </w:p>
    <w:p>
      <w:pPr>
        <w:rPr>
          <w:rFonts w:hint="eastAsia" w:hAnsi="宋体" w:cs="宋体"/>
          <w:color w:val="auto"/>
          <w:sz w:val="32"/>
          <w:szCs w:val="32"/>
          <w:highlight w:val="none"/>
        </w:rPr>
      </w:pPr>
    </w:p>
    <w:p>
      <w:pPr>
        <w:rPr>
          <w:rFonts w:hint="eastAsia" w:hAnsi="宋体" w:cs="宋体"/>
          <w:color w:val="auto"/>
          <w:sz w:val="32"/>
          <w:szCs w:val="32"/>
          <w:highlight w:val="none"/>
        </w:rPr>
      </w:pPr>
    </w:p>
    <w:p>
      <w:pPr>
        <w:rPr>
          <w:rFonts w:hint="eastAsia" w:hAnsi="宋体" w:cs="宋体"/>
          <w:color w:val="auto"/>
          <w:sz w:val="32"/>
          <w:szCs w:val="32"/>
          <w:highlight w:val="none"/>
        </w:rPr>
      </w:pPr>
    </w:p>
    <w:p>
      <w:pPr>
        <w:pStyle w:val="2"/>
        <w:rPr>
          <w:rFonts w:hint="eastAsia" w:hAnsi="宋体" w:cs="宋体"/>
          <w:color w:val="auto"/>
          <w:sz w:val="32"/>
          <w:szCs w:val="32"/>
          <w:highlight w:val="none"/>
        </w:rPr>
      </w:pPr>
    </w:p>
    <w:p>
      <w:pPr>
        <w:pStyle w:val="2"/>
        <w:rPr>
          <w:rFonts w:hint="eastAsia" w:hAnsi="宋体" w:cs="宋体"/>
          <w:color w:val="auto"/>
          <w:sz w:val="32"/>
          <w:szCs w:val="32"/>
          <w:highlight w:val="none"/>
        </w:rPr>
      </w:pPr>
    </w:p>
    <w:p>
      <w:pPr>
        <w:pStyle w:val="15"/>
        <w:jc w:val="left"/>
        <w:rPr>
          <w:rFonts w:hint="eastAsia"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3</w:t>
      </w:r>
      <w:r>
        <w:rPr>
          <w:rFonts w:hint="eastAsia" w:hAnsi="宋体" w:cs="宋体"/>
          <w:color w:val="auto"/>
          <w:sz w:val="32"/>
          <w:szCs w:val="32"/>
          <w:highlight w:val="none"/>
        </w:rPr>
        <w:t>：</w:t>
      </w:r>
    </w:p>
    <w:p>
      <w:pPr>
        <w:spacing w:line="528" w:lineRule="exact"/>
        <w:jc w:val="center"/>
        <w:rPr>
          <w:rFonts w:hint="eastAsia" w:ascii="宋体" w:hAnsi="宋体" w:eastAsia="宋体" w:cs="宋体"/>
          <w:b/>
          <w:bCs/>
          <w:color w:val="auto"/>
          <w:spacing w:val="12"/>
          <w:w w:val="99"/>
          <w:kern w:val="0"/>
          <w:sz w:val="21"/>
          <w:szCs w:val="21"/>
          <w:highlight w:val="none"/>
          <w:lang w:val="en-US" w:eastAsia="zh-CN" w:bidi="ar-SA"/>
        </w:rPr>
      </w:pPr>
      <w:r>
        <w:rPr>
          <w:rFonts w:hint="eastAsia" w:ascii="宋体" w:hAnsi="宋体" w:eastAsia="宋体" w:cs="宋体"/>
          <w:b/>
          <w:bCs/>
          <w:color w:val="auto"/>
          <w:spacing w:val="12"/>
          <w:w w:val="99"/>
          <w:kern w:val="0"/>
          <w:sz w:val="28"/>
          <w:szCs w:val="28"/>
          <w:highlight w:val="none"/>
          <w:lang w:val="en-US" w:eastAsia="zh-CN" w:bidi="ar-SA"/>
        </w:rPr>
        <w:t>节能产品政府采购品目清单</w:t>
      </w:r>
    </w:p>
    <w:p>
      <w:pPr>
        <w:rPr>
          <w:rFonts w:hint="eastAsia" w:eastAsia="宋体"/>
          <w:color w:val="auto"/>
          <w:highlight w:val="none"/>
          <w:vertAlign w:val="baseline"/>
          <w:lang w:eastAsia="zh-CN"/>
        </w:rPr>
      </w:pP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8"/>
              <w:keepNext w:val="0"/>
              <w:keepLines w:val="0"/>
              <w:pageBreakBefore w:val="0"/>
              <w:kinsoku/>
              <w:wordWrap/>
              <w:overflowPunct/>
              <w:topLinePunct w:val="0"/>
              <w:autoSpaceDE/>
              <w:autoSpaceDN/>
              <w:bidi w:val="0"/>
              <w:adjustRightInd/>
              <w:spacing w:line="400" w:lineRule="exact"/>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品目序号</w:t>
            </w:r>
          </w:p>
        </w:tc>
        <w:tc>
          <w:tcPr>
            <w:tcW w:w="4456" w:type="dxa"/>
            <w:gridSpan w:val="3"/>
            <w:vAlign w:val="center"/>
          </w:tcPr>
          <w:p>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名称</w:t>
            </w:r>
          </w:p>
        </w:tc>
        <w:tc>
          <w:tcPr>
            <w:tcW w:w="3399" w:type="dxa"/>
            <w:vAlign w:val="center"/>
          </w:tcPr>
          <w:p>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w:t>
            </w:r>
          </w:p>
        </w:tc>
        <w:tc>
          <w:tcPr>
            <w:tcW w:w="1000"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A020101计算</w:t>
            </w: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机设备</w:t>
            </w:r>
          </w:p>
        </w:tc>
        <w:tc>
          <w:tcPr>
            <w:tcW w:w="1875"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★A02010104台式计算机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★A02010105便携式计算机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★A02010107平板式微型计算机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2</w:t>
            </w:r>
          </w:p>
        </w:tc>
        <w:tc>
          <w:tcPr>
            <w:tcW w:w="1000"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A020106输入</w:t>
            </w: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输出设备</w:t>
            </w:r>
          </w:p>
        </w:tc>
        <w:tc>
          <w:tcPr>
            <w:tcW w:w="1875"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A02010601打印设备</w:t>
            </w:r>
          </w:p>
        </w:tc>
        <w:tc>
          <w:tcPr>
            <w:tcW w:w="1581"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A0201060101喷墨打印机</w:t>
            </w: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★A0201060102激光打印机</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★A0201060104针式打印机</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A02010604显示设备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★A0201060401液晶显示器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A02010609图形图像输入设备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A0201060901扫描仪</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参照《复印机、打印机和传真机能效限定值及能效等级》（GB21521</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3</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A020202投影</w:t>
            </w: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仪</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《投影机能效限定值及能效等级</w:t>
            </w: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A020204多功</w:t>
            </w: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能一体机</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A020519泵</w:t>
            </w:r>
          </w:p>
        </w:tc>
        <w:tc>
          <w:tcPr>
            <w:tcW w:w="1875"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A02051901离心泵</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w:t>
            </w:r>
          </w:p>
        </w:tc>
        <w:tc>
          <w:tcPr>
            <w:tcW w:w="1000"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A020523制冷</w:t>
            </w: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空调设备</w:t>
            </w: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★A02052301制冷压缩机</w:t>
            </w:r>
          </w:p>
        </w:tc>
        <w:tc>
          <w:tcPr>
            <w:tcW w:w="1581"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冷水机组</w:t>
            </w: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水源热泵机组</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溴化锂吸收式冷水机组</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《溴化锂吸收式冷水机组能效限</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★A02052305空调机组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多联式空调（热泵）机组(制冷量&gt;14000W)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单元式空气调节机</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(制冷量&gt;14000W)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★A02052309专用制冷、空调设备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机房空调</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A02052399其他制冷空调设备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冷却塔</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A020601电机</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A020602变压器</w:t>
            </w:r>
          </w:p>
        </w:tc>
        <w:tc>
          <w:tcPr>
            <w:tcW w:w="1875"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配电变压器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A020609镇流器</w:t>
            </w:r>
          </w:p>
        </w:tc>
        <w:tc>
          <w:tcPr>
            <w:tcW w:w="1875"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管型荧光灯镇流器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67"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c>
          <w:tcPr>
            <w:tcW w:w="1000"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A020618生活</w:t>
            </w: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用电器</w:t>
            </w:r>
          </w:p>
        </w:tc>
        <w:tc>
          <w:tcPr>
            <w:tcW w:w="1875"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A0206180101电冰箱</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《家用电冰箱耗电量限定值及能效等级》（GB</w:t>
            </w:r>
            <w:r>
              <w:rPr>
                <w:rFonts w:hint="eastAsia" w:ascii="宋体" w:hAnsi="宋体" w:eastAsia="宋体" w:cs="宋体"/>
                <w:color w:val="auto"/>
                <w:kern w:val="2"/>
                <w:sz w:val="21"/>
                <w:szCs w:val="21"/>
                <w:highlight w:val="none"/>
                <w:vertAlign w:val="baseline"/>
                <w:lang w:val="en-US" w:eastAsia="zh-CN" w:bidi="ar-SA"/>
              </w:rPr>
              <w:tab/>
            </w:r>
            <w:r>
              <w:rPr>
                <w:rFonts w:hint="eastAsia" w:ascii="宋体" w:hAnsi="宋体" w:eastAsia="宋体" w:cs="宋体"/>
                <w:color w:val="auto"/>
                <w:kern w:val="2"/>
                <w:sz w:val="21"/>
                <w:szCs w:val="21"/>
                <w:highlight w:val="none"/>
                <w:vertAlign w:val="baseline"/>
                <w:lang w:val="en-US" w:eastAsia="zh-CN" w:bidi="ar-SA"/>
              </w:rPr>
              <w:t>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★A0206180203空调</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房间空气调节器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多联式空调（热泵）机组（制冷量≤ 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单元式空气调节机</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(制冷量≤14000W)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A0206180301洗衣机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A02061808热水器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★电热水器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燃气热水器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热泵热水器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太阳能热水系统</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1000"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A020619照明</w:t>
            </w: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设备</w:t>
            </w:r>
          </w:p>
        </w:tc>
        <w:tc>
          <w:tcPr>
            <w:tcW w:w="1875"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★普通照明用双端荧光灯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LED道路/隧道照明产品</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LED筒灯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普通照明用非定向自镇流LED灯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★A020910电视设备</w:t>
            </w:r>
          </w:p>
        </w:tc>
        <w:tc>
          <w:tcPr>
            <w:tcW w:w="1875"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A02091001普通电视设备（电视机）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13</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★A020911视频设备</w:t>
            </w:r>
          </w:p>
        </w:tc>
        <w:tc>
          <w:tcPr>
            <w:tcW w:w="1875"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A02091107视频监控设备</w:t>
            </w:r>
          </w:p>
        </w:tc>
        <w:tc>
          <w:tcPr>
            <w:tcW w:w="1581"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监视器</w:t>
            </w: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14</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A031210饮食炊事机械</w:t>
            </w:r>
          </w:p>
        </w:tc>
        <w:tc>
          <w:tcPr>
            <w:tcW w:w="1875"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商用燃气灶具</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15</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restart"/>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en-US" w:bidi="ar-SA"/>
              </w:rPr>
            </w:pPr>
            <w:r>
              <w:rPr>
                <w:rFonts w:hint="eastAsia" w:ascii="宋体" w:hAnsi="宋体" w:eastAsia="宋体" w:cs="宋体"/>
                <w:color w:val="auto"/>
                <w:kern w:val="2"/>
                <w:sz w:val="21"/>
                <w:szCs w:val="21"/>
                <w:highlight w:val="none"/>
                <w:vertAlign w:val="baseline"/>
                <w:lang w:val="en-US" w:eastAsia="zh-CN" w:bidi="ar-SA"/>
              </w:rPr>
              <w:t>★A060805便器</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坐便器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《坐便器水效限定值及水效等级</w:t>
            </w: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蹲便器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小便器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16</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★A060806水嘴</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17</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A060807便器冲洗阀</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18</w:t>
            </w:r>
          </w:p>
        </w:tc>
        <w:tc>
          <w:tcPr>
            <w:tcW w:w="1000"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A060810淋浴器</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《淋浴器用水效率限定值及用水效率等级》（GB28378）</w:t>
            </w:r>
          </w:p>
        </w:tc>
      </w:tr>
    </w:tbl>
    <w:p>
      <w:pPr>
        <w:pStyle w:val="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注：1.节能产品认证应依据相关国家标准的最新版本，依据国家标准中二级能效（水效）</w:t>
      </w:r>
      <w:r>
        <w:rPr>
          <w:rFonts w:hint="eastAsia" w:ascii="宋体" w:hAnsi="宋体" w:eastAsia="宋体" w:cs="宋体"/>
          <w:color w:val="auto"/>
          <w:sz w:val="21"/>
          <w:szCs w:val="21"/>
          <w:highlight w:val="none"/>
        </w:rPr>
        <w:t>指标。</w:t>
      </w:r>
    </w:p>
    <w:p>
      <w:pPr>
        <w:pStyle w:val="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2.上述产品中认证标准发生变更的，依据原认证标准获得的、仍在有效期内的认证证书可使用至2019年6月1日。</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3.以“★”标注的为政府强制采购产品。</w:t>
      </w:r>
    </w:p>
    <w:p>
      <w:pPr>
        <w:pStyle w:val="15"/>
        <w:jc w:val="left"/>
        <w:rPr>
          <w:rFonts w:hint="eastAsia" w:hAnsi="宋体" w:cs="宋体"/>
          <w:color w:val="auto"/>
          <w:sz w:val="32"/>
          <w:szCs w:val="32"/>
          <w:highlight w:val="none"/>
        </w:rPr>
        <w:sectPr>
          <w:pgSz w:w="11906" w:h="16838"/>
          <w:pgMar w:top="1134" w:right="1134" w:bottom="1134" w:left="1134" w:header="720" w:footer="720" w:gutter="0"/>
          <w:cols w:space="720" w:num="1"/>
          <w:docGrid w:type="lines" w:linePitch="331" w:charSpace="0"/>
        </w:sectPr>
      </w:pPr>
    </w:p>
    <w:p>
      <w:pPr>
        <w:pStyle w:val="15"/>
        <w:jc w:val="left"/>
        <w:rPr>
          <w:rFonts w:hint="eastAsia"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4</w:t>
      </w:r>
      <w:r>
        <w:rPr>
          <w:rFonts w:hint="eastAsia" w:hAnsi="宋体" w:cs="宋体"/>
          <w:color w:val="auto"/>
          <w:sz w:val="32"/>
          <w:szCs w:val="32"/>
          <w:highlight w:val="none"/>
        </w:rPr>
        <w:t>：</w:t>
      </w:r>
    </w:p>
    <w:p>
      <w:pPr>
        <w:pStyle w:val="3"/>
        <w:spacing w:line="360" w:lineRule="auto"/>
        <w:jc w:val="center"/>
        <w:rPr>
          <w:rFonts w:hint="eastAsia" w:ascii="宋体" w:hAnsi="宋体" w:cs="宋体"/>
          <w:b/>
          <w:sz w:val="28"/>
          <w:szCs w:val="28"/>
        </w:rPr>
      </w:pPr>
      <w:r>
        <w:rPr>
          <w:rFonts w:hint="eastAsia" w:ascii="宋体" w:hAnsi="宋体" w:cs="宋体"/>
          <w:b/>
          <w:sz w:val="28"/>
          <w:szCs w:val="28"/>
        </w:rPr>
        <w:t>中小企业划型标准规定</w:t>
      </w:r>
    </w:p>
    <w:p>
      <w:pPr>
        <w:pStyle w:val="3"/>
        <w:spacing w:line="360" w:lineRule="auto"/>
        <w:jc w:val="center"/>
        <w:rPr>
          <w:rFonts w:hint="eastAsia" w:ascii="宋体" w:hAnsi="宋体" w:cs="宋体"/>
          <w:sz w:val="21"/>
          <w:szCs w:val="21"/>
        </w:rPr>
      </w:pPr>
      <w:r>
        <w:rPr>
          <w:rFonts w:hint="eastAsia" w:ascii="宋体" w:hAnsi="宋体" w:cs="宋体"/>
          <w:szCs w:val="21"/>
        </w:rPr>
        <w:t>工信部联企业[2011]300号</w:t>
      </w:r>
    </w:p>
    <w:p>
      <w:pPr>
        <w:pStyle w:val="3"/>
        <w:spacing w:line="360" w:lineRule="auto"/>
        <w:rPr>
          <w:rFonts w:hint="eastAsia" w:ascii="宋体" w:hAnsi="宋体" w:cs="宋体"/>
          <w:szCs w:val="21"/>
        </w:rPr>
      </w:pPr>
    </w:p>
    <w:p>
      <w:pPr>
        <w:pStyle w:val="3"/>
        <w:spacing w:line="420" w:lineRule="exact"/>
        <w:rPr>
          <w:rFonts w:hint="eastAsia" w:ascii="宋体" w:hAnsi="宋体" w:cs="宋体"/>
          <w:szCs w:val="21"/>
        </w:rPr>
      </w:pPr>
      <w:r>
        <w:rPr>
          <w:rFonts w:hint="eastAsia" w:ascii="宋体" w:hAnsi="宋体" w:cs="宋体"/>
          <w:szCs w:val="21"/>
        </w:rPr>
        <w:t>　　一、根据《中华人民共和国中小企业促进法》和《国务院关于进一步促进中小企业发展的若干意见》(国发[2009]36号)，制定本规定。</w:t>
      </w:r>
    </w:p>
    <w:p>
      <w:pPr>
        <w:pStyle w:val="3"/>
        <w:spacing w:line="420" w:lineRule="exact"/>
        <w:rPr>
          <w:rFonts w:hint="eastAsia" w:ascii="宋体" w:hAnsi="宋体" w:cs="宋体"/>
          <w:szCs w:val="21"/>
        </w:rPr>
      </w:pPr>
      <w:r>
        <w:rPr>
          <w:rFonts w:hint="eastAsia" w:ascii="宋体" w:hAnsi="宋体" w:cs="宋体"/>
          <w:szCs w:val="21"/>
        </w:rPr>
        <w:t>　　二、中小企业划分为中型、小型、微型三种类型，具体标准根据企业从业人员、营业收入、资产总额等指标，结合行业特点制定。</w:t>
      </w:r>
    </w:p>
    <w:p>
      <w:pPr>
        <w:pStyle w:val="3"/>
        <w:spacing w:line="420" w:lineRule="exact"/>
        <w:rPr>
          <w:rFonts w:hint="eastAsia" w:ascii="宋体" w:hAnsi="宋体" w:cs="宋体"/>
          <w:szCs w:val="21"/>
        </w:rPr>
      </w:pPr>
      <w:r>
        <w:rPr>
          <w:rFonts w:hint="eastAsia" w:ascii="宋体" w:hAnsi="宋体" w:cs="宋体"/>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
        <w:spacing w:line="420" w:lineRule="exact"/>
        <w:rPr>
          <w:rFonts w:hint="eastAsia" w:ascii="宋体" w:hAnsi="宋体" w:cs="宋体"/>
          <w:szCs w:val="21"/>
        </w:rPr>
      </w:pPr>
      <w:r>
        <w:rPr>
          <w:rFonts w:hint="eastAsia" w:ascii="宋体" w:hAnsi="宋体" w:cs="宋体"/>
          <w:szCs w:val="21"/>
        </w:rPr>
        <w:t>　　四、各行业划型标准为：</w:t>
      </w:r>
    </w:p>
    <w:p>
      <w:pPr>
        <w:pStyle w:val="3"/>
        <w:spacing w:line="420" w:lineRule="exact"/>
        <w:rPr>
          <w:rFonts w:hint="eastAsia" w:ascii="宋体" w:hAnsi="宋体" w:cs="宋体"/>
          <w:szCs w:val="21"/>
        </w:rPr>
      </w:pPr>
      <w:r>
        <w:rPr>
          <w:rFonts w:hint="eastAsia" w:ascii="宋体" w:hAnsi="宋体" w:cs="宋体"/>
          <w:szCs w:val="21"/>
        </w:rPr>
        <w:t>　　（一）农、林、牧、渔业。营业收入20000万元以下的为中小微型企业。其中，营业收入500万元及以上的为中型企业，营业收入50万元及以上的为小型企业，营业收入50万元以下的为微型企业。</w:t>
      </w:r>
    </w:p>
    <w:p>
      <w:pPr>
        <w:pStyle w:val="3"/>
        <w:spacing w:line="420" w:lineRule="exact"/>
        <w:rPr>
          <w:rFonts w:hint="eastAsia" w:ascii="宋体" w:hAnsi="宋体" w:cs="宋体"/>
          <w:szCs w:val="21"/>
        </w:rPr>
      </w:pPr>
      <w:r>
        <w:rPr>
          <w:rFonts w:hint="eastAsia" w:ascii="宋体" w:hAnsi="宋体" w:cs="宋体"/>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
        <w:spacing w:line="420" w:lineRule="exact"/>
        <w:rPr>
          <w:rFonts w:hint="eastAsia" w:ascii="宋体" w:hAnsi="宋体" w:cs="宋体"/>
          <w:szCs w:val="21"/>
        </w:rPr>
      </w:pPr>
      <w:r>
        <w:rPr>
          <w:rFonts w:hint="eastAsia" w:ascii="宋体" w:hAnsi="宋体" w:cs="宋体"/>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
        <w:spacing w:line="420" w:lineRule="exact"/>
        <w:rPr>
          <w:rFonts w:hint="eastAsia" w:ascii="宋体" w:hAnsi="宋体" w:cs="宋体"/>
          <w:szCs w:val="21"/>
        </w:rPr>
      </w:pPr>
      <w:r>
        <w:rPr>
          <w:rFonts w:hint="eastAsia" w:ascii="宋体" w:hAnsi="宋体" w:cs="宋体"/>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
        <w:spacing w:line="420" w:lineRule="exact"/>
        <w:rPr>
          <w:rFonts w:hint="eastAsia" w:ascii="宋体" w:hAnsi="宋体" w:cs="宋体"/>
          <w:szCs w:val="21"/>
        </w:rPr>
      </w:pPr>
      <w:r>
        <w:rPr>
          <w:rFonts w:hint="eastAsia" w:ascii="宋体" w:hAnsi="宋体" w:cs="宋体"/>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
        <w:spacing w:line="420" w:lineRule="exact"/>
        <w:rPr>
          <w:rFonts w:hint="eastAsia" w:ascii="宋体" w:hAnsi="宋体" w:cs="宋体"/>
          <w:szCs w:val="21"/>
        </w:rPr>
      </w:pPr>
      <w:r>
        <w:rPr>
          <w:rFonts w:hint="eastAsia" w:ascii="宋体" w:hAnsi="宋体" w:cs="宋体"/>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
        <w:spacing w:line="420" w:lineRule="exact"/>
        <w:rPr>
          <w:rFonts w:hint="eastAsia" w:ascii="宋体" w:hAnsi="宋体" w:cs="宋体"/>
          <w:szCs w:val="21"/>
        </w:rPr>
      </w:pPr>
      <w:r>
        <w:rPr>
          <w:rFonts w:hint="eastAsia" w:ascii="宋体" w:hAnsi="宋体" w:cs="宋体"/>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
        <w:spacing w:line="420" w:lineRule="exact"/>
        <w:rPr>
          <w:rFonts w:hint="eastAsia" w:ascii="宋体" w:hAnsi="宋体" w:cs="宋体"/>
          <w:szCs w:val="21"/>
        </w:rPr>
      </w:pPr>
      <w:r>
        <w:rPr>
          <w:rFonts w:hint="eastAsia" w:ascii="宋体" w:hAnsi="宋体" w:cs="宋体"/>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
        <w:spacing w:line="420" w:lineRule="exact"/>
        <w:rPr>
          <w:rFonts w:hint="eastAsia" w:ascii="宋体" w:hAnsi="宋体" w:cs="宋体"/>
          <w:szCs w:val="21"/>
        </w:rPr>
      </w:pPr>
      <w:r>
        <w:rPr>
          <w:rFonts w:hint="eastAsia" w:ascii="宋体" w:hAnsi="宋体" w:cs="宋体"/>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
        <w:spacing w:line="420" w:lineRule="exact"/>
        <w:rPr>
          <w:rFonts w:hint="eastAsia" w:ascii="宋体" w:hAnsi="宋体" w:cs="宋体"/>
          <w:szCs w:val="21"/>
        </w:rPr>
      </w:pPr>
      <w:r>
        <w:rPr>
          <w:rFonts w:hint="eastAsia" w:ascii="宋体" w:hAnsi="宋体" w:cs="宋体"/>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
        <w:spacing w:line="420" w:lineRule="exact"/>
        <w:rPr>
          <w:rFonts w:hint="eastAsia" w:ascii="宋体" w:hAnsi="宋体" w:cs="宋体"/>
          <w:szCs w:val="21"/>
        </w:rPr>
      </w:pPr>
      <w:r>
        <w:rPr>
          <w:rFonts w:hint="eastAsia" w:ascii="宋体" w:hAnsi="宋体" w:cs="宋体"/>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
        <w:spacing w:line="420" w:lineRule="exact"/>
        <w:rPr>
          <w:rFonts w:hint="eastAsia" w:ascii="宋体" w:hAnsi="宋体" w:cs="宋体"/>
          <w:szCs w:val="21"/>
        </w:rPr>
      </w:pPr>
      <w:r>
        <w:rPr>
          <w:rFonts w:hint="eastAsia" w:ascii="宋体" w:hAnsi="宋体" w:cs="宋体"/>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
        <w:spacing w:line="420" w:lineRule="exact"/>
        <w:rPr>
          <w:rFonts w:hint="eastAsia" w:ascii="宋体" w:hAnsi="宋体" w:cs="宋体"/>
          <w:szCs w:val="21"/>
        </w:rPr>
      </w:pPr>
      <w:r>
        <w:rPr>
          <w:rFonts w:hint="eastAsia" w:ascii="宋体" w:hAnsi="宋体" w:cs="宋体"/>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
        <w:spacing w:line="420" w:lineRule="exact"/>
        <w:rPr>
          <w:rFonts w:hint="eastAsia" w:ascii="宋体" w:hAnsi="宋体" w:cs="宋体"/>
          <w:szCs w:val="21"/>
        </w:rPr>
      </w:pPr>
      <w:r>
        <w:rPr>
          <w:rFonts w:hint="eastAsia" w:ascii="宋体" w:hAnsi="宋体" w:cs="宋体"/>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
        <w:spacing w:line="420" w:lineRule="exact"/>
        <w:rPr>
          <w:rFonts w:hint="eastAsia" w:ascii="宋体" w:hAnsi="宋体" w:cs="宋体"/>
          <w:szCs w:val="21"/>
        </w:rPr>
      </w:pPr>
      <w:r>
        <w:rPr>
          <w:rFonts w:hint="eastAsia" w:ascii="宋体" w:hAnsi="宋体" w:cs="宋体"/>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
        <w:spacing w:line="420" w:lineRule="exact"/>
        <w:rPr>
          <w:rFonts w:hint="eastAsia" w:ascii="宋体" w:hAnsi="宋体" w:cs="宋体"/>
          <w:szCs w:val="21"/>
        </w:rPr>
      </w:pPr>
      <w:r>
        <w:rPr>
          <w:rFonts w:hint="eastAsia" w:ascii="宋体" w:hAnsi="宋体" w:cs="宋体"/>
          <w:szCs w:val="21"/>
        </w:rPr>
        <w:t>　　（十六）其他未列明行业。从业人员300人以下的为中小微型企业。其中，从业人员100人及以上的为中型企业；从业人员10人及以上的为小型企业；从业人员10人以下的为微型企业。</w:t>
      </w:r>
    </w:p>
    <w:p>
      <w:pPr>
        <w:pStyle w:val="3"/>
        <w:spacing w:line="420" w:lineRule="exact"/>
        <w:rPr>
          <w:rFonts w:hint="eastAsia" w:ascii="宋体" w:hAnsi="宋体" w:cs="宋体"/>
          <w:szCs w:val="21"/>
        </w:rPr>
      </w:pPr>
      <w:r>
        <w:rPr>
          <w:rFonts w:hint="eastAsia" w:ascii="宋体" w:hAnsi="宋体" w:cs="宋体"/>
          <w:szCs w:val="21"/>
        </w:rPr>
        <w:t>　　五、企业类型的划分以统计部门的统计数据为依据。</w:t>
      </w:r>
    </w:p>
    <w:p>
      <w:pPr>
        <w:pStyle w:val="3"/>
        <w:spacing w:line="420" w:lineRule="exact"/>
        <w:rPr>
          <w:rFonts w:hint="eastAsia" w:ascii="宋体" w:hAnsi="宋体" w:cs="宋体"/>
          <w:szCs w:val="21"/>
        </w:rPr>
      </w:pPr>
      <w:r>
        <w:rPr>
          <w:rFonts w:hint="eastAsia" w:ascii="宋体" w:hAnsi="宋体" w:cs="宋体"/>
          <w:szCs w:val="21"/>
        </w:rPr>
        <w:t>　　六、本规定适用于在中华人民共和国境内依法设立的各类所有制和各种组织形式的企业。个体工商户和本规定以外的行业，参照本规定进行划型。</w:t>
      </w:r>
    </w:p>
    <w:p>
      <w:pPr>
        <w:pStyle w:val="3"/>
        <w:spacing w:line="420" w:lineRule="exact"/>
        <w:rPr>
          <w:rFonts w:hint="eastAsia" w:ascii="宋体" w:hAnsi="宋体" w:cs="宋体"/>
          <w:szCs w:val="21"/>
        </w:rPr>
      </w:pPr>
      <w:r>
        <w:rPr>
          <w:rFonts w:hint="eastAsia" w:ascii="宋体" w:hAnsi="宋体" w:cs="宋体"/>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3"/>
        <w:spacing w:line="420" w:lineRule="exact"/>
        <w:rPr>
          <w:rFonts w:hint="eastAsia" w:ascii="宋体" w:hAnsi="宋体" w:cs="宋体"/>
          <w:szCs w:val="21"/>
        </w:rPr>
      </w:pPr>
      <w:r>
        <w:rPr>
          <w:rFonts w:hint="eastAsia" w:ascii="宋体" w:hAnsi="宋体" w:cs="宋体"/>
          <w:szCs w:val="21"/>
        </w:rPr>
        <w:t>　　八、本规定由工业和信息化部、国家统计局会同有关部门根据《国民经济行业分类》修订情况和企业发展变化情况适时修订。</w:t>
      </w:r>
    </w:p>
    <w:p>
      <w:pPr>
        <w:pStyle w:val="3"/>
        <w:spacing w:line="420" w:lineRule="exact"/>
        <w:rPr>
          <w:rFonts w:hint="eastAsia" w:ascii="宋体" w:hAnsi="宋体" w:cs="宋体"/>
          <w:szCs w:val="21"/>
        </w:rPr>
      </w:pPr>
      <w:r>
        <w:rPr>
          <w:rFonts w:hint="eastAsia" w:ascii="宋体" w:hAnsi="宋体" w:cs="宋体"/>
          <w:szCs w:val="21"/>
        </w:rPr>
        <w:t>　　九、本规定由工业和信息化部、国家统计局会同有关部门负责解释。</w:t>
      </w:r>
    </w:p>
    <w:p>
      <w:pPr>
        <w:pStyle w:val="3"/>
        <w:spacing w:line="420" w:lineRule="exact"/>
        <w:ind w:firstLine="420"/>
        <w:rPr>
          <w:rFonts w:hint="eastAsia" w:ascii="宋体" w:hAnsi="宋体" w:cs="宋体"/>
          <w:szCs w:val="21"/>
        </w:rPr>
      </w:pPr>
      <w:r>
        <w:rPr>
          <w:rFonts w:hint="eastAsia" w:ascii="宋体" w:hAnsi="宋体" w:cs="宋体"/>
          <w:szCs w:val="21"/>
        </w:rPr>
        <w:t>十、本规定自发布之日起执行，原国家经贸委、原国家计委、财政部和国家统计局2003年颁布的《中小企业标准暂行规定》同时废止。</w:t>
      </w:r>
    </w:p>
    <w:p>
      <w:pPr>
        <w:tabs>
          <w:tab w:val="left" w:pos="2500"/>
        </w:tabs>
        <w:bidi w:val="0"/>
        <w:jc w:val="left"/>
        <w:rPr>
          <w:rFonts w:hint="eastAsia"/>
          <w:lang w:val="en-US" w:eastAsia="zh-CN"/>
        </w:rPr>
        <w:sectPr>
          <w:pgSz w:w="11906" w:h="16838"/>
          <w:pgMar w:top="1304" w:right="1418" w:bottom="1304" w:left="1418" w:header="851" w:footer="992" w:gutter="0"/>
          <w:cols w:space="720" w:num="1"/>
          <w:docGrid w:linePitch="312" w:charSpace="0"/>
        </w:sectPr>
      </w:pPr>
    </w:p>
    <w:p>
      <w:pPr>
        <w:widowControl/>
        <w:jc w:val="left"/>
        <w:rPr>
          <w:rFonts w:ascii="宋体" w:hAnsi="宋体" w:cs="宋体"/>
          <w:color w:val="auto"/>
          <w:sz w:val="20"/>
          <w:szCs w:val="20"/>
          <w:highlight w:val="none"/>
        </w:rPr>
      </w:pPr>
    </w:p>
    <w:p>
      <w:pPr>
        <w:pStyle w:val="4"/>
        <w:spacing w:before="0" w:after="0" w:line="360" w:lineRule="auto"/>
        <w:jc w:val="center"/>
        <w:rPr>
          <w:rFonts w:ascii="宋体" w:hAnsi="宋体" w:cs="宋体"/>
          <w:color w:val="auto"/>
          <w:highlight w:val="none"/>
        </w:rPr>
      </w:pPr>
      <w:bookmarkStart w:id="71" w:name="_Toc24264"/>
      <w:bookmarkStart w:id="72" w:name="_Toc129703551"/>
      <w:r>
        <w:rPr>
          <w:rFonts w:hint="eastAsia" w:ascii="宋体" w:hAnsi="宋体" w:cs="宋体"/>
          <w:color w:val="auto"/>
          <w:highlight w:val="none"/>
        </w:rPr>
        <w:t xml:space="preserve">第四章  </w:t>
      </w:r>
      <w:bookmarkStart w:id="73" w:name="_Hlk68601507"/>
      <w:r>
        <w:rPr>
          <w:rFonts w:hint="eastAsia" w:ascii="宋体" w:hAnsi="宋体" w:cs="宋体"/>
          <w:color w:val="auto"/>
          <w:highlight w:val="none"/>
        </w:rPr>
        <w:t>评审程序和评定成交的标准</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（适用</w:t>
      </w:r>
      <w:r>
        <w:rPr>
          <w:rFonts w:hint="eastAsia" w:ascii="宋体" w:hAnsi="宋体" w:cs="宋体"/>
          <w:b/>
          <w:color w:val="auto"/>
          <w:sz w:val="32"/>
          <w:szCs w:val="32"/>
          <w:highlight w:val="none"/>
          <w:lang w:val="en-US" w:eastAsia="zh-CN"/>
        </w:rPr>
        <w:t>A、B分标</w:t>
      </w:r>
      <w:r>
        <w:rPr>
          <w:rFonts w:hint="eastAsia" w:ascii="宋体" w:hAnsi="宋体" w:cs="宋体"/>
          <w:b/>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一、评审程序</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1.确认谈判文件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2.1响应文件开启后，谈判小组依法对供应商的资格证明文件进行审查。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highlight w:val="none"/>
        </w:rPr>
        <w:t>谈判小组</w:t>
      </w:r>
      <w:r>
        <w:rPr>
          <w:rFonts w:hint="eastAsia" w:ascii="宋体" w:hAnsi="宋体" w:cs="宋体"/>
          <w:color w:val="auto"/>
          <w:szCs w:val="21"/>
          <w:highlight w:val="none"/>
        </w:rPr>
        <w:t>在资格审查结束前，对供应商进行信用查询。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“信用中国”网站(www.creditchina.gov.cn)、中国政府采购网(www.ccgp.gov.cn)链接入口。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供应商有下列情形之一的，资格审查不通过，其响应文件按无效处理：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（1）不具备谈判文件中规定的资格要求的；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2.4通过资格审查的合格供应商不足3家（本章3.7条规定除外）的，不得进入符合性审查环节，应当重新开展采购活动。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3.1谈判小组应当对符合资格的供应商的响应文件进行竞标报价、商务、技术等实质性要求符合性审查，以确定其是否满足谈判文件的实质性要求。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宋体" w:hAnsi="宋体" w:cs="宋体"/>
          <w:color w:val="auto"/>
          <w:highlight w:val="none"/>
        </w:rPr>
        <w:t>签章</w:t>
      </w:r>
      <w:r>
        <w:rPr>
          <w:rFonts w:hint="eastAsia" w:ascii="宋体" w:hAnsi="宋体" w:cs="宋体"/>
          <w:color w:val="auto"/>
          <w:spacing w:val="-6"/>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10）属于“供应商须知正文”第7.5条的情形的；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12）虚假竞标，或者出现其他情形而导致被谈判小组认定无效的；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bookmarkStart w:id="74"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7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14）响应文件标注的项目名称或者项目编号与谈判文件标注的项目名称或者项目编号不一致的；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15）谈判文件明确不允许分包，响应文件拟分包的；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16）未响应谈判文件实质性要求；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6）响应文件响应的标的数量及单位与竞争性谈判采购文件要求实质性不一致的。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3.8除本章3.7条规定的情形外，通过符合性审查的合格供应商不足3家的，不得进入谈判环节，应当重新开展采购活动。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4.谈判程序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4.4供应商必须按照谈判文件的变动情况和谈判小组的要求以回函的形式重新提交响应文件，并加盖电子签章。参加谈判的供应商未在规定时间内重新提交响应文件的，视同退出谈判，其响应文件按无效处理。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4.5谈判中，谈判的任何一方不得透露与谈判有关的其他供应商的技术资料、价格和其他信息。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4.6谈判小组应对谈判过程和重要谈判内容进行记录。</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4.7除本章第3.7条外，对谈判过程提交的响应文件进行有效性、完整性和响应程度审查，通过审查的合格供应商不足3家的，采购人或者采购代理机构应当重新开展采购活动。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5.1谈判文件能够详细列明采购标的的技术、服务要求的，谈判结束后，谈判小组应当要求所有继续参加谈判的供应商在规定时间内在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开标大厅提交最后报价，除本章第3.7条外，提交最后报价的供应商不得少于3家，否则应当重新采购。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开标大厅提交最后报价。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5.3最后报价是供应商响应文件的有效组成部分。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5.4已经提交响应文件的供应商，在提交最后报价之前，可以根据谈判情况退出谈判，退出谈判的供应商的响应文件按无效响应处理。采购人、采购代理机构将退还退出谈判的供应商的保证金。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5.5供应商未在规定时间内提交最后报价的，视为退出谈判，其响应文件按无效处理。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5.6最后报价统一开启后，谈判小组对最后报价进行有效性、完整性和响应程度的审查。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5.7最后报价出现前后不一致的，按照本章第3.4条的规定修正。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，谈判小组应当告知有关供应商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5.11最后报价结束后，谈判小组不得再与供应商进行任何形式的商谈。</w:t>
      </w:r>
    </w:p>
    <w:p>
      <w:pPr>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6. 最后报价评审</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pPr>
        <w:spacing w:line="33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6.2最后报价时，供应商须在</w:t>
      </w:r>
      <w:r>
        <w:rPr>
          <w:rFonts w:hint="eastAsia" w:ascii="宋体" w:hAnsi="宋体" w:cs="宋体"/>
          <w:b/>
          <w:bCs/>
          <w:szCs w:val="21"/>
          <w:highlight w:val="none"/>
          <w:lang w:eastAsia="zh-CN"/>
        </w:rPr>
        <w:t>广西政府采购云平台</w:t>
      </w:r>
      <w:r>
        <w:rPr>
          <w:rFonts w:hint="eastAsia" w:ascii="宋体" w:hAnsi="宋体" w:cs="宋体"/>
          <w:b/>
          <w:bCs/>
          <w:color w:val="auto"/>
          <w:szCs w:val="21"/>
          <w:highlight w:val="none"/>
        </w:rPr>
        <w:t>开标系统中作为附件上传最后报价表（详见下列格式）。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szCs w:val="21"/>
          <w:highlight w:val="none"/>
        </w:rPr>
        <w:t>6.3</w:t>
      </w:r>
      <w:r>
        <w:rPr>
          <w:rFonts w:hint="eastAsia" w:ascii="宋体" w:hAnsi="宋体" w:cs="宋体"/>
          <w:color w:val="auto"/>
          <w:highlight w:val="none"/>
        </w:rPr>
        <w:t>政策性扣除计算方法。</w:t>
      </w:r>
    </w:p>
    <w:p>
      <w:pPr>
        <w:keepNext w:val="0"/>
        <w:keepLines w:val="0"/>
        <w:pageBreakBefore w:val="0"/>
        <w:widowControl w:val="0"/>
        <w:kinsoku/>
        <w:wordWrap/>
        <w:overflowPunct/>
        <w:topLinePunct w:val="0"/>
        <w:autoSpaceDE/>
        <w:autoSpaceDN/>
        <w:bidi w:val="0"/>
        <w:adjustRightInd/>
        <w:snapToGrid/>
        <w:spacing w:line="360" w:lineRule="auto"/>
        <w:ind w:firstLine="369" w:firstLineChars="176"/>
        <w:textAlignment w:val="auto"/>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根据《政府采购促进中小企业发展管理办法》（财库〔2020〕46号）及</w:t>
      </w:r>
      <w:r>
        <w:rPr>
          <w:rFonts w:hint="eastAsia" w:ascii="宋体" w:hAnsi="宋体" w:cs="宋体"/>
          <w:bCs/>
          <w:sz w:val="21"/>
          <w:szCs w:val="21"/>
          <w:lang w:eastAsia="zh-CN"/>
        </w:rPr>
        <w:t>《广西壮族自治区财政厅关于持续优化政府采购营商环境推动高质量发展的通知》（桂财采〔2024〕55号）</w:t>
      </w:r>
      <w:r>
        <w:rPr>
          <w:rFonts w:hint="eastAsia" w:ascii="宋体" w:hAnsi="宋体" w:cs="宋体"/>
          <w:color w:val="auto"/>
          <w:szCs w:val="21"/>
          <w:highlight w:val="none"/>
        </w:rPr>
        <w:t>的规定，供应商在其响应文件中提供《中小企业声明函》，</w:t>
      </w:r>
      <w:r>
        <w:rPr>
          <w:rFonts w:hint="eastAsia" w:ascii="宋体" w:hAnsi="宋体" w:cs="宋体"/>
          <w:bCs/>
          <w:color w:val="auto"/>
          <w:szCs w:val="21"/>
          <w:highlight w:val="none"/>
        </w:rPr>
        <w:t>且其竞标全部货物由小微企业制造的</w:t>
      </w:r>
      <w:r>
        <w:rPr>
          <w:rFonts w:hint="eastAsia" w:ascii="宋体" w:hAnsi="宋体" w:cs="宋体"/>
          <w:color w:val="auto"/>
          <w:szCs w:val="21"/>
          <w:highlight w:val="none"/>
        </w:rPr>
        <w:t>，</w:t>
      </w:r>
      <w:r>
        <w:rPr>
          <w:rFonts w:hint="eastAsia" w:ascii="宋体" w:hAnsi="宋体" w:cs="宋体"/>
          <w:bCs/>
          <w:color w:val="auto"/>
          <w:szCs w:val="21"/>
          <w:highlight w:val="none"/>
        </w:rPr>
        <w:t>对供应商的竞标报价</w:t>
      </w:r>
      <w:r>
        <w:rPr>
          <w:rFonts w:hint="eastAsia" w:ascii="宋体" w:hAnsi="宋体" w:cs="宋体"/>
          <w:color w:val="auto"/>
          <w:szCs w:val="21"/>
          <w:highlight w:val="none"/>
        </w:rPr>
        <w:t>给予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%的扣除，扣除后的价格为评审价，即评审价=竞标报价×（1-</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（范围为4%-6%） 的扣除，用扣除后的价格参加评审，扣除后的价格为评审价，即评审价=竞标报价×（1-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6.4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监狱企业属于小型、微型企业的，</w:t>
      </w:r>
      <w:r>
        <w:rPr>
          <w:rFonts w:hint="eastAsia" w:ascii="宋体" w:hAnsi="宋体" w:cs="宋体"/>
          <w:color w:val="auto"/>
          <w:szCs w:val="21"/>
          <w:highlight w:val="none"/>
        </w:rPr>
        <w:t>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szCs w:val="21"/>
          <w:highlight w:val="none"/>
        </w:rPr>
        <w:t>6.5按照《关于促进残疾人就业政府采购政策的通知》（财库〔2017〕141号）的规定，残疾人福利性单位视同小型、微型企业，享受预留份额、评审中价格扣除等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6.6除上述情况外，评审价＝最后报价。</w:t>
      </w:r>
    </w:p>
    <w:p>
      <w:pPr>
        <w:spacing w:line="360" w:lineRule="auto"/>
        <w:jc w:val="center"/>
        <w:rPr>
          <w:rFonts w:hint="eastAsia"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二、评定成交的标准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 成交候选人推荐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Cs w:val="21"/>
          <w:lang w:val="en-US" w:eastAsia="zh-CN"/>
        </w:rPr>
      </w:pPr>
      <w:r>
        <w:rPr>
          <w:rFonts w:hint="eastAsia" w:ascii="宋体" w:hAnsi="宋体" w:eastAsia="宋体" w:cs="宋体"/>
          <w:color w:val="auto"/>
          <w:highlight w:val="none"/>
          <w:lang w:val="en-US" w:eastAsia="zh-CN"/>
        </w:rPr>
        <w:t>7.1</w:t>
      </w:r>
      <w:r>
        <w:rPr>
          <w:rFonts w:hint="eastAsia" w:ascii="宋体" w:hAnsi="宋体" w:eastAsia="宋体" w:cs="宋体"/>
          <w:b/>
          <w:bCs/>
          <w:szCs w:val="21"/>
          <w:lang w:val="en-US" w:eastAsia="zh-CN"/>
        </w:rPr>
        <w:t>本项目分为2个分标，供应商可以对一个或多个分标进行竞标，但一家供应商只能中A、B其中的1个分标。评审时按A→B分标的先后顺序进行评审，如某供应商成为A分标的第一成交候选人，则该供应商在进入B分标的评审时（允许进入B分标的评审），如果评审排名第一，不推荐成为第一成交候选人，由评审排名第二的供应商作为第一成交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7.2</w:t>
      </w:r>
      <w:r>
        <w:rPr>
          <w:rFonts w:hint="eastAsia" w:ascii="宋体" w:hAnsi="宋体" w:eastAsia="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评审报告通过电子交易平台向采购人、采购代理机构提交。</w:t>
      </w:r>
    </w:p>
    <w:p>
      <w:pPr>
        <w:pStyle w:val="69"/>
        <w:rPr>
          <w:rFonts w:hint="eastAsia" w:ascii="宋体" w:hAnsi="宋体" w:cs="宋体"/>
          <w:b/>
          <w:bCs w:val="0"/>
          <w:color w:val="auto"/>
          <w:sz w:val="28"/>
          <w:szCs w:val="28"/>
          <w:highlight w:val="none"/>
        </w:rPr>
      </w:pPr>
    </w:p>
    <w:p>
      <w:pPr>
        <w:pStyle w:val="69"/>
        <w:rPr>
          <w:rFonts w:ascii="宋体" w:hAnsi="宋体" w:cs="宋体"/>
          <w:b/>
          <w:bCs w:val="0"/>
          <w:color w:val="auto"/>
          <w:sz w:val="28"/>
          <w:szCs w:val="28"/>
          <w:highlight w:val="none"/>
        </w:rPr>
      </w:pPr>
      <w:r>
        <w:rPr>
          <w:rFonts w:hint="eastAsia" w:ascii="宋体" w:hAnsi="宋体" w:cs="宋体"/>
          <w:b/>
          <w:bCs w:val="0"/>
          <w:color w:val="auto"/>
          <w:sz w:val="28"/>
          <w:szCs w:val="28"/>
          <w:highlight w:val="none"/>
        </w:rPr>
        <w:t>附件：最后报价表格式</w:t>
      </w:r>
    </w:p>
    <w:p>
      <w:pPr>
        <w:pStyle w:val="69"/>
        <w:rPr>
          <w:rFonts w:ascii="宋体" w:hAnsi="宋体" w:cs="宋体"/>
          <w:color w:val="auto"/>
          <w:highlight w:val="none"/>
        </w:rPr>
      </w:pPr>
    </w:p>
    <w:p>
      <w:pPr>
        <w:pStyle w:val="69"/>
        <w:jc w:val="center"/>
        <w:rPr>
          <w:rFonts w:ascii="宋体" w:hAnsi="宋体" w:cs="宋体"/>
          <w:b/>
          <w:bCs w:val="0"/>
          <w:color w:val="auto"/>
          <w:sz w:val="44"/>
          <w:szCs w:val="44"/>
          <w:highlight w:val="none"/>
        </w:rPr>
      </w:pPr>
      <w:r>
        <w:rPr>
          <w:rFonts w:hint="eastAsia" w:ascii="宋体" w:hAnsi="宋体" w:cs="宋体"/>
          <w:b/>
          <w:bCs w:val="0"/>
          <w:color w:val="auto"/>
          <w:sz w:val="44"/>
          <w:szCs w:val="44"/>
          <w:highlight w:val="none"/>
        </w:rPr>
        <w:t>最后报价表</w:t>
      </w:r>
    </w:p>
    <w:p>
      <w:pPr>
        <w:pStyle w:val="69"/>
        <w:spacing w:line="360" w:lineRule="auto"/>
        <w:jc w:val="both"/>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项目名称：</w:t>
      </w:r>
    </w:p>
    <w:p>
      <w:pPr>
        <w:pStyle w:val="69"/>
        <w:spacing w:line="360" w:lineRule="auto"/>
        <w:jc w:val="both"/>
        <w:rPr>
          <w:rFonts w:ascii="宋体" w:hAnsi="宋体" w:cs="宋体"/>
          <w:color w:val="auto"/>
          <w:sz w:val="21"/>
          <w:szCs w:val="21"/>
          <w:highlight w:val="none"/>
        </w:rPr>
      </w:pPr>
      <w:r>
        <w:rPr>
          <w:rFonts w:hint="eastAsia" w:ascii="宋体" w:hAnsi="宋体" w:cs="宋体"/>
          <w:b/>
          <w:bCs w:val="0"/>
          <w:color w:val="auto"/>
          <w:sz w:val="21"/>
          <w:szCs w:val="21"/>
          <w:highlight w:val="none"/>
        </w:rPr>
        <w:t>项目编号：</w:t>
      </w:r>
    </w:p>
    <w:tbl>
      <w:tblPr>
        <w:tblStyle w:val="2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04"/>
        <w:gridCol w:w="1215"/>
        <w:gridCol w:w="1020"/>
        <w:gridCol w:w="975"/>
        <w:gridCol w:w="1001"/>
        <w:gridCol w:w="146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404"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标的名称</w:t>
            </w:r>
          </w:p>
        </w:tc>
        <w:tc>
          <w:tcPr>
            <w:tcW w:w="121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品牌</w:t>
            </w:r>
          </w:p>
        </w:tc>
        <w:tc>
          <w:tcPr>
            <w:tcW w:w="1020"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型号</w:t>
            </w:r>
          </w:p>
        </w:tc>
        <w:tc>
          <w:tcPr>
            <w:tcW w:w="97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001"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单位</w:t>
            </w:r>
          </w:p>
        </w:tc>
        <w:tc>
          <w:tcPr>
            <w:tcW w:w="1462"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单价</w:t>
            </w:r>
          </w:p>
        </w:tc>
        <w:tc>
          <w:tcPr>
            <w:tcW w:w="1126"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404"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404"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404"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404"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404"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9"/>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tcPr>
          <w:p>
            <w:pPr>
              <w:pStyle w:val="69"/>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总报价：人民币（大写）  </w:t>
            </w:r>
          </w:p>
          <w:p>
            <w:pPr>
              <w:pStyle w:val="69"/>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小写：</w:t>
            </w:r>
          </w:p>
        </w:tc>
      </w:tr>
    </w:tbl>
    <w:p>
      <w:pPr>
        <w:pStyle w:val="69"/>
        <w:spacing w:line="360" w:lineRule="auto"/>
        <w:rPr>
          <w:rFonts w:ascii="宋体" w:hAnsi="宋体" w:cs="宋体"/>
          <w:color w:val="auto"/>
          <w:sz w:val="21"/>
          <w:szCs w:val="21"/>
          <w:highlight w:val="none"/>
        </w:rPr>
      </w:pPr>
    </w:p>
    <w:p>
      <w:pPr>
        <w:pStyle w:val="69"/>
        <w:spacing w:line="360" w:lineRule="auto"/>
        <w:rPr>
          <w:rFonts w:ascii="宋体" w:hAnsi="宋体" w:cs="宋体"/>
          <w:color w:val="auto"/>
          <w:sz w:val="21"/>
          <w:szCs w:val="21"/>
          <w:highlight w:val="none"/>
        </w:rPr>
      </w:pPr>
    </w:p>
    <w:p>
      <w:pPr>
        <w:pStyle w:val="69"/>
        <w:spacing w:line="360" w:lineRule="auto"/>
        <w:rPr>
          <w:rFonts w:ascii="宋体" w:hAnsi="宋体" w:cs="宋体"/>
          <w:color w:val="auto"/>
          <w:sz w:val="21"/>
          <w:szCs w:val="21"/>
          <w:highlight w:val="none"/>
        </w:rPr>
      </w:pPr>
    </w:p>
    <w:p>
      <w:pPr>
        <w:pStyle w:val="69"/>
        <w:spacing w:line="360" w:lineRule="auto"/>
        <w:rPr>
          <w:rFonts w:ascii="宋体" w:hAnsi="宋体" w:cs="宋体"/>
          <w:color w:val="auto"/>
          <w:sz w:val="21"/>
          <w:szCs w:val="21"/>
          <w:highlight w:val="none"/>
        </w:rPr>
      </w:pPr>
    </w:p>
    <w:p>
      <w:pPr>
        <w:spacing w:line="360" w:lineRule="auto"/>
        <w:ind w:right="480" w:firstLine="3045" w:firstLineChars="1450"/>
        <w:contextualSpacing/>
        <w:rPr>
          <w:rFonts w:ascii="宋体" w:hAnsi="宋体" w:cs="宋体"/>
          <w:color w:val="auto"/>
          <w:szCs w:val="21"/>
          <w:highlight w:val="none"/>
          <w:u w:val="single"/>
        </w:rPr>
      </w:pPr>
      <w:r>
        <w:rPr>
          <w:rFonts w:hint="eastAsia" w:ascii="宋体" w:hAnsi="宋体" w:cs="宋体"/>
          <w:color w:val="auto"/>
          <w:szCs w:val="21"/>
          <w:highlight w:val="none"/>
        </w:rPr>
        <w:t xml:space="preserve">供应商（电子签章）： </w:t>
      </w:r>
      <w:r>
        <w:rPr>
          <w:rFonts w:hint="eastAsia" w:ascii="宋体" w:hAnsi="宋体" w:cs="宋体"/>
          <w:color w:val="auto"/>
          <w:szCs w:val="21"/>
          <w:highlight w:val="none"/>
          <w:u w:val="single"/>
        </w:rPr>
        <w:t xml:space="preserve">                              </w:t>
      </w:r>
    </w:p>
    <w:p>
      <w:pPr>
        <w:spacing w:line="360" w:lineRule="auto"/>
        <w:ind w:right="480" w:firstLine="5250" w:firstLineChars="2500"/>
        <w:contextualSpacing/>
        <w:rPr>
          <w:rFonts w:ascii="宋体" w:hAnsi="宋体" w:cs="宋体"/>
          <w:color w:val="auto"/>
          <w:szCs w:val="21"/>
          <w:highlight w:val="none"/>
        </w:rPr>
      </w:pPr>
      <w:r>
        <w:rPr>
          <w:rFonts w:hint="eastAsia" w:ascii="宋体" w:hAnsi="宋体" w:cs="宋体"/>
          <w:color w:val="auto"/>
          <w:szCs w:val="21"/>
          <w:highlight w:val="none"/>
        </w:rPr>
        <w:t>年    月    日</w:t>
      </w: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69"/>
        <w:rPr>
          <w:rFonts w:ascii="宋体" w:hAnsi="宋体" w:cs="宋体"/>
          <w:color w:val="auto"/>
          <w:highlight w:val="none"/>
        </w:rPr>
      </w:pPr>
    </w:p>
    <w:p>
      <w:pPr>
        <w:pStyle w:val="4"/>
        <w:jc w:val="center"/>
        <w:rPr>
          <w:rFonts w:ascii="宋体" w:hAnsi="宋体" w:cs="宋体"/>
          <w:color w:val="auto"/>
          <w:highlight w:val="none"/>
        </w:rPr>
      </w:pPr>
      <w:bookmarkStart w:id="75" w:name="_Toc27681"/>
      <w:bookmarkStart w:id="76" w:name="_Toc129703552"/>
      <w:r>
        <w:rPr>
          <w:rFonts w:hint="eastAsia" w:ascii="宋体" w:hAnsi="宋体" w:cs="宋体"/>
          <w:color w:val="auto"/>
          <w:highlight w:val="none"/>
        </w:rPr>
        <w:t>第五章 响应文件格式</w:t>
      </w:r>
      <w:bookmarkEnd w:id="75"/>
      <w:bookmarkEnd w:id="76"/>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bidi w:val="0"/>
        <w:rPr>
          <w:color w:val="auto"/>
          <w:highlight w:val="none"/>
        </w:rPr>
      </w:pPr>
    </w:p>
    <w:p>
      <w:pPr>
        <w:bidi w:val="0"/>
        <w:rPr>
          <w:color w:val="auto"/>
          <w:highlight w:val="none"/>
        </w:rPr>
      </w:pPr>
    </w:p>
    <w:p>
      <w:pPr>
        <w:rPr>
          <w:rFonts w:ascii="宋体" w:hAnsi="宋体" w:cs="宋体"/>
          <w:b/>
          <w:color w:val="auto"/>
          <w:sz w:val="32"/>
          <w:szCs w:val="32"/>
          <w:highlight w:val="none"/>
        </w:rPr>
      </w:pPr>
      <w:bookmarkStart w:id="77" w:name="_Toc71365382"/>
      <w:bookmarkStart w:id="78" w:name="_Toc71366060"/>
      <w:r>
        <w:rPr>
          <w:rFonts w:hint="eastAsia" w:ascii="宋体" w:hAnsi="宋体" w:cs="宋体"/>
          <w:b/>
          <w:color w:val="auto"/>
          <w:sz w:val="32"/>
          <w:szCs w:val="32"/>
          <w:highlight w:val="none"/>
        </w:rPr>
        <w:t>一、资格证明文件格式</w:t>
      </w:r>
      <w:bookmarkEnd w:id="77"/>
      <w:bookmarkEnd w:id="78"/>
    </w:p>
    <w:p>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Lines="50" w:after="50"/>
        <w:jc w:val="center"/>
        <w:rPr>
          <w:rFonts w:ascii="宋体" w:hAnsi="宋体" w:cs="宋体"/>
          <w:color w:val="auto"/>
          <w:sz w:val="44"/>
          <w:szCs w:val="44"/>
          <w:highlight w:val="none"/>
        </w:rPr>
      </w:pPr>
      <w:r>
        <w:rPr>
          <w:rFonts w:hint="eastAsia" w:ascii="宋体" w:hAnsi="宋体" w:cs="宋体"/>
          <w:color w:val="auto"/>
          <w:sz w:val="44"/>
          <w:szCs w:val="44"/>
          <w:highlight w:val="none"/>
        </w:rPr>
        <w:t>电 子 响 应 文 件</w:t>
      </w: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Lines="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snapToGrid w:val="0"/>
        <w:spacing w:beforeLines="50" w:after="50"/>
        <w:ind w:firstLine="640" w:firstLineChars="200"/>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pPr>
        <w:snapToGrid w:val="0"/>
        <w:spacing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根据谈判文件规定及供应商提供的材料自行编写目录（部分格式后附）。</w:t>
      </w:r>
    </w:p>
    <w:p>
      <w:pPr>
        <w:snapToGrid w:val="0"/>
        <w:spacing w:beforeLines="50" w:after="50"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20" w:lineRule="exact"/>
        <w:jc w:val="left"/>
        <w:rPr>
          <w:rFonts w:ascii="宋体" w:hAnsi="宋体" w:cs="宋体"/>
          <w:color w:val="auto"/>
          <w:szCs w:val="21"/>
          <w:highlight w:val="none"/>
        </w:rPr>
      </w:pPr>
    </w:p>
    <w:p>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供应商直接控股、管理关系信息表</w:t>
      </w: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Cs w:val="21"/>
          <w:highlight w:val="none"/>
        </w:rPr>
      </w:pPr>
      <w:r>
        <w:rPr>
          <w:rFonts w:hint="eastAsia" w:ascii="宋体" w:hAnsi="宋体" w:cs="宋体"/>
          <w:b/>
          <w:color w:val="auto"/>
          <w:szCs w:val="21"/>
          <w:highlight w:val="none"/>
        </w:rPr>
        <w:t>供应商直接控股股东信息表</w:t>
      </w:r>
    </w:p>
    <w:p>
      <w:pPr>
        <w:snapToGrid w:val="0"/>
        <w:spacing w:before="50" w:afterLines="50"/>
        <w:jc w:val="center"/>
        <w:rPr>
          <w:rFonts w:ascii="宋体" w:hAnsi="宋体" w:cs="宋体"/>
          <w:b/>
          <w:color w:val="auto"/>
          <w:szCs w:val="21"/>
          <w:highlight w:val="none"/>
        </w:rPr>
      </w:pPr>
    </w:p>
    <w:tbl>
      <w:tblPr>
        <w:tblStyle w:val="27"/>
        <w:tblW w:w="10152" w:type="dxa"/>
        <w:jc w:val="center"/>
        <w:shd w:val="clear" w:color="auto" w:fill="FBFBFB"/>
        <w:tblLayout w:type="fixed"/>
        <w:tblCellMar>
          <w:top w:w="0" w:type="dxa"/>
          <w:left w:w="0" w:type="dxa"/>
          <w:bottom w:w="0" w:type="dxa"/>
          <w:right w:w="0" w:type="dxa"/>
        </w:tblCellMar>
      </w:tblPr>
      <w:tblGrid>
        <w:gridCol w:w="881"/>
        <w:gridCol w:w="2656"/>
        <w:gridCol w:w="1456"/>
        <w:gridCol w:w="4289"/>
        <w:gridCol w:w="870"/>
      </w:tblGrid>
      <w:tr>
        <w:tblPrEx>
          <w:shd w:val="clear" w:color="auto" w:fill="FBFBFB"/>
          <w:tblCellMar>
            <w:top w:w="0" w:type="dxa"/>
            <w:left w:w="0" w:type="dxa"/>
            <w:bottom w:w="0" w:type="dxa"/>
            <w:right w:w="0" w:type="dxa"/>
          </w:tblCellMar>
        </w:tblPrEx>
        <w:trPr>
          <w:tblHeader/>
          <w:jc w:val="center"/>
        </w:trPr>
        <w:tc>
          <w:tcPr>
            <w:tcW w:w="88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42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bl>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3.供应商不存在直接控股股东的，则在“直接控股股东名称”填“无”。</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p>
    <w:p>
      <w:pPr>
        <w:spacing w:line="360" w:lineRule="auto"/>
        <w:ind w:right="480"/>
        <w:contextualSpacing/>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法定代表人或者委托代理人（签字或者电子签名）：</w:t>
      </w:r>
      <w:r>
        <w:rPr>
          <w:rFonts w:hint="eastAsia" w:ascii="宋体" w:hAnsi="宋体" w:cs="宋体"/>
          <w:color w:val="auto"/>
          <w:szCs w:val="21"/>
          <w:highlight w:val="none"/>
          <w:u w:val="single"/>
        </w:rPr>
        <w:t xml:space="preserve">                    </w:t>
      </w:r>
    </w:p>
    <w:p>
      <w:pPr>
        <w:spacing w:line="360" w:lineRule="auto"/>
        <w:ind w:right="480" w:firstLine="2625" w:firstLineChars="1250"/>
        <w:contextualSpacing/>
        <w:rPr>
          <w:rFonts w:ascii="宋体" w:hAnsi="宋体" w:cs="宋体"/>
          <w:color w:val="auto"/>
          <w:szCs w:val="21"/>
          <w:highlight w:val="none"/>
          <w:u w:val="single"/>
        </w:rPr>
      </w:pPr>
      <w:r>
        <w:rPr>
          <w:rFonts w:hint="eastAsia" w:ascii="宋体" w:hAnsi="宋体" w:cs="宋体"/>
          <w:color w:val="auto"/>
          <w:szCs w:val="21"/>
          <w:highlight w:val="none"/>
        </w:rPr>
        <w:t xml:space="preserve">供应商（电子签章）： </w:t>
      </w:r>
      <w:r>
        <w:rPr>
          <w:rFonts w:hint="eastAsia" w:ascii="宋体" w:hAnsi="宋体" w:cs="宋体"/>
          <w:color w:val="auto"/>
          <w:szCs w:val="21"/>
          <w:highlight w:val="none"/>
          <w:u w:val="single"/>
        </w:rPr>
        <w:t xml:space="preserve">                              </w:t>
      </w:r>
    </w:p>
    <w:p>
      <w:pPr>
        <w:spacing w:line="360" w:lineRule="auto"/>
        <w:ind w:right="480" w:firstLine="4620" w:firstLineChars="2200"/>
        <w:contextualSpacing/>
        <w:rPr>
          <w:rFonts w:ascii="宋体" w:hAnsi="宋体" w:cs="宋体"/>
          <w:color w:val="auto"/>
          <w:szCs w:val="21"/>
          <w:highlight w:val="none"/>
        </w:rPr>
      </w:pPr>
      <w:r>
        <w:rPr>
          <w:rFonts w:hint="eastAsia" w:ascii="宋体" w:hAnsi="宋体" w:cs="宋体"/>
          <w:color w:val="auto"/>
          <w:szCs w:val="21"/>
          <w:highlight w:val="none"/>
        </w:rPr>
        <w:t>年    月    日</w:t>
      </w:r>
    </w:p>
    <w:p>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pPr>
        <w:snapToGrid w:val="0"/>
        <w:jc w:val="center"/>
        <w:rPr>
          <w:rFonts w:ascii="宋体" w:hAnsi="宋体" w:cs="宋体"/>
          <w:b/>
          <w:color w:val="auto"/>
          <w:sz w:val="32"/>
          <w:szCs w:val="32"/>
          <w:highlight w:val="none"/>
        </w:rPr>
      </w:pPr>
    </w:p>
    <w:tbl>
      <w:tblPr>
        <w:tblStyle w:val="27"/>
        <w:tblW w:w="9648" w:type="dxa"/>
        <w:jc w:val="center"/>
        <w:shd w:val="clear" w:color="auto" w:fill="FBFBFB"/>
        <w:tblLayout w:type="fixed"/>
        <w:tblCellMar>
          <w:top w:w="0" w:type="dxa"/>
          <w:left w:w="0" w:type="dxa"/>
          <w:bottom w:w="0" w:type="dxa"/>
          <w:right w:w="0" w:type="dxa"/>
        </w:tblCellMar>
      </w:tblPr>
      <w:tblGrid>
        <w:gridCol w:w="809"/>
        <w:gridCol w:w="3598"/>
        <w:gridCol w:w="3553"/>
        <w:gridCol w:w="1688"/>
      </w:tblGrid>
      <w:tr>
        <w:tblPrEx>
          <w:shd w:val="clear" w:color="auto" w:fill="FBFBFB"/>
          <w:tblCellMar>
            <w:top w:w="0" w:type="dxa"/>
            <w:left w:w="0" w:type="dxa"/>
            <w:bottom w:w="0" w:type="dxa"/>
            <w:right w:w="0" w:type="dxa"/>
          </w:tblCellMar>
        </w:tblPrEx>
        <w:trPr>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59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bl>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3.供应商不存在直接管理关系的，则在“直接管理关系单位名称”填“无”。</w:t>
      </w: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ind w:right="480"/>
        <w:contextualSpacing/>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法定代表人或者委托代理人（签字或者电子签名）：</w:t>
      </w:r>
      <w:r>
        <w:rPr>
          <w:rFonts w:hint="eastAsia" w:ascii="宋体" w:hAnsi="宋体" w:cs="宋体"/>
          <w:color w:val="auto"/>
          <w:szCs w:val="21"/>
          <w:highlight w:val="none"/>
          <w:u w:val="single"/>
        </w:rPr>
        <w:t xml:space="preserve">                   </w:t>
      </w:r>
    </w:p>
    <w:p>
      <w:pPr>
        <w:spacing w:line="360" w:lineRule="auto"/>
        <w:ind w:right="480" w:firstLine="2940" w:firstLineChars="1400"/>
        <w:contextualSpacing/>
        <w:rPr>
          <w:rFonts w:ascii="宋体" w:hAnsi="宋体" w:cs="宋体"/>
          <w:color w:val="auto"/>
          <w:szCs w:val="21"/>
          <w:highlight w:val="non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p>
    <w:p>
      <w:pPr>
        <w:spacing w:line="360" w:lineRule="auto"/>
        <w:ind w:right="480" w:firstLine="210" w:firstLineChars="100"/>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500" w:lineRule="exact"/>
        <w:jc w:val="center"/>
        <w:rPr>
          <w:rFonts w:ascii="宋体" w:hAnsi="宋体" w:cs="宋体"/>
          <w:b/>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竞标声明</w:t>
      </w:r>
    </w:p>
    <w:p>
      <w:pPr>
        <w:spacing w:line="320" w:lineRule="exact"/>
        <w:jc w:val="center"/>
        <w:rPr>
          <w:rFonts w:ascii="宋体" w:hAnsi="宋体" w:cs="宋体"/>
          <w:color w:val="auto"/>
          <w:sz w:val="24"/>
          <w:szCs w:val="20"/>
          <w:highlight w:val="none"/>
        </w:rPr>
      </w:pPr>
    </w:p>
    <w:p>
      <w:pPr>
        <w:keepNext w:val="0"/>
        <w:keepLines w:val="0"/>
        <w:pageBreakBefore w:val="0"/>
        <w:widowControl w:val="0"/>
        <w:kinsoku/>
        <w:overflowPunct/>
        <w:topLinePunct w:val="0"/>
        <w:autoSpaceDE/>
        <w:autoSpaceDN/>
        <w:bidi w:val="0"/>
        <w:adjustRightInd/>
        <w:snapToGrid/>
        <w:spacing w:line="440" w:lineRule="exact"/>
        <w:ind w:left="0" w:leftChars="0" w:right="0"/>
        <w:textAlignment w:val="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2.我方不是为本次采购项目提供整体设计、规范编制或者项目管理、监理、检测等服务的供应商。</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3.在此，我方宣布同意如下：</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（1）将按谈判文件的约定履行合同责任和义务；</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（2）已详细审查全部谈判文件，包括补遗文件（如有）；</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（3）同意提供按照贵方可能要求的与谈判有关的一切数据或者资料；</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（4）响应谈判文件规定的竞标有效期。</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15"/>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hAnsi="宋体" w:cs="宋体"/>
          <w:color w:val="auto"/>
          <w:sz w:val="21"/>
          <w:highlight w:val="none"/>
          <w:u w:val="single"/>
        </w:rPr>
      </w:pPr>
      <w:r>
        <w:rPr>
          <w:rFonts w:hint="eastAsia" w:hAnsi="宋体" w:cs="宋体"/>
          <w:color w:val="auto"/>
          <w:sz w:val="21"/>
          <w:highlight w:val="none"/>
        </w:rPr>
        <w:t>7.与本谈判有关的一切正式往来信函请寄：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pPr>
        <w:pStyle w:val="15"/>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电子邮箱：</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pPr>
        <w:pStyle w:val="14"/>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pPr>
        <w:pStyle w:val="14"/>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pPr>
        <w:pStyle w:val="14"/>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auto"/>
          <w:szCs w:val="21"/>
          <w:highlight w:val="none"/>
        </w:rPr>
      </w:pPr>
      <w:r>
        <w:rPr>
          <w:rFonts w:hint="eastAsia" w:ascii="宋体" w:hAnsi="宋体" w:cs="宋体"/>
          <w:color w:val="auto"/>
          <w:szCs w:val="21"/>
          <w:highlight w:val="none"/>
        </w:rPr>
        <w:t>特此承诺。</w:t>
      </w:r>
    </w:p>
    <w:p>
      <w:pPr>
        <w:keepNext w:val="0"/>
        <w:keepLines w:val="0"/>
        <w:pageBreakBefore w:val="0"/>
        <w:widowControl w:val="0"/>
        <w:kinsoku/>
        <w:overflowPunct/>
        <w:topLinePunct w:val="0"/>
        <w:autoSpaceDE/>
        <w:autoSpaceDN/>
        <w:bidi w:val="0"/>
        <w:adjustRightInd/>
        <w:snapToGrid/>
        <w:spacing w:line="440" w:lineRule="exact"/>
        <w:ind w:left="0" w:leftChars="0" w:right="0"/>
        <w:jc w:val="left"/>
        <w:textAlignment w:val="auto"/>
        <w:rPr>
          <w:rFonts w:ascii="宋体" w:hAnsi="宋体" w:cs="宋体"/>
          <w:b/>
          <w:color w:val="auto"/>
          <w:szCs w:val="21"/>
          <w:highlight w:val="none"/>
        </w:rPr>
      </w:pPr>
      <w:r>
        <w:rPr>
          <w:rFonts w:hint="eastAsia" w:ascii="宋体" w:hAnsi="宋体" w:cs="宋体"/>
          <w:b/>
          <w:color w:val="auto"/>
          <w:szCs w:val="21"/>
          <w:highlight w:val="none"/>
        </w:rPr>
        <w:t xml:space="preserve">    注：如为联合体竞标，盖章处须加盖联合体牵头人电子签章并由联合体牵头人法定代表人分别签字或者盖章或者电子签名，否则响应文件按无效处理。</w:t>
      </w:r>
    </w:p>
    <w:p>
      <w:pPr>
        <w:keepNext w:val="0"/>
        <w:keepLines w:val="0"/>
        <w:pageBreakBefore w:val="0"/>
        <w:widowControl w:val="0"/>
        <w:kinsoku/>
        <w:overflowPunct/>
        <w:topLinePunct w:val="0"/>
        <w:autoSpaceDE/>
        <w:autoSpaceDN/>
        <w:bidi w:val="0"/>
        <w:adjustRightInd/>
        <w:snapToGrid/>
        <w:spacing w:line="440" w:lineRule="exact"/>
        <w:ind w:left="0" w:leftChars="0" w:right="0"/>
        <w:jc w:val="left"/>
        <w:textAlignment w:val="auto"/>
        <w:rPr>
          <w:rFonts w:ascii="宋体" w:hAnsi="宋体" w:cs="宋体"/>
          <w:color w:val="auto"/>
          <w:szCs w:val="21"/>
          <w:highlight w:val="none"/>
        </w:rPr>
      </w:pPr>
    </w:p>
    <w:p>
      <w:pPr>
        <w:keepNext w:val="0"/>
        <w:keepLines w:val="0"/>
        <w:pageBreakBefore w:val="0"/>
        <w:widowControl w:val="0"/>
        <w:kinsoku/>
        <w:overflowPunct/>
        <w:topLinePunct w:val="0"/>
        <w:autoSpaceDE/>
        <w:autoSpaceDN/>
        <w:bidi w:val="0"/>
        <w:adjustRightInd/>
        <w:snapToGrid/>
        <w:spacing w:line="440" w:lineRule="exact"/>
        <w:ind w:left="0" w:leftChars="0" w:right="0" w:firstLine="1575" w:firstLineChars="750"/>
        <w:textAlignment w:val="auto"/>
        <w:rPr>
          <w:rFonts w:ascii="宋体" w:hAnsi="宋体" w:cs="宋体"/>
          <w:color w:val="auto"/>
          <w:szCs w:val="21"/>
          <w:highlight w:val="none"/>
        </w:rPr>
      </w:pPr>
      <w:r>
        <w:rPr>
          <w:rFonts w:hint="eastAsia" w:ascii="宋体" w:hAnsi="宋体" w:cs="宋体"/>
          <w:color w:val="auto"/>
          <w:szCs w:val="21"/>
          <w:highlight w:val="none"/>
        </w:rPr>
        <w:t>法定代表人（签字或者盖章或者电子签名）：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val="0"/>
        <w:kinsoku/>
        <w:overflowPunct/>
        <w:topLinePunct w:val="0"/>
        <w:autoSpaceDE/>
        <w:autoSpaceDN/>
        <w:bidi w:val="0"/>
        <w:adjustRightInd/>
        <w:snapToGrid/>
        <w:spacing w:line="440" w:lineRule="exact"/>
        <w:ind w:left="0" w:leftChars="0" w:right="0" w:firstLine="3780" w:firstLineChars="1800"/>
        <w:textAlignment w:val="auto"/>
        <w:rPr>
          <w:rFonts w:ascii="宋体" w:hAnsi="宋体" w:cs="宋体"/>
          <w:color w:val="auto"/>
          <w:szCs w:val="21"/>
          <w:highlight w:val="none"/>
          <w:u w:val="singl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val="0"/>
        <w:kinsoku/>
        <w:overflowPunct/>
        <w:topLinePunct w:val="0"/>
        <w:autoSpaceDE/>
        <w:autoSpaceDN/>
        <w:bidi w:val="0"/>
        <w:adjustRightInd/>
        <w:snapToGrid/>
        <w:spacing w:line="440" w:lineRule="exact"/>
        <w:ind w:left="0" w:leftChars="0" w:right="0" w:firstLine="210" w:firstLineChars="100"/>
        <w:contextualSpacing/>
        <w:jc w:val="center"/>
        <w:textAlignment w:val="auto"/>
        <w:rPr>
          <w:rFonts w:ascii="宋体" w:hAnsi="宋体" w:cs="宋体"/>
          <w:color w:val="auto"/>
          <w:szCs w:val="21"/>
          <w:highlight w:val="none"/>
        </w:rPr>
      </w:pPr>
      <w:r>
        <w:rPr>
          <w:rFonts w:hint="eastAsia" w:ascii="宋体" w:hAnsi="宋体" w:cs="宋体"/>
          <w:color w:val="auto"/>
          <w:szCs w:val="21"/>
          <w:highlight w:val="none"/>
        </w:rPr>
        <w:t xml:space="preserve">                                                         年    月    日 </w:t>
      </w:r>
    </w:p>
    <w:p>
      <w:pPr>
        <w:pStyle w:val="9"/>
        <w:overflowPunct w:val="0"/>
        <w:spacing w:line="520" w:lineRule="exact"/>
        <w:ind w:firstLine="0"/>
        <w:jc w:val="center"/>
        <w:rPr>
          <w:rFonts w:hint="eastAsia" w:ascii="宋体" w:hAnsi="宋体" w:cs="宋体"/>
          <w:color w:val="auto"/>
          <w:sz w:val="32"/>
          <w:szCs w:val="32"/>
          <w:highlight w:val="none"/>
        </w:rPr>
        <w:sectPr>
          <w:pgSz w:w="11910" w:h="16840"/>
          <w:pgMar w:top="1340" w:right="1500" w:bottom="280" w:left="1680" w:header="720" w:footer="720" w:gutter="0"/>
          <w:cols w:space="720" w:num="1"/>
        </w:sectPr>
      </w:pPr>
      <w:r>
        <w:rPr>
          <w:rFonts w:hint="eastAsia" w:ascii="宋体" w:hAnsi="宋体" w:cs="宋体"/>
          <w:color w:val="auto"/>
          <w:sz w:val="32"/>
          <w:szCs w:val="32"/>
          <w:highlight w:val="none"/>
        </w:rPr>
        <w:br w:type="page"/>
      </w:r>
    </w:p>
    <w:p>
      <w:pPr>
        <w:pStyle w:val="9"/>
        <w:overflowPunct w:val="0"/>
        <w:spacing w:line="520" w:lineRule="exact"/>
        <w:ind w:firstLine="0"/>
        <w:jc w:val="center"/>
        <w:rPr>
          <w:rFonts w:hint="eastAsia" w:ascii="宋体" w:hAnsi="宋体" w:eastAsia="宋体" w:cs="宋体"/>
          <w:color w:val="auto"/>
          <w:sz w:val="32"/>
          <w:szCs w:val="32"/>
          <w:highlight w:val="none"/>
          <w:lang w:eastAsia="zh-CN"/>
        </w:rPr>
      </w:pPr>
      <w:r>
        <w:rPr>
          <w:rFonts w:hint="eastAsia" w:ascii="宋体" w:hAnsi="宋体" w:eastAsia="宋体" w:cs="宋体"/>
          <w:b/>
          <w:color w:val="auto"/>
          <w:kern w:val="2"/>
          <w:sz w:val="24"/>
          <w:szCs w:val="24"/>
          <w:highlight w:val="none"/>
          <w:lang w:val="en-US" w:eastAsia="zh-CN" w:bidi="ar-SA"/>
        </w:rPr>
        <w:t>4.</w:t>
      </w:r>
      <w:r>
        <w:rPr>
          <w:rFonts w:hint="eastAsia" w:ascii="宋体" w:hAnsi="宋体" w:cs="宋体"/>
          <w:color w:val="auto"/>
          <w:sz w:val="32"/>
          <w:szCs w:val="32"/>
          <w:highlight w:val="none"/>
        </w:rPr>
        <w:t>联合体竞标协议书</w:t>
      </w:r>
      <w:r>
        <w:rPr>
          <w:rFonts w:hint="eastAsia" w:ascii="宋体" w:hAnsi="宋体" w:cs="宋体"/>
          <w:color w:val="auto"/>
          <w:sz w:val="32"/>
          <w:szCs w:val="32"/>
          <w:highlight w:val="none"/>
          <w:lang w:eastAsia="zh-CN"/>
        </w:rPr>
        <w:t>（如有）</w:t>
      </w:r>
    </w:p>
    <w:p>
      <w:pPr>
        <w:pStyle w:val="9"/>
        <w:overflowPunct w:val="0"/>
        <w:spacing w:line="360" w:lineRule="auto"/>
        <w:ind w:firstLine="0"/>
        <w:rPr>
          <w:rFonts w:ascii="宋体" w:hAnsi="宋体" w:cs="宋体"/>
          <w:color w:val="auto"/>
          <w:sz w:val="24"/>
          <w:szCs w:val="24"/>
          <w:highlight w:val="none"/>
        </w:rPr>
      </w:pP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（项目名称）采购项目竞标。现就联合体竞标事宜订立如下协议。</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3.联合体牵头人在本项目中签署和盖章的一切文件和处理的一切事宜，联合体各成员均予以承认。联合体各成员将严格按照谈判文件、响应文件和合同的要求全面履行义务，并向采购人承担连带责任。</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5.本</w:t>
      </w:r>
      <w:r>
        <w:rPr>
          <w:rFonts w:hint="eastAsia" w:ascii="宋体" w:hAnsi="宋体" w:cs="宋体"/>
          <w:color w:val="auto"/>
          <w:spacing w:val="-6"/>
          <w:szCs w:val="21"/>
          <w:highlight w:val="none"/>
        </w:rPr>
        <w:t>协议书自所有成员单位法定代表人或者其委托代理人签字或者盖单位章之日起生效，合同履行完毕后自动失效。</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份，联合体成员和采购人各执一份。</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注：本协议书应附法定代表人身份证明书；有委托代理的，应附权委托书（格式自拟）。</w:t>
      </w:r>
    </w:p>
    <w:p>
      <w:pPr>
        <w:pStyle w:val="9"/>
        <w:overflowPunct w:val="0"/>
        <w:spacing w:line="360" w:lineRule="auto"/>
        <w:ind w:firstLine="367" w:firstLineChars="175"/>
        <w:rPr>
          <w:rFonts w:ascii="宋体" w:hAnsi="宋体" w:cs="宋体"/>
          <w:color w:val="auto"/>
          <w:szCs w:val="21"/>
          <w:highlight w:val="none"/>
        </w:rPr>
      </w:pP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联合体牵头人名称（电子签章）：</w:t>
      </w: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法定代表人或者其委托代理人（签字或者电子签名）：</w:t>
      </w:r>
    </w:p>
    <w:p>
      <w:pPr>
        <w:pStyle w:val="9"/>
        <w:overflowPunct w:val="0"/>
        <w:spacing w:line="360" w:lineRule="auto"/>
        <w:ind w:firstLine="0"/>
        <w:rPr>
          <w:rFonts w:ascii="宋体" w:hAnsi="宋体" w:cs="宋体"/>
          <w:color w:val="auto"/>
          <w:szCs w:val="21"/>
          <w:highlight w:val="none"/>
        </w:rPr>
      </w:pP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联合体成员名称（盖公章或者电子签章）：</w:t>
      </w: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法定代表人或者其委托代理人（签字或者电子签名）：</w:t>
      </w:r>
    </w:p>
    <w:p>
      <w:pPr>
        <w:pStyle w:val="9"/>
        <w:overflowPunct w:val="0"/>
        <w:spacing w:line="360" w:lineRule="auto"/>
        <w:ind w:firstLine="0"/>
        <w:rPr>
          <w:rFonts w:ascii="宋体" w:hAnsi="宋体" w:cs="宋体"/>
          <w:color w:val="auto"/>
          <w:szCs w:val="21"/>
          <w:highlight w:val="none"/>
        </w:rPr>
      </w:pP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联合体成员名称（盖公章或者电子签章）：</w:t>
      </w: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法定代表人或者其委托代理人（签字或者电子签名）：</w:t>
      </w: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jc w:val="right"/>
        <w:rPr>
          <w:rFonts w:ascii="宋体" w:hAnsi="宋体" w:cs="宋体"/>
          <w:color w:val="auto"/>
          <w:sz w:val="24"/>
          <w:highlight w:val="none"/>
        </w:rPr>
      </w:pPr>
      <w:r>
        <w:rPr>
          <w:rFonts w:hint="eastAsia" w:ascii="宋体" w:hAnsi="宋体" w:cs="宋体"/>
          <w:color w:val="auto"/>
          <w:szCs w:val="21"/>
          <w:highlight w:val="none"/>
        </w:rPr>
        <w:t xml:space="preserve">日期：    年   月   日 </w:t>
      </w:r>
    </w:p>
    <w:p>
      <w:pPr>
        <w:spacing w:line="360" w:lineRule="auto"/>
        <w:ind w:right="420"/>
        <w:contextualSpacing/>
        <w:jc w:val="left"/>
        <w:rPr>
          <w:rFonts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 xml:space="preserve">报价文件格式 </w:t>
      </w:r>
    </w:p>
    <w:p>
      <w:pPr>
        <w:snapToGrid w:val="0"/>
        <w:spacing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1.报价文件封面格式</w:t>
      </w:r>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Lines="50" w:after="50"/>
        <w:jc w:val="center"/>
        <w:rPr>
          <w:rFonts w:ascii="宋体" w:hAnsi="宋体" w:cs="宋体"/>
          <w:color w:val="auto"/>
          <w:sz w:val="24"/>
          <w:szCs w:val="20"/>
          <w:highlight w:val="none"/>
        </w:rPr>
      </w:pPr>
      <w:r>
        <w:rPr>
          <w:rFonts w:hint="eastAsia" w:ascii="宋体" w:hAnsi="宋体" w:cs="宋体"/>
          <w:color w:val="auto"/>
          <w:sz w:val="44"/>
          <w:szCs w:val="44"/>
          <w:highlight w:val="none"/>
        </w:rPr>
        <w:t>电 子 响 应 文 件</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Lines="50" w:after="50"/>
        <w:ind w:firstLine="720" w:firstLineChars="225"/>
        <w:rPr>
          <w:rFonts w:ascii="宋体" w:hAnsi="宋体" w:cs="宋体"/>
          <w:bCs/>
          <w:color w:val="auto"/>
          <w:sz w:val="32"/>
          <w:szCs w:val="32"/>
          <w:highlight w:val="none"/>
        </w:rPr>
      </w:pPr>
    </w:p>
    <w:p>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640" w:firstLineChars="200"/>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0"/>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Lines="50" w:after="50" w:line="360" w:lineRule="auto"/>
        <w:ind w:left="142"/>
        <w:jc w:val="left"/>
        <w:rPr>
          <w:rFonts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2.报价文件目录</w:t>
      </w:r>
    </w:p>
    <w:p>
      <w:pPr>
        <w:tabs>
          <w:tab w:val="left" w:pos="3479"/>
        </w:tabs>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根据谈判文件规定及供应商提供的材料自行编写目录（部分格式后附）。</w:t>
      </w:r>
    </w:p>
    <w:p>
      <w:pPr>
        <w:tabs>
          <w:tab w:val="left" w:pos="3479"/>
        </w:tabs>
        <w:spacing w:line="520" w:lineRule="exact"/>
        <w:jc w:val="center"/>
        <w:rPr>
          <w:rFonts w:ascii="宋体" w:hAnsi="宋体" w:cs="宋体"/>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Cs/>
          <w:color w:val="auto"/>
          <w:sz w:val="44"/>
          <w:szCs w:val="44"/>
          <w:highlight w:val="none"/>
        </w:rPr>
        <w:t>竞  标  报  价  表</w:t>
      </w:r>
    </w:p>
    <w:p>
      <w:pPr>
        <w:spacing w:line="520" w:lineRule="exact"/>
        <w:jc w:val="center"/>
        <w:rPr>
          <w:rFonts w:ascii="宋体" w:hAnsi="宋体" w:cs="宋体"/>
          <w:bCs/>
          <w:color w:val="auto"/>
          <w:sz w:val="32"/>
          <w:szCs w:val="32"/>
          <w:highlight w:val="none"/>
        </w:rPr>
      </w:pPr>
    </w:p>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分标（如有）：</w:t>
      </w:r>
      <w:r>
        <w:rPr>
          <w:rFonts w:hint="eastAsia" w:ascii="宋体" w:hAnsi="宋体" w:cs="宋体"/>
          <w:color w:val="auto"/>
          <w:szCs w:val="21"/>
          <w:highlight w:val="none"/>
          <w:u w:val="single"/>
        </w:rPr>
        <w:t xml:space="preserve">            </w:t>
      </w:r>
    </w:p>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单位：元</w:t>
      </w:r>
    </w:p>
    <w:tbl>
      <w:tblPr>
        <w:tblStyle w:val="27"/>
        <w:tblW w:w="105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066"/>
        <w:gridCol w:w="1005"/>
        <w:gridCol w:w="870"/>
        <w:gridCol w:w="1066"/>
        <w:gridCol w:w="1201"/>
        <w:gridCol w:w="1096"/>
        <w:gridCol w:w="1096"/>
        <w:gridCol w:w="780"/>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①</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品牌</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规格</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型号</w:t>
            </w: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制造商</w:t>
            </w: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原产地</w:t>
            </w: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②</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竞标报价</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10512" w:type="dxa"/>
            <w:gridSpan w:val="10"/>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合计金额大写：人民币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before="50" w:after="50"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注: </w:t>
      </w:r>
    </w:p>
    <w:p>
      <w:pPr>
        <w:numPr>
          <w:ilvl w:val="0"/>
          <w:numId w:val="2"/>
        </w:num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以上竞标报价表中“标的名称、数量及单位、品牌、规格型号、制造商、原产地、参数性能、指标及配置”必须如实填写完整</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除“施工、辅材及集成服务</w:t>
      </w:r>
      <w:r>
        <w:rPr>
          <w:rFonts w:hint="eastAsia" w:ascii="宋体" w:hAnsi="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”外，其他标的的品牌、型号、制造商等</w:t>
      </w:r>
      <w:r>
        <w:rPr>
          <w:rFonts w:hint="eastAsia" w:ascii="宋体" w:hAnsi="宋体" w:eastAsia="宋体" w:cs="宋体"/>
          <w:b/>
          <w:bCs/>
          <w:color w:val="auto"/>
          <w:sz w:val="21"/>
          <w:szCs w:val="21"/>
          <w:highlight w:val="none"/>
          <w:lang w:eastAsia="zh-CN"/>
        </w:rPr>
        <w:t>必</w:t>
      </w:r>
      <w:r>
        <w:rPr>
          <w:rFonts w:hint="eastAsia" w:ascii="宋体" w:hAnsi="宋体" w:eastAsia="宋体" w:cs="宋体"/>
          <w:b/>
          <w:bCs/>
          <w:color w:val="auto"/>
          <w:sz w:val="21"/>
          <w:szCs w:val="21"/>
          <w:highlight w:val="none"/>
        </w:rPr>
        <w:t>须填写具体，不能简单填写国产、定制等</w:t>
      </w:r>
      <w:r>
        <w:rPr>
          <w:rFonts w:hint="eastAsia" w:ascii="宋体" w:hAnsi="宋体" w:eastAsia="宋体" w:cs="宋体"/>
          <w:b w:val="0"/>
          <w:bCs w:val="0"/>
          <w:color w:val="auto"/>
          <w:sz w:val="21"/>
          <w:szCs w:val="21"/>
          <w:highlight w:val="none"/>
        </w:rPr>
        <w:t>，品牌、规格型号没有则填无，填写有缺漏的，其响应文件按无效处理。</w:t>
      </w:r>
    </w:p>
    <w:p>
      <w:pPr>
        <w:numPr>
          <w:ilvl w:val="0"/>
          <w:numId w:val="0"/>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2.供应商的报价表必须加盖供应商电子签章并由法定代表人或者委托代理人签字或者电子签名，</w:t>
      </w:r>
      <w:r>
        <w:rPr>
          <w:rFonts w:hint="eastAsia" w:ascii="宋体" w:hAnsi="宋体" w:cs="宋体"/>
          <w:b/>
          <w:color w:val="auto"/>
          <w:szCs w:val="21"/>
          <w:highlight w:val="none"/>
        </w:rPr>
        <w:t>否则其响应文件按无效处理</w:t>
      </w:r>
      <w:r>
        <w:rPr>
          <w:rFonts w:hint="eastAsia" w:ascii="宋体" w:hAnsi="宋体" w:cs="宋体"/>
          <w:color w:val="auto"/>
          <w:szCs w:val="21"/>
          <w:highlight w:val="none"/>
        </w:rPr>
        <w:t>。</w:t>
      </w:r>
    </w:p>
    <w:p>
      <w:pPr>
        <w:spacing w:line="360" w:lineRule="auto"/>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报价一经涂改，应在涂改处加盖供应商公章或者加盖电子签章或者由法定代表人或者授权委托人签字（或者电子签名）</w:t>
      </w:r>
      <w:r>
        <w:rPr>
          <w:rFonts w:hint="eastAsia" w:ascii="宋体" w:hAnsi="宋体" w:cs="宋体"/>
          <w:b/>
          <w:color w:val="auto"/>
          <w:szCs w:val="21"/>
          <w:highlight w:val="none"/>
        </w:rPr>
        <w:t>，否则其响应文件按无效处理。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4.谈判文件中列明采购专用耗材的，应按谈判文件规定的耗材量或者按耗材的常规试用量提供报价。</w:t>
      </w:r>
    </w:p>
    <w:p>
      <w:pPr>
        <w:spacing w:line="360" w:lineRule="auto"/>
        <w:ind w:firstLine="420" w:firstLineChars="200"/>
        <w:jc w:val="left"/>
        <w:rPr>
          <w:rFonts w:ascii="宋体" w:hAnsi="宋体" w:cs="宋体"/>
          <w:i/>
          <w:color w:val="auto"/>
          <w:szCs w:val="21"/>
          <w:highlight w:val="none"/>
        </w:rPr>
      </w:pPr>
      <w:r>
        <w:rPr>
          <w:rFonts w:hint="eastAsia" w:ascii="宋体" w:hAnsi="宋体" w:cs="宋体"/>
          <w:color w:val="auto"/>
          <w:szCs w:val="21"/>
          <w:highlight w:val="none"/>
        </w:rPr>
        <w:t>5.如为联合体竞标，“供应商名称”处必须列明联合体各方名称，标注联合体牵头人名称，</w:t>
      </w:r>
      <w:r>
        <w:rPr>
          <w:rFonts w:hint="eastAsia" w:ascii="宋体" w:hAnsi="宋体" w:cs="宋体"/>
          <w:b/>
          <w:color w:val="auto"/>
          <w:szCs w:val="21"/>
          <w:highlight w:val="none"/>
        </w:rPr>
        <w:t>否则其响应文件按无效处理。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6.如为联合体竞标，</w:t>
      </w:r>
      <w:r>
        <w:rPr>
          <w:rFonts w:hint="eastAsia" w:ascii="宋体" w:hAnsi="宋体" w:cs="宋体"/>
          <w:color w:val="auto"/>
          <w:spacing w:val="-6"/>
          <w:szCs w:val="21"/>
          <w:highlight w:val="none"/>
        </w:rPr>
        <w:t xml:space="preserve"> 盖章处须加盖联合体牵头人电子签章</w:t>
      </w:r>
      <w:r>
        <w:rPr>
          <w:rFonts w:hint="eastAsia" w:ascii="宋体" w:hAnsi="宋体" w:cs="宋体"/>
          <w:color w:val="auto"/>
          <w:szCs w:val="21"/>
          <w:highlight w:val="none"/>
        </w:rPr>
        <w:t>，</w:t>
      </w:r>
      <w:r>
        <w:rPr>
          <w:rFonts w:hint="eastAsia" w:ascii="宋体" w:hAnsi="宋体" w:cs="宋体"/>
          <w:b/>
          <w:color w:val="auto"/>
          <w:szCs w:val="21"/>
          <w:highlight w:val="none"/>
        </w:rPr>
        <w:t>否则其响应文件按无效处理。</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7.</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否则其响应文件按无效处理。</w:t>
      </w:r>
    </w:p>
    <w:p>
      <w:pPr>
        <w:spacing w:line="360" w:lineRule="auto"/>
        <w:ind w:right="-817" w:rightChars="-389"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法定代表人或者委托代理人（签字或者电子签名）：                    </w:t>
      </w:r>
    </w:p>
    <w:p>
      <w:pPr>
        <w:spacing w:line="360" w:lineRule="auto"/>
        <w:ind w:right="-817" w:rightChars="-389"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 xml:space="preserve">供应商（电子签章）：      </w:t>
      </w:r>
    </w:p>
    <w:p>
      <w:pPr>
        <w:spacing w:line="360" w:lineRule="auto"/>
        <w:ind w:right="-817" w:rightChars="-389"/>
        <w:contextualSpacing/>
        <w:rPr>
          <w:rFonts w:ascii="宋体" w:hAnsi="宋体" w:cs="宋体"/>
          <w:b/>
          <w:color w:val="auto"/>
          <w:szCs w:val="21"/>
          <w:highlight w:val="none"/>
        </w:rPr>
      </w:pPr>
      <w:r>
        <w:rPr>
          <w:rFonts w:hint="eastAsia" w:ascii="宋体" w:hAnsi="宋体" w:cs="宋体"/>
          <w:color w:val="auto"/>
          <w:szCs w:val="21"/>
          <w:highlight w:val="none"/>
        </w:rPr>
        <w:t xml:space="preserve">                      日期：   年   月   日</w:t>
      </w:r>
    </w:p>
    <w:p>
      <w:pPr>
        <w:spacing w:line="360" w:lineRule="auto"/>
        <w:ind w:right="420"/>
        <w:contextualSpacing/>
        <w:jc w:val="left"/>
        <w:rPr>
          <w:rFonts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三、</w:t>
      </w:r>
      <w:r>
        <w:rPr>
          <w:rFonts w:hint="eastAsia" w:ascii="宋体" w:hAnsi="宋体" w:cs="宋体"/>
          <w:b/>
          <w:color w:val="auto"/>
          <w:sz w:val="32"/>
          <w:szCs w:val="32"/>
          <w:highlight w:val="none"/>
        </w:rPr>
        <w:t xml:space="preserve">商务技术文件格式 </w:t>
      </w:r>
    </w:p>
    <w:p>
      <w:pPr>
        <w:snapToGrid w:val="0"/>
        <w:spacing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1.商务技术文件封面格式</w:t>
      </w:r>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Lines="50" w:after="50"/>
        <w:jc w:val="center"/>
        <w:rPr>
          <w:rFonts w:ascii="宋体" w:hAnsi="宋体" w:cs="宋体"/>
          <w:color w:val="auto"/>
          <w:sz w:val="24"/>
          <w:szCs w:val="20"/>
          <w:highlight w:val="none"/>
        </w:rPr>
      </w:pPr>
      <w:r>
        <w:rPr>
          <w:rFonts w:hint="eastAsia" w:ascii="宋体" w:hAnsi="宋体" w:cs="宋体"/>
          <w:color w:val="auto"/>
          <w:sz w:val="44"/>
          <w:szCs w:val="44"/>
          <w:highlight w:val="none"/>
        </w:rPr>
        <w:t>电 子 响 应 文 件</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Lines="50" w:after="50"/>
        <w:ind w:firstLine="720" w:firstLineChars="225"/>
        <w:rPr>
          <w:rFonts w:ascii="宋体" w:hAnsi="宋体" w:cs="宋体"/>
          <w:bCs/>
          <w:color w:val="auto"/>
          <w:sz w:val="32"/>
          <w:szCs w:val="32"/>
          <w:highlight w:val="none"/>
        </w:rPr>
      </w:pPr>
    </w:p>
    <w:p>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640" w:firstLineChars="200"/>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0"/>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2.商务技术文件目录</w:t>
      </w:r>
    </w:p>
    <w:p>
      <w:pPr>
        <w:snapToGrid w:val="0"/>
        <w:spacing w:beforeLines="50" w:after="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根据谈判文件规定及供应商提供的材料自行编写目录（部分格式后附）。</w:t>
      </w:r>
    </w:p>
    <w:p>
      <w:pPr>
        <w:spacing w:line="400" w:lineRule="exact"/>
        <w:rPr>
          <w:rFonts w:ascii="宋体" w:hAnsi="宋体" w:cs="宋体"/>
          <w:color w:val="auto"/>
          <w:sz w:val="32"/>
          <w:szCs w:val="32"/>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pPr>
        <w:spacing w:line="360" w:lineRule="auto"/>
        <w:ind w:firstLine="640" w:firstLineChars="200"/>
        <w:rPr>
          <w:rFonts w:ascii="宋体" w:hAnsi="宋体" w:cs="宋体"/>
          <w:color w:val="auto"/>
          <w:sz w:val="32"/>
          <w:szCs w:val="32"/>
          <w:highlight w:val="none"/>
        </w:rPr>
      </w:pP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同供应商的响应文件异常一致或者竞标报价呈规律性差异；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pPr>
        <w:spacing w:line="360" w:lineRule="auto"/>
        <w:ind w:firstLine="420" w:firstLineChars="200"/>
        <w:rPr>
          <w:rFonts w:ascii="宋体" w:hAnsi="宋体" w:cs="宋体"/>
          <w:color w:val="auto"/>
          <w:szCs w:val="21"/>
          <w:highlight w:val="none"/>
        </w:rPr>
      </w:pP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以上情形一经核查属实，我方愿意承担一切后果，并不再寻求任何旨在减轻或者免除法律责任的辩解。</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供应商（电子签章）：</w:t>
      </w:r>
    </w:p>
    <w:p>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ind w:firstLine="640" w:firstLineChars="200"/>
        <w:jc w:val="center"/>
        <w:rPr>
          <w:rFonts w:ascii="宋体" w:hAnsi="宋体" w:cs="宋体"/>
          <w:color w:val="auto"/>
          <w:sz w:val="32"/>
          <w:szCs w:val="32"/>
          <w:highlight w:val="none"/>
        </w:rPr>
      </w:pPr>
    </w:p>
    <w:p>
      <w:pPr>
        <w:widowControl/>
        <w:jc w:val="left"/>
        <w:rPr>
          <w:rFonts w:ascii="宋体" w:hAnsi="宋体" w:cs="宋体"/>
          <w:bCs/>
          <w:color w:val="auto"/>
          <w:sz w:val="44"/>
          <w:szCs w:val="44"/>
          <w:highlight w:val="none"/>
        </w:rPr>
        <w:sectPr>
          <w:pgSz w:w="11910" w:h="16840"/>
          <w:pgMar w:top="1340" w:right="1500" w:bottom="280" w:left="1680" w:header="720" w:footer="720" w:gutter="0"/>
          <w:cols w:space="720" w:num="1"/>
        </w:sectPr>
      </w:pPr>
    </w:p>
    <w:p>
      <w:pPr>
        <w:spacing w:beforeLines="100" w:afterLines="50" w:line="520" w:lineRule="exact"/>
        <w:ind w:left="540"/>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pPr>
        <w:spacing w:line="360" w:lineRule="auto"/>
        <w:ind w:left="540"/>
        <w:contextualSpacing/>
        <w:rPr>
          <w:rFonts w:ascii="宋体" w:hAnsi="宋体" w:cs="宋体"/>
          <w:color w:val="auto"/>
          <w:sz w:val="32"/>
          <w:szCs w:val="32"/>
          <w:highlight w:val="none"/>
        </w:rPr>
      </w:pP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pPr>
        <w:spacing w:line="360" w:lineRule="auto"/>
        <w:ind w:left="540"/>
        <w:contextualSpacing/>
        <w:rPr>
          <w:rFonts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w:t>
      </w: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left="540"/>
        <w:contextualSpacing/>
        <w:rPr>
          <w:rFonts w:ascii="宋体" w:hAnsi="宋体" w:cs="宋体"/>
          <w:color w:val="auto"/>
          <w:szCs w:val="21"/>
          <w:highlight w:val="none"/>
        </w:rPr>
      </w:pPr>
    </w:p>
    <w:p>
      <w:pPr>
        <w:spacing w:line="360" w:lineRule="auto"/>
        <w:ind w:left="540"/>
        <w:contextualSpacing/>
        <w:rPr>
          <w:rFonts w:ascii="宋体" w:hAnsi="宋体" w:cs="宋体"/>
          <w:color w:val="auto"/>
          <w:szCs w:val="21"/>
          <w:highlight w:val="none"/>
        </w:rPr>
      </w:pPr>
    </w:p>
    <w:p>
      <w:pPr>
        <w:spacing w:line="360" w:lineRule="auto"/>
        <w:ind w:left="540"/>
        <w:contextualSpacing/>
        <w:rPr>
          <w:rFonts w:ascii="宋体" w:hAnsi="宋体" w:cs="宋体"/>
          <w:color w:val="auto"/>
          <w:szCs w:val="21"/>
          <w:highlight w:val="none"/>
        </w:rPr>
      </w:pP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pPr>
        <w:spacing w:line="360" w:lineRule="auto"/>
        <w:ind w:left="540"/>
        <w:contextualSpacing/>
        <w:rPr>
          <w:rFonts w:ascii="宋体" w:hAnsi="宋体" w:cs="宋体"/>
          <w:color w:val="auto"/>
          <w:szCs w:val="21"/>
          <w:highlight w:val="none"/>
        </w:rPr>
      </w:pPr>
    </w:p>
    <w:p>
      <w:pPr>
        <w:spacing w:line="360" w:lineRule="auto"/>
        <w:ind w:left="540"/>
        <w:contextualSpacing/>
        <w:jc w:val="right"/>
        <w:rPr>
          <w:rFonts w:ascii="宋体" w:hAnsi="宋体" w:cs="宋体"/>
          <w:color w:val="auto"/>
          <w:szCs w:val="21"/>
          <w:highlight w:val="non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p>
    <w:p>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jc w:val="center"/>
        <w:rPr>
          <w:rFonts w:ascii="宋体" w:hAnsi="宋体" w:cs="宋体"/>
          <w:b/>
          <w:color w:val="auto"/>
          <w:szCs w:val="21"/>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注：自然人竞标的无需提供，联合体竞标的只需牵头人出具。</w:t>
      </w:r>
    </w:p>
    <w:p>
      <w:pPr>
        <w:adjustRightInd w:val="0"/>
        <w:snapToGrid w:val="0"/>
        <w:spacing w:line="300" w:lineRule="auto"/>
        <w:jc w:val="left"/>
        <w:rPr>
          <w:rFonts w:ascii="宋体" w:hAnsi="宋体" w:cs="宋体"/>
          <w:b/>
          <w:color w:val="auto"/>
          <w:szCs w:val="21"/>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32"/>
          <w:szCs w:val="32"/>
          <w:highlight w:val="none"/>
        </w:rPr>
        <w:t>授权委托书</w:t>
      </w: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（非联合体竞标格式）</w:t>
      </w:r>
    </w:p>
    <w:p>
      <w:pPr>
        <w:spacing w:line="52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pPr>
        <w:spacing w:line="360" w:lineRule="auto"/>
        <w:rPr>
          <w:rFonts w:ascii="宋体" w:hAnsi="宋体" w:cs="宋体"/>
          <w:color w:val="auto"/>
          <w:sz w:val="32"/>
          <w:szCs w:val="32"/>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项目的竞标活动，并代表我方全权办理针对上述项目的所有采购程序和环节的具体事务和签署相关文件。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委托代理人（签字或者电子签名）：     法定代表人（签字或者盖章或者电子签名）：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委托代理人身份证号码：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供应商（电子签章）：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 法定代表人必须在授权委托书上签字或者盖章或者电子签名，委托代理人必须在授权委托书上签字或者电子签名，</w:t>
      </w:r>
      <w:r>
        <w:rPr>
          <w:rFonts w:hint="eastAsia" w:ascii="宋体" w:hAnsi="宋体" w:cs="宋体"/>
          <w:b/>
          <w:color w:val="auto"/>
          <w:szCs w:val="21"/>
          <w:highlight w:val="none"/>
        </w:rPr>
        <w:t>否则其响应文件按无效响应处理。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2.法人、其他组织竞标时“我方”是指“我单位”，自然人竞标时“我方”是指“本人”。</w:t>
      </w:r>
    </w:p>
    <w:p>
      <w:pPr>
        <w:spacing w:line="360" w:lineRule="auto"/>
        <w:ind w:firstLine="420" w:firstLineChars="200"/>
        <w:jc w:val="left"/>
        <w:rPr>
          <w:rFonts w:ascii="宋体" w:hAnsi="宋体" w:cs="宋体"/>
          <w:color w:val="auto"/>
          <w:szCs w:val="21"/>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Cs w:val="21"/>
          <w:highlight w:val="none"/>
        </w:rPr>
        <w:br w:type="page"/>
      </w:r>
      <w:r>
        <w:rPr>
          <w:rFonts w:hint="eastAsia" w:ascii="宋体" w:hAnsi="宋体" w:cs="宋体"/>
          <w:color w:val="auto"/>
          <w:sz w:val="32"/>
          <w:szCs w:val="32"/>
          <w:highlight w:val="none"/>
        </w:rPr>
        <w:t>授权委托书</w:t>
      </w: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（联合体竞标格式）</w:t>
      </w: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（如有委托时）</w:t>
      </w:r>
    </w:p>
    <w:p>
      <w:pPr>
        <w:spacing w:line="360" w:lineRule="auto"/>
        <w:rPr>
          <w:rFonts w:ascii="宋体" w:hAnsi="宋体" w:cs="宋体"/>
          <w:color w:val="auto"/>
          <w:sz w:val="32"/>
          <w:szCs w:val="32"/>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本授权委托书声明：根据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（联合体其他成员名称）签订的《联合体竞标协议书》的内容，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（牵头人名称）的法定代表人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（姓名）现授权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（姓名）为联合委托代理人，并代表我方全权办理针对上述项目的所有采购程序和环节的具体事务和签署相关文件。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我方对委托代理人的签字或者电子签名事项负全部责任。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附：法定代表人身份证明书及委托代理人有效身份证正反面复印件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牵头人法定代表人（签字或者盖章或者电子签名）：</w:t>
      </w:r>
    </w:p>
    <w:p>
      <w:pPr>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牵头人（电子签章）：</w:t>
      </w:r>
    </w:p>
    <w:p>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rPr>
          <w:rFonts w:ascii="宋体" w:hAnsi="宋体" w:cs="宋体"/>
          <w:color w:val="auto"/>
          <w:szCs w:val="21"/>
          <w:highlight w:val="none"/>
        </w:rPr>
      </w:pPr>
    </w:p>
    <w:p>
      <w:pPr>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被授权人（签字或者电子签名）：</w:t>
      </w:r>
    </w:p>
    <w:p>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 法定代表人必须在授权委托书上签字或者盖章或者电子签名，委托代理人必须在授权委托书上签字或者电子签名，</w:t>
      </w:r>
      <w:r>
        <w:rPr>
          <w:rFonts w:hint="eastAsia" w:ascii="宋体" w:hAnsi="宋体" w:cs="宋体"/>
          <w:b/>
          <w:color w:val="auto"/>
          <w:szCs w:val="21"/>
          <w:highlight w:val="none"/>
        </w:rPr>
        <w:t>否则其响应文件按无效响应处理。</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2.法人、其他组织竞标时“我方”是指“我单位”，自然人竞标时“我方”是指“本人”。</w:t>
      </w:r>
    </w:p>
    <w:p>
      <w:pPr>
        <w:spacing w:line="500" w:lineRule="exact"/>
        <w:jc w:val="center"/>
        <w:rPr>
          <w:rFonts w:ascii="宋体" w:hAnsi="宋体" w:cs="宋体"/>
          <w:bCs/>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bCs/>
          <w:color w:val="auto"/>
          <w:sz w:val="32"/>
          <w:szCs w:val="32"/>
          <w:highlight w:val="none"/>
        </w:rPr>
        <w:t>商务要求偏离表格式</w:t>
      </w:r>
    </w:p>
    <w:p>
      <w:pPr>
        <w:spacing w:line="500" w:lineRule="exact"/>
        <w:jc w:val="center"/>
        <w:rPr>
          <w:rFonts w:ascii="宋体" w:hAnsi="宋体" w:cs="宋体"/>
          <w:b/>
          <w:i/>
          <w:color w:val="auto"/>
          <w:sz w:val="32"/>
          <w:szCs w:val="32"/>
          <w:highlight w:val="none"/>
        </w:rPr>
      </w:pPr>
      <w:r>
        <w:rPr>
          <w:rFonts w:hint="eastAsia" w:ascii="宋体" w:hAnsi="宋体" w:cs="宋体"/>
          <w:bCs/>
          <w:i/>
          <w:color w:val="auto"/>
          <w:sz w:val="32"/>
          <w:szCs w:val="32"/>
          <w:highlight w:val="none"/>
        </w:rPr>
        <w:t>（注：按采购需求具体条款修改）</w:t>
      </w:r>
    </w:p>
    <w:p>
      <w:pPr>
        <w:snapToGrid w:val="0"/>
        <w:spacing w:before="50"/>
        <w:jc w:val="left"/>
        <w:rPr>
          <w:rFonts w:ascii="宋体" w:hAnsi="宋体" w:cs="宋体"/>
          <w:color w:val="auto"/>
          <w:sz w:val="24"/>
          <w:highlight w:val="none"/>
        </w:rPr>
      </w:pPr>
    </w:p>
    <w:p>
      <w:pPr>
        <w:pStyle w:val="15"/>
        <w:spacing w:line="360" w:lineRule="auto"/>
        <w:rPr>
          <w:rFonts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 xml:space="preserve">              </w:t>
      </w:r>
    </w:p>
    <w:tbl>
      <w:tblPr>
        <w:tblStyle w:val="27"/>
        <w:tblpPr w:leftFromText="180" w:rightFromText="180" w:vertAnchor="text" w:horzAnchor="margin" w:tblpY="311"/>
        <w:tblOverlap w:val="never"/>
        <w:tblW w:w="93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9"/>
        <w:gridCol w:w="2669"/>
        <w:gridCol w:w="2634"/>
        <w:gridCol w:w="1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66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谈判文件商务要求</w:t>
            </w: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供应商的响应</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66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p>
        </w:tc>
      </w:tr>
    </w:tbl>
    <w:p>
      <w:pPr>
        <w:pStyle w:val="12"/>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pPr>
        <w:pStyle w:val="12"/>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 说明：应对照谈判文件“第三章 采购需求”中的商务要求逐条明确响应，并作出偏离说明。</w:t>
      </w:r>
    </w:p>
    <w:p>
      <w:pPr>
        <w:pStyle w:val="12"/>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2.供应商应根据自身的承诺，对照谈判文件要求在“偏离说明”中注明“正偏离”、“负偏离”或者“无偏离”。既不属于“正偏离”也不属于“负偏离”即为“无偏离”。</w:t>
      </w:r>
    </w:p>
    <w:p>
      <w:pPr>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不按照要求填写响应内容的或者仅填写“满足或者响应”的，均按无效竞标处理。</w:t>
      </w:r>
    </w:p>
    <w:p>
      <w:pPr>
        <w:spacing w:line="360" w:lineRule="auto"/>
        <w:jc w:val="left"/>
        <w:rPr>
          <w:rFonts w:ascii="宋体" w:hAnsi="宋体" w:cs="宋体"/>
          <w:color w:val="auto"/>
          <w:szCs w:val="21"/>
          <w:highlight w:val="none"/>
          <w:u w:val="single"/>
        </w:rPr>
      </w:pPr>
    </w:p>
    <w:p>
      <w:pPr>
        <w:spacing w:line="360" w:lineRule="auto"/>
        <w:ind w:right="-817" w:rightChars="-389"/>
        <w:contextualSpacing/>
        <w:rPr>
          <w:rFonts w:ascii="宋体" w:hAnsi="宋体" w:cs="宋体"/>
          <w:color w:val="auto"/>
          <w:szCs w:val="21"/>
          <w:highlight w:val="none"/>
        </w:rPr>
      </w:pPr>
    </w:p>
    <w:p>
      <w:pPr>
        <w:spacing w:line="360" w:lineRule="auto"/>
        <w:ind w:right="-817" w:rightChars="-389"/>
        <w:contextualSpacing/>
        <w:jc w:val="center"/>
        <w:rPr>
          <w:rFonts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p>
    <w:p>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 xml:space="preserve">供应商（电子签章）：      </w:t>
      </w:r>
    </w:p>
    <w:p>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日期：   年   月   日</w:t>
      </w: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br w:type="page"/>
      </w:r>
      <w:r>
        <w:rPr>
          <w:rFonts w:hint="eastAsia" w:ascii="宋体" w:hAnsi="宋体" w:cs="宋体"/>
          <w:bCs/>
          <w:color w:val="auto"/>
          <w:sz w:val="32"/>
          <w:szCs w:val="32"/>
          <w:highlight w:val="none"/>
        </w:rPr>
        <w:t>货物配置清单</w:t>
      </w:r>
    </w:p>
    <w:p>
      <w:pPr>
        <w:spacing w:line="30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所竞分标：</w:t>
      </w:r>
      <w:r>
        <w:rPr>
          <w:rFonts w:hint="eastAsia" w:ascii="宋体" w:hAnsi="宋体" w:cs="宋体"/>
          <w:color w:val="auto"/>
          <w:szCs w:val="21"/>
          <w:highlight w:val="none"/>
          <w:u w:val="single"/>
        </w:rPr>
        <w:t xml:space="preserve">                 </w:t>
      </w:r>
    </w:p>
    <w:tbl>
      <w:tblPr>
        <w:tblStyle w:val="27"/>
        <w:tblW w:w="91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270"/>
        <w:gridCol w:w="819"/>
        <w:gridCol w:w="912"/>
        <w:gridCol w:w="1821"/>
        <w:gridCol w:w="1270"/>
        <w:gridCol w:w="752"/>
        <w:gridCol w:w="1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品牌</w:t>
            </w:r>
          </w:p>
        </w:tc>
        <w:tc>
          <w:tcPr>
            <w:tcW w:w="182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Cs w:val="21"/>
                <w:highlight w:val="none"/>
              </w:rPr>
            </w:pPr>
          </w:p>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制造商</w:t>
            </w: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原产地</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tabs>
          <w:tab w:val="left" w:pos="1065"/>
        </w:tabs>
        <w:adjustRightInd w:val="0"/>
        <w:spacing w:line="360" w:lineRule="auto"/>
        <w:rPr>
          <w:rFonts w:ascii="宋体" w:hAnsi="宋体" w:cs="宋体"/>
          <w:color w:val="auto"/>
          <w:szCs w:val="21"/>
          <w:highlight w:val="none"/>
        </w:rPr>
      </w:pPr>
      <w:r>
        <w:rPr>
          <w:rFonts w:hint="eastAsia" w:ascii="宋体" w:hAnsi="宋体" w:eastAsia="宋体" w:cs="宋体"/>
          <w:b w:val="0"/>
          <w:bCs w:val="0"/>
          <w:color w:val="auto"/>
          <w:sz w:val="21"/>
          <w:szCs w:val="21"/>
          <w:highlight w:val="none"/>
        </w:rPr>
        <w:t>以上货物配置清单中“标的名称、数量及单位、品牌、规格型号、制造商、原产地、参数性能、指标及配置”必须如实填写完整</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除“施工、辅材及集成服务”外，其他标的的品牌、型号、制造商等</w:t>
      </w:r>
      <w:r>
        <w:rPr>
          <w:rFonts w:hint="eastAsia" w:ascii="宋体" w:hAnsi="宋体" w:eastAsia="宋体" w:cs="宋体"/>
          <w:b/>
          <w:bCs/>
          <w:color w:val="auto"/>
          <w:sz w:val="21"/>
          <w:szCs w:val="21"/>
          <w:highlight w:val="none"/>
          <w:lang w:eastAsia="zh-CN"/>
        </w:rPr>
        <w:t>必</w:t>
      </w:r>
      <w:r>
        <w:rPr>
          <w:rFonts w:hint="eastAsia" w:ascii="宋体" w:hAnsi="宋体" w:eastAsia="宋体" w:cs="宋体"/>
          <w:b/>
          <w:bCs/>
          <w:color w:val="auto"/>
          <w:sz w:val="21"/>
          <w:szCs w:val="21"/>
          <w:highlight w:val="none"/>
        </w:rPr>
        <w:t>须填写具体，不能简单填写国产、定制等，</w:t>
      </w:r>
      <w:r>
        <w:rPr>
          <w:rFonts w:hint="eastAsia" w:ascii="宋体" w:hAnsi="宋体" w:eastAsia="宋体" w:cs="宋体"/>
          <w:b w:val="0"/>
          <w:bCs w:val="0"/>
          <w:color w:val="auto"/>
          <w:sz w:val="21"/>
          <w:szCs w:val="21"/>
          <w:highlight w:val="none"/>
        </w:rPr>
        <w:t>品牌、规格型号没有则填无，填写有缺漏的，响应文件按无效处理。标的名称、数量及单位、品牌必须与“竞标报价表”一致，否则响应文件按无效处理。</w:t>
      </w:r>
      <w:r>
        <w:rPr>
          <w:rFonts w:hint="eastAsia" w:ascii="宋体" w:hAnsi="宋体" w:cs="宋体"/>
          <w:color w:val="auto"/>
          <w:szCs w:val="21"/>
          <w:highlight w:val="none"/>
        </w:rPr>
        <w:tab/>
      </w:r>
    </w:p>
    <w:p>
      <w:pPr>
        <w:adjustRightInd w:val="0"/>
        <w:spacing w:line="360" w:lineRule="auto"/>
        <w:jc w:val="left"/>
        <w:rPr>
          <w:rFonts w:ascii="宋体" w:hAnsi="宋体" w:cs="宋体"/>
          <w:color w:val="auto"/>
          <w:szCs w:val="21"/>
          <w:highlight w:val="none"/>
        </w:rPr>
      </w:pPr>
    </w:p>
    <w:p>
      <w:pPr>
        <w:adjustRightInd w:val="0"/>
        <w:spacing w:line="360" w:lineRule="auto"/>
        <w:jc w:val="left"/>
        <w:rPr>
          <w:rFonts w:ascii="宋体" w:hAnsi="宋体" w:cs="宋体"/>
          <w:color w:val="auto"/>
          <w:szCs w:val="21"/>
          <w:highlight w:val="none"/>
        </w:rPr>
      </w:pPr>
    </w:p>
    <w:p>
      <w:pPr>
        <w:adjustRightInd w:val="0"/>
        <w:spacing w:line="360" w:lineRule="auto"/>
        <w:jc w:val="left"/>
        <w:rPr>
          <w:rFonts w:ascii="宋体" w:hAnsi="宋体" w:cs="宋体"/>
          <w:color w:val="auto"/>
          <w:szCs w:val="21"/>
          <w:highlight w:val="none"/>
        </w:rPr>
      </w:pPr>
    </w:p>
    <w:p>
      <w:pPr>
        <w:spacing w:line="360" w:lineRule="auto"/>
        <w:ind w:right="-817" w:rightChars="-389"/>
        <w:contextualSpacing/>
        <w:jc w:val="center"/>
        <w:rPr>
          <w:rFonts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p>
    <w:p>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 xml:space="preserve">供应商（电子签章）：      </w:t>
      </w:r>
    </w:p>
    <w:p>
      <w:pPr>
        <w:spacing w:line="360" w:lineRule="auto"/>
        <w:ind w:right="-817" w:rightChars="-389" w:firstLine="2520" w:firstLineChars="1200"/>
        <w:contextualSpacing/>
        <w:rPr>
          <w:rFonts w:ascii="宋体" w:hAnsi="宋体" w:cs="宋体"/>
          <w:b/>
          <w:color w:val="auto"/>
          <w:szCs w:val="21"/>
          <w:highlight w:val="none"/>
        </w:rPr>
      </w:pPr>
      <w:r>
        <w:rPr>
          <w:rFonts w:hint="eastAsia" w:ascii="宋体" w:hAnsi="宋体" w:cs="宋体"/>
          <w:color w:val="auto"/>
          <w:szCs w:val="21"/>
          <w:highlight w:val="none"/>
        </w:rPr>
        <w:t>日期：   年   月   日</w:t>
      </w: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jc w:val="center"/>
        <w:rPr>
          <w:rFonts w:ascii="宋体" w:hAnsi="宋体" w:cs="宋体"/>
          <w:bCs/>
          <w:color w:val="auto"/>
          <w:sz w:val="32"/>
          <w:szCs w:val="32"/>
          <w:highlight w:val="none"/>
        </w:rPr>
      </w:pPr>
      <w:r>
        <w:rPr>
          <w:rFonts w:hint="eastAsia" w:ascii="宋体" w:hAnsi="宋体" w:cs="宋体"/>
          <w:bCs/>
          <w:color w:val="auto"/>
          <w:sz w:val="44"/>
          <w:szCs w:val="44"/>
          <w:highlight w:val="none"/>
        </w:rPr>
        <w:br w:type="page"/>
      </w:r>
      <w:r>
        <w:rPr>
          <w:rFonts w:hint="eastAsia" w:ascii="宋体" w:hAnsi="宋体" w:cs="宋体"/>
          <w:bCs/>
          <w:color w:val="auto"/>
          <w:sz w:val="32"/>
          <w:szCs w:val="32"/>
          <w:highlight w:val="none"/>
        </w:rPr>
        <w:t>技术要求偏离表</w:t>
      </w:r>
    </w:p>
    <w:p>
      <w:pPr>
        <w:spacing w:line="520" w:lineRule="exact"/>
        <w:rPr>
          <w:rFonts w:ascii="宋体" w:hAnsi="宋体" w:cs="宋体"/>
          <w:color w:val="auto"/>
          <w:sz w:val="32"/>
          <w:szCs w:val="32"/>
          <w:highlight w:val="none"/>
        </w:rPr>
      </w:pP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分标号：</w:t>
      </w:r>
      <w:r>
        <w:rPr>
          <w:rFonts w:hint="eastAsia" w:ascii="宋体" w:hAnsi="宋体" w:cs="宋体"/>
          <w:color w:val="auto"/>
          <w:szCs w:val="21"/>
          <w:highlight w:val="none"/>
          <w:u w:val="single"/>
        </w:rPr>
        <w:t xml:space="preserve">                       </w:t>
      </w:r>
    </w:p>
    <w:tbl>
      <w:tblPr>
        <w:tblStyle w:val="27"/>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918"/>
        <w:gridCol w:w="3048"/>
        <w:gridCol w:w="2743"/>
        <w:gridCol w:w="14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4"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918" w:type="dxa"/>
            <w:tcBorders>
              <w:top w:val="single" w:color="auto" w:sz="4"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3048" w:type="dxa"/>
            <w:tcBorders>
              <w:top w:val="single" w:color="auto" w:sz="4"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谈判文件要求</w:t>
            </w:r>
          </w:p>
        </w:tc>
        <w:tc>
          <w:tcPr>
            <w:tcW w:w="2743" w:type="dxa"/>
            <w:tcBorders>
              <w:top w:val="single" w:color="auto" w:sz="4"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竞标响应</w:t>
            </w:r>
          </w:p>
        </w:tc>
        <w:tc>
          <w:tcPr>
            <w:tcW w:w="1497" w:type="dxa"/>
            <w:tcBorders>
              <w:top w:val="single" w:color="auto" w:sz="4"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918"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918"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918"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918"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918"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 w:type="dxa"/>
            <w:tcBorders>
              <w:top w:val="single" w:color="auto" w:sz="6" w:space="0"/>
              <w:left w:val="single" w:color="auto" w:sz="4" w:space="0"/>
              <w:bottom w:val="single" w:color="auto" w:sz="4"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918" w:type="dxa"/>
            <w:tcBorders>
              <w:top w:val="single" w:color="auto" w:sz="6" w:space="0"/>
              <w:left w:val="single" w:color="auto" w:sz="6" w:space="0"/>
              <w:bottom w:val="single" w:color="auto" w:sz="4"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4"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4"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4"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bl>
    <w:p>
      <w:pPr>
        <w:pStyle w:val="13"/>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3"/>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说明：应对照谈判文件“第三章 采购需求”中的技术要求逐条实质性响应，并作出偏离说明。</w:t>
      </w:r>
    </w:p>
    <w:p>
      <w:pPr>
        <w:pStyle w:val="13"/>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2.供应商应根据竞标设备的性能指标，对照谈判文件要求，在“偏离说明”中注明“正偏离”、“负偏离”或者“无偏离”。既不属于“正偏离”也不属于“负偏离”即为“无偏离”。</w:t>
      </w:r>
    </w:p>
    <w:p>
      <w:pPr>
        <w:pStyle w:val="13"/>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pPr>
        <w:pStyle w:val="13"/>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 如技术要求偏离表中的竞标响应与佐证材料不一致的，以佐证材料为准。</w:t>
      </w:r>
    </w:p>
    <w:p>
      <w:pPr>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不按照要求填写响应内容的或者仅填写“满足或者响应”的，均按无效竞标处理。</w:t>
      </w:r>
    </w:p>
    <w:p>
      <w:pPr>
        <w:pStyle w:val="13"/>
        <w:spacing w:line="360" w:lineRule="auto"/>
        <w:ind w:firstLine="0" w:firstLineChars="0"/>
        <w:rPr>
          <w:rFonts w:ascii="宋体" w:hAnsi="宋体" w:eastAsia="宋体" w:cs="宋体"/>
          <w:color w:val="auto"/>
          <w:sz w:val="21"/>
          <w:szCs w:val="21"/>
          <w:highlight w:val="none"/>
        </w:rPr>
      </w:pPr>
    </w:p>
    <w:p>
      <w:pPr>
        <w:spacing w:line="360" w:lineRule="auto"/>
        <w:ind w:right="-817" w:rightChars="-389"/>
        <w:contextualSpacing/>
        <w:rPr>
          <w:rFonts w:ascii="宋体" w:hAnsi="宋体" w:cs="宋体"/>
          <w:color w:val="auto"/>
          <w:szCs w:val="21"/>
          <w:highlight w:val="none"/>
        </w:rPr>
      </w:pPr>
    </w:p>
    <w:p>
      <w:pPr>
        <w:spacing w:line="360" w:lineRule="auto"/>
        <w:ind w:right="-817" w:rightChars="-389"/>
        <w:contextualSpacing/>
        <w:jc w:val="center"/>
        <w:rPr>
          <w:rFonts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p>
    <w:p>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 xml:space="preserve">供应商（电子签章）：      </w:t>
      </w:r>
    </w:p>
    <w:p>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0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pPr>
        <w:adjustRightInd w:val="0"/>
        <w:snapToGrid w:val="0"/>
        <w:spacing w:line="300" w:lineRule="auto"/>
        <w:jc w:val="center"/>
        <w:rPr>
          <w:rFonts w:ascii="宋体" w:hAnsi="宋体" w:cs="宋体"/>
          <w:bCs/>
          <w:color w:val="auto"/>
          <w:sz w:val="32"/>
          <w:szCs w:val="32"/>
          <w:highlight w:val="none"/>
        </w:rPr>
      </w:pPr>
      <w:bookmarkStart w:id="79" w:name="_Toc71365383"/>
      <w:bookmarkStart w:id="80" w:name="_Toc71366061"/>
      <w:r>
        <w:rPr>
          <w:rFonts w:hint="eastAsia" w:ascii="宋体" w:hAnsi="宋体" w:cs="宋体"/>
          <w:bCs/>
          <w:color w:val="auto"/>
          <w:sz w:val="32"/>
          <w:szCs w:val="32"/>
          <w:highlight w:val="none"/>
        </w:rPr>
        <w:t>中小企业声明函（货物）</w:t>
      </w:r>
      <w:bookmarkEnd w:id="79"/>
      <w:bookmarkEnd w:id="80"/>
    </w:p>
    <w:p>
      <w:pPr>
        <w:rPr>
          <w:rFonts w:ascii="宋体" w:hAnsi="宋体" w:cs="宋体"/>
          <w:color w:val="auto"/>
          <w:szCs w:val="21"/>
          <w:highlight w:val="none"/>
        </w:rPr>
      </w:pPr>
    </w:p>
    <w:p>
      <w:pPr>
        <w:pStyle w:val="3"/>
        <w:spacing w:after="0" w:line="360" w:lineRule="auto"/>
        <w:ind w:left="-426" w:right="142" w:firstLine="640"/>
        <w:contextualSpacing/>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tabs>
          <w:tab w:val="left" w:pos="1065"/>
          <w:tab w:val="left" w:pos="6477"/>
        </w:tabs>
        <w:spacing w:line="360" w:lineRule="auto"/>
        <w:ind w:left="-426" w:right="-58" w:firstLine="655"/>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3"/>
        <w:spacing w:after="0" w:line="360" w:lineRule="auto"/>
        <w:ind w:left="142" w:right="142"/>
        <w:contextualSpacing/>
        <w:rPr>
          <w:rFonts w:ascii="宋体" w:hAnsi="宋体" w:cs="宋体"/>
          <w:color w:val="auto"/>
          <w:szCs w:val="21"/>
          <w:highlight w:val="none"/>
        </w:rPr>
      </w:pPr>
      <w:r>
        <w:rPr>
          <w:rFonts w:hint="eastAsia" w:ascii="宋体" w:hAnsi="宋体" w:cs="宋体"/>
          <w:color w:val="auto"/>
          <w:szCs w:val="21"/>
          <w:highlight w:val="none"/>
        </w:rPr>
        <w:t xml:space="preserve">…… </w:t>
      </w:r>
    </w:p>
    <w:p>
      <w:pPr>
        <w:pStyle w:val="3"/>
        <w:spacing w:after="0" w:line="360" w:lineRule="auto"/>
        <w:ind w:left="-405" w:leftChars="-193" w:right="142" w:firstLine="396" w:firstLineChars="189"/>
        <w:contextualSpacing/>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pStyle w:val="3"/>
        <w:spacing w:after="0" w:line="360" w:lineRule="auto"/>
        <w:ind w:left="-426" w:right="142" w:firstLine="567"/>
        <w:contextualSpacing/>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pStyle w:val="3"/>
        <w:spacing w:after="0" w:line="360" w:lineRule="auto"/>
        <w:ind w:left="3960" w:right="1808"/>
        <w:contextualSpacing/>
        <w:rPr>
          <w:rFonts w:ascii="宋体" w:hAnsi="宋体" w:cs="宋体"/>
          <w:color w:val="auto"/>
          <w:szCs w:val="21"/>
          <w:highlight w:val="none"/>
        </w:rPr>
      </w:pPr>
    </w:p>
    <w:p>
      <w:pPr>
        <w:pStyle w:val="3"/>
        <w:spacing w:after="0" w:line="360" w:lineRule="auto"/>
        <w:ind w:left="3960" w:right="1808"/>
        <w:contextualSpacing/>
        <w:rPr>
          <w:rFonts w:ascii="宋体" w:hAnsi="宋体" w:cs="宋体"/>
          <w:color w:val="auto"/>
          <w:szCs w:val="21"/>
          <w:highlight w:val="none"/>
        </w:rPr>
      </w:pPr>
      <w:r>
        <w:rPr>
          <w:rFonts w:hint="eastAsia" w:ascii="宋体" w:hAnsi="宋体" w:cs="宋体"/>
          <w:color w:val="auto"/>
          <w:szCs w:val="21"/>
          <w:highlight w:val="none"/>
        </w:rPr>
        <w:t xml:space="preserve">企业名称（章）： </w:t>
      </w:r>
    </w:p>
    <w:p>
      <w:pPr>
        <w:pStyle w:val="3"/>
        <w:spacing w:after="0" w:line="360" w:lineRule="auto"/>
        <w:ind w:left="3960" w:right="1808"/>
        <w:contextualSpacing/>
        <w:rPr>
          <w:rFonts w:ascii="宋体" w:hAnsi="宋体" w:cs="宋体"/>
          <w:color w:val="auto"/>
          <w:szCs w:val="21"/>
          <w:highlight w:val="none"/>
        </w:rPr>
      </w:pPr>
      <w:r>
        <w:rPr>
          <w:rFonts w:hint="eastAsia" w:ascii="宋体" w:hAnsi="宋体" w:cs="宋体"/>
          <w:color w:val="auto"/>
          <w:szCs w:val="21"/>
          <w:highlight w:val="none"/>
        </w:rPr>
        <w:t>日 期：</w:t>
      </w:r>
    </w:p>
    <w:p>
      <w:pPr>
        <w:pStyle w:val="3"/>
        <w:spacing w:after="0" w:line="360" w:lineRule="auto"/>
        <w:ind w:left="3960" w:right="1808"/>
        <w:contextualSpacing/>
        <w:rPr>
          <w:rFonts w:ascii="宋体" w:hAnsi="宋体" w:cs="宋体"/>
          <w:color w:val="auto"/>
          <w:szCs w:val="21"/>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jc w:val="center"/>
        <w:rPr>
          <w:rFonts w:ascii="宋体" w:hAnsi="宋体" w:cs="宋体"/>
          <w:color w:val="auto"/>
          <w:sz w:val="32"/>
          <w:szCs w:val="32"/>
          <w:highlight w:val="none"/>
        </w:rPr>
      </w:pPr>
      <w:r>
        <w:rPr>
          <w:rFonts w:hint="eastAsia" w:ascii="宋体" w:hAnsi="宋体" w:cs="宋体"/>
          <w:color w:val="auto"/>
          <w:szCs w:val="21"/>
          <w:highlight w:val="none"/>
        </w:rPr>
        <w:br w:type="page"/>
      </w:r>
      <w:r>
        <w:rPr>
          <w:rFonts w:hint="eastAsia" w:ascii="宋体" w:hAnsi="宋体" w:cs="宋体"/>
          <w:color w:val="auto"/>
          <w:sz w:val="32"/>
          <w:szCs w:val="32"/>
          <w:highlight w:val="none"/>
        </w:rPr>
        <w:t>残疾人福利性单位声明函</w:t>
      </w:r>
    </w:p>
    <w:p>
      <w:pPr>
        <w:spacing w:line="520" w:lineRule="exact"/>
        <w:rPr>
          <w:rFonts w:ascii="宋体" w:hAnsi="宋体" w:cs="宋体"/>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2100" w:firstLineChars="1000"/>
        <w:rPr>
          <w:rFonts w:ascii="宋体" w:hAnsi="宋体" w:cs="宋体"/>
          <w:color w:val="auto"/>
          <w:szCs w:val="21"/>
          <w:highlight w:val="none"/>
        </w:rPr>
      </w:pPr>
      <w:r>
        <w:rPr>
          <w:rFonts w:hint="eastAsia" w:ascii="宋体" w:hAnsi="宋体" w:cs="宋体"/>
          <w:color w:val="auto"/>
          <w:szCs w:val="21"/>
          <w:highlight w:val="none"/>
        </w:rPr>
        <w:t>单位名称（盖章）：</w:t>
      </w:r>
    </w:p>
    <w:p>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日  期：</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color w:val="auto"/>
          <w:sz w:val="32"/>
          <w:szCs w:val="32"/>
          <w:highlight w:val="none"/>
        </w:rPr>
        <w:t>质疑函（格式）</w:t>
      </w:r>
    </w:p>
    <w:p>
      <w:pPr>
        <w:spacing w:line="360" w:lineRule="auto"/>
        <w:jc w:val="center"/>
        <w:rPr>
          <w:rFonts w:ascii="宋体" w:hAnsi="宋体" w:cs="宋体"/>
          <w:b/>
          <w:bCs/>
          <w:color w:val="auto"/>
          <w:sz w:val="32"/>
          <w:szCs w:val="32"/>
          <w:highlight w:val="none"/>
        </w:rPr>
      </w:pPr>
    </w:p>
    <w:p>
      <w:pPr>
        <w:pStyle w:val="15"/>
        <w:spacing w:line="320" w:lineRule="exact"/>
        <w:ind w:firstLine="422" w:firstLineChars="200"/>
        <w:rPr>
          <w:rFonts w:hAnsi="宋体" w:cs="宋体"/>
          <w:b/>
          <w:bCs/>
          <w:color w:val="auto"/>
          <w:sz w:val="21"/>
          <w:highlight w:val="none"/>
        </w:rPr>
      </w:pPr>
      <w:r>
        <w:rPr>
          <w:rFonts w:hint="eastAsia" w:hAnsi="宋体" w:cs="宋体"/>
          <w:b/>
          <w:bCs/>
          <w:color w:val="auto"/>
          <w:sz w:val="21"/>
          <w:highlight w:val="none"/>
        </w:rPr>
        <w:t>一、质疑供应商基本信息：</w:t>
      </w:r>
    </w:p>
    <w:p>
      <w:pPr>
        <w:pStyle w:val="15"/>
        <w:spacing w:line="3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质疑供应商：</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5"/>
        <w:spacing w:line="320" w:lineRule="exact"/>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5"/>
        <w:spacing w:line="320" w:lineRule="exact"/>
        <w:ind w:firstLine="420" w:firstLineChars="200"/>
        <w:rPr>
          <w:rFonts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firstLine="420" w:firstLineChars="200"/>
        <w:rPr>
          <w:rFonts w:hint="eastAsia" w:hAnsi="宋体" w:eastAsia="宋体" w:cs="宋体"/>
          <w:bCs/>
          <w:color w:val="auto"/>
          <w:sz w:val="21"/>
          <w:highlight w:val="none"/>
          <w:lang w:val="en-US" w:eastAsia="zh-CN"/>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p>
    <w:p>
      <w:pPr>
        <w:pStyle w:val="15"/>
        <w:spacing w:line="3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5"/>
        <w:spacing w:line="320" w:lineRule="exact"/>
        <w:ind w:firstLine="422" w:firstLineChars="200"/>
        <w:rPr>
          <w:rFonts w:hAnsi="宋体" w:cs="宋体"/>
          <w:b/>
          <w:bCs/>
          <w:color w:val="auto"/>
          <w:sz w:val="21"/>
          <w:highlight w:val="none"/>
        </w:rPr>
      </w:pPr>
      <w:r>
        <w:rPr>
          <w:rFonts w:hint="eastAsia" w:hAnsi="宋体" w:cs="宋体"/>
          <w:b/>
          <w:bCs/>
          <w:color w:val="auto"/>
          <w:sz w:val="21"/>
          <w:highlight w:val="none"/>
        </w:rPr>
        <w:t>二、质疑项目基本情况：</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w:t>
      </w:r>
    </w:p>
    <w:p>
      <w:pPr>
        <w:pStyle w:val="15"/>
        <w:spacing w:line="320" w:lineRule="exact"/>
        <w:ind w:left="25" w:leftChars="12" w:firstLine="308" w:firstLineChars="147"/>
        <w:contextualSpacing/>
        <w:rPr>
          <w:rFonts w:hAnsi="宋体" w:cs="宋体"/>
          <w:color w:val="auto"/>
          <w:sz w:val="21"/>
          <w:highlight w:val="none"/>
        </w:rPr>
      </w:pPr>
      <w:r>
        <w:rPr>
          <w:rFonts w:hint="eastAsia" w:hAnsi="宋体" w:cs="宋体"/>
          <w:color w:val="auto"/>
          <w:sz w:val="21"/>
          <w:highlight w:val="none"/>
        </w:rPr>
        <w:t>□采购文件   采购文件获取日期：</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left="25" w:leftChars="12" w:firstLine="308" w:firstLineChars="147"/>
        <w:contextualSpacing/>
        <w:rPr>
          <w:rFonts w:hAnsi="宋体" w:cs="宋体"/>
          <w:color w:val="auto"/>
          <w:sz w:val="21"/>
          <w:highlight w:val="none"/>
        </w:rPr>
      </w:pPr>
      <w:r>
        <w:rPr>
          <w:rFonts w:hint="eastAsia" w:hAnsi="宋体" w:cs="宋体"/>
          <w:color w:val="auto"/>
          <w:sz w:val="21"/>
          <w:highlight w:val="none"/>
        </w:rPr>
        <w:t xml:space="preserve">□采购过程   </w:t>
      </w:r>
    </w:p>
    <w:p>
      <w:pPr>
        <w:pStyle w:val="15"/>
        <w:spacing w:line="320" w:lineRule="exact"/>
        <w:ind w:left="25" w:leftChars="12" w:firstLine="308" w:firstLineChars="147"/>
        <w:contextualSpacing/>
        <w:rPr>
          <w:rFonts w:hAnsi="宋体" w:cs="宋体"/>
          <w:bCs/>
          <w:color w:val="auto"/>
          <w:sz w:val="21"/>
          <w:highlight w:val="none"/>
          <w:u w:val="single"/>
        </w:rPr>
      </w:pPr>
      <w:r>
        <w:rPr>
          <w:rFonts w:hint="eastAsia" w:hAnsi="宋体" w:cs="宋体"/>
          <w:color w:val="auto"/>
          <w:sz w:val="21"/>
          <w:highlight w:val="none"/>
        </w:rPr>
        <w:t xml:space="preserve">□成交结果   </w:t>
      </w:r>
    </w:p>
    <w:p>
      <w:pPr>
        <w:pStyle w:val="15"/>
        <w:spacing w:line="320" w:lineRule="exact"/>
        <w:ind w:left="25" w:leftChars="12" w:firstLine="413" w:firstLineChars="196"/>
        <w:contextualSpacing/>
        <w:rPr>
          <w:rFonts w:hAnsi="宋体" w:cs="宋体"/>
          <w:b/>
          <w:color w:val="auto"/>
          <w:sz w:val="21"/>
          <w:highlight w:val="none"/>
        </w:rPr>
      </w:pPr>
      <w:r>
        <w:rPr>
          <w:rFonts w:hint="eastAsia" w:hAnsi="宋体" w:cs="宋体"/>
          <w:b/>
          <w:color w:val="auto"/>
          <w:sz w:val="21"/>
          <w:highlight w:val="none"/>
        </w:rPr>
        <w:t>三、质疑事项具体内容</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质疑事项1：</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事实依据：</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法律依据：</w:t>
      </w:r>
      <w:r>
        <w:rPr>
          <w:rFonts w:hint="eastAsia" w:hAnsi="宋体" w:cs="宋体"/>
          <w:color w:val="auto"/>
          <w:sz w:val="21"/>
          <w:highlight w:val="none"/>
          <w:u w:val="single"/>
        </w:rPr>
        <w:t xml:space="preserve">                                                 </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质疑事项2</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四、与质疑事项相关的质疑请求：</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left="25" w:leftChars="12" w:firstLine="308" w:firstLineChars="147"/>
        <w:contextualSpacing/>
        <w:rPr>
          <w:rFonts w:hAnsi="宋体" w:cs="宋体"/>
          <w:color w:val="auto"/>
          <w:sz w:val="21"/>
          <w:highlight w:val="none"/>
        </w:rPr>
      </w:pP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签字（签章）：                                       公章：</w:t>
      </w:r>
    </w:p>
    <w:p>
      <w:pPr>
        <w:pStyle w:val="15"/>
        <w:spacing w:line="320" w:lineRule="exact"/>
        <w:ind w:left="25" w:leftChars="12" w:firstLine="308" w:firstLineChars="147"/>
        <w:contextualSpacing/>
        <w:rPr>
          <w:rFonts w:hAnsi="宋体" w:cs="宋体"/>
          <w:color w:val="auto"/>
          <w:sz w:val="21"/>
          <w:highlight w:val="none"/>
        </w:rPr>
      </w:pP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日期：</w:t>
      </w:r>
    </w:p>
    <w:p>
      <w:pPr>
        <w:pStyle w:val="15"/>
        <w:spacing w:line="320" w:lineRule="exact"/>
        <w:rPr>
          <w:rFonts w:hAnsi="宋体" w:cs="宋体"/>
          <w:b/>
          <w:color w:val="auto"/>
          <w:sz w:val="24"/>
          <w:szCs w:val="24"/>
          <w:highlight w:val="none"/>
        </w:rPr>
      </w:pPr>
    </w:p>
    <w:p>
      <w:pPr>
        <w:pStyle w:val="15"/>
        <w:spacing w:line="320" w:lineRule="exact"/>
        <w:rPr>
          <w:rFonts w:hAnsi="宋体" w:cs="宋体"/>
          <w:b/>
          <w:color w:val="auto"/>
          <w:sz w:val="21"/>
          <w:highlight w:val="none"/>
        </w:rPr>
      </w:pPr>
      <w:r>
        <w:rPr>
          <w:rFonts w:hint="eastAsia" w:hAnsi="宋体" w:cs="宋体"/>
          <w:b/>
          <w:color w:val="auto"/>
          <w:sz w:val="21"/>
          <w:highlight w:val="none"/>
        </w:rPr>
        <w:t>说明：</w:t>
      </w:r>
    </w:p>
    <w:p>
      <w:pPr>
        <w:pStyle w:val="15"/>
        <w:spacing w:line="320" w:lineRule="exact"/>
        <w:ind w:left="25" w:leftChars="12" w:firstLine="310" w:firstLineChars="147"/>
        <w:contextualSpacing/>
        <w:rPr>
          <w:rFonts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4.质疑函的质疑请求应与质疑事项相关。</w:t>
      </w:r>
    </w:p>
    <w:p>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pPr>
        <w:pStyle w:val="4"/>
        <w:jc w:val="center"/>
        <w:rPr>
          <w:rFonts w:hint="eastAsia" w:ascii="宋体" w:hAnsi="宋体" w:cs="宋体"/>
          <w:b w:val="0"/>
          <w:bCs w:val="0"/>
          <w:color w:val="auto"/>
          <w:highlight w:val="none"/>
        </w:rPr>
      </w:pPr>
      <w:r>
        <w:rPr>
          <w:rFonts w:hint="eastAsia" w:ascii="宋体" w:hAnsi="宋体" w:cs="宋体"/>
          <w:b w:val="0"/>
          <w:bCs w:val="0"/>
          <w:color w:val="auto"/>
          <w:highlight w:val="none"/>
        </w:rPr>
        <w:br w:type="page"/>
      </w:r>
      <w:bookmarkStart w:id="81" w:name="_Toc129703553"/>
      <w:bookmarkStart w:id="82" w:name="_Toc3096"/>
    </w:p>
    <w:p>
      <w:pPr>
        <w:pStyle w:val="4"/>
        <w:jc w:val="center"/>
        <w:rPr>
          <w:rFonts w:hint="eastAsia" w:ascii="宋体" w:hAnsi="宋体" w:cs="宋体"/>
          <w:b w:val="0"/>
          <w:bCs w:val="0"/>
          <w:color w:val="auto"/>
          <w:highlight w:val="none"/>
        </w:rPr>
      </w:pPr>
    </w:p>
    <w:p>
      <w:pPr>
        <w:pStyle w:val="4"/>
        <w:jc w:val="center"/>
        <w:rPr>
          <w:rFonts w:hint="eastAsia" w:ascii="宋体" w:hAnsi="宋体" w:cs="宋体"/>
          <w:b w:val="0"/>
          <w:bCs w:val="0"/>
          <w:color w:val="auto"/>
          <w:highlight w:val="none"/>
        </w:rPr>
      </w:pPr>
    </w:p>
    <w:p>
      <w:pPr>
        <w:pStyle w:val="4"/>
        <w:jc w:val="center"/>
        <w:rPr>
          <w:rFonts w:hint="eastAsia" w:ascii="宋体" w:hAnsi="宋体" w:cs="宋体"/>
          <w:b w:val="0"/>
          <w:bCs w:val="0"/>
          <w:color w:val="auto"/>
          <w:highlight w:val="none"/>
        </w:rPr>
      </w:pPr>
    </w:p>
    <w:p>
      <w:pPr>
        <w:pStyle w:val="4"/>
        <w:jc w:val="center"/>
        <w:rPr>
          <w:rFonts w:hint="eastAsia" w:ascii="宋体" w:hAnsi="宋体" w:cs="宋体"/>
          <w:color w:val="auto"/>
          <w:highlight w:val="none"/>
        </w:rPr>
        <w:sectPr>
          <w:footerReference r:id="rId10" w:type="first"/>
          <w:pgSz w:w="11910" w:h="16840"/>
          <w:pgMar w:top="1340" w:right="1500" w:bottom="1338" w:left="1502" w:header="720" w:footer="720" w:gutter="0"/>
          <w:cols w:space="720" w:num="1"/>
        </w:sectPr>
      </w:pPr>
      <w:r>
        <w:rPr>
          <w:rFonts w:hint="eastAsia" w:ascii="宋体" w:hAnsi="宋体" w:cs="宋体"/>
          <w:color w:val="auto"/>
          <w:highlight w:val="none"/>
        </w:rPr>
        <w:t>第六章 合同文本</w:t>
      </w:r>
      <w:bookmarkEnd w:id="81"/>
      <w:bookmarkEnd w:id="82"/>
    </w:p>
    <w:p>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pPr>
        <w:snapToGrid w:val="0"/>
        <w:spacing w:line="400" w:lineRule="exact"/>
        <w:jc w:val="center"/>
        <w:rPr>
          <w:rFonts w:ascii="宋体" w:hAnsi="宋体"/>
          <w:b/>
          <w:bCs/>
          <w:color w:val="auto"/>
          <w:sz w:val="32"/>
          <w:szCs w:val="32"/>
          <w:highlight w:val="none"/>
        </w:rPr>
      </w:pPr>
      <w:r>
        <w:rPr>
          <w:rFonts w:hint="eastAsia" w:ascii="宋体" w:hAnsi="宋体"/>
          <w:b/>
          <w:color w:val="auto"/>
          <w:sz w:val="32"/>
          <w:szCs w:val="32"/>
          <w:highlight w:val="none"/>
        </w:rPr>
        <w:t>文本</w:t>
      </w:r>
    </w:p>
    <w:p>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exact"/>
        <w:rPr>
          <w:rFonts w:ascii="宋体" w:hAnsi="宋体"/>
          <w:color w:val="auto"/>
          <w:szCs w:val="21"/>
          <w:highlight w:val="none"/>
        </w:rPr>
      </w:pPr>
    </w:p>
    <w:p>
      <w:pPr>
        <w:keepNext w:val="0"/>
        <w:keepLines w:val="0"/>
        <w:pageBreakBefore w:val="0"/>
        <w:widowControl w:val="0"/>
        <w:kinsoku/>
        <w:wordWrap/>
        <w:overflowPunct/>
        <w:topLinePunct w:val="0"/>
        <w:bidi w:val="0"/>
        <w:adjustRightInd/>
        <w:snapToGrid w:val="0"/>
        <w:spacing w:line="480" w:lineRule="exact"/>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80" w:lineRule="exact"/>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80" w:lineRule="exact"/>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bidi w:val="0"/>
        <w:adjustRightInd/>
        <w:spacing w:line="48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根据《中华人民共和国政府采购法》、《中华人民共和国民法典》等法律、法规规定，按照招投标文件（采购文件）规定条款和中标（成交）供应商承诺、响应文件，甲乙双方签订本合同。</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第一条　合同标的</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1、供货一览表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183"/>
        <w:gridCol w:w="708"/>
        <w:gridCol w:w="1418"/>
        <w:gridCol w:w="1417"/>
        <w:gridCol w:w="851"/>
        <w:gridCol w:w="762"/>
        <w:gridCol w:w="1072"/>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货物名称</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商标</w:t>
            </w:r>
          </w:p>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品牌</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规格型号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生产厂家</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1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1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84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人民币合计金额：</w:t>
            </w:r>
          </w:p>
        </w:tc>
      </w:tr>
    </w:tbl>
    <w:p>
      <w:pPr>
        <w:keepNext w:val="0"/>
        <w:keepLines w:val="0"/>
        <w:pageBreakBefore w:val="0"/>
        <w:widowControl w:val="0"/>
        <w:kinsoku/>
        <w:wordWrap/>
        <w:overflowPunct/>
        <w:topLinePunct w:val="0"/>
        <w:bidi w:val="0"/>
        <w:adjustRightInd/>
        <w:snapToGrid w:val="0"/>
        <w:spacing w:line="480" w:lineRule="exact"/>
        <w:ind w:right="52"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2、合同合计金额包括（1）货物的价格；（2）必要的保险费用和各项税金；（3）其他（如运输、装卸、安装、调试、培训、技术支持、售后货物、更新升级等费用，根据项目具体情况填写）： 包括货款、随配附件、备品备件、专用工具、包装、运输、装卸、保险、运抵指定交货地点、送货上门服务、现场安装调试、保修等各种费用和售后服务、培训、税金</w:t>
      </w:r>
      <w:r>
        <w:rPr>
          <w:rFonts w:hint="eastAsia" w:ascii="宋体" w:hAnsi="宋体" w:cs="宋体"/>
          <w:color w:val="000000" w:themeColor="text1"/>
          <w:szCs w:val="21"/>
          <w:lang w:eastAsia="zh-CN"/>
          <w14:textFill>
            <w14:solidFill>
              <w14:schemeClr w14:val="tx1"/>
            </w14:solidFill>
          </w14:textFill>
        </w:rPr>
        <w:t>、招标代理服务费</w:t>
      </w:r>
      <w:r>
        <w:rPr>
          <w:rFonts w:hint="eastAsia" w:ascii="宋体" w:hAnsi="宋体" w:cs="宋体"/>
          <w:color w:val="000000" w:themeColor="text1"/>
          <w:szCs w:val="21"/>
          <w14:textFill>
            <w14:solidFill>
              <w14:schemeClr w14:val="tx1"/>
            </w14:solidFill>
          </w14:textFill>
        </w:rPr>
        <w:t>及其他所有成本费用的总和。</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第二条　质量保证</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1、乙方所提供的货物型号、技术规格、技术参数等质量必须与采购文件和承诺相一致。乙方提供的节能和环保产品必须是列入政府采购清单的产品。</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2、乙方所提供的货物必须是全新、未使用的原装产品，且在正常安装、使用和保养条件下，其使用寿命期内各项指标均达到质量要求。</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第三条　权利保证</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乙方应保证所提供货物在使用时不会侵犯任何第三方的专利权、商标权、工业设计权或其他权利。</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乙方应按采购文件规定的时间向甲方提供使用货物的有关技术资料。</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乙方保证所交付的货物的所有权完全属于乙方且无任何抵押、质押、查封等产权瑕疵。</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第四条　包装和运输</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1、乙方提供的货物均应按（招标）采购文件要求的包装材料、包装标准、包装方式进行包装，每一包装单元内应附详细的装箱单和质量合格证。</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2、货物的运输方式：</w:t>
      </w:r>
      <w:r>
        <w:rPr>
          <w:rFonts w:hint="eastAsia" w:ascii="宋体" w:hAnsi="宋体" w:cs="宋体"/>
          <w:color w:val="000000" w:themeColor="text1"/>
          <w:szCs w:val="21"/>
          <w:u w:val="single"/>
          <w14:textFill>
            <w14:solidFill>
              <w14:schemeClr w14:val="tx1"/>
            </w14:solidFill>
          </w14:textFill>
        </w:rPr>
        <w:t xml:space="preserve">  不限   </w:t>
      </w:r>
      <w:r>
        <w:rPr>
          <w:rFonts w:hint="eastAsia" w:ascii="宋体" w:hAnsi="宋体" w:cs="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3、乙方负责货物运输，货物运输合理损耗及计算方法：</w:t>
      </w:r>
      <w:r>
        <w:rPr>
          <w:rFonts w:hint="eastAsia" w:ascii="宋体" w:hAnsi="宋体" w:cs="宋体"/>
          <w:color w:val="000000" w:themeColor="text1"/>
          <w:szCs w:val="21"/>
          <w:u w:val="single"/>
          <w14:textFill>
            <w14:solidFill>
              <w14:schemeClr w14:val="tx1"/>
            </w14:solidFill>
          </w14:textFill>
        </w:rPr>
        <w:t xml:space="preserve"> 本项目合同不接受损耗 </w:t>
      </w:r>
      <w:r>
        <w:rPr>
          <w:rFonts w:hint="eastAsia" w:ascii="宋体" w:hAnsi="宋体" w:cs="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第五条　交付和验收</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交货时间</w:t>
      </w:r>
      <w:r>
        <w:rPr>
          <w:rFonts w:hint="eastAsia" w:ascii="宋体" w:hAnsi="宋体" w:cs="宋体"/>
          <w:color w:val="000000" w:themeColor="text1"/>
          <w:szCs w:val="21"/>
          <w14:textFill>
            <w14:solidFill>
              <w14:schemeClr w14:val="tx1"/>
            </w14:solidFill>
          </w14:textFill>
        </w:rPr>
        <w:t>：___________</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eastAsia="zh-CN"/>
          <w14:textFill>
            <w14:solidFill>
              <w14:schemeClr w14:val="tx1"/>
            </w14:solidFill>
          </w14:textFill>
        </w:rPr>
        <w:t>交货地点</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广西区内（南宁市指定地点）</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2、乙方提供不符合（招标）采购文件和本合同规定的货物，甲方有权拒绝接受。</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3、乙方应将所提供货物的装箱清单、用户手册、原厂保修卡、随机资料、工具和备品、备件等交付给甲方，货物属于进口产品的，供货时应同时附上中文使用说明书，如有缺失应及时补齐，否则视为逾期交货。</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bookmarkStart w:id="83" w:name="_Hlk117261937"/>
      <w:r>
        <w:rPr>
          <w:rFonts w:hint="eastAsia" w:ascii="宋体" w:hAnsi="宋体" w:cs="宋体"/>
          <w:color w:val="000000" w:themeColor="text1"/>
          <w:szCs w:val="21"/>
          <w14:textFill>
            <w14:solidFill>
              <w14:schemeClr w14:val="tx1"/>
            </w14:solidFill>
          </w14:textFill>
        </w:rPr>
        <w:t>甲方</w:t>
      </w:r>
      <w:bookmarkEnd w:id="83"/>
      <w:r>
        <w:rPr>
          <w:rFonts w:hint="eastAsia" w:ascii="宋体" w:hAnsi="宋体" w:cs="宋体"/>
          <w:color w:val="000000" w:themeColor="text1"/>
          <w:szCs w:val="21"/>
          <w14:textFill>
            <w14:solidFill>
              <w14:schemeClr w14:val="tx1"/>
            </w14:solidFill>
          </w14:textFill>
        </w:rPr>
        <w:t>应当在到货（安装、调试完）后七个工作日内进行货物验收，逾期不验收的，乙方可视同验收合格。验收合格后由甲乙双方签署货物验收单并加盖采购单位公章，甲乙双方各执一份。甲方签署的验收单并不免除乙方对标的物的质量保证责任，甲方在使用标的物过程中，存在质量问题的，乙方应承担相应责任。</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6、甲方对验收有异议的，在验收后十个工作日内以书面形式向乙方提出，乙方应自收到甲方书面异议后</w:t>
      </w:r>
      <w:r>
        <w:rPr>
          <w:rFonts w:hint="eastAsia" w:ascii="宋体" w:hAnsi="宋体" w:cs="宋体"/>
          <w:color w:val="000000" w:themeColor="text1"/>
          <w:szCs w:val="21"/>
          <w:u w:val="single"/>
          <w14:textFill>
            <w14:solidFill>
              <w14:schemeClr w14:val="tx1"/>
            </w14:solidFill>
          </w14:textFill>
        </w:rPr>
        <w:t xml:space="preserve"> 10个工作 </w:t>
      </w:r>
      <w:r>
        <w:rPr>
          <w:rFonts w:hint="eastAsia" w:ascii="宋体" w:hAnsi="宋体" w:cs="宋体"/>
          <w:color w:val="000000" w:themeColor="text1"/>
          <w:szCs w:val="21"/>
          <w14:textFill>
            <w14:solidFill>
              <w14:schemeClr w14:val="tx1"/>
            </w14:solidFill>
          </w14:textFill>
        </w:rPr>
        <w:t>日内及时予以解决。</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第六条　安装和培训</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1、甲方应提供必要安装条件（如场地、电源、水源等）。</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2、乙方负责甲方有关人员的培训。培训时间、地点：</w:t>
      </w:r>
      <w:r>
        <w:rPr>
          <w:rFonts w:hint="eastAsia" w:ascii="宋体" w:hAnsi="宋体" w:cs="宋体"/>
          <w:color w:val="000000" w:themeColor="text1"/>
          <w:szCs w:val="21"/>
          <w:u w:val="single"/>
          <w:lang w:val="en-US" w:eastAsia="zh-CN"/>
          <w14:textFill>
            <w14:solidFill>
              <w14:schemeClr w14:val="tx1"/>
            </w14:solidFill>
          </w14:textFill>
        </w:rPr>
        <w:t>详见</w:t>
      </w:r>
      <w:r>
        <w:rPr>
          <w:rFonts w:hint="eastAsia" w:ascii="宋体" w:hAnsi="宋体" w:cs="宋体"/>
          <w:color w:val="000000" w:themeColor="text1"/>
          <w:szCs w:val="21"/>
          <w:u w:val="single"/>
          <w:lang w:eastAsia="zh-CN"/>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响应文件</w:t>
      </w:r>
      <w:r>
        <w:rPr>
          <w:rFonts w:hint="eastAsia" w:ascii="宋体" w:hAnsi="宋体" w:cs="宋体"/>
          <w:color w:val="000000" w:themeColor="text1"/>
          <w:szCs w:val="21"/>
          <w:u w:val="single"/>
          <w:lang w:eastAsia="zh-CN"/>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第七条  售后服务、质保期</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1、乙方应按照国家有关法律法规和“三包”规定以及（招标）采购文件</w:t>
      </w:r>
      <w:r>
        <w:rPr>
          <w:rFonts w:hint="eastAsia" w:ascii="宋体" w:hAnsi="宋体" w:cs="宋体"/>
          <w:color w:val="000000" w:themeColor="text1"/>
          <w:szCs w:val="21"/>
          <w:lang w:val="en-US" w:eastAsia="zh-CN"/>
          <w14:textFill>
            <w14:solidFill>
              <w14:schemeClr w14:val="tx1"/>
            </w14:solidFill>
          </w14:textFill>
        </w:rPr>
        <w:t>及响应文件</w:t>
      </w:r>
      <w:r>
        <w:rPr>
          <w:rFonts w:hint="eastAsia" w:ascii="宋体" w:hAnsi="宋体" w:cs="宋体"/>
          <w:color w:val="000000" w:themeColor="text1"/>
          <w:szCs w:val="21"/>
          <w14:textFill>
            <w14:solidFill>
              <w14:schemeClr w14:val="tx1"/>
            </w14:solidFill>
          </w14:textFill>
        </w:rPr>
        <w:t>，为甲方提供售后服务。</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2、货物质保期：</w:t>
      </w:r>
      <w:r>
        <w:rPr>
          <w:rFonts w:hint="eastAsia" w:ascii="宋体" w:hAnsi="宋体" w:cs="宋体"/>
          <w:color w:val="000000" w:themeColor="text1"/>
          <w:szCs w:val="21"/>
          <w:u w:val="single"/>
          <w14:textFill>
            <w14:solidFill>
              <w14:schemeClr w14:val="tx1"/>
            </w14:solidFill>
          </w14:textFill>
        </w:rPr>
        <w:t>见《商务响应表》。</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第八条　付款方式及履约保证金</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1、资金性质：</w:t>
      </w:r>
      <w:r>
        <w:rPr>
          <w:rFonts w:hint="eastAsia" w:ascii="宋体" w:hAnsi="宋体" w:cs="宋体"/>
          <w:color w:val="000000" w:themeColor="text1"/>
          <w:szCs w:val="21"/>
          <w:u w:val="single"/>
          <w14:textFill>
            <w14:solidFill>
              <w14:schemeClr w14:val="tx1"/>
            </w14:solidFill>
          </w14:textFill>
        </w:rPr>
        <w:t>财政性资金。</w:t>
      </w:r>
    </w:p>
    <w:p>
      <w:pPr>
        <w:keepNext w:val="0"/>
        <w:keepLines w:val="0"/>
        <w:pageBreakBefore w:val="0"/>
        <w:widowControl w:val="0"/>
        <w:kinsoku/>
        <w:wordWrap/>
        <w:overflowPunct/>
        <w:topLinePunct w:val="0"/>
        <w:bidi w:val="0"/>
        <w:adjustRightInd/>
        <w:snapToGrid w:val="0"/>
        <w:spacing w:line="480" w:lineRule="exact"/>
        <w:ind w:left="-61" w:leftChars="-29" w:firstLine="514" w:firstLineChars="245"/>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、付款方式：</w:t>
      </w:r>
      <w:r>
        <w:rPr>
          <w:rFonts w:hint="eastAsia" w:ascii="宋体" w:hAnsi="宋体" w:cs="宋体"/>
          <w:color w:val="000000" w:themeColor="text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val="0"/>
        <w:spacing w:line="480" w:lineRule="exact"/>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3、履约保证金</w:t>
      </w:r>
    </w:p>
    <w:p>
      <w:pPr>
        <w:keepNext w:val="0"/>
        <w:keepLines w:val="0"/>
        <w:pageBreakBefore w:val="0"/>
        <w:widowControl w:val="0"/>
        <w:kinsoku/>
        <w:wordWrap/>
        <w:overflowPunct/>
        <w:topLinePunct w:val="0"/>
        <w:autoSpaceDE/>
        <w:autoSpaceDN/>
        <w:bidi w:val="0"/>
        <w:adjustRightInd/>
        <w:spacing w:line="48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履约保证金金额：</w:t>
      </w:r>
      <w:r>
        <w:rPr>
          <w:rFonts w:hint="eastAsia" w:ascii="宋体" w:hAnsi="宋体" w:eastAsia="宋体" w:cs="宋体"/>
          <w:color w:val="auto"/>
          <w:sz w:val="21"/>
          <w:szCs w:val="21"/>
          <w:highlight w:val="none"/>
          <w:lang w:eastAsia="zh-CN"/>
        </w:rPr>
        <w:t>成交金额</w:t>
      </w:r>
      <w:r>
        <w:rPr>
          <w:rFonts w:hint="eastAsia" w:ascii="宋体" w:hAnsi="宋体" w:eastAsia="宋体" w:cs="宋体"/>
          <w:color w:val="auto"/>
          <w:sz w:val="21"/>
          <w:szCs w:val="21"/>
          <w:highlight w:val="none"/>
        </w:rPr>
        <w:t>的5%（若</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被认定为中小企业的，履约保证金数额将按</w:t>
      </w:r>
      <w:r>
        <w:rPr>
          <w:rFonts w:hint="eastAsia" w:ascii="宋体" w:hAnsi="宋体" w:eastAsia="宋体" w:cs="宋体"/>
          <w:color w:val="auto"/>
          <w:sz w:val="21"/>
          <w:szCs w:val="21"/>
          <w:highlight w:val="none"/>
          <w:lang w:eastAsia="zh-CN"/>
        </w:rPr>
        <w:t>成交金额</w:t>
      </w:r>
      <w:r>
        <w:rPr>
          <w:rFonts w:hint="eastAsia" w:ascii="宋体" w:hAnsi="宋体" w:eastAsia="宋体" w:cs="宋体"/>
          <w:color w:val="auto"/>
          <w:sz w:val="21"/>
          <w:szCs w:val="21"/>
          <w:highlight w:val="none"/>
        </w:rPr>
        <w:t>的2%收取）</w:t>
      </w:r>
    </w:p>
    <w:p>
      <w:pPr>
        <w:keepNext w:val="0"/>
        <w:keepLines w:val="0"/>
        <w:pageBreakBefore w:val="0"/>
        <w:widowControl w:val="0"/>
        <w:kinsoku/>
        <w:wordWrap/>
        <w:overflowPunct/>
        <w:topLinePunct w:val="0"/>
        <w:autoSpaceDE/>
        <w:autoSpaceDN/>
        <w:bidi w:val="0"/>
        <w:adjustRightInd/>
        <w:spacing w:line="48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履约保证金递交方式：</w:t>
      </w:r>
      <w:r>
        <w:rPr>
          <w:rFonts w:hint="eastAsia" w:ascii="宋体" w:hAnsi="宋体" w:cs="宋体"/>
          <w:szCs w:val="21"/>
          <w:highlight w:val="none"/>
          <w:lang w:eastAsia="zh-CN"/>
        </w:rPr>
        <w:t>转账或电汇等形式（</w:t>
      </w:r>
      <w:r>
        <w:rPr>
          <w:rFonts w:hint="eastAsia" w:ascii="宋体" w:hAnsi="宋体" w:cs="宋体"/>
          <w:szCs w:val="21"/>
          <w:highlight w:val="none"/>
          <w:lang w:val="en-US" w:eastAsia="zh-CN"/>
        </w:rPr>
        <w:t>支持支票、汇票、本票、保函等形式</w:t>
      </w:r>
      <w:r>
        <w:rPr>
          <w:rFonts w:hint="eastAsia" w:ascii="宋体" w:hAnsi="宋体" w:cs="宋体"/>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8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3.3</w:t>
      </w:r>
      <w:r>
        <w:rPr>
          <w:rFonts w:hint="eastAsia" w:ascii="宋体" w:hAnsi="宋体" w:eastAsia="宋体" w:cs="宋体"/>
          <w:color w:val="auto"/>
          <w:sz w:val="21"/>
          <w:szCs w:val="21"/>
          <w:highlight w:val="none"/>
        </w:rPr>
        <w:t>履约保证金递交时间：签订合同</w:t>
      </w:r>
      <w:r>
        <w:rPr>
          <w:rFonts w:hint="eastAsia" w:ascii="宋体" w:hAnsi="宋体" w:cs="宋体"/>
          <w:color w:val="auto"/>
          <w:sz w:val="21"/>
          <w:szCs w:val="21"/>
          <w:highlight w:val="none"/>
          <w:lang w:val="en-US" w:eastAsia="zh-CN"/>
        </w:rPr>
        <w:t>后3</w:t>
      </w:r>
      <w:r>
        <w:rPr>
          <w:rFonts w:hint="eastAsia" w:ascii="宋体" w:hAnsi="宋体" w:eastAsia="宋体" w:cs="宋体"/>
          <w:color w:val="auto"/>
          <w:sz w:val="21"/>
          <w:szCs w:val="21"/>
          <w:highlight w:val="none"/>
        </w:rPr>
        <w:t>个工作日内由成</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转入</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指定保证金账户。</w:t>
      </w:r>
    </w:p>
    <w:p>
      <w:pPr>
        <w:keepNext w:val="0"/>
        <w:keepLines w:val="0"/>
        <w:pageBreakBefore w:val="0"/>
        <w:kinsoku/>
        <w:wordWrap/>
        <w:overflowPunct/>
        <w:topLinePunct w:val="0"/>
        <w:autoSpaceDE/>
        <w:autoSpaceDN/>
        <w:bidi w:val="0"/>
        <w:spacing w:line="46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履约保证金退还：</w:t>
      </w:r>
      <w:r>
        <w:rPr>
          <w:rFonts w:hint="eastAsia" w:ascii="宋体" w:hAnsi="宋体" w:cs="宋体"/>
          <w:color w:val="auto"/>
          <w:sz w:val="21"/>
          <w:szCs w:val="21"/>
          <w:highlight w:val="none"/>
          <w:lang w:eastAsia="zh-CN"/>
        </w:rPr>
        <w:t>质保期满后</w:t>
      </w:r>
      <w:r>
        <w:rPr>
          <w:rFonts w:hint="eastAsia" w:ascii="宋体" w:hAnsi="宋体" w:eastAsia="宋体" w:cs="宋体"/>
          <w:color w:val="auto"/>
          <w:sz w:val="21"/>
          <w:szCs w:val="21"/>
          <w:highlight w:val="none"/>
        </w:rPr>
        <w:t>无质量问题</w:t>
      </w:r>
      <w:r>
        <w:rPr>
          <w:rFonts w:hint="eastAsia" w:ascii="宋体" w:hAnsi="宋体" w:cs="宋体"/>
          <w:color w:val="auto"/>
          <w:sz w:val="21"/>
          <w:szCs w:val="21"/>
          <w:highlight w:val="none"/>
          <w:lang w:eastAsia="zh-CN"/>
        </w:rPr>
        <w:t>（根据</w:t>
      </w:r>
      <w:r>
        <w:rPr>
          <w:rFonts w:hint="eastAsia" w:ascii="宋体" w:hAnsi="宋体" w:cs="宋体"/>
          <w:color w:val="auto"/>
          <w:sz w:val="21"/>
          <w:szCs w:val="21"/>
          <w:highlight w:val="none"/>
          <w:lang w:val="en-US" w:eastAsia="zh-CN"/>
        </w:rPr>
        <w:t>A/B分标不同需求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提供《政府采购项目履约保证金退付意见书》及《政府采购项目合同验收报告》，向</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提出书面申请退还，</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在收到申请后10个工作日内按照履约保证金缴纳的具体方式，配合</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办理无息退还事宜。</w:t>
      </w:r>
    </w:p>
    <w:p>
      <w:pPr>
        <w:keepNext w:val="0"/>
        <w:keepLines w:val="0"/>
        <w:pageBreakBefore w:val="0"/>
        <w:widowControl w:val="0"/>
        <w:kinsoku/>
        <w:wordWrap/>
        <w:overflowPunct/>
        <w:topLinePunct w:val="0"/>
        <w:autoSpaceDE/>
        <w:autoSpaceDN/>
        <w:bidi w:val="0"/>
        <w:adjustRightInd/>
        <w:spacing w:line="48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保证金指定账户：</w:t>
      </w:r>
    </w:p>
    <w:p>
      <w:pPr>
        <w:keepNext w:val="0"/>
        <w:keepLines w:val="0"/>
        <w:pageBreakBefore w:val="0"/>
        <w:widowControl w:val="0"/>
        <w:kinsoku/>
        <w:wordWrap/>
        <w:overflowPunct/>
        <w:topLinePunct w:val="0"/>
        <w:autoSpaceDE/>
        <w:autoSpaceDN/>
        <w:bidi w:val="0"/>
        <w:adjustRightInd/>
        <w:spacing w:line="480" w:lineRule="exact"/>
        <w:ind w:right="0" w:firstLine="840" w:firstLineChars="4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开户名：广西制造工程职业技术学院</w:t>
      </w:r>
    </w:p>
    <w:p>
      <w:pPr>
        <w:keepNext w:val="0"/>
        <w:keepLines w:val="0"/>
        <w:pageBreakBefore w:val="0"/>
        <w:widowControl w:val="0"/>
        <w:kinsoku/>
        <w:wordWrap/>
        <w:overflowPunct/>
        <w:topLinePunct w:val="0"/>
        <w:autoSpaceDE/>
        <w:autoSpaceDN/>
        <w:bidi w:val="0"/>
        <w:adjustRightInd/>
        <w:spacing w:line="480" w:lineRule="exact"/>
        <w:ind w:right="0" w:firstLine="840" w:firstLineChars="4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开户行：农行南宁东盟经济园区支行</w:t>
      </w:r>
    </w:p>
    <w:p>
      <w:pPr>
        <w:keepNext w:val="0"/>
        <w:keepLines w:val="0"/>
        <w:pageBreakBefore w:val="0"/>
        <w:widowControl w:val="0"/>
        <w:kinsoku/>
        <w:wordWrap/>
        <w:overflowPunct/>
        <w:topLinePunct w:val="0"/>
        <w:bidi w:val="0"/>
        <w:adjustRightInd/>
        <w:snapToGrid w:val="0"/>
        <w:spacing w:line="480" w:lineRule="exact"/>
        <w:ind w:firstLine="840" w:firstLineChars="400"/>
        <w:rPr>
          <w:rFonts w:hint="eastAsia" w:ascii="宋体" w:hAnsi="宋体" w:cs="宋体"/>
          <w:b/>
          <w:color w:val="000000" w:themeColor="text1"/>
          <w:szCs w:val="21"/>
          <w14:textFill>
            <w14:solidFill>
              <w14:schemeClr w14:val="tx1"/>
            </w14:solidFill>
          </w14:textFill>
        </w:rPr>
      </w:pPr>
      <w:r>
        <w:rPr>
          <w:rFonts w:hint="eastAsia" w:ascii="宋体" w:hAnsi="宋体" w:eastAsia="宋体" w:cs="宋体"/>
          <w:color w:val="auto"/>
          <w:sz w:val="21"/>
          <w:szCs w:val="21"/>
          <w:highlight w:val="none"/>
        </w:rPr>
        <w:t>账  号：20036501040014065</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第九条  税费</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第十条  质量保证及售后服务</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1、乙方应按采购文件规定的货物性能、技术要求、质量标准向甲方提供未经使用的全新产品。不符合要求的，根据实际情况，经双方协商，可按以下办法处理：</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（1）更换：由乙方承担所发生的全部费用。</w:t>
      </w:r>
    </w:p>
    <w:p>
      <w:pPr>
        <w:keepNext w:val="0"/>
        <w:keepLines w:val="0"/>
        <w:pageBreakBefore w:val="0"/>
        <w:widowControl w:val="0"/>
        <w:kinsoku/>
        <w:wordWrap/>
        <w:overflowPunct/>
        <w:topLinePunct w:val="0"/>
        <w:bidi w:val="0"/>
        <w:adjustRightInd/>
        <w:snapToGrid w:val="0"/>
        <w:spacing w:line="480" w:lineRule="exact"/>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（2）贬值处理：由甲乙双方合议定价。</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2、如在使用过程中发生质量问题，乙方在接到甲方通知后在</w:t>
      </w:r>
      <w:r>
        <w:rPr>
          <w:rFonts w:hint="eastAsia" w:ascii="宋体" w:hAnsi="宋体" w:cs="宋体"/>
          <w:color w:val="000000" w:themeColor="text1"/>
          <w:kern w:val="0"/>
          <w:szCs w:val="21"/>
          <w:u w:val="single"/>
          <w14:textFill>
            <w14:solidFill>
              <w14:schemeClr w14:val="tx1"/>
            </w14:solidFill>
          </w14:textFill>
        </w:rPr>
        <w:t xml:space="preserve"> 乙方售后服务承诺的时间</w:t>
      </w:r>
      <w:r>
        <w:rPr>
          <w:rFonts w:hint="eastAsia" w:ascii="宋体" w:hAnsi="宋体" w:cs="宋体"/>
          <w:color w:val="000000" w:themeColor="text1"/>
          <w:kern w:val="0"/>
          <w:szCs w:val="21"/>
          <w14:textFill>
            <w14:solidFill>
              <w14:schemeClr w14:val="tx1"/>
            </w14:solidFill>
          </w14:textFill>
        </w:rPr>
        <w:t>内到达甲方现场处理。</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3、在质保期内，乙方应对货物出现的质量及安全问题负责处理解决并承担一切费用。</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4、质保期内货物如因人为使用不当导致损坏的，乙方也应当积极进行维修服务，</w:t>
      </w:r>
      <w:r>
        <w:rPr>
          <w:rFonts w:hint="eastAsia"/>
          <w:lang w:eastAsia="zh-CN"/>
        </w:rPr>
        <w:t>并保证提供优惠价格的配件和服务</w:t>
      </w:r>
      <w:r>
        <w:rPr>
          <w:rFonts w:hint="eastAsia" w:ascii="宋体" w:hAnsi="宋体" w:cs="宋体"/>
          <w:color w:val="000000" w:themeColor="text1"/>
          <w:szCs w:val="21"/>
          <w:highlight w:val="none"/>
          <w14:textFill>
            <w14:solidFill>
              <w14:schemeClr w14:val="tx1"/>
            </w14:solidFill>
          </w14:textFill>
        </w:rPr>
        <w:t>。超过保修期的机器设备，终生维修，维修时只收部件成本费。</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第十一条  调试和验收</w:t>
      </w:r>
    </w:p>
    <w:p>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货物验收。</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 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验收时乙方必须在现场，验收完毕后作出验收结果报告；验收费用由乙方负责。</w:t>
      </w:r>
    </w:p>
    <w:p>
      <w:pPr>
        <w:keepNext w:val="0"/>
        <w:keepLines w:val="0"/>
        <w:pageBreakBefore w:val="0"/>
        <w:widowControl w:val="0"/>
        <w:kinsoku/>
        <w:wordWrap/>
        <w:overflowPunct/>
        <w:topLinePunct w:val="0"/>
        <w:bidi w:val="0"/>
        <w:adjustRightInd/>
        <w:snapToGrid w:val="0"/>
        <w:spacing w:line="480" w:lineRule="exact"/>
        <w:ind w:firstLine="413" w:firstLineChars="196"/>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第十二条  货物包装、发运及运输</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 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 使用说明书（货物属于进口产品的，供货时应同时附上中文使用说明书）、质量检验证明书、随配附件和工具以及清单一并附于货物内。</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 乙方在货物发运手续办理完毕后二十四小时内或货到甲方四十八小时前通知甲方，以准备接货。</w:t>
      </w:r>
    </w:p>
    <w:p>
      <w:pPr>
        <w:keepNext w:val="0"/>
        <w:keepLines w:val="0"/>
        <w:pageBreakBefore w:val="0"/>
        <w:widowControl w:val="0"/>
        <w:kinsoku/>
        <w:wordWrap/>
        <w:overflowPunct/>
        <w:topLinePunct w:val="0"/>
        <w:bidi w:val="0"/>
        <w:adjustRightInd/>
        <w:snapToGrid w:val="0"/>
        <w:spacing w:line="480" w:lineRule="exact"/>
        <w:ind w:left="420" w:left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 货物在交付甲方前发生的风险均由乙方负责。</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货物在规定的交付期限内由乙方送达甲方指定的地点视为交付，乙方同时需通知甲方货物已送达。</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第十三条　违约责任</w:t>
      </w:r>
    </w:p>
    <w:p>
      <w:pPr>
        <w:keepNext w:val="0"/>
        <w:keepLines w:val="0"/>
        <w:pageBreakBefore w:val="0"/>
        <w:widowControl w:val="0"/>
        <w:kinsoku/>
        <w:wordWrap/>
        <w:overflowPunct/>
        <w:topLinePunct w:val="0"/>
        <w:bidi w:val="0"/>
        <w:adjustRightInd/>
        <w:snapToGrid w:val="0"/>
        <w:spacing w:line="480" w:lineRule="exact"/>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keepNext w:val="0"/>
        <w:keepLines w:val="0"/>
        <w:pageBreakBefore w:val="0"/>
        <w:widowControl w:val="0"/>
        <w:kinsoku/>
        <w:wordWrap/>
        <w:overflowPunct/>
        <w:topLinePunct w:val="0"/>
        <w:bidi w:val="0"/>
        <w:adjustRightInd/>
        <w:snapToGrid w:val="0"/>
        <w:spacing w:line="480" w:lineRule="exact"/>
        <w:ind w:firstLine="472" w:firstLineChars="2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2、乙方提供的货物如侵犯了第三方合法权益而引发的任何纠纷或诉讼，均由乙方负责交涉并承担全部责任。</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3、因包装、运输引起的货物损坏，按质量不合格处罚。</w:t>
      </w:r>
    </w:p>
    <w:p>
      <w:pPr>
        <w:keepNext w:val="0"/>
        <w:keepLines w:val="0"/>
        <w:pageBreakBefore w:val="0"/>
        <w:widowControl w:val="0"/>
        <w:kinsoku/>
        <w:wordWrap/>
        <w:overflowPunct/>
        <w:topLinePunct w:val="0"/>
        <w:bidi w:val="0"/>
        <w:adjustRightInd/>
        <w:snapToGrid w:val="0"/>
        <w:spacing w:line="4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4、甲方无故延期接收货物、乙方逾期交货的，每天向对方偿付违约货款额</w:t>
      </w:r>
      <w:r>
        <w:rPr>
          <w:rFonts w:hint="eastAsia" w:ascii="宋体" w:hAnsi="宋体" w:cs="宋体"/>
          <w:color w:val="000000" w:themeColor="text1"/>
          <w:szCs w:val="21"/>
          <w:u w:val="single"/>
          <w14:textFill>
            <w14:solidFill>
              <w14:schemeClr w14:val="tx1"/>
            </w14:solidFill>
          </w14:textFill>
        </w:rPr>
        <w:t>0.4‰</w:t>
      </w:r>
      <w:r>
        <w:rPr>
          <w:rFonts w:hint="eastAsia" w:ascii="宋体" w:hAnsi="宋体" w:cs="宋体"/>
          <w:color w:val="000000" w:themeColor="text1"/>
          <w:szCs w:val="21"/>
          <w14:textFill>
            <w14:solidFill>
              <w14:schemeClr w14:val="tx1"/>
            </w14:solidFill>
          </w14:textFill>
        </w:rPr>
        <w:t>违约金，但违约金累计不得超</w:t>
      </w:r>
      <w:r>
        <w:rPr>
          <w:rFonts w:hint="eastAsia" w:ascii="宋体" w:hAnsi="宋体" w:eastAsia="宋体" w:cs="宋体"/>
          <w:color w:val="000000" w:themeColor="text1"/>
          <w:szCs w:val="21"/>
          <w14:textFill>
            <w14:solidFill>
              <w14:schemeClr w14:val="tx1"/>
            </w14:solidFill>
          </w14:textFill>
        </w:rPr>
        <w:t>过违约货款额</w:t>
      </w:r>
      <w:bookmarkStart w:id="84" w:name="_Hlk117262039"/>
      <w:r>
        <w:rPr>
          <w:rFonts w:hint="eastAsia" w:ascii="宋体" w:hAnsi="宋体" w:eastAsia="宋体" w:cs="宋体"/>
          <w:color w:val="000000" w:themeColor="text1"/>
          <w:szCs w:val="21"/>
          <w14:textFill>
            <w14:solidFill>
              <w14:schemeClr w14:val="tx1"/>
            </w14:solidFill>
          </w14:textFill>
        </w:rPr>
        <w:t>10%</w:t>
      </w:r>
      <w:bookmarkEnd w:id="84"/>
      <w:r>
        <w:rPr>
          <w:rFonts w:hint="eastAsia" w:ascii="宋体" w:hAnsi="宋体" w:eastAsia="宋体" w:cs="宋体"/>
          <w:color w:val="000000" w:themeColor="text1"/>
          <w:szCs w:val="21"/>
          <w14:textFill>
            <w14:solidFill>
              <w14:schemeClr w14:val="tx1"/>
            </w14:solidFill>
          </w14:textFill>
        </w:rPr>
        <w:t>，超过 15 天对方有权解除合同，违约方承担因此给对方造成经济损失；甲方延期付货款的，每天向乙方偿付延期货款额0.4‰滞纳金，但滞纳金累计不得超过延期货款额5%。</w:t>
      </w:r>
    </w:p>
    <w:p>
      <w:pPr>
        <w:keepNext w:val="0"/>
        <w:keepLines w:val="0"/>
        <w:pageBreakBefore w:val="0"/>
        <w:widowControl w:val="0"/>
        <w:kinsoku/>
        <w:wordWrap/>
        <w:overflowPunct/>
        <w:topLinePunct w:val="0"/>
        <w:bidi w:val="0"/>
        <w:adjustRightInd/>
        <w:snapToGrid w:val="0"/>
        <w:spacing w:line="4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5、乙方未按本合同和投标（响应）文件中规定的服务承诺提供售后服务的，</w:t>
      </w:r>
      <w:r>
        <w:rPr>
          <w:rFonts w:hint="eastAsia" w:ascii="宋体" w:hAnsi="宋体" w:eastAsia="宋体" w:cs="宋体"/>
          <w:color w:val="000000" w:themeColor="text1"/>
          <w:szCs w:val="21"/>
          <w:lang w:val="en-US" w:eastAsia="zh-CN"/>
          <w14:textFill>
            <w14:solidFill>
              <w14:schemeClr w14:val="tx1"/>
            </w14:solidFill>
          </w14:textFill>
        </w:rPr>
        <w:t>每发生一次，</w:t>
      </w:r>
      <w:r>
        <w:rPr>
          <w:rFonts w:hint="eastAsia" w:ascii="宋体" w:hAnsi="宋体" w:eastAsia="宋体" w:cs="宋体"/>
          <w:color w:val="000000" w:themeColor="text1"/>
          <w:szCs w:val="21"/>
          <w14:textFill>
            <w14:solidFill>
              <w14:schemeClr w14:val="tx1"/>
            </w14:solidFill>
          </w14:textFill>
        </w:rPr>
        <w:t>乙方应按本合同合计金额10%向甲方支付违约金。</w:t>
      </w:r>
      <w:r>
        <w:rPr>
          <w:rFonts w:hint="eastAsia" w:ascii="宋体" w:hAnsi="宋体" w:eastAsia="宋体" w:cs="宋体"/>
          <w:color w:val="000000" w:themeColor="text1"/>
          <w:szCs w:val="21"/>
          <w:lang w:val="en-US" w:eastAsia="zh-CN"/>
          <w14:textFill>
            <w14:solidFill>
              <w14:schemeClr w14:val="tx1"/>
            </w14:solidFill>
          </w14:textFill>
        </w:rPr>
        <w:t>并且，甲方有权委托第三方提供相应的服务，由此产生的服务费用由乙方承担。</w:t>
      </w:r>
    </w:p>
    <w:p>
      <w:pPr>
        <w:keepNext w:val="0"/>
        <w:keepLines w:val="0"/>
        <w:pageBreakBefore w:val="0"/>
        <w:widowControl w:val="0"/>
        <w:kinsoku/>
        <w:wordWrap/>
        <w:overflowPunct/>
        <w:topLinePunct w:val="0"/>
        <w:bidi w:val="0"/>
        <w:adjustRightInd/>
        <w:snapToGrid w:val="0"/>
        <w:spacing w:line="4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6、乙方提供的货物在质保期内，因设计、工艺或材料的缺陷和其它质量原因造成的问题，由乙方负责。</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7、其它违约行为按违约货款额5%收取违约金并赔偿经济损失。</w:t>
      </w:r>
    </w:p>
    <w:p>
      <w:pPr>
        <w:keepNext w:val="0"/>
        <w:keepLines w:val="0"/>
        <w:pageBreakBefore w:val="0"/>
        <w:widowControl w:val="0"/>
        <w:kinsoku/>
        <w:wordWrap/>
        <w:overflowPunct/>
        <w:topLinePunct w:val="0"/>
        <w:bidi w:val="0"/>
        <w:adjustRightInd/>
        <w:snapToGrid w:val="0"/>
        <w:spacing w:line="480" w:lineRule="exact"/>
        <w:ind w:firstLine="413" w:firstLineChars="196"/>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第十四条  不可抗力事件处理</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 在合同有效期内，任何一方因不可抗力事件</w:t>
      </w:r>
      <w:r>
        <w:rPr>
          <w:rFonts w:hint="eastAsia" w:ascii="宋体" w:hAnsi="宋体" w:cs="宋体"/>
          <w:b/>
          <w:color w:val="000000" w:themeColor="text1"/>
          <w:kern w:val="0"/>
          <w:szCs w:val="21"/>
          <w14:textFill>
            <w14:solidFill>
              <w14:schemeClr w14:val="tx1"/>
            </w14:solidFill>
          </w14:textFill>
        </w:rPr>
        <w:t>（含政府行为，下同）</w:t>
      </w:r>
      <w:r>
        <w:rPr>
          <w:rFonts w:hint="eastAsia" w:ascii="宋体" w:hAnsi="宋体" w:cs="宋体"/>
          <w:color w:val="000000" w:themeColor="text1"/>
          <w:kern w:val="0"/>
          <w:szCs w:val="21"/>
          <w14:textFill>
            <w14:solidFill>
              <w14:schemeClr w14:val="tx1"/>
            </w14:solidFill>
          </w14:textFill>
        </w:rPr>
        <w:t>导致不能履行合同，则合同履行期可延长，其延长期与不可抗力影响期相同。</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 不可抗力事件发生后，应立即通知对方，并寄送有关权威机构出具的证明。</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不可抗力事件延续六十天以上，双方应通过友好协商，确定是否继续履行合同。</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第十五条  合同争议解决</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2、因履行本合同引起的或与本合同有关的争议，甲乙双方应首先通过友好协商解决，如果协商不能解决，</w:t>
      </w:r>
      <w:r>
        <w:rPr>
          <w:rFonts w:hint="eastAsia" w:ascii="宋体" w:hAnsi="宋体" w:cs="宋体"/>
          <w:b/>
          <w:color w:val="000000" w:themeColor="text1"/>
          <w:szCs w:val="21"/>
          <w:u w:val="single"/>
          <w14:textFill>
            <w14:solidFill>
              <w14:schemeClr w14:val="tx1"/>
            </w14:solidFill>
          </w14:textFill>
        </w:rPr>
        <w:t>应</w:t>
      </w:r>
      <w:r>
        <w:rPr>
          <w:rFonts w:hint="eastAsia" w:ascii="宋体" w:hAnsi="宋体" w:cs="宋体"/>
          <w:b/>
          <w:color w:val="000000" w:themeColor="text1"/>
          <w:szCs w:val="21"/>
          <w:u w:val="single"/>
          <w:lang w:val="en-US" w:eastAsia="zh-CN"/>
          <w14:textFill>
            <w14:solidFill>
              <w14:schemeClr w14:val="tx1"/>
            </w14:solidFill>
          </w14:textFill>
        </w:rPr>
        <w:t>向</w:t>
      </w:r>
      <w:r>
        <w:rPr>
          <w:rFonts w:hint="eastAsia" w:ascii="宋体" w:hAnsi="宋体" w:cs="宋体"/>
          <w:b/>
          <w:color w:val="000000" w:themeColor="text1"/>
          <w:szCs w:val="21"/>
          <w:u w:val="single"/>
          <w14:textFill>
            <w14:solidFill>
              <w14:schemeClr w14:val="tx1"/>
            </w14:solidFill>
          </w14:textFill>
        </w:rPr>
        <w:t>甲方所在地</w:t>
      </w:r>
      <w:r>
        <w:rPr>
          <w:rFonts w:hint="eastAsia" w:ascii="宋体" w:hAnsi="宋体" w:cs="宋体"/>
          <w:b/>
          <w:color w:val="000000" w:themeColor="text1"/>
          <w:szCs w:val="21"/>
          <w:u w:val="single"/>
          <w:lang w:val="en-US" w:eastAsia="zh-CN"/>
          <w14:textFill>
            <w14:solidFill>
              <w14:schemeClr w14:val="tx1"/>
            </w14:solidFill>
          </w14:textFill>
        </w:rPr>
        <w:t>有管辖权的</w:t>
      </w:r>
      <w:r>
        <w:rPr>
          <w:rFonts w:hint="eastAsia" w:ascii="宋体" w:hAnsi="宋体" w:cs="宋体"/>
          <w:b/>
          <w:color w:val="000000" w:themeColor="text1"/>
          <w:szCs w:val="21"/>
          <w:u w:val="single"/>
          <w14:textFill>
            <w14:solidFill>
              <w14:schemeClr w14:val="tx1"/>
            </w14:solidFill>
          </w14:textFill>
        </w:rPr>
        <w:t>人民法院</w:t>
      </w:r>
      <w:r>
        <w:rPr>
          <w:rFonts w:hint="eastAsia" w:ascii="宋体" w:hAnsi="宋体" w:cs="宋体"/>
          <w:b/>
          <w:color w:val="000000" w:themeColor="text1"/>
          <w:szCs w:val="21"/>
          <w:u w:val="single"/>
          <w:lang w:val="en-US" w:eastAsia="zh-CN"/>
          <w14:textFill>
            <w14:solidFill>
              <w14:schemeClr w14:val="tx1"/>
            </w14:solidFill>
          </w14:textFill>
        </w:rPr>
        <w:t>提起诉讼</w:t>
      </w:r>
      <w:r>
        <w:rPr>
          <w:rFonts w:hint="eastAsia" w:ascii="宋体" w:hAnsi="宋体" w:cs="宋体"/>
          <w:b/>
          <w:color w:val="000000" w:themeColor="text1"/>
          <w:szCs w:val="21"/>
          <w:u w:val="single"/>
          <w14:textFill>
            <w14:solidFill>
              <w14:schemeClr w14:val="tx1"/>
            </w14:solidFill>
          </w14:textFill>
        </w:rPr>
        <w:t>。</w:t>
      </w:r>
      <w:r>
        <w:rPr>
          <w:rFonts w:hint="eastAsia" w:ascii="宋体" w:hAnsi="宋体" w:cs="宋体"/>
          <w:b/>
          <w:color w:val="000000" w:themeColor="text1"/>
          <w:szCs w:val="21"/>
          <w:highlight w:val="none"/>
          <w:u w:val="single"/>
          <w14:textFill>
            <w14:solidFill>
              <w14:schemeClr w14:val="tx1"/>
            </w14:solidFill>
          </w14:textFill>
        </w:rPr>
        <w:t>守约方为主张权利而产生的律师费、保全费、保函费、鉴定费、公告费、公证费等由违约方承担。</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3、诉讼期间，本合同继续履行。</w:t>
      </w:r>
    </w:p>
    <w:p>
      <w:pPr>
        <w:keepNext w:val="0"/>
        <w:keepLines w:val="0"/>
        <w:pageBreakBefore w:val="0"/>
        <w:widowControl w:val="0"/>
        <w:kinsoku/>
        <w:wordWrap/>
        <w:overflowPunct/>
        <w:topLinePunct w:val="0"/>
        <w:bidi w:val="0"/>
        <w:adjustRightInd/>
        <w:snapToGrid w:val="0"/>
        <w:spacing w:line="480" w:lineRule="exact"/>
        <w:ind w:firstLine="413" w:firstLineChars="196"/>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第十六条  合同生效及其它</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1.合同经双方法定代表人或被授权代表签字并加盖单位公章后生效。</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2.合同执行中涉及采购资金和采购内容修改或补充的，在法规范围内，须签书面补充协议方可作为主合同不可分割的一部分。</w:t>
      </w:r>
    </w:p>
    <w:p>
      <w:pPr>
        <w:keepNext w:val="0"/>
        <w:keepLines w:val="0"/>
        <w:pageBreakBefore w:val="0"/>
        <w:widowControl w:val="0"/>
        <w:kinsoku/>
        <w:wordWrap/>
        <w:overflowPunct/>
        <w:topLinePunct w:val="0"/>
        <w:bidi w:val="0"/>
        <w:adjustRightInd/>
        <w:snapToGrid w:val="0"/>
        <w:spacing w:line="480" w:lineRule="exact"/>
        <w:ind w:left="420" w:left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3.本合同未尽事宜，遵照《中华人民共和国民法典》有关条文执行。</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第十七条　合同的变更、终止与转让</w:t>
      </w:r>
    </w:p>
    <w:p>
      <w:pPr>
        <w:keepNext w:val="0"/>
        <w:keepLines w:val="0"/>
        <w:pageBreakBefore w:val="0"/>
        <w:widowControl w:val="0"/>
        <w:kinsoku/>
        <w:wordWrap/>
        <w:overflowPunct/>
        <w:topLinePunct w:val="0"/>
        <w:bidi w:val="0"/>
        <w:adjustRightInd/>
        <w:snapToGrid w:val="0"/>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bidi w:val="0"/>
        <w:adjustRightInd/>
        <w:snapToGrid w:val="0"/>
        <w:spacing w:line="480" w:lineRule="exact"/>
        <w:ind w:left="-61" w:firstLine="5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2、乙方不得擅自转让（无进口资格的供应商委托进口货物除外）其应履行的合同义务。</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第十八条　签订本合同依据</w:t>
      </w:r>
    </w:p>
    <w:p>
      <w:pPr>
        <w:keepNext w:val="0"/>
        <w:keepLines w:val="0"/>
        <w:pageBreakBefore w:val="0"/>
        <w:widowControl w:val="0"/>
        <w:kinsoku/>
        <w:wordWrap/>
        <w:overflowPunct/>
        <w:topLinePunct w:val="0"/>
        <w:bidi w:val="0"/>
        <w:adjustRightInd/>
        <w:snapToGrid w:val="0"/>
        <w:spacing w:line="480" w:lineRule="exact"/>
        <w:ind w:left="420" w:left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1、政府采购项目采购文件；</w:t>
      </w:r>
    </w:p>
    <w:p>
      <w:pPr>
        <w:keepNext w:val="0"/>
        <w:keepLines w:val="0"/>
        <w:pageBreakBefore w:val="0"/>
        <w:widowControl w:val="0"/>
        <w:kinsoku/>
        <w:wordWrap/>
        <w:overflowPunct/>
        <w:topLinePunct w:val="0"/>
        <w:bidi w:val="0"/>
        <w:adjustRightInd/>
        <w:snapToGrid w:val="0"/>
        <w:spacing w:line="480" w:lineRule="exact"/>
        <w:ind w:left="420" w:left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2、乙方提供的响应（或应答）文件；</w:t>
      </w:r>
    </w:p>
    <w:p>
      <w:pPr>
        <w:keepNext w:val="0"/>
        <w:keepLines w:val="0"/>
        <w:pageBreakBefore w:val="0"/>
        <w:widowControl w:val="0"/>
        <w:kinsoku/>
        <w:wordWrap/>
        <w:overflowPunct/>
        <w:topLinePunct w:val="0"/>
        <w:bidi w:val="0"/>
        <w:adjustRightInd/>
        <w:snapToGrid w:val="0"/>
        <w:spacing w:line="480" w:lineRule="exact"/>
        <w:ind w:left="420" w:left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3、响应文件承诺书；</w:t>
      </w:r>
    </w:p>
    <w:p>
      <w:pPr>
        <w:keepNext w:val="0"/>
        <w:keepLines w:val="0"/>
        <w:pageBreakBefore w:val="0"/>
        <w:widowControl w:val="0"/>
        <w:kinsoku/>
        <w:wordWrap/>
        <w:overflowPunct/>
        <w:topLinePunct w:val="0"/>
        <w:bidi w:val="0"/>
        <w:adjustRightInd/>
        <w:snapToGrid w:val="0"/>
        <w:spacing w:line="480" w:lineRule="exact"/>
        <w:ind w:left="420" w:leftChars="200"/>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4、成交通知书。</w:t>
      </w:r>
    </w:p>
    <w:p>
      <w:pPr>
        <w:keepNext w:val="0"/>
        <w:keepLines w:val="0"/>
        <w:pageBreakBefore w:val="0"/>
        <w:widowControl w:val="0"/>
        <w:kinsoku/>
        <w:wordWrap/>
        <w:overflowPunct/>
        <w:topLinePunct w:val="0"/>
        <w:bidi w:val="0"/>
        <w:adjustRightInd/>
        <w:snapToGrid w:val="0"/>
        <w:spacing w:line="4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第十九条　</w:t>
      </w:r>
      <w:r>
        <w:rPr>
          <w:rFonts w:hint="eastAsia" w:ascii="宋体" w:hAnsi="宋体" w:cs="宋体"/>
          <w:color w:val="000000" w:themeColor="text1"/>
          <w:szCs w:val="21"/>
          <w14:textFill>
            <w14:solidFill>
              <w14:schemeClr w14:val="tx1"/>
            </w14:solidFill>
          </w14:textFill>
        </w:rPr>
        <w:t>本合同一式</w:t>
      </w:r>
      <w:r>
        <w:rPr>
          <w:rFonts w:hint="eastAsia" w:ascii="宋体" w:hAnsi="宋体" w:cs="宋体"/>
          <w:color w:val="000000" w:themeColor="text1"/>
          <w:szCs w:val="21"/>
          <w:lang w:eastAsia="zh-CN"/>
          <w14:textFill>
            <w14:solidFill>
              <w14:schemeClr w14:val="tx1"/>
            </w14:solidFill>
          </w14:textFill>
        </w:rPr>
        <w:t>捌</w:t>
      </w:r>
      <w:r>
        <w:rPr>
          <w:rFonts w:hint="eastAsia" w:ascii="宋体" w:hAnsi="宋体" w:cs="宋体"/>
          <w:color w:val="000000" w:themeColor="text1"/>
          <w:szCs w:val="21"/>
          <w14:textFill>
            <w14:solidFill>
              <w14:schemeClr w14:val="tx1"/>
            </w14:solidFill>
          </w14:textFill>
        </w:rPr>
        <w:t>份，具有同等法律效力，甲方</w:t>
      </w:r>
      <w:r>
        <w:rPr>
          <w:rFonts w:hint="eastAsia" w:ascii="宋体" w:hAnsi="宋体" w:cs="宋体"/>
          <w:color w:val="000000" w:themeColor="text1"/>
          <w:szCs w:val="21"/>
          <w:lang w:eastAsia="zh-CN"/>
          <w14:textFill>
            <w14:solidFill>
              <w14:schemeClr w14:val="tx1"/>
            </w14:solidFill>
          </w14:textFill>
        </w:rPr>
        <w:t>肆</w:t>
      </w:r>
      <w:r>
        <w:rPr>
          <w:rFonts w:hint="eastAsia" w:ascii="宋体" w:hAnsi="宋体" w:cs="宋体"/>
          <w:color w:val="000000" w:themeColor="text1"/>
          <w:szCs w:val="21"/>
          <w14:textFill>
            <w14:solidFill>
              <w14:schemeClr w14:val="tx1"/>
            </w14:solidFill>
          </w14:textFill>
        </w:rPr>
        <w:t>份、乙方</w:t>
      </w:r>
      <w:r>
        <w:rPr>
          <w:rFonts w:hint="eastAsia" w:ascii="宋体" w:hAnsi="宋体" w:cs="宋体"/>
          <w:color w:val="000000" w:themeColor="text1"/>
          <w:szCs w:val="21"/>
          <w:lang w:eastAsia="zh-CN"/>
          <w14:textFill>
            <w14:solidFill>
              <w14:schemeClr w14:val="tx1"/>
            </w14:solidFill>
          </w14:textFill>
        </w:rPr>
        <w:t>贰</w:t>
      </w:r>
      <w:r>
        <w:rPr>
          <w:rFonts w:hint="eastAsia" w:ascii="宋体" w:hAnsi="宋体" w:cs="宋体"/>
          <w:color w:val="000000" w:themeColor="text1"/>
          <w:szCs w:val="21"/>
          <w14:textFill>
            <w14:solidFill>
              <w14:schemeClr w14:val="tx1"/>
            </w14:solidFill>
          </w14:textFill>
        </w:rPr>
        <w:t>份，采购代理机构</w:t>
      </w:r>
      <w:r>
        <w:rPr>
          <w:rFonts w:hint="eastAsia" w:ascii="宋体" w:hAnsi="宋体" w:cs="宋体"/>
          <w:color w:val="000000" w:themeColor="text1"/>
          <w:szCs w:val="21"/>
          <w:lang w:eastAsia="zh-CN"/>
          <w14:textFill>
            <w14:solidFill>
              <w14:schemeClr w14:val="tx1"/>
            </w14:solidFill>
          </w14:textFill>
        </w:rPr>
        <w:t>贰</w:t>
      </w:r>
      <w:r>
        <w:rPr>
          <w:rFonts w:hint="eastAsia" w:ascii="宋体" w:hAnsi="宋体" w:cs="宋体"/>
          <w:color w:val="000000" w:themeColor="text1"/>
          <w:szCs w:val="21"/>
          <w14:textFill>
            <w14:solidFill>
              <w14:schemeClr w14:val="tx1"/>
            </w14:solidFill>
          </w14:textFill>
        </w:rPr>
        <w:t>份。</w:t>
      </w:r>
    </w:p>
    <w:tbl>
      <w:tblPr>
        <w:tblStyle w:val="27"/>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甲方（章）</w:t>
            </w:r>
            <w:r>
              <w:rPr>
                <w:rFonts w:hint="eastAsia" w:ascii="宋体" w:hAnsi="宋体" w:cs="宋体"/>
                <w:color w:val="000000" w:themeColor="text1"/>
                <w:szCs w:val="21"/>
                <w:lang w:val="en-US" w:eastAsia="zh-CN"/>
                <w14:textFill>
                  <w14:solidFill>
                    <w14:schemeClr w14:val="tx1"/>
                  </w14:solidFill>
                </w14:textFill>
              </w:rPr>
              <w:t>广西制造工程职业技术学院</w:t>
            </w:r>
            <w:r>
              <w:rPr>
                <w:rFonts w:hint="eastAsia" w:ascii="宋体" w:hAnsi="宋体" w:cs="宋体"/>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adjustRightInd/>
              <w:snapToGrid w:val="0"/>
              <w:spacing w:line="480" w:lineRule="exact"/>
              <w:ind w:firstLine="945" w:firstLineChars="45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乙方（章）              </w:t>
            </w:r>
          </w:p>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adjustRightInd/>
              <w:snapToGrid w:val="0"/>
              <w:spacing w:line="480" w:lineRule="exact"/>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单位地址：广西-东盟经济技术开发区宝源南路2</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号</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法定代表人或委托代理人：</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电话：0</w:t>
            </w:r>
            <w:r>
              <w:rPr>
                <w:rFonts w:ascii="宋体" w:hAnsi="宋体" w:cs="宋体"/>
                <w:color w:val="000000" w:themeColor="text1"/>
                <w:szCs w:val="21"/>
                <w14:textFill>
                  <w14:solidFill>
                    <w14:schemeClr w14:val="tx1"/>
                  </w14:solidFill>
                </w14:textFill>
              </w:rPr>
              <w:t>771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2206212</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开户银行：农行南宁东盟经济园区支行</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r>
              <w:rPr>
                <w:rFonts w:ascii="宋体" w:hAnsi="宋体" w:cs="宋体"/>
                <w:color w:val="000000" w:themeColor="text1"/>
                <w:szCs w:val="21"/>
                <w14:textFill>
                  <w14:solidFill>
                    <w14:schemeClr w14:val="tx1"/>
                  </w14:solidFill>
                </w14:textFill>
              </w:rPr>
              <w:t>20036501040014065</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纳税人识别号或统一社会信用代码：</w:t>
            </w:r>
          </w:p>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2450000MB1G8284XL</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纳税人识别号或统一社会信用代码：</w:t>
            </w:r>
          </w:p>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r>
              <w:rPr>
                <w:rFonts w:ascii="宋体" w:hAnsi="宋体" w:cs="宋体"/>
                <w:color w:val="000000" w:themeColor="text1"/>
                <w:szCs w:val="21"/>
                <w14:textFill>
                  <w14:solidFill>
                    <w14:schemeClr w14:val="tx1"/>
                  </w14:solidFill>
                </w14:textFill>
              </w:rPr>
              <w:t>530105</w:t>
            </w:r>
          </w:p>
        </w:tc>
        <w:tc>
          <w:tcPr>
            <w:tcW w:w="4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r>
    </w:tbl>
    <w:p>
      <w:pPr>
        <w:bidi w:val="0"/>
        <w:spacing w:line="360" w:lineRule="auto"/>
        <w:rPr>
          <w:color w:val="auto"/>
          <w:highlight w:val="none"/>
        </w:rPr>
      </w:pPr>
    </w:p>
    <w:sectPr>
      <w:pgSz w:w="11910" w:h="16840"/>
      <w:pgMar w:top="1340" w:right="1500" w:bottom="1338" w:left="150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Mhd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cNBlnhL820PEkfKkqcMIiwyTg0+YuU7rlnbkTz9XPf1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UsMhdABAACqAwAADgAAAAAAAAABACAAAAAeAQAAZHJz&#10;L2Uyb0RvYy54bWxQSwUGAAAAAAYABgBZAQAAY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F6E0E"/>
    <w:multiLevelType w:val="singleLevel"/>
    <w:tmpl w:val="BA1F6E0E"/>
    <w:lvl w:ilvl="0" w:tentative="0">
      <w:start w:val="1"/>
      <w:numFmt w:val="decimal"/>
      <w:suff w:val="space"/>
      <w:lvlText w:val="%1."/>
      <w:lvlJc w:val="left"/>
    </w:lvl>
  </w:abstractNum>
  <w:abstractNum w:abstractNumId="1">
    <w:nsid w:val="1222A042"/>
    <w:multiLevelType w:val="singleLevel"/>
    <w:tmpl w:val="1222A042"/>
    <w:lvl w:ilvl="0" w:tentative="0">
      <w:start w:val="20"/>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ZTQxYjgzMDhjODgzM2MxNDAyM2ZlNzI0Y2Y4NDgifQ=="/>
    <w:docVar w:name="KSO_WPS_MARK_KEY" w:val="0c5b94d8-b111-41e2-bfbe-f5ae64f1cae3"/>
  </w:docVars>
  <w:rsids>
    <w:rsidRoot w:val="003512C6"/>
    <w:rsid w:val="00000672"/>
    <w:rsid w:val="00000B45"/>
    <w:rsid w:val="00001799"/>
    <w:rsid w:val="00002D29"/>
    <w:rsid w:val="000040C5"/>
    <w:rsid w:val="00004514"/>
    <w:rsid w:val="00004A8A"/>
    <w:rsid w:val="00005E55"/>
    <w:rsid w:val="00005FDF"/>
    <w:rsid w:val="00006586"/>
    <w:rsid w:val="0000768A"/>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73E6"/>
    <w:rsid w:val="00030496"/>
    <w:rsid w:val="000329A1"/>
    <w:rsid w:val="000329E0"/>
    <w:rsid w:val="000333A0"/>
    <w:rsid w:val="000352E9"/>
    <w:rsid w:val="00036A07"/>
    <w:rsid w:val="00036E33"/>
    <w:rsid w:val="00037E2D"/>
    <w:rsid w:val="00040571"/>
    <w:rsid w:val="0004156E"/>
    <w:rsid w:val="00041597"/>
    <w:rsid w:val="00041655"/>
    <w:rsid w:val="0004440C"/>
    <w:rsid w:val="00045880"/>
    <w:rsid w:val="000462CB"/>
    <w:rsid w:val="00046B5E"/>
    <w:rsid w:val="0004783A"/>
    <w:rsid w:val="000509D9"/>
    <w:rsid w:val="000552A6"/>
    <w:rsid w:val="00055D41"/>
    <w:rsid w:val="00056975"/>
    <w:rsid w:val="00057CEC"/>
    <w:rsid w:val="000602C0"/>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40BE"/>
    <w:rsid w:val="0008520B"/>
    <w:rsid w:val="0008530A"/>
    <w:rsid w:val="00085518"/>
    <w:rsid w:val="000871B8"/>
    <w:rsid w:val="00087DB6"/>
    <w:rsid w:val="00090639"/>
    <w:rsid w:val="000913BE"/>
    <w:rsid w:val="000913F6"/>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6C95"/>
    <w:rsid w:val="000B728B"/>
    <w:rsid w:val="000C03DC"/>
    <w:rsid w:val="000C0C58"/>
    <w:rsid w:val="000C1679"/>
    <w:rsid w:val="000C2898"/>
    <w:rsid w:val="000C2F89"/>
    <w:rsid w:val="000C435F"/>
    <w:rsid w:val="000C4635"/>
    <w:rsid w:val="000C548E"/>
    <w:rsid w:val="000C5A33"/>
    <w:rsid w:val="000C6DE4"/>
    <w:rsid w:val="000C74F6"/>
    <w:rsid w:val="000D01EB"/>
    <w:rsid w:val="000D056E"/>
    <w:rsid w:val="000D0675"/>
    <w:rsid w:val="000D0A89"/>
    <w:rsid w:val="000D1389"/>
    <w:rsid w:val="000D1798"/>
    <w:rsid w:val="000D1A2A"/>
    <w:rsid w:val="000D2626"/>
    <w:rsid w:val="000D31DB"/>
    <w:rsid w:val="000D390C"/>
    <w:rsid w:val="000D4528"/>
    <w:rsid w:val="000D4A06"/>
    <w:rsid w:val="000D54D4"/>
    <w:rsid w:val="000D73AF"/>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58F3"/>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5A9C"/>
    <w:rsid w:val="00146EC6"/>
    <w:rsid w:val="001478D2"/>
    <w:rsid w:val="00150CC9"/>
    <w:rsid w:val="00152A87"/>
    <w:rsid w:val="00154486"/>
    <w:rsid w:val="00156D0E"/>
    <w:rsid w:val="0016086E"/>
    <w:rsid w:val="00160D0C"/>
    <w:rsid w:val="00160E95"/>
    <w:rsid w:val="00161172"/>
    <w:rsid w:val="0016139E"/>
    <w:rsid w:val="00161E65"/>
    <w:rsid w:val="00162597"/>
    <w:rsid w:val="001629AF"/>
    <w:rsid w:val="0016428A"/>
    <w:rsid w:val="001647C9"/>
    <w:rsid w:val="001661A3"/>
    <w:rsid w:val="0016782B"/>
    <w:rsid w:val="00167E78"/>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1D3"/>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A49"/>
    <w:rsid w:val="001A6D8B"/>
    <w:rsid w:val="001B079E"/>
    <w:rsid w:val="001B0CDA"/>
    <w:rsid w:val="001B0E26"/>
    <w:rsid w:val="001B125A"/>
    <w:rsid w:val="001B1E05"/>
    <w:rsid w:val="001B1EBA"/>
    <w:rsid w:val="001B1EFE"/>
    <w:rsid w:val="001B2142"/>
    <w:rsid w:val="001B26CF"/>
    <w:rsid w:val="001B2F2B"/>
    <w:rsid w:val="001B327A"/>
    <w:rsid w:val="001B35DE"/>
    <w:rsid w:val="001B35E7"/>
    <w:rsid w:val="001B3A13"/>
    <w:rsid w:val="001B59FF"/>
    <w:rsid w:val="001B636D"/>
    <w:rsid w:val="001B65D7"/>
    <w:rsid w:val="001B6752"/>
    <w:rsid w:val="001B6768"/>
    <w:rsid w:val="001B6F1F"/>
    <w:rsid w:val="001B7ECC"/>
    <w:rsid w:val="001C1AED"/>
    <w:rsid w:val="001C1B38"/>
    <w:rsid w:val="001C25A7"/>
    <w:rsid w:val="001C318C"/>
    <w:rsid w:val="001C4287"/>
    <w:rsid w:val="001C4479"/>
    <w:rsid w:val="001C5A0A"/>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6F5"/>
    <w:rsid w:val="001E28DF"/>
    <w:rsid w:val="001E2B9F"/>
    <w:rsid w:val="001E4A8D"/>
    <w:rsid w:val="001E5A94"/>
    <w:rsid w:val="001E7648"/>
    <w:rsid w:val="001F127B"/>
    <w:rsid w:val="001F2A2E"/>
    <w:rsid w:val="001F2E3D"/>
    <w:rsid w:val="001F3B72"/>
    <w:rsid w:val="001F3C63"/>
    <w:rsid w:val="001F4460"/>
    <w:rsid w:val="001F5C1C"/>
    <w:rsid w:val="001F5DAF"/>
    <w:rsid w:val="001F637C"/>
    <w:rsid w:val="001F6B6C"/>
    <w:rsid w:val="001F711A"/>
    <w:rsid w:val="001F728A"/>
    <w:rsid w:val="001F75B0"/>
    <w:rsid w:val="001F7686"/>
    <w:rsid w:val="00200CE5"/>
    <w:rsid w:val="002014DB"/>
    <w:rsid w:val="00201E12"/>
    <w:rsid w:val="002031E2"/>
    <w:rsid w:val="002033B5"/>
    <w:rsid w:val="0020382C"/>
    <w:rsid w:val="00203CB0"/>
    <w:rsid w:val="0020437A"/>
    <w:rsid w:val="00204B5F"/>
    <w:rsid w:val="0020532C"/>
    <w:rsid w:val="00205D23"/>
    <w:rsid w:val="0021036C"/>
    <w:rsid w:val="0021064F"/>
    <w:rsid w:val="002114C7"/>
    <w:rsid w:val="002118F3"/>
    <w:rsid w:val="00212756"/>
    <w:rsid w:val="00212A7A"/>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E2D"/>
    <w:rsid w:val="00246F95"/>
    <w:rsid w:val="00247F3A"/>
    <w:rsid w:val="00250122"/>
    <w:rsid w:val="00250755"/>
    <w:rsid w:val="00250AE3"/>
    <w:rsid w:val="00251C4A"/>
    <w:rsid w:val="0025271C"/>
    <w:rsid w:val="00252A91"/>
    <w:rsid w:val="002533CD"/>
    <w:rsid w:val="002544C1"/>
    <w:rsid w:val="00254EAB"/>
    <w:rsid w:val="002557AF"/>
    <w:rsid w:val="002559BE"/>
    <w:rsid w:val="002561FA"/>
    <w:rsid w:val="00256474"/>
    <w:rsid w:val="002566B1"/>
    <w:rsid w:val="002575E3"/>
    <w:rsid w:val="002603C1"/>
    <w:rsid w:val="002609A1"/>
    <w:rsid w:val="002612B1"/>
    <w:rsid w:val="00266165"/>
    <w:rsid w:val="0027125E"/>
    <w:rsid w:val="00271767"/>
    <w:rsid w:val="00272293"/>
    <w:rsid w:val="002723C8"/>
    <w:rsid w:val="00272676"/>
    <w:rsid w:val="00273104"/>
    <w:rsid w:val="00273CBE"/>
    <w:rsid w:val="00275800"/>
    <w:rsid w:val="00277441"/>
    <w:rsid w:val="002802D7"/>
    <w:rsid w:val="0028232C"/>
    <w:rsid w:val="002827F1"/>
    <w:rsid w:val="00282EC3"/>
    <w:rsid w:val="002835B0"/>
    <w:rsid w:val="0028407E"/>
    <w:rsid w:val="0028410F"/>
    <w:rsid w:val="00286603"/>
    <w:rsid w:val="00286A98"/>
    <w:rsid w:val="00286FB5"/>
    <w:rsid w:val="00287763"/>
    <w:rsid w:val="00290606"/>
    <w:rsid w:val="00290E61"/>
    <w:rsid w:val="00290F9D"/>
    <w:rsid w:val="002918A7"/>
    <w:rsid w:val="00291D6D"/>
    <w:rsid w:val="00291FF1"/>
    <w:rsid w:val="002923F6"/>
    <w:rsid w:val="00293361"/>
    <w:rsid w:val="00293770"/>
    <w:rsid w:val="00293D05"/>
    <w:rsid w:val="00295287"/>
    <w:rsid w:val="002952B1"/>
    <w:rsid w:val="00295D11"/>
    <w:rsid w:val="00295FA0"/>
    <w:rsid w:val="00297A7A"/>
    <w:rsid w:val="002A0C3A"/>
    <w:rsid w:val="002A1130"/>
    <w:rsid w:val="002A14D3"/>
    <w:rsid w:val="002A1880"/>
    <w:rsid w:val="002A1D47"/>
    <w:rsid w:val="002A23B7"/>
    <w:rsid w:val="002A3A57"/>
    <w:rsid w:val="002A67D6"/>
    <w:rsid w:val="002A6D22"/>
    <w:rsid w:val="002A6DEF"/>
    <w:rsid w:val="002A734A"/>
    <w:rsid w:val="002A7411"/>
    <w:rsid w:val="002A7C24"/>
    <w:rsid w:val="002A7E3B"/>
    <w:rsid w:val="002B013E"/>
    <w:rsid w:val="002B058D"/>
    <w:rsid w:val="002B0C16"/>
    <w:rsid w:val="002B11C9"/>
    <w:rsid w:val="002B169E"/>
    <w:rsid w:val="002B2621"/>
    <w:rsid w:val="002B2AC5"/>
    <w:rsid w:val="002B2F4F"/>
    <w:rsid w:val="002B3528"/>
    <w:rsid w:val="002B3539"/>
    <w:rsid w:val="002B3B2B"/>
    <w:rsid w:val="002B6D17"/>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8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7E6"/>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11F8"/>
    <w:rsid w:val="0031202C"/>
    <w:rsid w:val="00313026"/>
    <w:rsid w:val="0031421F"/>
    <w:rsid w:val="0031471D"/>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45C"/>
    <w:rsid w:val="00334F92"/>
    <w:rsid w:val="0033691E"/>
    <w:rsid w:val="00336CC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A11"/>
    <w:rsid w:val="00363F39"/>
    <w:rsid w:val="00364738"/>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38D"/>
    <w:rsid w:val="00377A3B"/>
    <w:rsid w:val="00377E3C"/>
    <w:rsid w:val="0038099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77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496"/>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1A6"/>
    <w:rsid w:val="003D7CE8"/>
    <w:rsid w:val="003E1032"/>
    <w:rsid w:val="003E163B"/>
    <w:rsid w:val="003E1904"/>
    <w:rsid w:val="003E285E"/>
    <w:rsid w:val="003E3300"/>
    <w:rsid w:val="003E65AC"/>
    <w:rsid w:val="003E6E24"/>
    <w:rsid w:val="003E72B9"/>
    <w:rsid w:val="003E7A18"/>
    <w:rsid w:val="003E7ED4"/>
    <w:rsid w:val="003F0E52"/>
    <w:rsid w:val="003F0EF2"/>
    <w:rsid w:val="003F0F6B"/>
    <w:rsid w:val="003F1F40"/>
    <w:rsid w:val="003F1FE3"/>
    <w:rsid w:val="003F3865"/>
    <w:rsid w:val="003F3A0A"/>
    <w:rsid w:val="003F4632"/>
    <w:rsid w:val="003F47BA"/>
    <w:rsid w:val="003F6617"/>
    <w:rsid w:val="00402332"/>
    <w:rsid w:val="004025C2"/>
    <w:rsid w:val="004037E5"/>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0C"/>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4D2E"/>
    <w:rsid w:val="004360C8"/>
    <w:rsid w:val="0044006B"/>
    <w:rsid w:val="0044033F"/>
    <w:rsid w:val="00440630"/>
    <w:rsid w:val="00441123"/>
    <w:rsid w:val="00441B74"/>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3B5B"/>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8FE"/>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404F"/>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7C0"/>
    <w:rsid w:val="004E3930"/>
    <w:rsid w:val="004E3ED9"/>
    <w:rsid w:val="004E5866"/>
    <w:rsid w:val="004E5D94"/>
    <w:rsid w:val="004E6097"/>
    <w:rsid w:val="004E61EF"/>
    <w:rsid w:val="004E6772"/>
    <w:rsid w:val="004E76A7"/>
    <w:rsid w:val="004E7736"/>
    <w:rsid w:val="004E7B03"/>
    <w:rsid w:val="004F0064"/>
    <w:rsid w:val="004F06AC"/>
    <w:rsid w:val="004F0C76"/>
    <w:rsid w:val="004F1AE6"/>
    <w:rsid w:val="004F243F"/>
    <w:rsid w:val="004F3E0C"/>
    <w:rsid w:val="004F4B37"/>
    <w:rsid w:val="004F6272"/>
    <w:rsid w:val="004F6A2D"/>
    <w:rsid w:val="004F7160"/>
    <w:rsid w:val="00500258"/>
    <w:rsid w:val="0050175E"/>
    <w:rsid w:val="00501A99"/>
    <w:rsid w:val="00503180"/>
    <w:rsid w:val="0050417C"/>
    <w:rsid w:val="0050437F"/>
    <w:rsid w:val="00505450"/>
    <w:rsid w:val="00505D22"/>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217"/>
    <w:rsid w:val="0052451A"/>
    <w:rsid w:val="00524737"/>
    <w:rsid w:val="00526265"/>
    <w:rsid w:val="0052652D"/>
    <w:rsid w:val="0052655D"/>
    <w:rsid w:val="005265E0"/>
    <w:rsid w:val="00526BC3"/>
    <w:rsid w:val="00530F9E"/>
    <w:rsid w:val="0053274E"/>
    <w:rsid w:val="0053358A"/>
    <w:rsid w:val="0053408B"/>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853"/>
    <w:rsid w:val="005779E4"/>
    <w:rsid w:val="00577A3F"/>
    <w:rsid w:val="00580AC5"/>
    <w:rsid w:val="00580EB3"/>
    <w:rsid w:val="00581A2A"/>
    <w:rsid w:val="0058289C"/>
    <w:rsid w:val="00582C35"/>
    <w:rsid w:val="00582DC6"/>
    <w:rsid w:val="005836C7"/>
    <w:rsid w:val="00583E30"/>
    <w:rsid w:val="0058408E"/>
    <w:rsid w:val="005845AF"/>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0C3"/>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C7B87"/>
    <w:rsid w:val="005D02E3"/>
    <w:rsid w:val="005D0310"/>
    <w:rsid w:val="005D039C"/>
    <w:rsid w:val="005D1370"/>
    <w:rsid w:val="005D1F34"/>
    <w:rsid w:val="005D2529"/>
    <w:rsid w:val="005D2C1F"/>
    <w:rsid w:val="005D34B2"/>
    <w:rsid w:val="005D3B54"/>
    <w:rsid w:val="005D40CD"/>
    <w:rsid w:val="005D4546"/>
    <w:rsid w:val="005D6B59"/>
    <w:rsid w:val="005D7037"/>
    <w:rsid w:val="005E03E4"/>
    <w:rsid w:val="005E0454"/>
    <w:rsid w:val="005E0BF4"/>
    <w:rsid w:val="005E171D"/>
    <w:rsid w:val="005E34C2"/>
    <w:rsid w:val="005E35C6"/>
    <w:rsid w:val="005E417A"/>
    <w:rsid w:val="005E5B01"/>
    <w:rsid w:val="005E6E3B"/>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BB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0CF"/>
    <w:rsid w:val="00637774"/>
    <w:rsid w:val="0064024C"/>
    <w:rsid w:val="00640291"/>
    <w:rsid w:val="0064103F"/>
    <w:rsid w:val="00641FAC"/>
    <w:rsid w:val="006432A5"/>
    <w:rsid w:val="00643664"/>
    <w:rsid w:val="00643CAA"/>
    <w:rsid w:val="00644075"/>
    <w:rsid w:val="00652137"/>
    <w:rsid w:val="00652680"/>
    <w:rsid w:val="00652A09"/>
    <w:rsid w:val="00652CCD"/>
    <w:rsid w:val="006530A1"/>
    <w:rsid w:val="00653CDE"/>
    <w:rsid w:val="006540B4"/>
    <w:rsid w:val="0065636A"/>
    <w:rsid w:val="0065669F"/>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44E8"/>
    <w:rsid w:val="0067508F"/>
    <w:rsid w:val="00675349"/>
    <w:rsid w:val="00675E7E"/>
    <w:rsid w:val="0068051E"/>
    <w:rsid w:val="00680B9D"/>
    <w:rsid w:val="00681F13"/>
    <w:rsid w:val="0068231C"/>
    <w:rsid w:val="00682344"/>
    <w:rsid w:val="00682939"/>
    <w:rsid w:val="00682F28"/>
    <w:rsid w:val="00684842"/>
    <w:rsid w:val="00685BD6"/>
    <w:rsid w:val="006878A6"/>
    <w:rsid w:val="00690437"/>
    <w:rsid w:val="00690E65"/>
    <w:rsid w:val="0069188E"/>
    <w:rsid w:val="00691974"/>
    <w:rsid w:val="00692CE6"/>
    <w:rsid w:val="00693B6C"/>
    <w:rsid w:val="00694202"/>
    <w:rsid w:val="006942AE"/>
    <w:rsid w:val="0069483C"/>
    <w:rsid w:val="0069522E"/>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0CB"/>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214"/>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626A"/>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4994"/>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3C94"/>
    <w:rsid w:val="00724044"/>
    <w:rsid w:val="007244E1"/>
    <w:rsid w:val="007248D3"/>
    <w:rsid w:val="00725137"/>
    <w:rsid w:val="007263ED"/>
    <w:rsid w:val="00727A43"/>
    <w:rsid w:val="00727FF2"/>
    <w:rsid w:val="007306C7"/>
    <w:rsid w:val="007309DE"/>
    <w:rsid w:val="007323E0"/>
    <w:rsid w:val="00733791"/>
    <w:rsid w:val="0073391B"/>
    <w:rsid w:val="00733DE2"/>
    <w:rsid w:val="007352EA"/>
    <w:rsid w:val="0073544F"/>
    <w:rsid w:val="007364E5"/>
    <w:rsid w:val="0073792F"/>
    <w:rsid w:val="00740367"/>
    <w:rsid w:val="00740BAD"/>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3D"/>
    <w:rsid w:val="00765E6A"/>
    <w:rsid w:val="00767EA0"/>
    <w:rsid w:val="0077068F"/>
    <w:rsid w:val="007707D2"/>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977A2"/>
    <w:rsid w:val="007A0A5E"/>
    <w:rsid w:val="007A11C2"/>
    <w:rsid w:val="007A2367"/>
    <w:rsid w:val="007A41BF"/>
    <w:rsid w:val="007A490A"/>
    <w:rsid w:val="007A581D"/>
    <w:rsid w:val="007A683E"/>
    <w:rsid w:val="007A7B95"/>
    <w:rsid w:val="007B0297"/>
    <w:rsid w:val="007B0F53"/>
    <w:rsid w:val="007B1DD8"/>
    <w:rsid w:val="007B21AE"/>
    <w:rsid w:val="007B2570"/>
    <w:rsid w:val="007B3113"/>
    <w:rsid w:val="007B31B7"/>
    <w:rsid w:val="007B3304"/>
    <w:rsid w:val="007B332B"/>
    <w:rsid w:val="007B394D"/>
    <w:rsid w:val="007B7490"/>
    <w:rsid w:val="007B774A"/>
    <w:rsid w:val="007C0525"/>
    <w:rsid w:val="007C0B56"/>
    <w:rsid w:val="007C13F7"/>
    <w:rsid w:val="007C218D"/>
    <w:rsid w:val="007C2D28"/>
    <w:rsid w:val="007C3E22"/>
    <w:rsid w:val="007C3FDA"/>
    <w:rsid w:val="007C5153"/>
    <w:rsid w:val="007C5234"/>
    <w:rsid w:val="007C67C6"/>
    <w:rsid w:val="007C707A"/>
    <w:rsid w:val="007C7E59"/>
    <w:rsid w:val="007D0B91"/>
    <w:rsid w:val="007D0F53"/>
    <w:rsid w:val="007D1452"/>
    <w:rsid w:val="007D1E29"/>
    <w:rsid w:val="007D460C"/>
    <w:rsid w:val="007D4AD3"/>
    <w:rsid w:val="007D4C8D"/>
    <w:rsid w:val="007D5D19"/>
    <w:rsid w:val="007D5FDC"/>
    <w:rsid w:val="007D6232"/>
    <w:rsid w:val="007D6D68"/>
    <w:rsid w:val="007E01DA"/>
    <w:rsid w:val="007E1603"/>
    <w:rsid w:val="007E32DA"/>
    <w:rsid w:val="007E44FB"/>
    <w:rsid w:val="007E4998"/>
    <w:rsid w:val="007E4A9C"/>
    <w:rsid w:val="007E6914"/>
    <w:rsid w:val="007E7C9B"/>
    <w:rsid w:val="007E7F78"/>
    <w:rsid w:val="007F0C8B"/>
    <w:rsid w:val="007F1517"/>
    <w:rsid w:val="007F1BD7"/>
    <w:rsid w:val="007F1D44"/>
    <w:rsid w:val="007F2C13"/>
    <w:rsid w:val="007F2CEC"/>
    <w:rsid w:val="007F55DE"/>
    <w:rsid w:val="007F5605"/>
    <w:rsid w:val="007F6147"/>
    <w:rsid w:val="007F6FCD"/>
    <w:rsid w:val="007F7654"/>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0140"/>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6EF"/>
    <w:rsid w:val="0085788B"/>
    <w:rsid w:val="00857A9E"/>
    <w:rsid w:val="00857DE2"/>
    <w:rsid w:val="0086353C"/>
    <w:rsid w:val="0086407F"/>
    <w:rsid w:val="00864E79"/>
    <w:rsid w:val="00865F52"/>
    <w:rsid w:val="00866111"/>
    <w:rsid w:val="0086661F"/>
    <w:rsid w:val="00866A0D"/>
    <w:rsid w:val="00866DB5"/>
    <w:rsid w:val="0086784E"/>
    <w:rsid w:val="00867AF1"/>
    <w:rsid w:val="00870445"/>
    <w:rsid w:val="00872118"/>
    <w:rsid w:val="00872827"/>
    <w:rsid w:val="00872888"/>
    <w:rsid w:val="00872A32"/>
    <w:rsid w:val="00872D92"/>
    <w:rsid w:val="00872E21"/>
    <w:rsid w:val="00874C70"/>
    <w:rsid w:val="00874ECA"/>
    <w:rsid w:val="00876EAE"/>
    <w:rsid w:val="00880F95"/>
    <w:rsid w:val="008819C6"/>
    <w:rsid w:val="00882B44"/>
    <w:rsid w:val="00882E73"/>
    <w:rsid w:val="00882FE5"/>
    <w:rsid w:val="008845A4"/>
    <w:rsid w:val="00886138"/>
    <w:rsid w:val="00886E66"/>
    <w:rsid w:val="008871B0"/>
    <w:rsid w:val="0089217C"/>
    <w:rsid w:val="008928A1"/>
    <w:rsid w:val="00893671"/>
    <w:rsid w:val="00895838"/>
    <w:rsid w:val="00895A72"/>
    <w:rsid w:val="00895CDF"/>
    <w:rsid w:val="008968C7"/>
    <w:rsid w:val="008971DB"/>
    <w:rsid w:val="00897A55"/>
    <w:rsid w:val="008A0FC9"/>
    <w:rsid w:val="008A1956"/>
    <w:rsid w:val="008A2B5F"/>
    <w:rsid w:val="008A40D3"/>
    <w:rsid w:val="008A469C"/>
    <w:rsid w:val="008A484A"/>
    <w:rsid w:val="008A5877"/>
    <w:rsid w:val="008A6539"/>
    <w:rsid w:val="008A701C"/>
    <w:rsid w:val="008A79F6"/>
    <w:rsid w:val="008B05DD"/>
    <w:rsid w:val="008B17E8"/>
    <w:rsid w:val="008B1925"/>
    <w:rsid w:val="008B266C"/>
    <w:rsid w:val="008B2D03"/>
    <w:rsid w:val="008B2E7C"/>
    <w:rsid w:val="008B42EB"/>
    <w:rsid w:val="008B45A7"/>
    <w:rsid w:val="008B49D8"/>
    <w:rsid w:val="008B4A70"/>
    <w:rsid w:val="008B502F"/>
    <w:rsid w:val="008B5A88"/>
    <w:rsid w:val="008B5BB4"/>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381"/>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5287"/>
    <w:rsid w:val="009369A9"/>
    <w:rsid w:val="00936CF7"/>
    <w:rsid w:val="00937201"/>
    <w:rsid w:val="0093734A"/>
    <w:rsid w:val="00937783"/>
    <w:rsid w:val="00940FE1"/>
    <w:rsid w:val="00942306"/>
    <w:rsid w:val="009424B8"/>
    <w:rsid w:val="00942D53"/>
    <w:rsid w:val="009433A4"/>
    <w:rsid w:val="0094435B"/>
    <w:rsid w:val="00944668"/>
    <w:rsid w:val="00944DC6"/>
    <w:rsid w:val="0094515F"/>
    <w:rsid w:val="0094537D"/>
    <w:rsid w:val="0094573F"/>
    <w:rsid w:val="009458B0"/>
    <w:rsid w:val="00945B52"/>
    <w:rsid w:val="00945DC0"/>
    <w:rsid w:val="00945F05"/>
    <w:rsid w:val="00946348"/>
    <w:rsid w:val="00946C8E"/>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786"/>
    <w:rsid w:val="00971CF1"/>
    <w:rsid w:val="009721E9"/>
    <w:rsid w:val="00972A58"/>
    <w:rsid w:val="00973772"/>
    <w:rsid w:val="009738FC"/>
    <w:rsid w:val="00975E1E"/>
    <w:rsid w:val="00975E70"/>
    <w:rsid w:val="00977CD6"/>
    <w:rsid w:val="00982481"/>
    <w:rsid w:val="00982D26"/>
    <w:rsid w:val="0098330E"/>
    <w:rsid w:val="009833DD"/>
    <w:rsid w:val="00983A87"/>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C079D"/>
    <w:rsid w:val="009C0D70"/>
    <w:rsid w:val="009C13D1"/>
    <w:rsid w:val="009C1BFF"/>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1581"/>
    <w:rsid w:val="009E2D6C"/>
    <w:rsid w:val="009E367E"/>
    <w:rsid w:val="009E388B"/>
    <w:rsid w:val="009E393E"/>
    <w:rsid w:val="009E444E"/>
    <w:rsid w:val="009E4968"/>
    <w:rsid w:val="009E663C"/>
    <w:rsid w:val="009E6BB1"/>
    <w:rsid w:val="009F0092"/>
    <w:rsid w:val="009F0CD9"/>
    <w:rsid w:val="009F1A79"/>
    <w:rsid w:val="009F1F57"/>
    <w:rsid w:val="009F2635"/>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1EA"/>
    <w:rsid w:val="00A0663F"/>
    <w:rsid w:val="00A066CE"/>
    <w:rsid w:val="00A0740B"/>
    <w:rsid w:val="00A075A9"/>
    <w:rsid w:val="00A11042"/>
    <w:rsid w:val="00A11805"/>
    <w:rsid w:val="00A133D8"/>
    <w:rsid w:val="00A14E97"/>
    <w:rsid w:val="00A20069"/>
    <w:rsid w:val="00A20280"/>
    <w:rsid w:val="00A2244D"/>
    <w:rsid w:val="00A2253D"/>
    <w:rsid w:val="00A22AEC"/>
    <w:rsid w:val="00A23592"/>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0599"/>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B55"/>
    <w:rsid w:val="00A90DE4"/>
    <w:rsid w:val="00A9246D"/>
    <w:rsid w:val="00A93644"/>
    <w:rsid w:val="00A93BD0"/>
    <w:rsid w:val="00A95D69"/>
    <w:rsid w:val="00A975A4"/>
    <w:rsid w:val="00A97872"/>
    <w:rsid w:val="00AA2001"/>
    <w:rsid w:val="00AA2B5C"/>
    <w:rsid w:val="00AA2CEF"/>
    <w:rsid w:val="00AA4E59"/>
    <w:rsid w:val="00AA5328"/>
    <w:rsid w:val="00AA5393"/>
    <w:rsid w:val="00AA5771"/>
    <w:rsid w:val="00AA63D4"/>
    <w:rsid w:val="00AA6767"/>
    <w:rsid w:val="00AA6DAE"/>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F9B"/>
    <w:rsid w:val="00AC733E"/>
    <w:rsid w:val="00AD0091"/>
    <w:rsid w:val="00AD23D8"/>
    <w:rsid w:val="00AD23EF"/>
    <w:rsid w:val="00AD307B"/>
    <w:rsid w:val="00AD41B3"/>
    <w:rsid w:val="00AD4C48"/>
    <w:rsid w:val="00AD57AF"/>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537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41B81"/>
    <w:rsid w:val="00B42980"/>
    <w:rsid w:val="00B434B2"/>
    <w:rsid w:val="00B434C7"/>
    <w:rsid w:val="00B43D45"/>
    <w:rsid w:val="00B443B4"/>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67408"/>
    <w:rsid w:val="00B7102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4FF"/>
    <w:rsid w:val="00B94956"/>
    <w:rsid w:val="00B94C7F"/>
    <w:rsid w:val="00B94DF6"/>
    <w:rsid w:val="00B956B5"/>
    <w:rsid w:val="00B95904"/>
    <w:rsid w:val="00B95C3A"/>
    <w:rsid w:val="00B95FCE"/>
    <w:rsid w:val="00BA0A23"/>
    <w:rsid w:val="00BA0D44"/>
    <w:rsid w:val="00BA0E26"/>
    <w:rsid w:val="00BA11BB"/>
    <w:rsid w:val="00BA2B61"/>
    <w:rsid w:val="00BA31BF"/>
    <w:rsid w:val="00BA43FC"/>
    <w:rsid w:val="00BA478B"/>
    <w:rsid w:val="00BA5224"/>
    <w:rsid w:val="00BA7456"/>
    <w:rsid w:val="00BA7925"/>
    <w:rsid w:val="00BA7B27"/>
    <w:rsid w:val="00BA7E3B"/>
    <w:rsid w:val="00BB079C"/>
    <w:rsid w:val="00BB32A1"/>
    <w:rsid w:val="00BB39C1"/>
    <w:rsid w:val="00BB52AF"/>
    <w:rsid w:val="00BB5555"/>
    <w:rsid w:val="00BB5D16"/>
    <w:rsid w:val="00BB6180"/>
    <w:rsid w:val="00BB6595"/>
    <w:rsid w:val="00BB69E6"/>
    <w:rsid w:val="00BB6DEF"/>
    <w:rsid w:val="00BB7714"/>
    <w:rsid w:val="00BC1B7A"/>
    <w:rsid w:val="00BC2BC7"/>
    <w:rsid w:val="00BC2C17"/>
    <w:rsid w:val="00BC3ACD"/>
    <w:rsid w:val="00BC506D"/>
    <w:rsid w:val="00BC5C09"/>
    <w:rsid w:val="00BC63C3"/>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113"/>
    <w:rsid w:val="00BE2C0A"/>
    <w:rsid w:val="00BE3537"/>
    <w:rsid w:val="00BE360F"/>
    <w:rsid w:val="00BE367B"/>
    <w:rsid w:val="00BE50FD"/>
    <w:rsid w:val="00BE51CA"/>
    <w:rsid w:val="00BE5E5A"/>
    <w:rsid w:val="00BE6D47"/>
    <w:rsid w:val="00BE7032"/>
    <w:rsid w:val="00BE7330"/>
    <w:rsid w:val="00BF01C5"/>
    <w:rsid w:val="00BF045B"/>
    <w:rsid w:val="00BF066A"/>
    <w:rsid w:val="00BF32AA"/>
    <w:rsid w:val="00BF361C"/>
    <w:rsid w:val="00BF39A0"/>
    <w:rsid w:val="00BF4342"/>
    <w:rsid w:val="00BF4B18"/>
    <w:rsid w:val="00BF5050"/>
    <w:rsid w:val="00BF5422"/>
    <w:rsid w:val="00BF54CF"/>
    <w:rsid w:val="00BF59B1"/>
    <w:rsid w:val="00BF6A78"/>
    <w:rsid w:val="00BF6E19"/>
    <w:rsid w:val="00BF79B4"/>
    <w:rsid w:val="00C0099F"/>
    <w:rsid w:val="00C01427"/>
    <w:rsid w:val="00C016A1"/>
    <w:rsid w:val="00C04AAB"/>
    <w:rsid w:val="00C058AF"/>
    <w:rsid w:val="00C05A11"/>
    <w:rsid w:val="00C06F5A"/>
    <w:rsid w:val="00C124C1"/>
    <w:rsid w:val="00C128AE"/>
    <w:rsid w:val="00C136D6"/>
    <w:rsid w:val="00C13D5B"/>
    <w:rsid w:val="00C16615"/>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A63"/>
    <w:rsid w:val="00C34183"/>
    <w:rsid w:val="00C360B3"/>
    <w:rsid w:val="00C36363"/>
    <w:rsid w:val="00C3679B"/>
    <w:rsid w:val="00C37027"/>
    <w:rsid w:val="00C3778D"/>
    <w:rsid w:val="00C405A3"/>
    <w:rsid w:val="00C41DB7"/>
    <w:rsid w:val="00C42752"/>
    <w:rsid w:val="00C42973"/>
    <w:rsid w:val="00C44F9C"/>
    <w:rsid w:val="00C46D58"/>
    <w:rsid w:val="00C4730E"/>
    <w:rsid w:val="00C47EE9"/>
    <w:rsid w:val="00C5019C"/>
    <w:rsid w:val="00C5034F"/>
    <w:rsid w:val="00C514D3"/>
    <w:rsid w:val="00C516D3"/>
    <w:rsid w:val="00C52479"/>
    <w:rsid w:val="00C5291F"/>
    <w:rsid w:val="00C52BC8"/>
    <w:rsid w:val="00C52C59"/>
    <w:rsid w:val="00C5349E"/>
    <w:rsid w:val="00C5354B"/>
    <w:rsid w:val="00C54467"/>
    <w:rsid w:val="00C54D3D"/>
    <w:rsid w:val="00C55116"/>
    <w:rsid w:val="00C55A30"/>
    <w:rsid w:val="00C57C58"/>
    <w:rsid w:val="00C6028F"/>
    <w:rsid w:val="00C6036D"/>
    <w:rsid w:val="00C608F1"/>
    <w:rsid w:val="00C619B9"/>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B53"/>
    <w:rsid w:val="00C72F53"/>
    <w:rsid w:val="00C74035"/>
    <w:rsid w:val="00C76FF4"/>
    <w:rsid w:val="00C77818"/>
    <w:rsid w:val="00C77AE3"/>
    <w:rsid w:val="00C8063F"/>
    <w:rsid w:val="00C81549"/>
    <w:rsid w:val="00C816C8"/>
    <w:rsid w:val="00C829A1"/>
    <w:rsid w:val="00C83B36"/>
    <w:rsid w:val="00C84F8A"/>
    <w:rsid w:val="00C85209"/>
    <w:rsid w:val="00C8618F"/>
    <w:rsid w:val="00C90372"/>
    <w:rsid w:val="00C9041F"/>
    <w:rsid w:val="00C91A45"/>
    <w:rsid w:val="00C91ED2"/>
    <w:rsid w:val="00C91F66"/>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6870"/>
    <w:rsid w:val="00CA7500"/>
    <w:rsid w:val="00CA7C34"/>
    <w:rsid w:val="00CB0696"/>
    <w:rsid w:val="00CB1239"/>
    <w:rsid w:val="00CB19FE"/>
    <w:rsid w:val="00CB2EEF"/>
    <w:rsid w:val="00CB304C"/>
    <w:rsid w:val="00CB53E8"/>
    <w:rsid w:val="00CB594A"/>
    <w:rsid w:val="00CB5CB2"/>
    <w:rsid w:val="00CB6979"/>
    <w:rsid w:val="00CC0484"/>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614A"/>
    <w:rsid w:val="00CD72C5"/>
    <w:rsid w:val="00CD79A7"/>
    <w:rsid w:val="00CE0789"/>
    <w:rsid w:val="00CE1A03"/>
    <w:rsid w:val="00CE2260"/>
    <w:rsid w:val="00CE2346"/>
    <w:rsid w:val="00CE3529"/>
    <w:rsid w:val="00CE35C8"/>
    <w:rsid w:val="00CE3962"/>
    <w:rsid w:val="00CE5105"/>
    <w:rsid w:val="00CE56BD"/>
    <w:rsid w:val="00CE5EC0"/>
    <w:rsid w:val="00CE6F9F"/>
    <w:rsid w:val="00CE773B"/>
    <w:rsid w:val="00CE781A"/>
    <w:rsid w:val="00CF10FC"/>
    <w:rsid w:val="00CF1D74"/>
    <w:rsid w:val="00CF2BE2"/>
    <w:rsid w:val="00CF55F9"/>
    <w:rsid w:val="00CF71A6"/>
    <w:rsid w:val="00CF7495"/>
    <w:rsid w:val="00CF7671"/>
    <w:rsid w:val="00CF7C5B"/>
    <w:rsid w:val="00CF7FFC"/>
    <w:rsid w:val="00D01CF9"/>
    <w:rsid w:val="00D02246"/>
    <w:rsid w:val="00D0334D"/>
    <w:rsid w:val="00D0374D"/>
    <w:rsid w:val="00D05A76"/>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5C6A"/>
    <w:rsid w:val="00D572BE"/>
    <w:rsid w:val="00D57EB6"/>
    <w:rsid w:val="00D60ED7"/>
    <w:rsid w:val="00D63586"/>
    <w:rsid w:val="00D63E6B"/>
    <w:rsid w:val="00D65538"/>
    <w:rsid w:val="00D664BF"/>
    <w:rsid w:val="00D668CA"/>
    <w:rsid w:val="00D66D8B"/>
    <w:rsid w:val="00D67D04"/>
    <w:rsid w:val="00D70C06"/>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32B"/>
    <w:rsid w:val="00D8259F"/>
    <w:rsid w:val="00D825F2"/>
    <w:rsid w:val="00D828B1"/>
    <w:rsid w:val="00D83E88"/>
    <w:rsid w:val="00D84F27"/>
    <w:rsid w:val="00D850D4"/>
    <w:rsid w:val="00D862D1"/>
    <w:rsid w:val="00D873C6"/>
    <w:rsid w:val="00D91027"/>
    <w:rsid w:val="00D9393E"/>
    <w:rsid w:val="00D93B66"/>
    <w:rsid w:val="00D94C7D"/>
    <w:rsid w:val="00D94CA4"/>
    <w:rsid w:val="00D94FB4"/>
    <w:rsid w:val="00D95E99"/>
    <w:rsid w:val="00DA098C"/>
    <w:rsid w:val="00DA1A3A"/>
    <w:rsid w:val="00DA2712"/>
    <w:rsid w:val="00DA2C65"/>
    <w:rsid w:val="00DA395D"/>
    <w:rsid w:val="00DA6229"/>
    <w:rsid w:val="00DA6D33"/>
    <w:rsid w:val="00DB16B8"/>
    <w:rsid w:val="00DB1869"/>
    <w:rsid w:val="00DB1D52"/>
    <w:rsid w:val="00DB1F62"/>
    <w:rsid w:val="00DB2852"/>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69C"/>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2EE5"/>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9A6"/>
    <w:rsid w:val="00E80EDD"/>
    <w:rsid w:val="00E80F0A"/>
    <w:rsid w:val="00E81A6A"/>
    <w:rsid w:val="00E8291B"/>
    <w:rsid w:val="00E8395F"/>
    <w:rsid w:val="00E83BAE"/>
    <w:rsid w:val="00E8473F"/>
    <w:rsid w:val="00E850B2"/>
    <w:rsid w:val="00E857EB"/>
    <w:rsid w:val="00E85E41"/>
    <w:rsid w:val="00E85EA1"/>
    <w:rsid w:val="00E8610B"/>
    <w:rsid w:val="00E86C86"/>
    <w:rsid w:val="00E91044"/>
    <w:rsid w:val="00E910D3"/>
    <w:rsid w:val="00E9214B"/>
    <w:rsid w:val="00E923CF"/>
    <w:rsid w:val="00E9335F"/>
    <w:rsid w:val="00E95111"/>
    <w:rsid w:val="00E9783B"/>
    <w:rsid w:val="00EA061E"/>
    <w:rsid w:val="00EA14C8"/>
    <w:rsid w:val="00EA19D3"/>
    <w:rsid w:val="00EA2358"/>
    <w:rsid w:val="00EA2C8B"/>
    <w:rsid w:val="00EA3582"/>
    <w:rsid w:val="00EA6649"/>
    <w:rsid w:val="00EB05D0"/>
    <w:rsid w:val="00EB07C5"/>
    <w:rsid w:val="00EB107E"/>
    <w:rsid w:val="00EB11D8"/>
    <w:rsid w:val="00EB1D49"/>
    <w:rsid w:val="00EB42DD"/>
    <w:rsid w:val="00EB559F"/>
    <w:rsid w:val="00EB5F3D"/>
    <w:rsid w:val="00EB6EC2"/>
    <w:rsid w:val="00EC0090"/>
    <w:rsid w:val="00EC1CEB"/>
    <w:rsid w:val="00EC268C"/>
    <w:rsid w:val="00EC3602"/>
    <w:rsid w:val="00EC3753"/>
    <w:rsid w:val="00EC3CB8"/>
    <w:rsid w:val="00EC3D46"/>
    <w:rsid w:val="00EC4E71"/>
    <w:rsid w:val="00EC569A"/>
    <w:rsid w:val="00EC6667"/>
    <w:rsid w:val="00EC676D"/>
    <w:rsid w:val="00ED0365"/>
    <w:rsid w:val="00ED0865"/>
    <w:rsid w:val="00ED094F"/>
    <w:rsid w:val="00ED16B6"/>
    <w:rsid w:val="00ED1C60"/>
    <w:rsid w:val="00ED2EB9"/>
    <w:rsid w:val="00ED4469"/>
    <w:rsid w:val="00ED5F23"/>
    <w:rsid w:val="00ED6DC0"/>
    <w:rsid w:val="00ED6EC1"/>
    <w:rsid w:val="00ED79CE"/>
    <w:rsid w:val="00ED7A7A"/>
    <w:rsid w:val="00EE038C"/>
    <w:rsid w:val="00EE040B"/>
    <w:rsid w:val="00EE47C5"/>
    <w:rsid w:val="00EE490C"/>
    <w:rsid w:val="00EE4E02"/>
    <w:rsid w:val="00EE5619"/>
    <w:rsid w:val="00EE613B"/>
    <w:rsid w:val="00EE6911"/>
    <w:rsid w:val="00EE7E17"/>
    <w:rsid w:val="00EF2C8E"/>
    <w:rsid w:val="00EF37E4"/>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018"/>
    <w:rsid w:val="00F0267E"/>
    <w:rsid w:val="00F02686"/>
    <w:rsid w:val="00F0366B"/>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5FB2"/>
    <w:rsid w:val="00F2637F"/>
    <w:rsid w:val="00F263A8"/>
    <w:rsid w:val="00F268F7"/>
    <w:rsid w:val="00F27280"/>
    <w:rsid w:val="00F3053D"/>
    <w:rsid w:val="00F30BDB"/>
    <w:rsid w:val="00F30CF8"/>
    <w:rsid w:val="00F30EE8"/>
    <w:rsid w:val="00F317E3"/>
    <w:rsid w:val="00F31EDF"/>
    <w:rsid w:val="00F32CDE"/>
    <w:rsid w:val="00F32D4C"/>
    <w:rsid w:val="00F34811"/>
    <w:rsid w:val="00F34B14"/>
    <w:rsid w:val="00F36A6A"/>
    <w:rsid w:val="00F40101"/>
    <w:rsid w:val="00F404F7"/>
    <w:rsid w:val="00F40CCA"/>
    <w:rsid w:val="00F41521"/>
    <w:rsid w:val="00F41975"/>
    <w:rsid w:val="00F41B5A"/>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57B30"/>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3379"/>
    <w:rsid w:val="00F85B72"/>
    <w:rsid w:val="00F86B6D"/>
    <w:rsid w:val="00F8766F"/>
    <w:rsid w:val="00F87A81"/>
    <w:rsid w:val="00F9104C"/>
    <w:rsid w:val="00F91082"/>
    <w:rsid w:val="00F91A9A"/>
    <w:rsid w:val="00F93ABB"/>
    <w:rsid w:val="00F940EF"/>
    <w:rsid w:val="00F94D79"/>
    <w:rsid w:val="00F97E7E"/>
    <w:rsid w:val="00FA118A"/>
    <w:rsid w:val="00FA31C7"/>
    <w:rsid w:val="00FA472D"/>
    <w:rsid w:val="00FA7254"/>
    <w:rsid w:val="00FB0214"/>
    <w:rsid w:val="00FB080C"/>
    <w:rsid w:val="00FB0FAF"/>
    <w:rsid w:val="00FB12BC"/>
    <w:rsid w:val="00FB18F6"/>
    <w:rsid w:val="00FB2056"/>
    <w:rsid w:val="00FB2A52"/>
    <w:rsid w:val="00FB2F13"/>
    <w:rsid w:val="00FB31FD"/>
    <w:rsid w:val="00FB6E19"/>
    <w:rsid w:val="00FB71F6"/>
    <w:rsid w:val="00FC1339"/>
    <w:rsid w:val="00FC1483"/>
    <w:rsid w:val="00FC1C47"/>
    <w:rsid w:val="00FC2CED"/>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2D46"/>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1FE4B70"/>
    <w:rsid w:val="02511F9D"/>
    <w:rsid w:val="03056ED3"/>
    <w:rsid w:val="03A314B8"/>
    <w:rsid w:val="03A907BD"/>
    <w:rsid w:val="03D82B98"/>
    <w:rsid w:val="03F83E8B"/>
    <w:rsid w:val="04F96FF0"/>
    <w:rsid w:val="05B74650"/>
    <w:rsid w:val="06B4072D"/>
    <w:rsid w:val="06D84CC3"/>
    <w:rsid w:val="07A70F85"/>
    <w:rsid w:val="07B72767"/>
    <w:rsid w:val="08077E72"/>
    <w:rsid w:val="08AB4A0D"/>
    <w:rsid w:val="08AF6849"/>
    <w:rsid w:val="08E729B2"/>
    <w:rsid w:val="09053F2C"/>
    <w:rsid w:val="09270E73"/>
    <w:rsid w:val="092C43F4"/>
    <w:rsid w:val="09AF221A"/>
    <w:rsid w:val="09CC2AAC"/>
    <w:rsid w:val="09D820EE"/>
    <w:rsid w:val="0A652D3E"/>
    <w:rsid w:val="0AAD7F01"/>
    <w:rsid w:val="0AB063A2"/>
    <w:rsid w:val="0B253A7F"/>
    <w:rsid w:val="0B3A48F0"/>
    <w:rsid w:val="0B4B7C0B"/>
    <w:rsid w:val="0B7A1444"/>
    <w:rsid w:val="0C671F47"/>
    <w:rsid w:val="0C92213C"/>
    <w:rsid w:val="0D0B5B12"/>
    <w:rsid w:val="0D4F221D"/>
    <w:rsid w:val="0D84032B"/>
    <w:rsid w:val="0DD01512"/>
    <w:rsid w:val="0EAB6328"/>
    <w:rsid w:val="0EB83A78"/>
    <w:rsid w:val="0ED317E0"/>
    <w:rsid w:val="0F0A0484"/>
    <w:rsid w:val="0F2C39E7"/>
    <w:rsid w:val="0F3B6457"/>
    <w:rsid w:val="101533CE"/>
    <w:rsid w:val="10702130"/>
    <w:rsid w:val="10910627"/>
    <w:rsid w:val="10953945"/>
    <w:rsid w:val="10A27F31"/>
    <w:rsid w:val="10AC2CA2"/>
    <w:rsid w:val="10CA487C"/>
    <w:rsid w:val="112A4DB2"/>
    <w:rsid w:val="11927058"/>
    <w:rsid w:val="12130FC5"/>
    <w:rsid w:val="126537F7"/>
    <w:rsid w:val="12FE1C75"/>
    <w:rsid w:val="137F3543"/>
    <w:rsid w:val="13AF4F03"/>
    <w:rsid w:val="13FA5909"/>
    <w:rsid w:val="14661880"/>
    <w:rsid w:val="14736E66"/>
    <w:rsid w:val="14832587"/>
    <w:rsid w:val="149B6AC2"/>
    <w:rsid w:val="15293653"/>
    <w:rsid w:val="1534169A"/>
    <w:rsid w:val="15C03E03"/>
    <w:rsid w:val="162163A6"/>
    <w:rsid w:val="162A25EB"/>
    <w:rsid w:val="16386AF3"/>
    <w:rsid w:val="16FD2A55"/>
    <w:rsid w:val="17366761"/>
    <w:rsid w:val="177C01F0"/>
    <w:rsid w:val="178057B9"/>
    <w:rsid w:val="17CE6630"/>
    <w:rsid w:val="18AC1971"/>
    <w:rsid w:val="191775ED"/>
    <w:rsid w:val="19820BA0"/>
    <w:rsid w:val="19C03CF6"/>
    <w:rsid w:val="19C150EF"/>
    <w:rsid w:val="19F6167D"/>
    <w:rsid w:val="1AD9F6BD"/>
    <w:rsid w:val="1AFA16D5"/>
    <w:rsid w:val="1AFA743B"/>
    <w:rsid w:val="1B4F19F8"/>
    <w:rsid w:val="1B7F0E94"/>
    <w:rsid w:val="1BCD0EF8"/>
    <w:rsid w:val="1BD92184"/>
    <w:rsid w:val="1C406A69"/>
    <w:rsid w:val="1C5170A2"/>
    <w:rsid w:val="1D4061A8"/>
    <w:rsid w:val="1D634A51"/>
    <w:rsid w:val="1D723DB3"/>
    <w:rsid w:val="1DDA616F"/>
    <w:rsid w:val="1E326C77"/>
    <w:rsid w:val="1E8A07BD"/>
    <w:rsid w:val="1E9B4F4B"/>
    <w:rsid w:val="1E9D669E"/>
    <w:rsid w:val="1ECE5138"/>
    <w:rsid w:val="1F063325"/>
    <w:rsid w:val="1F4655C1"/>
    <w:rsid w:val="1F5275D0"/>
    <w:rsid w:val="1FBC5DF5"/>
    <w:rsid w:val="1FC55574"/>
    <w:rsid w:val="2030310A"/>
    <w:rsid w:val="213A2640"/>
    <w:rsid w:val="21735FAB"/>
    <w:rsid w:val="21B83F86"/>
    <w:rsid w:val="21C67CEA"/>
    <w:rsid w:val="21E55E66"/>
    <w:rsid w:val="221178A8"/>
    <w:rsid w:val="221213CF"/>
    <w:rsid w:val="22327A92"/>
    <w:rsid w:val="228269AC"/>
    <w:rsid w:val="22965435"/>
    <w:rsid w:val="2297354C"/>
    <w:rsid w:val="22BD6F35"/>
    <w:rsid w:val="231D53A2"/>
    <w:rsid w:val="232D67A5"/>
    <w:rsid w:val="232E65F7"/>
    <w:rsid w:val="23333275"/>
    <w:rsid w:val="236F29AB"/>
    <w:rsid w:val="23B7504C"/>
    <w:rsid w:val="24194213"/>
    <w:rsid w:val="24571307"/>
    <w:rsid w:val="24BA2984"/>
    <w:rsid w:val="24C54C65"/>
    <w:rsid w:val="25093D59"/>
    <w:rsid w:val="25246333"/>
    <w:rsid w:val="26446DE3"/>
    <w:rsid w:val="264D165B"/>
    <w:rsid w:val="26B30F70"/>
    <w:rsid w:val="26D7699F"/>
    <w:rsid w:val="274A5E17"/>
    <w:rsid w:val="27612030"/>
    <w:rsid w:val="27FF051D"/>
    <w:rsid w:val="28223894"/>
    <w:rsid w:val="288451FA"/>
    <w:rsid w:val="288C51AC"/>
    <w:rsid w:val="29C76E0D"/>
    <w:rsid w:val="29F362EF"/>
    <w:rsid w:val="2A851825"/>
    <w:rsid w:val="2AE95142"/>
    <w:rsid w:val="2B09065E"/>
    <w:rsid w:val="2B225732"/>
    <w:rsid w:val="2B774624"/>
    <w:rsid w:val="2BC068DD"/>
    <w:rsid w:val="2C7A72BE"/>
    <w:rsid w:val="2D1C0637"/>
    <w:rsid w:val="2DA52307"/>
    <w:rsid w:val="2DAA05D8"/>
    <w:rsid w:val="2DF94920"/>
    <w:rsid w:val="2E6B4F22"/>
    <w:rsid w:val="2ECD0A22"/>
    <w:rsid w:val="2F401D3C"/>
    <w:rsid w:val="2FA95C88"/>
    <w:rsid w:val="3041370F"/>
    <w:rsid w:val="309A577C"/>
    <w:rsid w:val="30BD6874"/>
    <w:rsid w:val="31083A05"/>
    <w:rsid w:val="31307046"/>
    <w:rsid w:val="32453A27"/>
    <w:rsid w:val="3263064A"/>
    <w:rsid w:val="32AC0C06"/>
    <w:rsid w:val="32CD2047"/>
    <w:rsid w:val="32D4763D"/>
    <w:rsid w:val="33863895"/>
    <w:rsid w:val="34AB16EB"/>
    <w:rsid w:val="34E74919"/>
    <w:rsid w:val="35134CB4"/>
    <w:rsid w:val="3537750C"/>
    <w:rsid w:val="3537798C"/>
    <w:rsid w:val="357F7ED5"/>
    <w:rsid w:val="35C13FC9"/>
    <w:rsid w:val="35ED7BFB"/>
    <w:rsid w:val="362E6D87"/>
    <w:rsid w:val="364257B6"/>
    <w:rsid w:val="366F50BD"/>
    <w:rsid w:val="36A918A9"/>
    <w:rsid w:val="36D45041"/>
    <w:rsid w:val="36DB32EF"/>
    <w:rsid w:val="36E96615"/>
    <w:rsid w:val="36F834D1"/>
    <w:rsid w:val="371F5B92"/>
    <w:rsid w:val="374264D3"/>
    <w:rsid w:val="376E40E2"/>
    <w:rsid w:val="37AD5029"/>
    <w:rsid w:val="37D746BF"/>
    <w:rsid w:val="37DB7874"/>
    <w:rsid w:val="37EA5922"/>
    <w:rsid w:val="380D1E8F"/>
    <w:rsid w:val="38276B93"/>
    <w:rsid w:val="383E029A"/>
    <w:rsid w:val="38687C86"/>
    <w:rsid w:val="38C23ED4"/>
    <w:rsid w:val="38E05CE7"/>
    <w:rsid w:val="39096AFA"/>
    <w:rsid w:val="3A0B64A7"/>
    <w:rsid w:val="3A107D3F"/>
    <w:rsid w:val="3A1A29A4"/>
    <w:rsid w:val="3AF74C02"/>
    <w:rsid w:val="3B2E729B"/>
    <w:rsid w:val="3BB5271A"/>
    <w:rsid w:val="3C004876"/>
    <w:rsid w:val="3C0059A5"/>
    <w:rsid w:val="3C134E78"/>
    <w:rsid w:val="3C460065"/>
    <w:rsid w:val="3CE7667B"/>
    <w:rsid w:val="3DD521AA"/>
    <w:rsid w:val="3DF6345D"/>
    <w:rsid w:val="3EB048FD"/>
    <w:rsid w:val="3EC357A9"/>
    <w:rsid w:val="3EC80E72"/>
    <w:rsid w:val="3EE13701"/>
    <w:rsid w:val="3F1A4BB3"/>
    <w:rsid w:val="40192BA6"/>
    <w:rsid w:val="41354782"/>
    <w:rsid w:val="42003213"/>
    <w:rsid w:val="42550A18"/>
    <w:rsid w:val="42F473A1"/>
    <w:rsid w:val="43B315F1"/>
    <w:rsid w:val="43BD4B90"/>
    <w:rsid w:val="43E066A9"/>
    <w:rsid w:val="43F6248D"/>
    <w:rsid w:val="441E62C0"/>
    <w:rsid w:val="44274ACD"/>
    <w:rsid w:val="44B21FC2"/>
    <w:rsid w:val="4547018E"/>
    <w:rsid w:val="455E1F7C"/>
    <w:rsid w:val="45811C7C"/>
    <w:rsid w:val="46053138"/>
    <w:rsid w:val="468B3EFB"/>
    <w:rsid w:val="470A6193"/>
    <w:rsid w:val="47135B09"/>
    <w:rsid w:val="47AE1782"/>
    <w:rsid w:val="47DC4F5C"/>
    <w:rsid w:val="48B40671"/>
    <w:rsid w:val="493523C3"/>
    <w:rsid w:val="493F3E17"/>
    <w:rsid w:val="49717773"/>
    <w:rsid w:val="49892943"/>
    <w:rsid w:val="499B5738"/>
    <w:rsid w:val="499F244D"/>
    <w:rsid w:val="49F032CD"/>
    <w:rsid w:val="4A1922FA"/>
    <w:rsid w:val="4A8F58C2"/>
    <w:rsid w:val="4AEC627C"/>
    <w:rsid w:val="4AF96BC7"/>
    <w:rsid w:val="4AFD2237"/>
    <w:rsid w:val="4B513A02"/>
    <w:rsid w:val="4B9A1D7B"/>
    <w:rsid w:val="4BFB4050"/>
    <w:rsid w:val="4C9E7102"/>
    <w:rsid w:val="4CEF36E2"/>
    <w:rsid w:val="4D0B1DBF"/>
    <w:rsid w:val="4D3B1120"/>
    <w:rsid w:val="4D7B235A"/>
    <w:rsid w:val="4E2875CB"/>
    <w:rsid w:val="4E736E68"/>
    <w:rsid w:val="4EA12ED9"/>
    <w:rsid w:val="4EC6759F"/>
    <w:rsid w:val="4EEC05F8"/>
    <w:rsid w:val="4EFF70DC"/>
    <w:rsid w:val="4F372FFB"/>
    <w:rsid w:val="4FA76FA4"/>
    <w:rsid w:val="4FC4552E"/>
    <w:rsid w:val="4FD47893"/>
    <w:rsid w:val="513F391C"/>
    <w:rsid w:val="51564E44"/>
    <w:rsid w:val="518427E0"/>
    <w:rsid w:val="51843A53"/>
    <w:rsid w:val="51F36455"/>
    <w:rsid w:val="52500E9E"/>
    <w:rsid w:val="529A4CBF"/>
    <w:rsid w:val="52C10D75"/>
    <w:rsid w:val="52C911A4"/>
    <w:rsid w:val="53186A49"/>
    <w:rsid w:val="53635735"/>
    <w:rsid w:val="5385101B"/>
    <w:rsid w:val="53894668"/>
    <w:rsid w:val="541859EC"/>
    <w:rsid w:val="54721D56"/>
    <w:rsid w:val="54E25955"/>
    <w:rsid w:val="550C4BD7"/>
    <w:rsid w:val="55572986"/>
    <w:rsid w:val="5583446C"/>
    <w:rsid w:val="55EE1F77"/>
    <w:rsid w:val="5628215A"/>
    <w:rsid w:val="56386683"/>
    <w:rsid w:val="56537644"/>
    <w:rsid w:val="575612BA"/>
    <w:rsid w:val="5795565B"/>
    <w:rsid w:val="57D91936"/>
    <w:rsid w:val="57F66C4E"/>
    <w:rsid w:val="581513C1"/>
    <w:rsid w:val="58432358"/>
    <w:rsid w:val="5859176C"/>
    <w:rsid w:val="58A10F2E"/>
    <w:rsid w:val="58BE5CBA"/>
    <w:rsid w:val="590045DF"/>
    <w:rsid w:val="591E5852"/>
    <w:rsid w:val="599F06CE"/>
    <w:rsid w:val="59B754D5"/>
    <w:rsid w:val="5A11145A"/>
    <w:rsid w:val="5A3A1A12"/>
    <w:rsid w:val="5A957D93"/>
    <w:rsid w:val="5B3760D9"/>
    <w:rsid w:val="5BD87FA2"/>
    <w:rsid w:val="5C1F382B"/>
    <w:rsid w:val="5C312D64"/>
    <w:rsid w:val="5D2317D1"/>
    <w:rsid w:val="5E437B09"/>
    <w:rsid w:val="5E632EE2"/>
    <w:rsid w:val="5F801A3E"/>
    <w:rsid w:val="5F80710D"/>
    <w:rsid w:val="5FAE5456"/>
    <w:rsid w:val="5FDB60F0"/>
    <w:rsid w:val="601E522F"/>
    <w:rsid w:val="606007BB"/>
    <w:rsid w:val="609E54CA"/>
    <w:rsid w:val="60AC7F66"/>
    <w:rsid w:val="60EB3EF5"/>
    <w:rsid w:val="614D7F45"/>
    <w:rsid w:val="616109D2"/>
    <w:rsid w:val="618835DC"/>
    <w:rsid w:val="61BF10D9"/>
    <w:rsid w:val="61DE64C6"/>
    <w:rsid w:val="62491E66"/>
    <w:rsid w:val="62816E52"/>
    <w:rsid w:val="629F7BDB"/>
    <w:rsid w:val="630F25FC"/>
    <w:rsid w:val="63343F7A"/>
    <w:rsid w:val="640C7C21"/>
    <w:rsid w:val="644E0701"/>
    <w:rsid w:val="64956BCA"/>
    <w:rsid w:val="64E45EF7"/>
    <w:rsid w:val="65444892"/>
    <w:rsid w:val="655507E8"/>
    <w:rsid w:val="662B0176"/>
    <w:rsid w:val="66A57729"/>
    <w:rsid w:val="677368EF"/>
    <w:rsid w:val="677435B2"/>
    <w:rsid w:val="67A57EB3"/>
    <w:rsid w:val="67EF75F1"/>
    <w:rsid w:val="68030C53"/>
    <w:rsid w:val="680C6C71"/>
    <w:rsid w:val="68815E47"/>
    <w:rsid w:val="68983B76"/>
    <w:rsid w:val="68B037C9"/>
    <w:rsid w:val="68BC6E36"/>
    <w:rsid w:val="68DA695F"/>
    <w:rsid w:val="6902517F"/>
    <w:rsid w:val="69124F16"/>
    <w:rsid w:val="69A71894"/>
    <w:rsid w:val="69C64B0E"/>
    <w:rsid w:val="69CD5C14"/>
    <w:rsid w:val="69CF0D33"/>
    <w:rsid w:val="6A240149"/>
    <w:rsid w:val="6A6C2A79"/>
    <w:rsid w:val="6AB24495"/>
    <w:rsid w:val="6B9946B3"/>
    <w:rsid w:val="6BDE1D62"/>
    <w:rsid w:val="6C132738"/>
    <w:rsid w:val="6D1837C6"/>
    <w:rsid w:val="6DE76850"/>
    <w:rsid w:val="6DF777CB"/>
    <w:rsid w:val="6E485BC3"/>
    <w:rsid w:val="6E870EE9"/>
    <w:rsid w:val="6E9A1018"/>
    <w:rsid w:val="6EB365E5"/>
    <w:rsid w:val="6FB20BD4"/>
    <w:rsid w:val="6FBA59BE"/>
    <w:rsid w:val="6FE56C72"/>
    <w:rsid w:val="70296B3E"/>
    <w:rsid w:val="70611204"/>
    <w:rsid w:val="70F804E8"/>
    <w:rsid w:val="710F1CFB"/>
    <w:rsid w:val="7148570A"/>
    <w:rsid w:val="7234593E"/>
    <w:rsid w:val="7282487D"/>
    <w:rsid w:val="72EF4CB6"/>
    <w:rsid w:val="730668BB"/>
    <w:rsid w:val="733E6C54"/>
    <w:rsid w:val="736E5255"/>
    <w:rsid w:val="73E86D31"/>
    <w:rsid w:val="73FB69F1"/>
    <w:rsid w:val="74490570"/>
    <w:rsid w:val="74FA2C30"/>
    <w:rsid w:val="750006C1"/>
    <w:rsid w:val="7530273D"/>
    <w:rsid w:val="76BC49EB"/>
    <w:rsid w:val="76CA6BC2"/>
    <w:rsid w:val="77000DA2"/>
    <w:rsid w:val="770B16B4"/>
    <w:rsid w:val="773D0BA8"/>
    <w:rsid w:val="7778536A"/>
    <w:rsid w:val="779A3235"/>
    <w:rsid w:val="77A902F6"/>
    <w:rsid w:val="781E69D1"/>
    <w:rsid w:val="78281DF2"/>
    <w:rsid w:val="78340059"/>
    <w:rsid w:val="78970D25"/>
    <w:rsid w:val="78EF4FEB"/>
    <w:rsid w:val="796778E1"/>
    <w:rsid w:val="79C00A32"/>
    <w:rsid w:val="79F36E1F"/>
    <w:rsid w:val="7A5D0830"/>
    <w:rsid w:val="7AA939B2"/>
    <w:rsid w:val="7ADD0453"/>
    <w:rsid w:val="7AF46346"/>
    <w:rsid w:val="7B0F5EBF"/>
    <w:rsid w:val="7B130FB9"/>
    <w:rsid w:val="7B7A4261"/>
    <w:rsid w:val="7B875081"/>
    <w:rsid w:val="7BDE0625"/>
    <w:rsid w:val="7BF64EDE"/>
    <w:rsid w:val="7C400C1E"/>
    <w:rsid w:val="7D3A1897"/>
    <w:rsid w:val="7DA168CE"/>
    <w:rsid w:val="7DD11708"/>
    <w:rsid w:val="7E6A3164"/>
    <w:rsid w:val="7EB125FB"/>
    <w:rsid w:val="7EBC46EA"/>
    <w:rsid w:val="7EC167BD"/>
    <w:rsid w:val="7F621E96"/>
    <w:rsid w:val="7F7B071E"/>
    <w:rsid w:val="7FF82C26"/>
    <w:rsid w:val="B7FE75DB"/>
    <w:rsid w:val="BDB71DA2"/>
    <w:rsid w:val="BF7E5054"/>
    <w:rsid w:val="DBBD0684"/>
    <w:rsid w:val="DFBFDA76"/>
    <w:rsid w:val="FDFC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8"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5"/>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tabs>
        <w:tab w:val="left" w:pos="432"/>
        <w:tab w:val="left" w:pos="3981"/>
      </w:tabs>
      <w:snapToGrid w:val="0"/>
      <w:jc w:val="left"/>
      <w:outlineLvl w:val="2"/>
    </w:pPr>
    <w:rPr>
      <w:rFonts w:ascii="微软雅黑" w:hAnsi="微软雅黑" w:eastAsia="微软雅黑" w:cs="宋体"/>
      <w:b/>
      <w:bCs/>
      <w:sz w:val="24"/>
      <w:szCs w:val="32"/>
    </w:rPr>
  </w:style>
  <w:style w:type="paragraph" w:styleId="7">
    <w:name w:val="heading 4"/>
    <w:basedOn w:val="1"/>
    <w:next w:val="1"/>
    <w:link w:val="66"/>
    <w:semiHidden/>
    <w:unhideWhenUsed/>
    <w:qFormat/>
    <w:uiPriority w:val="9"/>
    <w:pPr>
      <w:keepNext/>
      <w:keepLines/>
      <w:spacing w:before="280" w:after="290" w:line="374" w:lineRule="auto"/>
      <w:outlineLvl w:val="3"/>
    </w:pPr>
    <w:rPr>
      <w:rFonts w:ascii="Arial" w:hAnsi="Arial" w:eastAsia="黑体"/>
      <w:b/>
      <w:bCs/>
      <w:sz w:val="28"/>
      <w:szCs w:val="28"/>
    </w:rPr>
  </w:style>
  <w:style w:type="paragraph" w:styleId="8">
    <w:name w:val="heading 5"/>
    <w:basedOn w:val="1"/>
    <w:next w:val="9"/>
    <w:link w:val="36"/>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link w:val="39"/>
    <w:unhideWhenUsed/>
    <w:qFormat/>
    <w:uiPriority w:val="99"/>
    <w:pPr>
      <w:spacing w:after="120"/>
    </w:pPr>
  </w:style>
  <w:style w:type="paragraph" w:styleId="9">
    <w:name w:val="Normal Indent"/>
    <w:basedOn w:val="1"/>
    <w:qFormat/>
    <w:uiPriority w:val="99"/>
    <w:pPr>
      <w:ind w:firstLine="420"/>
    </w:pPr>
    <w:rPr>
      <w:szCs w:val="20"/>
    </w:rPr>
  </w:style>
  <w:style w:type="paragraph" w:styleId="10">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37"/>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Indent"/>
    <w:basedOn w:val="1"/>
    <w:link w:val="40"/>
    <w:qFormat/>
    <w:uiPriority w:val="99"/>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7"/>
    <w:link w:val="41"/>
    <w:qFormat/>
    <w:uiPriority w:val="99"/>
    <w:rPr>
      <w:rFonts w:ascii="宋体" w:hAnsi="Courier New"/>
      <w:kern w:val="0"/>
      <w:sz w:val="20"/>
      <w:szCs w:val="21"/>
    </w:rPr>
  </w:style>
  <w:style w:type="paragraph" w:styleId="16">
    <w:name w:val="Date"/>
    <w:basedOn w:val="1"/>
    <w:next w:val="1"/>
    <w:link w:val="42"/>
    <w:unhideWhenUsed/>
    <w:qFormat/>
    <w:uiPriority w:val="99"/>
    <w:pPr>
      <w:ind w:left="100" w:leftChars="2500"/>
    </w:pPr>
  </w:style>
  <w:style w:type="paragraph" w:styleId="17">
    <w:name w:val="Balloon Text"/>
    <w:basedOn w:val="1"/>
    <w:link w:val="67"/>
    <w:semiHidden/>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kern w:val="0"/>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Body Text 2"/>
    <w:basedOn w:val="1"/>
    <w:unhideWhenUsed/>
    <w:qFormat/>
    <w:uiPriority w:val="8"/>
    <w:pPr>
      <w:jc w:val="center"/>
    </w:pPr>
    <w:rPr>
      <w:sz w:val="18"/>
    </w:rPr>
  </w:style>
  <w:style w:type="paragraph" w:styleId="23">
    <w:name w:val="Normal (Web)"/>
    <w:basedOn w:val="1"/>
    <w:unhideWhenUsed/>
    <w:qFormat/>
    <w:uiPriority w:val="99"/>
    <w:rPr>
      <w:rFonts w:ascii="Calibri" w:hAnsi="Calibri"/>
      <w:kern w:val="0"/>
      <w:sz w:val="24"/>
    </w:rPr>
  </w:style>
  <w:style w:type="paragraph" w:styleId="24">
    <w:name w:val="index 1"/>
    <w:basedOn w:val="1"/>
    <w:next w:val="1"/>
    <w:semiHidden/>
    <w:qFormat/>
    <w:uiPriority w:val="99"/>
    <w:pPr>
      <w:spacing w:line="400" w:lineRule="exact"/>
      <w:ind w:firstLine="420" w:firstLineChars="200"/>
    </w:pPr>
    <w:rPr>
      <w:rFonts w:ascii="宋体" w:hAnsi="Courier New"/>
      <w:b/>
      <w:szCs w:val="20"/>
    </w:rPr>
  </w:style>
  <w:style w:type="paragraph" w:styleId="25">
    <w:name w:val="annotation subject"/>
    <w:basedOn w:val="11"/>
    <w:next w:val="11"/>
    <w:link w:val="45"/>
    <w:qFormat/>
    <w:uiPriority w:val="99"/>
    <w:rPr>
      <w:b/>
      <w:bCs/>
    </w:rPr>
  </w:style>
  <w:style w:type="paragraph" w:styleId="26">
    <w:name w:val="Body Text First Indent 2"/>
    <w:basedOn w:val="13"/>
    <w:next w:val="3"/>
    <w:qFormat/>
    <w:uiPriority w:val="0"/>
    <w:pPr>
      <w:widowControl/>
      <w:spacing w:line="360" w:lineRule="auto"/>
      <w:ind w:left="-358" w:leftChars="-128" w:firstLine="560" w:firstLineChars="200"/>
      <w:jc w:val="left"/>
    </w:pPr>
    <w:rPr>
      <w:rFonts w:ascii="Times New Roman"/>
      <w:sz w:val="28"/>
    </w:r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1">
    <w:name w:val="Emphasis"/>
    <w:basedOn w:val="29"/>
    <w:qFormat/>
    <w:uiPriority w:val="20"/>
    <w:rPr>
      <w:i/>
    </w:rPr>
  </w:style>
  <w:style w:type="character" w:styleId="32">
    <w:name w:val="Hyperlink"/>
    <w:unhideWhenUsed/>
    <w:qFormat/>
    <w:uiPriority w:val="99"/>
    <w:rPr>
      <w:color w:val="0000FF"/>
      <w:u w:val="single"/>
    </w:rPr>
  </w:style>
  <w:style w:type="character" w:styleId="33">
    <w:name w:val="annotation reference"/>
    <w:qFormat/>
    <w:uiPriority w:val="99"/>
    <w:rPr>
      <w:sz w:val="21"/>
      <w:szCs w:val="21"/>
    </w:rPr>
  </w:style>
  <w:style w:type="character" w:customStyle="1" w:styleId="34">
    <w:name w:val="标题 1 Char"/>
    <w:link w:val="4"/>
    <w:qFormat/>
    <w:uiPriority w:val="0"/>
    <w:rPr>
      <w:b/>
      <w:bCs/>
      <w:kern w:val="44"/>
      <w:sz w:val="44"/>
      <w:szCs w:val="44"/>
    </w:rPr>
  </w:style>
  <w:style w:type="character" w:customStyle="1" w:styleId="35">
    <w:name w:val="标题 2 Char"/>
    <w:link w:val="5"/>
    <w:qFormat/>
    <w:uiPriority w:val="9"/>
    <w:rPr>
      <w:rFonts w:ascii="Cambria" w:hAnsi="Cambria" w:eastAsia="宋体" w:cs="Times New Roman"/>
      <w:b/>
      <w:bCs/>
      <w:kern w:val="2"/>
      <w:sz w:val="32"/>
      <w:szCs w:val="32"/>
    </w:rPr>
  </w:style>
  <w:style w:type="character" w:customStyle="1" w:styleId="36">
    <w:name w:val="标题 5 Char"/>
    <w:link w:val="8"/>
    <w:semiHidden/>
    <w:qFormat/>
    <w:uiPriority w:val="9"/>
    <w:rPr>
      <w:rFonts w:ascii="Times New Roman" w:hAnsi="Times New Roman"/>
      <w:b/>
      <w:bCs/>
      <w:kern w:val="2"/>
      <w:sz w:val="28"/>
      <w:szCs w:val="28"/>
    </w:rPr>
  </w:style>
  <w:style w:type="character" w:customStyle="1" w:styleId="37">
    <w:name w:val="批注文字 Char"/>
    <w:link w:val="11"/>
    <w:qFormat/>
    <w:uiPriority w:val="99"/>
    <w:rPr>
      <w:rFonts w:ascii="Times New Roman" w:hAnsi="Times New Roman"/>
      <w:kern w:val="2"/>
      <w:sz w:val="21"/>
      <w:szCs w:val="24"/>
    </w:rPr>
  </w:style>
  <w:style w:type="character" w:customStyle="1" w:styleId="38">
    <w:name w:val="正文文本 3 Char"/>
    <w:link w:val="12"/>
    <w:semiHidden/>
    <w:qFormat/>
    <w:uiPriority w:val="99"/>
    <w:rPr>
      <w:rFonts w:ascii="Times New Roman" w:hAnsi="Times New Roman"/>
      <w:kern w:val="2"/>
      <w:sz w:val="16"/>
      <w:szCs w:val="16"/>
    </w:rPr>
  </w:style>
  <w:style w:type="character" w:customStyle="1" w:styleId="39">
    <w:name w:val="正文文本 Char"/>
    <w:link w:val="3"/>
    <w:qFormat/>
    <w:uiPriority w:val="99"/>
    <w:rPr>
      <w:rFonts w:ascii="Times New Roman" w:hAnsi="Times New Roman"/>
      <w:kern w:val="2"/>
      <w:sz w:val="21"/>
      <w:szCs w:val="24"/>
    </w:rPr>
  </w:style>
  <w:style w:type="character" w:customStyle="1" w:styleId="40">
    <w:name w:val="正文文本缩进 Char"/>
    <w:link w:val="13"/>
    <w:qFormat/>
    <w:uiPriority w:val="99"/>
    <w:rPr>
      <w:rFonts w:ascii="仿宋_GB2312" w:hAnsi="Times New Roman" w:eastAsia="仿宋_GB2312" w:cs="Times New Roman"/>
      <w:sz w:val="32"/>
      <w:szCs w:val="20"/>
    </w:rPr>
  </w:style>
  <w:style w:type="character" w:customStyle="1" w:styleId="41">
    <w:name w:val="纯文本 Char"/>
    <w:link w:val="15"/>
    <w:qFormat/>
    <w:uiPriority w:val="99"/>
    <w:rPr>
      <w:rFonts w:ascii="宋体" w:hAnsi="Courier New" w:eastAsia="宋体" w:cs="Courier New"/>
      <w:szCs w:val="21"/>
    </w:rPr>
  </w:style>
  <w:style w:type="character" w:customStyle="1" w:styleId="42">
    <w:name w:val="日期 Char"/>
    <w:link w:val="16"/>
    <w:semiHidden/>
    <w:qFormat/>
    <w:uiPriority w:val="99"/>
    <w:rPr>
      <w:rFonts w:ascii="Times New Roman" w:hAnsi="Times New Roman"/>
      <w:kern w:val="2"/>
      <w:sz w:val="21"/>
      <w:szCs w:val="24"/>
    </w:rPr>
  </w:style>
  <w:style w:type="character" w:customStyle="1" w:styleId="43">
    <w:name w:val="页脚 Char1"/>
    <w:link w:val="18"/>
    <w:qFormat/>
    <w:uiPriority w:val="99"/>
    <w:rPr>
      <w:sz w:val="18"/>
      <w:szCs w:val="18"/>
    </w:rPr>
  </w:style>
  <w:style w:type="character" w:customStyle="1" w:styleId="44">
    <w:name w:val="页眉 Char"/>
    <w:link w:val="19"/>
    <w:qFormat/>
    <w:uiPriority w:val="99"/>
    <w:rPr>
      <w:sz w:val="18"/>
      <w:szCs w:val="18"/>
    </w:rPr>
  </w:style>
  <w:style w:type="character" w:customStyle="1" w:styleId="45">
    <w:name w:val="批注主题 Char"/>
    <w:link w:val="25"/>
    <w:qFormat/>
    <w:uiPriority w:val="99"/>
    <w:rPr>
      <w:rFonts w:ascii="Times New Roman" w:hAnsi="Times New Roman"/>
      <w:b/>
      <w:bCs/>
      <w:kern w:val="2"/>
      <w:sz w:val="21"/>
      <w:szCs w:val="24"/>
    </w:rPr>
  </w:style>
  <w:style w:type="character" w:customStyle="1" w:styleId="46">
    <w:name w:val="正文文本缩进 字符1"/>
    <w:qFormat/>
    <w:uiPriority w:val="0"/>
    <w:rPr>
      <w:rFonts w:ascii="仿宋_GB2312" w:hAnsi="Times New Roman" w:eastAsia="仿宋_GB2312" w:cs="Times New Roman"/>
      <w:sz w:val="32"/>
      <w:szCs w:val="20"/>
    </w:rPr>
  </w:style>
  <w:style w:type="character" w:customStyle="1" w:styleId="47">
    <w:name w:val="apple-style-span"/>
    <w:qFormat/>
    <w:uiPriority w:val="0"/>
  </w:style>
  <w:style w:type="character" w:customStyle="1" w:styleId="48">
    <w:name w:val="标题 1 字符"/>
    <w:qFormat/>
    <w:uiPriority w:val="9"/>
    <w:rPr>
      <w:b/>
      <w:bCs/>
      <w:kern w:val="44"/>
      <w:sz w:val="44"/>
      <w:szCs w:val="44"/>
    </w:rPr>
  </w:style>
  <w:style w:type="character" w:customStyle="1" w:styleId="49">
    <w:name w:val="textcontents"/>
    <w:qFormat/>
    <w:uiPriority w:val="0"/>
  </w:style>
  <w:style w:type="character" w:customStyle="1" w:styleId="50">
    <w:name w:val="纯文本 字符1"/>
    <w:qFormat/>
    <w:uiPriority w:val="0"/>
    <w:rPr>
      <w:rFonts w:ascii="宋体" w:hAnsi="Courier New"/>
    </w:rPr>
  </w:style>
  <w:style w:type="character" w:customStyle="1" w:styleId="51">
    <w:name w:val="批注文字 字符1"/>
    <w:qFormat/>
    <w:uiPriority w:val="0"/>
    <w:rPr>
      <w:kern w:val="2"/>
      <w:sz w:val="21"/>
      <w:szCs w:val="24"/>
    </w:rPr>
  </w:style>
  <w:style w:type="character" w:customStyle="1" w:styleId="52">
    <w:name w:val="纯文本 字符2"/>
    <w:qFormat/>
    <w:uiPriority w:val="0"/>
    <w:rPr>
      <w:rFonts w:ascii="宋体" w:hAnsi="Courier New" w:eastAsia="宋体" w:cs="Courier New"/>
      <w:szCs w:val="21"/>
    </w:rPr>
  </w:style>
  <w:style w:type="character" w:customStyle="1" w:styleId="53">
    <w:name w:val="页脚 Char"/>
    <w:qFormat/>
    <w:uiPriority w:val="99"/>
    <w:rPr>
      <w:lang w:eastAsia="zh-CN"/>
    </w:rPr>
  </w:style>
  <w:style w:type="paragraph" w:customStyle="1" w:styleId="54">
    <w:name w:val="默认段落字体 Para Char Char Char Char Char Char Char Char Char1 Char Char Char Char"/>
    <w:basedOn w:val="1"/>
    <w:qFormat/>
    <w:uiPriority w:val="99"/>
    <w:rPr>
      <w:rFonts w:ascii="Tahoma" w:hAnsi="Tahoma"/>
      <w:sz w:val="24"/>
      <w:szCs w:val="20"/>
    </w:rPr>
  </w:style>
  <w:style w:type="paragraph" w:customStyle="1" w:styleId="55">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56">
    <w:name w:val="List Paragraph"/>
    <w:basedOn w:val="1"/>
    <w:qFormat/>
    <w:uiPriority w:val="34"/>
    <w:pPr>
      <w:ind w:firstLine="420" w:firstLineChars="200"/>
    </w:pPr>
  </w:style>
  <w:style w:type="paragraph" w:customStyle="1" w:styleId="57">
    <w:name w:val="Table Paragraph"/>
    <w:basedOn w:val="1"/>
    <w:qFormat/>
    <w:uiPriority w:val="1"/>
    <w:pPr>
      <w:jc w:val="left"/>
    </w:pPr>
    <w:rPr>
      <w:rFonts w:ascii="Calibri" w:hAnsi="Calibri"/>
      <w:kern w:val="0"/>
      <w:sz w:val="22"/>
      <w:szCs w:val="22"/>
      <w:lang w:eastAsia="en-US"/>
    </w:rPr>
  </w:style>
  <w:style w:type="character" w:customStyle="1" w:styleId="58">
    <w:name w:val="批注文字 Char1"/>
    <w:qFormat/>
    <w:uiPriority w:val="0"/>
    <w:rPr>
      <w:rFonts w:ascii="Times New Roman" w:hAnsi="Times New Roman"/>
      <w:kern w:val="2"/>
      <w:sz w:val="21"/>
      <w:szCs w:val="24"/>
    </w:rPr>
  </w:style>
  <w:style w:type="character" w:customStyle="1" w:styleId="59">
    <w:name w:val="批注文字 字符2"/>
    <w:qFormat/>
    <w:uiPriority w:val="0"/>
    <w:rPr>
      <w:rFonts w:ascii="Times New Roman" w:hAnsi="Times New Roman"/>
      <w:kern w:val="2"/>
      <w:sz w:val="21"/>
      <w:szCs w:val="24"/>
    </w:rPr>
  </w:style>
  <w:style w:type="character" w:customStyle="1" w:styleId="60">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1">
    <w:name w:val="纯文本 Char1"/>
    <w:qFormat/>
    <w:uiPriority w:val="0"/>
    <w:rPr>
      <w:rFonts w:ascii="宋体" w:hAnsi="Courier New" w:eastAsia="宋体" w:cs="Courier New"/>
      <w:szCs w:val="21"/>
    </w:rPr>
  </w:style>
  <w:style w:type="character" w:customStyle="1" w:styleId="62">
    <w:name w:val="批注文字 Char2"/>
    <w:qFormat/>
    <w:uiPriority w:val="0"/>
    <w:rPr>
      <w:rFonts w:ascii="Times New Roman" w:hAnsi="Times New Roman"/>
      <w:kern w:val="2"/>
      <w:sz w:val="21"/>
      <w:szCs w:val="24"/>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paragraph" w:customStyle="1" w:styleId="6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标题 4 Char"/>
    <w:basedOn w:val="29"/>
    <w:link w:val="7"/>
    <w:semiHidden/>
    <w:qFormat/>
    <w:uiPriority w:val="9"/>
    <w:rPr>
      <w:rFonts w:ascii="Arial" w:hAnsi="Arial" w:eastAsia="黑体"/>
      <w:b/>
      <w:bCs/>
      <w:kern w:val="2"/>
      <w:sz w:val="28"/>
      <w:szCs w:val="28"/>
    </w:rPr>
  </w:style>
  <w:style w:type="character" w:customStyle="1" w:styleId="67">
    <w:name w:val="批注框文本 Char"/>
    <w:basedOn w:val="29"/>
    <w:link w:val="17"/>
    <w:semiHidden/>
    <w:qFormat/>
    <w:uiPriority w:val="99"/>
    <w:rPr>
      <w:kern w:val="2"/>
      <w:sz w:val="18"/>
      <w:szCs w:val="18"/>
    </w:rPr>
  </w:style>
  <w:style w:type="paragraph" w:styleId="6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表格文字115"/>
    <w:basedOn w:val="1"/>
    <w:qFormat/>
    <w:uiPriority w:val="99"/>
    <w:pPr>
      <w:spacing w:before="25" w:after="25"/>
      <w:jc w:val="left"/>
    </w:pPr>
    <w:rPr>
      <w:bCs/>
      <w:spacing w:val="10"/>
      <w:kern w:val="0"/>
      <w:sz w:val="24"/>
    </w:rPr>
  </w:style>
  <w:style w:type="paragraph" w:customStyle="1" w:styleId="70">
    <w:name w:val="Body Text Indent1"/>
    <w:basedOn w:val="1"/>
    <w:qFormat/>
    <w:uiPriority w:val="99"/>
    <w:pPr>
      <w:spacing w:after="120"/>
      <w:ind w:left="420" w:leftChars="200"/>
    </w:pPr>
  </w:style>
  <w:style w:type="character" w:customStyle="1" w:styleId="71">
    <w:name w:val="font51"/>
    <w:basedOn w:val="29"/>
    <w:qFormat/>
    <w:uiPriority w:val="0"/>
    <w:rPr>
      <w:rFonts w:hint="eastAsia" w:ascii="宋体" w:hAnsi="宋体" w:eastAsia="宋体" w:cs="宋体"/>
      <w:color w:val="000000"/>
      <w:sz w:val="20"/>
      <w:szCs w:val="20"/>
      <w:u w:val="none"/>
    </w:rPr>
  </w:style>
  <w:style w:type="character" w:customStyle="1" w:styleId="72">
    <w:name w:val="font21"/>
    <w:basedOn w:val="29"/>
    <w:qFormat/>
    <w:uiPriority w:val="0"/>
    <w:rPr>
      <w:rFonts w:hint="eastAsia" w:ascii="宋体" w:hAnsi="宋体" w:eastAsia="宋体" w:cs="宋体"/>
      <w:color w:val="000000"/>
      <w:sz w:val="20"/>
      <w:szCs w:val="20"/>
      <w:u w:val="none"/>
    </w:rPr>
  </w:style>
  <w:style w:type="character" w:customStyle="1" w:styleId="73">
    <w:name w:val="font41"/>
    <w:basedOn w:val="29"/>
    <w:qFormat/>
    <w:uiPriority w:val="0"/>
    <w:rPr>
      <w:rFonts w:hint="default" w:ascii="Arial" w:hAnsi="Arial" w:cs="Arial"/>
      <w:color w:val="000000"/>
      <w:sz w:val="20"/>
      <w:szCs w:val="20"/>
      <w:u w:val="none"/>
    </w:rPr>
  </w:style>
  <w:style w:type="paragraph" w:customStyle="1" w:styleId="74">
    <w:name w:val="正文首行缩进 21"/>
    <w:basedOn w:val="70"/>
    <w:qFormat/>
    <w:uiPriority w:val="99"/>
    <w:pPr>
      <w:ind w:firstLine="420" w:firstLineChars="200"/>
    </w:pPr>
    <w:rPr>
      <w:rFonts w:ascii="Calibri" w:hAnsi="Calibri"/>
      <w:szCs w:val="22"/>
    </w:rPr>
  </w:style>
  <w:style w:type="character" w:customStyle="1" w:styleId="75">
    <w:name w:val="font01"/>
    <w:basedOn w:val="29"/>
    <w:qFormat/>
    <w:uiPriority w:val="0"/>
    <w:rPr>
      <w:rFonts w:hint="eastAsia" w:ascii="宋体" w:hAnsi="宋体" w:eastAsia="宋体" w:cs="宋体"/>
      <w:color w:val="000000"/>
      <w:sz w:val="22"/>
      <w:szCs w:val="22"/>
      <w:u w:val="none"/>
    </w:rPr>
  </w:style>
  <w:style w:type="character" w:customStyle="1" w:styleId="76">
    <w:name w:val="font11"/>
    <w:basedOn w:val="2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thy\Library\Containers\com.kingsoft.wpsoffice.mac\Data\C:\Users\mac\Library\Containers\com.kingsoft.wpsoffice.mac\Data\C:\Users\Lenovoz\Desktop\&#12304;2022.2.21&#23457;&#26680;1&#12305;&#21439;&#32423;&#24555;&#36895;&#26816;&#27979;&#21345;&#37319;&#361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【2022.2.21审核1】县级快速检测卡采购</Template>
  <Company>广西云龙招标有限公司</Company>
  <Pages>90</Pages>
  <Words>54669</Words>
  <Characters>58514</Characters>
  <Lines>308</Lines>
  <Paragraphs>86</Paragraphs>
  <TotalTime>2</TotalTime>
  <ScaleCrop>false</ScaleCrop>
  <LinksUpToDate>false</LinksUpToDate>
  <CharactersWithSpaces>62940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2023-03-22T23:18:00Z</dcterms:created>
  <dc:creator>周振新</dc:creator>
  <cp:lastModifiedBy>Administrator</cp:lastModifiedBy>
  <cp:lastPrinted>2023-06-15T17:05:00Z</cp:lastPrinted>
  <dcterms:modified xsi:type="dcterms:W3CDTF">2024-12-09T08:30:14Z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D481E6731DD34A3DB4C696ABAA4A10D9_13</vt:lpwstr>
  </property>
</Properties>
</file>