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F43C35">
      <w:pPr>
        <w:keepNext/>
        <w:keepLines/>
        <w:spacing w:before="120" w:beforeLines="50" w:line="360" w:lineRule="auto"/>
        <w:rPr>
          <w:rFonts w:hint="eastAsia" w:ascii="宋体" w:hAnsi="宋体" w:cs="宋体"/>
          <w:color w:val="auto"/>
          <w:sz w:val="52"/>
          <w:szCs w:val="52"/>
          <w:highlight w:val="none"/>
        </w:rPr>
      </w:pPr>
    </w:p>
    <w:p w14:paraId="31033074">
      <w:pPr>
        <w:keepNext/>
        <w:keepLines/>
        <w:spacing w:before="120" w:beforeLines="50" w:line="360" w:lineRule="auto"/>
        <w:jc w:val="center"/>
        <w:rPr>
          <w:rFonts w:ascii="宋体" w:hAnsi="宋体" w:cs="宋体"/>
          <w:b/>
          <w:bCs/>
          <w:color w:val="auto"/>
          <w:sz w:val="48"/>
          <w:szCs w:val="48"/>
          <w:highlight w:val="none"/>
        </w:rPr>
      </w:pPr>
      <w:r>
        <w:rPr>
          <w:rFonts w:hint="eastAsia" w:ascii="宋体" w:hAnsi="宋体" w:cs="宋体"/>
          <w:b/>
          <w:bCs/>
          <w:color w:val="auto"/>
          <w:sz w:val="52"/>
          <w:szCs w:val="52"/>
          <w:highlight w:val="none"/>
        </w:rPr>
        <w:t>服务类</w:t>
      </w:r>
    </w:p>
    <w:p w14:paraId="2571C41E">
      <w:pPr>
        <w:keepNext/>
        <w:keepLines/>
        <w:snapToGrid w:val="0"/>
        <w:spacing w:before="120" w:beforeLines="50" w:line="360" w:lineRule="auto"/>
        <w:jc w:val="center"/>
        <w:rPr>
          <w:rFonts w:ascii="宋体" w:hAnsi="宋体" w:cs="宋体"/>
          <w:color w:val="auto"/>
          <w:sz w:val="72"/>
          <w:szCs w:val="72"/>
          <w:highlight w:val="none"/>
        </w:rPr>
      </w:pPr>
      <w:r>
        <w:rPr>
          <w:rFonts w:hint="eastAsia" w:ascii="宋体" w:hAnsi="宋体" w:cs="宋体"/>
          <w:color w:val="auto"/>
          <w:sz w:val="72"/>
          <w:szCs w:val="72"/>
          <w:highlight w:val="none"/>
        </w:rPr>
        <w:t>公开招标文件</w:t>
      </w:r>
    </w:p>
    <w:p w14:paraId="1108D249">
      <w:pPr>
        <w:keepNext/>
        <w:keepLines/>
        <w:spacing w:line="360" w:lineRule="auto"/>
        <w:jc w:val="center"/>
        <w:rPr>
          <w:color w:val="auto"/>
          <w:sz w:val="36"/>
          <w:szCs w:val="44"/>
          <w:highlight w:val="none"/>
        </w:rPr>
      </w:pPr>
      <w:r>
        <w:rPr>
          <w:rFonts w:hint="eastAsia"/>
          <w:color w:val="auto"/>
          <w:sz w:val="36"/>
          <w:szCs w:val="44"/>
          <w:highlight w:val="none"/>
        </w:rPr>
        <w:t>（全流程电子化采购）</w:t>
      </w:r>
    </w:p>
    <w:p w14:paraId="7DC43FC4">
      <w:pPr>
        <w:keepNext/>
        <w:keepLines/>
        <w:snapToGrid w:val="0"/>
        <w:spacing w:before="120" w:beforeLines="50" w:line="360" w:lineRule="auto"/>
        <w:rPr>
          <w:rFonts w:ascii="宋体" w:hAnsi="宋体" w:cs="宋体"/>
          <w:color w:val="auto"/>
          <w:sz w:val="30"/>
          <w:szCs w:val="72"/>
          <w:highlight w:val="none"/>
        </w:rPr>
      </w:pPr>
    </w:p>
    <w:p w14:paraId="789287E2">
      <w:pPr>
        <w:keepNext/>
        <w:keepLines/>
        <w:snapToGrid w:val="0"/>
        <w:spacing w:before="120" w:beforeLines="50" w:line="360" w:lineRule="auto"/>
        <w:rPr>
          <w:rFonts w:ascii="宋体" w:hAnsi="宋体" w:cs="宋体"/>
          <w:color w:val="auto"/>
          <w:sz w:val="30"/>
          <w:szCs w:val="72"/>
          <w:highlight w:val="none"/>
        </w:rPr>
      </w:pPr>
    </w:p>
    <w:p w14:paraId="069B64E1">
      <w:pPr>
        <w:keepNext/>
        <w:keepLines/>
        <w:spacing w:line="360" w:lineRule="auto"/>
        <w:rPr>
          <w:rFonts w:ascii="宋体" w:hAnsi="宋体" w:cs="宋体"/>
          <w:color w:val="auto"/>
          <w:highlight w:val="none"/>
        </w:rPr>
      </w:pPr>
      <w:permStart w:id="0" w:edGrp="everyone"/>
      <w:permEnd w:id="0"/>
    </w:p>
    <w:p w14:paraId="21F442D7">
      <w:pPr>
        <w:keepNext/>
        <w:keepLines/>
        <w:spacing w:line="360" w:lineRule="auto"/>
        <w:rPr>
          <w:rFonts w:ascii="宋体" w:hAnsi="宋体" w:cs="宋体"/>
          <w:color w:val="auto"/>
          <w:highlight w:val="none"/>
        </w:rPr>
      </w:pPr>
    </w:p>
    <w:p w14:paraId="2BA42DC8">
      <w:pPr>
        <w:keepNext/>
        <w:keepLines/>
        <w:spacing w:line="360" w:lineRule="auto"/>
        <w:ind w:firstLine="1497" w:firstLineChars="466"/>
        <w:rPr>
          <w:rFonts w:ascii="宋体" w:hAnsi="宋体" w:cs="宋体"/>
          <w:b/>
          <w:bCs/>
          <w:color w:val="auto"/>
          <w:sz w:val="32"/>
          <w:szCs w:val="40"/>
          <w:highlight w:val="none"/>
        </w:rPr>
      </w:pPr>
      <w:r>
        <w:rPr>
          <w:rFonts w:hint="eastAsia" w:ascii="宋体" w:hAnsi="宋体" w:cs="宋体"/>
          <w:b/>
          <w:bCs/>
          <w:color w:val="auto"/>
          <w:sz w:val="32"/>
          <w:szCs w:val="40"/>
          <w:highlight w:val="none"/>
        </w:rPr>
        <w:t>项目名称：广西公安数字化反电诈平台项目</w:t>
      </w:r>
    </w:p>
    <w:p w14:paraId="606D88B6">
      <w:pPr>
        <w:keepNext/>
        <w:keepLines/>
        <w:spacing w:line="360" w:lineRule="auto"/>
        <w:ind w:firstLine="1497" w:firstLineChars="466"/>
        <w:rPr>
          <w:rFonts w:ascii="宋体" w:hAnsi="宋体" w:cs="宋体"/>
          <w:b/>
          <w:bCs/>
          <w:color w:val="auto"/>
          <w:sz w:val="32"/>
          <w:szCs w:val="40"/>
          <w:highlight w:val="none"/>
        </w:rPr>
      </w:pPr>
    </w:p>
    <w:p w14:paraId="0F8B4B74">
      <w:pPr>
        <w:keepNext/>
        <w:keepLines/>
        <w:spacing w:line="360" w:lineRule="auto"/>
        <w:ind w:firstLine="1497" w:firstLineChars="466"/>
        <w:rPr>
          <w:rFonts w:hint="eastAsia" w:ascii="宋体" w:hAnsi="宋体" w:eastAsia="宋体" w:cs="宋体"/>
          <w:b/>
          <w:bCs/>
          <w:color w:val="auto"/>
          <w:sz w:val="32"/>
          <w:szCs w:val="40"/>
          <w:highlight w:val="none"/>
          <w:lang w:eastAsia="zh-CN"/>
        </w:rPr>
      </w:pPr>
      <w:r>
        <w:rPr>
          <w:rFonts w:hint="eastAsia" w:ascii="宋体" w:hAnsi="宋体" w:cs="宋体"/>
          <w:b/>
          <w:bCs/>
          <w:color w:val="auto"/>
          <w:sz w:val="32"/>
          <w:szCs w:val="40"/>
          <w:highlight w:val="none"/>
        </w:rPr>
        <w:t>项目编号：</w:t>
      </w:r>
      <w:r>
        <w:rPr>
          <w:rFonts w:hint="eastAsia" w:ascii="宋体" w:hAnsi="宋体" w:cs="宋体"/>
          <w:b/>
          <w:bCs/>
          <w:color w:val="auto"/>
          <w:sz w:val="32"/>
          <w:szCs w:val="40"/>
          <w:highlight w:val="none"/>
          <w:lang w:eastAsia="zh-CN"/>
        </w:rPr>
        <w:t>GXZC2024-G3-006016-XYGC</w:t>
      </w:r>
    </w:p>
    <w:p w14:paraId="7F233DFD">
      <w:pPr>
        <w:keepNext/>
        <w:keepLines/>
        <w:spacing w:line="360" w:lineRule="auto"/>
        <w:ind w:firstLine="1497" w:firstLineChars="466"/>
        <w:rPr>
          <w:rFonts w:ascii="宋体" w:hAnsi="宋体" w:cs="宋体"/>
          <w:b/>
          <w:bCs/>
          <w:color w:val="auto"/>
          <w:sz w:val="32"/>
          <w:szCs w:val="40"/>
          <w:highlight w:val="none"/>
        </w:rPr>
      </w:pPr>
    </w:p>
    <w:p w14:paraId="68B9E7BC">
      <w:pPr>
        <w:keepNext/>
        <w:keepLines/>
        <w:spacing w:line="360" w:lineRule="auto"/>
        <w:ind w:firstLine="1497" w:firstLineChars="466"/>
        <w:rPr>
          <w:rFonts w:ascii="宋体" w:hAnsi="宋体" w:cs="宋体"/>
          <w:b/>
          <w:bCs/>
          <w:color w:val="auto"/>
          <w:sz w:val="32"/>
          <w:szCs w:val="40"/>
          <w:highlight w:val="none"/>
        </w:rPr>
      </w:pPr>
      <w:r>
        <w:rPr>
          <w:rFonts w:hint="eastAsia" w:ascii="宋体" w:hAnsi="宋体" w:cs="宋体"/>
          <w:b/>
          <w:bCs/>
          <w:color w:val="auto"/>
          <w:sz w:val="32"/>
          <w:szCs w:val="40"/>
          <w:highlight w:val="none"/>
        </w:rPr>
        <w:t>采 购 人：广西壮族自治区公安厅</w:t>
      </w:r>
    </w:p>
    <w:p w14:paraId="3A331F86">
      <w:pPr>
        <w:keepNext/>
        <w:keepLines/>
        <w:spacing w:line="360" w:lineRule="auto"/>
        <w:ind w:firstLine="1497" w:firstLineChars="466"/>
        <w:rPr>
          <w:rFonts w:ascii="宋体" w:hAnsi="宋体" w:cs="宋体"/>
          <w:b/>
          <w:bCs/>
          <w:color w:val="auto"/>
          <w:sz w:val="32"/>
          <w:szCs w:val="40"/>
          <w:highlight w:val="none"/>
        </w:rPr>
      </w:pPr>
    </w:p>
    <w:p w14:paraId="43890596">
      <w:pPr>
        <w:keepNext/>
        <w:keepLines/>
        <w:spacing w:line="360" w:lineRule="auto"/>
        <w:ind w:firstLine="1497" w:firstLineChars="466"/>
        <w:rPr>
          <w:rFonts w:ascii="宋体" w:hAnsi="宋体" w:cs="宋体"/>
          <w:b/>
          <w:bCs/>
          <w:color w:val="auto"/>
          <w:sz w:val="32"/>
          <w:szCs w:val="40"/>
          <w:highlight w:val="none"/>
        </w:rPr>
      </w:pPr>
      <w:r>
        <w:rPr>
          <w:rFonts w:hint="eastAsia" w:ascii="宋体" w:hAnsi="宋体" w:cs="宋体"/>
          <w:b/>
          <w:bCs/>
          <w:color w:val="auto"/>
          <w:sz w:val="32"/>
          <w:szCs w:val="40"/>
          <w:highlight w:val="none"/>
        </w:rPr>
        <w:t>采购代理机构：</w:t>
      </w:r>
      <w:bookmarkStart w:id="0" w:name="PO_3000001866_PM031"/>
      <w:r>
        <w:rPr>
          <w:rFonts w:hint="eastAsia" w:ascii="宋体" w:hAnsi="宋体" w:cs="宋体"/>
          <w:b/>
          <w:bCs/>
          <w:color w:val="auto"/>
          <w:sz w:val="32"/>
          <w:szCs w:val="40"/>
          <w:highlight w:val="none"/>
        </w:rPr>
        <w:t>广西信永工程咨询有限责任公司</w:t>
      </w:r>
      <w:bookmarkEnd w:id="0"/>
    </w:p>
    <w:p w14:paraId="2A1B9EA7">
      <w:pPr>
        <w:pStyle w:val="16"/>
        <w:keepNext/>
        <w:keepLines/>
        <w:snapToGrid w:val="0"/>
        <w:spacing w:after="240" w:line="360" w:lineRule="auto"/>
        <w:ind w:firstLine="574"/>
        <w:jc w:val="left"/>
        <w:rPr>
          <w:rFonts w:cs="宋体"/>
          <w:b/>
          <w:bCs/>
          <w:color w:val="auto"/>
          <w:w w:val="95"/>
          <w:sz w:val="30"/>
          <w:szCs w:val="30"/>
          <w:highlight w:val="none"/>
        </w:rPr>
      </w:pPr>
    </w:p>
    <w:p w14:paraId="7AF15C09">
      <w:pPr>
        <w:pStyle w:val="16"/>
        <w:keepNext/>
        <w:keepLines/>
        <w:snapToGrid w:val="0"/>
        <w:spacing w:line="360" w:lineRule="auto"/>
        <w:jc w:val="center"/>
        <w:rPr>
          <w:rFonts w:cs="宋体"/>
          <w:b/>
          <w:bCs/>
          <w:color w:val="auto"/>
          <w:w w:val="95"/>
          <w:sz w:val="30"/>
          <w:szCs w:val="30"/>
          <w:highlight w:val="none"/>
        </w:rPr>
      </w:pPr>
      <w:r>
        <w:rPr>
          <w:rFonts w:hint="eastAsia" w:cs="宋体"/>
          <w:b/>
          <w:bCs/>
          <w:color w:val="auto"/>
          <w:w w:val="95"/>
          <w:sz w:val="30"/>
          <w:szCs w:val="30"/>
          <w:highlight w:val="none"/>
        </w:rPr>
        <w:t>2024年</w:t>
      </w:r>
      <w:r>
        <w:rPr>
          <w:rFonts w:hint="eastAsia" w:cs="宋体"/>
          <w:b/>
          <w:bCs/>
          <w:color w:val="auto"/>
          <w:w w:val="95"/>
          <w:sz w:val="30"/>
          <w:szCs w:val="30"/>
          <w:highlight w:val="none"/>
          <w:lang w:val="en-US" w:eastAsia="zh-CN"/>
        </w:rPr>
        <w:t>11</w:t>
      </w:r>
      <w:r>
        <w:rPr>
          <w:rFonts w:hint="eastAsia" w:cs="宋体"/>
          <w:b/>
          <w:bCs/>
          <w:color w:val="auto"/>
          <w:w w:val="95"/>
          <w:sz w:val="30"/>
          <w:szCs w:val="30"/>
          <w:highlight w:val="none"/>
        </w:rPr>
        <w:t>月</w:t>
      </w:r>
    </w:p>
    <w:p w14:paraId="724B97C5">
      <w:pPr>
        <w:keepNext/>
        <w:keepLines/>
        <w:spacing w:line="360" w:lineRule="auto"/>
        <w:rPr>
          <w:color w:val="auto"/>
          <w:highlight w:val="none"/>
        </w:rPr>
        <w:sectPr>
          <w:footerReference r:id="rId3" w:type="default"/>
          <w:footerReference r:id="rId4" w:type="even"/>
          <w:pgSz w:w="11906" w:h="16838"/>
          <w:pgMar w:top="1440" w:right="1080" w:bottom="1440" w:left="1080" w:header="720" w:footer="720" w:gutter="0"/>
          <w:pgBorders>
            <w:top w:val="none" w:sz="0" w:space="0"/>
            <w:left w:val="none" w:sz="0" w:space="0"/>
            <w:bottom w:val="none" w:sz="0" w:space="0"/>
            <w:right w:val="none" w:sz="0" w:space="0"/>
          </w:pgBorders>
          <w:pgNumType w:start="1"/>
          <w:cols w:space="720" w:num="1"/>
          <w:docGrid w:linePitch="331" w:charSpace="0"/>
        </w:sectPr>
      </w:pPr>
    </w:p>
    <w:p w14:paraId="4EB9603B">
      <w:pPr>
        <w:pStyle w:val="16"/>
        <w:keepNext/>
        <w:keepLines/>
        <w:tabs>
          <w:tab w:val="left" w:pos="4830"/>
        </w:tabs>
        <w:spacing w:after="240" w:afterLines="100" w:line="360" w:lineRule="auto"/>
        <w:jc w:val="center"/>
        <w:outlineLvl w:val="0"/>
        <w:rPr>
          <w:color w:val="auto"/>
          <w:highlight w:val="none"/>
        </w:rPr>
      </w:pPr>
      <w:bookmarkStart w:id="1" w:name="_Toc11089"/>
      <w:bookmarkStart w:id="2" w:name="_Toc6299"/>
      <w:bookmarkStart w:id="3" w:name="_Toc16003"/>
      <w:bookmarkStart w:id="4" w:name="_Toc177716493"/>
      <w:r>
        <w:rPr>
          <w:rFonts w:hint="eastAsia" w:cs="宋体"/>
          <w:b/>
          <w:color w:val="auto"/>
          <w:sz w:val="44"/>
          <w:szCs w:val="44"/>
          <w:highlight w:val="none"/>
        </w:rPr>
        <w:t>目  录</w:t>
      </w:r>
      <w:bookmarkEnd w:id="1"/>
      <w:bookmarkEnd w:id="2"/>
      <w:bookmarkEnd w:id="3"/>
      <w:bookmarkEnd w:id="4"/>
      <w:r>
        <w:rPr>
          <w:rFonts w:hint="eastAsia" w:cs="宋体"/>
          <w:b/>
          <w:bCs/>
          <w:color w:val="auto"/>
          <w:sz w:val="28"/>
          <w:szCs w:val="28"/>
          <w:highlight w:val="none"/>
        </w:rPr>
        <w:fldChar w:fldCharType="begin"/>
      </w:r>
      <w:r>
        <w:rPr>
          <w:rFonts w:hint="eastAsia" w:cs="宋体"/>
          <w:color w:val="auto"/>
          <w:sz w:val="28"/>
          <w:szCs w:val="28"/>
          <w:highlight w:val="none"/>
        </w:rPr>
        <w:instrText xml:space="preserve"> TOC \o "1-3" \h \z \u </w:instrText>
      </w:r>
      <w:r>
        <w:rPr>
          <w:rFonts w:hint="eastAsia" w:cs="宋体"/>
          <w:b/>
          <w:bCs/>
          <w:color w:val="auto"/>
          <w:sz w:val="28"/>
          <w:szCs w:val="28"/>
          <w:highlight w:val="none"/>
        </w:rPr>
        <w:fldChar w:fldCharType="separate"/>
      </w:r>
    </w:p>
    <w:p w14:paraId="0C1102C8">
      <w:pPr>
        <w:pStyle w:val="20"/>
        <w:keepNext/>
        <w:keepLines/>
        <w:tabs>
          <w:tab w:val="right" w:leader="dot" w:pos="9638"/>
        </w:tabs>
        <w:spacing w:before="0" w:after="0" w:line="360" w:lineRule="auto"/>
        <w:rPr>
          <w:rFonts w:ascii="宋体" w:hAnsi="宋体" w:cs="宋体"/>
          <w:b w:val="0"/>
          <w:color w:val="auto"/>
          <w:sz w:val="28"/>
          <w:szCs w:val="28"/>
          <w:highlight w:val="none"/>
          <w:u w:val="none"/>
        </w:rPr>
      </w:pPr>
      <w:r>
        <w:rPr>
          <w:color w:val="auto"/>
          <w:highlight w:val="none"/>
        </w:rPr>
        <w:fldChar w:fldCharType="begin"/>
      </w:r>
      <w:r>
        <w:rPr>
          <w:color w:val="auto"/>
          <w:highlight w:val="none"/>
        </w:rPr>
        <w:instrText xml:space="preserve"> HYPERLINK \l "_Toc177716494" </w:instrText>
      </w:r>
      <w:r>
        <w:rPr>
          <w:color w:val="auto"/>
          <w:highlight w:val="none"/>
        </w:rPr>
        <w:fldChar w:fldCharType="separate"/>
      </w:r>
      <w:r>
        <w:rPr>
          <w:rFonts w:hint="eastAsia" w:ascii="宋体" w:hAnsi="宋体" w:cs="宋体"/>
          <w:b w:val="0"/>
          <w:color w:val="auto"/>
          <w:sz w:val="28"/>
          <w:szCs w:val="28"/>
          <w:highlight w:val="none"/>
          <w:u w:val="none"/>
        </w:rPr>
        <w:t>第一章  招标公告</w:t>
      </w:r>
      <w:r>
        <w:rPr>
          <w:rFonts w:hint="eastAsia" w:ascii="宋体" w:hAnsi="宋体" w:cs="宋体"/>
          <w:b w:val="0"/>
          <w:color w:val="auto"/>
          <w:sz w:val="28"/>
          <w:szCs w:val="28"/>
          <w:highlight w:val="none"/>
          <w:u w:val="none"/>
        </w:rPr>
        <w:tab/>
      </w:r>
      <w:r>
        <w:rPr>
          <w:rFonts w:hint="eastAsia" w:ascii="宋体" w:hAnsi="宋体" w:cs="宋体"/>
          <w:b w:val="0"/>
          <w:color w:val="auto"/>
          <w:sz w:val="28"/>
          <w:szCs w:val="28"/>
          <w:highlight w:val="none"/>
          <w:u w:val="none"/>
        </w:rPr>
        <w:fldChar w:fldCharType="begin"/>
      </w:r>
      <w:r>
        <w:rPr>
          <w:rFonts w:hint="eastAsia" w:ascii="宋体" w:hAnsi="宋体" w:cs="宋体"/>
          <w:b w:val="0"/>
          <w:color w:val="auto"/>
          <w:sz w:val="28"/>
          <w:szCs w:val="28"/>
          <w:highlight w:val="none"/>
          <w:u w:val="none"/>
        </w:rPr>
        <w:instrText xml:space="preserve"> PAGEREF _Toc177716494 \h </w:instrText>
      </w:r>
      <w:r>
        <w:rPr>
          <w:rFonts w:hint="eastAsia" w:ascii="宋体" w:hAnsi="宋体" w:cs="宋体"/>
          <w:b w:val="0"/>
          <w:color w:val="auto"/>
          <w:sz w:val="28"/>
          <w:szCs w:val="28"/>
          <w:highlight w:val="none"/>
          <w:u w:val="none"/>
        </w:rPr>
        <w:fldChar w:fldCharType="separate"/>
      </w:r>
      <w:r>
        <w:rPr>
          <w:rFonts w:hint="eastAsia" w:ascii="宋体" w:hAnsi="宋体" w:cs="宋体"/>
          <w:b w:val="0"/>
          <w:color w:val="auto"/>
          <w:sz w:val="28"/>
          <w:szCs w:val="28"/>
          <w:highlight w:val="none"/>
          <w:u w:val="none"/>
        </w:rPr>
        <w:t>1</w:t>
      </w:r>
      <w:r>
        <w:rPr>
          <w:rFonts w:hint="eastAsia" w:ascii="宋体" w:hAnsi="宋体" w:cs="宋体"/>
          <w:b w:val="0"/>
          <w:color w:val="auto"/>
          <w:sz w:val="28"/>
          <w:szCs w:val="28"/>
          <w:highlight w:val="none"/>
          <w:u w:val="none"/>
        </w:rPr>
        <w:fldChar w:fldCharType="end"/>
      </w:r>
      <w:r>
        <w:rPr>
          <w:rFonts w:hint="eastAsia" w:ascii="宋体" w:hAnsi="宋体" w:cs="宋体"/>
          <w:b w:val="0"/>
          <w:color w:val="auto"/>
          <w:sz w:val="28"/>
          <w:szCs w:val="28"/>
          <w:highlight w:val="none"/>
          <w:u w:val="none"/>
        </w:rPr>
        <w:fldChar w:fldCharType="end"/>
      </w:r>
    </w:p>
    <w:p w14:paraId="64A8FAF4">
      <w:pPr>
        <w:pStyle w:val="20"/>
        <w:keepNext/>
        <w:keepLines/>
        <w:tabs>
          <w:tab w:val="right" w:leader="dot" w:pos="9638"/>
        </w:tabs>
        <w:spacing w:before="0" w:after="0" w:line="360" w:lineRule="auto"/>
        <w:rPr>
          <w:rFonts w:ascii="宋体" w:hAnsi="宋体" w:cs="宋体"/>
          <w:b w:val="0"/>
          <w:color w:val="auto"/>
          <w:sz w:val="28"/>
          <w:szCs w:val="28"/>
          <w:highlight w:val="none"/>
          <w:u w:val="none"/>
        </w:rPr>
      </w:pPr>
      <w:r>
        <w:rPr>
          <w:color w:val="auto"/>
          <w:highlight w:val="none"/>
        </w:rPr>
        <w:fldChar w:fldCharType="begin"/>
      </w:r>
      <w:r>
        <w:rPr>
          <w:color w:val="auto"/>
          <w:highlight w:val="none"/>
        </w:rPr>
        <w:instrText xml:space="preserve"> HYPERLINK \l "_Toc177716502" </w:instrText>
      </w:r>
      <w:r>
        <w:rPr>
          <w:color w:val="auto"/>
          <w:highlight w:val="none"/>
        </w:rPr>
        <w:fldChar w:fldCharType="separate"/>
      </w:r>
      <w:r>
        <w:rPr>
          <w:rFonts w:hint="eastAsia" w:ascii="宋体" w:hAnsi="宋体" w:cs="宋体"/>
          <w:b w:val="0"/>
          <w:color w:val="auto"/>
          <w:sz w:val="28"/>
          <w:szCs w:val="28"/>
          <w:highlight w:val="none"/>
          <w:u w:val="none"/>
        </w:rPr>
        <w:t>第二章  采购需求</w:t>
      </w:r>
      <w:r>
        <w:rPr>
          <w:rFonts w:hint="eastAsia" w:ascii="宋体" w:hAnsi="宋体" w:cs="宋体"/>
          <w:b w:val="0"/>
          <w:color w:val="auto"/>
          <w:sz w:val="28"/>
          <w:szCs w:val="28"/>
          <w:highlight w:val="none"/>
          <w:u w:val="none"/>
        </w:rPr>
        <w:tab/>
      </w:r>
      <w:r>
        <w:rPr>
          <w:rFonts w:hint="eastAsia" w:ascii="宋体" w:hAnsi="宋体" w:cs="宋体"/>
          <w:b w:val="0"/>
          <w:color w:val="auto"/>
          <w:sz w:val="28"/>
          <w:szCs w:val="28"/>
          <w:highlight w:val="none"/>
          <w:u w:val="none"/>
        </w:rPr>
        <w:fldChar w:fldCharType="begin"/>
      </w:r>
      <w:r>
        <w:rPr>
          <w:rFonts w:hint="eastAsia" w:ascii="宋体" w:hAnsi="宋体" w:cs="宋体"/>
          <w:b w:val="0"/>
          <w:color w:val="auto"/>
          <w:sz w:val="28"/>
          <w:szCs w:val="28"/>
          <w:highlight w:val="none"/>
          <w:u w:val="none"/>
        </w:rPr>
        <w:instrText xml:space="preserve"> PAGEREF _Toc177716502 \h </w:instrText>
      </w:r>
      <w:r>
        <w:rPr>
          <w:rFonts w:hint="eastAsia" w:ascii="宋体" w:hAnsi="宋体" w:cs="宋体"/>
          <w:b w:val="0"/>
          <w:color w:val="auto"/>
          <w:sz w:val="28"/>
          <w:szCs w:val="28"/>
          <w:highlight w:val="none"/>
          <w:u w:val="none"/>
        </w:rPr>
        <w:fldChar w:fldCharType="separate"/>
      </w:r>
      <w:r>
        <w:rPr>
          <w:rFonts w:hint="eastAsia" w:ascii="宋体" w:hAnsi="宋体" w:cs="宋体"/>
          <w:b w:val="0"/>
          <w:color w:val="auto"/>
          <w:sz w:val="28"/>
          <w:szCs w:val="28"/>
          <w:highlight w:val="none"/>
          <w:u w:val="none"/>
        </w:rPr>
        <w:t>4</w:t>
      </w:r>
      <w:r>
        <w:rPr>
          <w:rFonts w:hint="eastAsia" w:ascii="宋体" w:hAnsi="宋体" w:cs="宋体"/>
          <w:b w:val="0"/>
          <w:color w:val="auto"/>
          <w:sz w:val="28"/>
          <w:szCs w:val="28"/>
          <w:highlight w:val="none"/>
          <w:u w:val="none"/>
        </w:rPr>
        <w:fldChar w:fldCharType="end"/>
      </w:r>
      <w:r>
        <w:rPr>
          <w:rFonts w:hint="eastAsia" w:ascii="宋体" w:hAnsi="宋体" w:cs="宋体"/>
          <w:b w:val="0"/>
          <w:color w:val="auto"/>
          <w:sz w:val="28"/>
          <w:szCs w:val="28"/>
          <w:highlight w:val="none"/>
          <w:u w:val="none"/>
        </w:rPr>
        <w:fldChar w:fldCharType="end"/>
      </w:r>
    </w:p>
    <w:p w14:paraId="11F0DE79">
      <w:pPr>
        <w:pStyle w:val="20"/>
        <w:keepNext/>
        <w:keepLines/>
        <w:tabs>
          <w:tab w:val="right" w:leader="dot" w:pos="9638"/>
        </w:tabs>
        <w:spacing w:before="0" w:after="0" w:line="360" w:lineRule="auto"/>
        <w:rPr>
          <w:rFonts w:ascii="宋体" w:hAnsi="宋体" w:cs="宋体"/>
          <w:b w:val="0"/>
          <w:color w:val="auto"/>
          <w:sz w:val="28"/>
          <w:szCs w:val="28"/>
          <w:highlight w:val="none"/>
          <w:u w:val="none"/>
        </w:rPr>
      </w:pPr>
      <w:r>
        <w:rPr>
          <w:color w:val="auto"/>
          <w:highlight w:val="none"/>
        </w:rPr>
        <w:fldChar w:fldCharType="begin"/>
      </w:r>
      <w:r>
        <w:rPr>
          <w:color w:val="auto"/>
          <w:highlight w:val="none"/>
        </w:rPr>
        <w:instrText xml:space="preserve"> HYPERLINK \l "_Toc177716503" </w:instrText>
      </w:r>
      <w:r>
        <w:rPr>
          <w:color w:val="auto"/>
          <w:highlight w:val="none"/>
        </w:rPr>
        <w:fldChar w:fldCharType="separate"/>
      </w:r>
      <w:r>
        <w:rPr>
          <w:rFonts w:hint="eastAsia" w:ascii="宋体" w:hAnsi="宋体" w:cs="宋体"/>
          <w:b w:val="0"/>
          <w:color w:val="auto"/>
          <w:sz w:val="28"/>
          <w:szCs w:val="28"/>
          <w:highlight w:val="none"/>
          <w:u w:val="none"/>
        </w:rPr>
        <w:t>第三章  投标人须知</w:t>
      </w:r>
      <w:r>
        <w:rPr>
          <w:rFonts w:hint="eastAsia" w:ascii="宋体" w:hAnsi="宋体" w:cs="宋体"/>
          <w:b w:val="0"/>
          <w:color w:val="auto"/>
          <w:sz w:val="28"/>
          <w:szCs w:val="28"/>
          <w:highlight w:val="none"/>
          <w:u w:val="none"/>
        </w:rPr>
        <w:tab/>
      </w:r>
      <w:r>
        <w:rPr>
          <w:rFonts w:hint="eastAsia" w:ascii="宋体" w:hAnsi="宋体" w:cs="宋体"/>
          <w:b w:val="0"/>
          <w:color w:val="auto"/>
          <w:sz w:val="28"/>
          <w:szCs w:val="28"/>
          <w:highlight w:val="none"/>
          <w:u w:val="none"/>
        </w:rPr>
        <w:fldChar w:fldCharType="begin"/>
      </w:r>
      <w:r>
        <w:rPr>
          <w:rFonts w:hint="eastAsia" w:ascii="宋体" w:hAnsi="宋体" w:cs="宋体"/>
          <w:b w:val="0"/>
          <w:color w:val="auto"/>
          <w:sz w:val="28"/>
          <w:szCs w:val="28"/>
          <w:highlight w:val="none"/>
          <w:u w:val="none"/>
        </w:rPr>
        <w:instrText xml:space="preserve"> PAGEREF _Toc177716503 \h </w:instrText>
      </w:r>
      <w:r>
        <w:rPr>
          <w:rFonts w:hint="eastAsia" w:ascii="宋体" w:hAnsi="宋体" w:cs="宋体"/>
          <w:b w:val="0"/>
          <w:color w:val="auto"/>
          <w:sz w:val="28"/>
          <w:szCs w:val="28"/>
          <w:highlight w:val="none"/>
          <w:u w:val="none"/>
        </w:rPr>
        <w:fldChar w:fldCharType="separate"/>
      </w:r>
      <w:r>
        <w:rPr>
          <w:rFonts w:hint="eastAsia" w:ascii="宋体" w:hAnsi="宋体" w:cs="宋体"/>
          <w:b w:val="0"/>
          <w:color w:val="auto"/>
          <w:sz w:val="28"/>
          <w:szCs w:val="28"/>
          <w:highlight w:val="none"/>
          <w:u w:val="none"/>
        </w:rPr>
        <w:t>47</w:t>
      </w:r>
      <w:r>
        <w:rPr>
          <w:rFonts w:hint="eastAsia" w:ascii="宋体" w:hAnsi="宋体" w:cs="宋体"/>
          <w:b w:val="0"/>
          <w:color w:val="auto"/>
          <w:sz w:val="28"/>
          <w:szCs w:val="28"/>
          <w:highlight w:val="none"/>
          <w:u w:val="none"/>
        </w:rPr>
        <w:fldChar w:fldCharType="end"/>
      </w:r>
      <w:r>
        <w:rPr>
          <w:rFonts w:hint="eastAsia" w:ascii="宋体" w:hAnsi="宋体" w:cs="宋体"/>
          <w:b w:val="0"/>
          <w:color w:val="auto"/>
          <w:sz w:val="28"/>
          <w:szCs w:val="28"/>
          <w:highlight w:val="none"/>
          <w:u w:val="none"/>
        </w:rPr>
        <w:fldChar w:fldCharType="end"/>
      </w:r>
    </w:p>
    <w:p w14:paraId="329DB3C3">
      <w:pPr>
        <w:pStyle w:val="20"/>
        <w:keepNext/>
        <w:keepLines/>
        <w:tabs>
          <w:tab w:val="right" w:leader="dot" w:pos="9638"/>
        </w:tabs>
        <w:spacing w:before="0" w:after="0" w:line="360" w:lineRule="auto"/>
        <w:rPr>
          <w:rFonts w:ascii="宋体" w:hAnsi="宋体" w:cs="宋体"/>
          <w:b w:val="0"/>
          <w:color w:val="auto"/>
          <w:sz w:val="28"/>
          <w:szCs w:val="28"/>
          <w:highlight w:val="none"/>
          <w:u w:val="none"/>
        </w:rPr>
      </w:pPr>
      <w:r>
        <w:rPr>
          <w:color w:val="auto"/>
          <w:highlight w:val="none"/>
        </w:rPr>
        <w:fldChar w:fldCharType="begin"/>
      </w:r>
      <w:r>
        <w:rPr>
          <w:color w:val="auto"/>
          <w:highlight w:val="none"/>
        </w:rPr>
        <w:instrText xml:space="preserve"> HYPERLINK \l "_Toc177716515" </w:instrText>
      </w:r>
      <w:r>
        <w:rPr>
          <w:color w:val="auto"/>
          <w:highlight w:val="none"/>
        </w:rPr>
        <w:fldChar w:fldCharType="separate"/>
      </w:r>
      <w:r>
        <w:rPr>
          <w:rFonts w:hint="eastAsia" w:ascii="宋体" w:hAnsi="宋体" w:cs="宋体"/>
          <w:b w:val="0"/>
          <w:color w:val="auto"/>
          <w:sz w:val="28"/>
          <w:szCs w:val="28"/>
          <w:highlight w:val="none"/>
          <w:u w:val="none"/>
        </w:rPr>
        <w:t>第四章  评标方法及评分标准</w:t>
      </w:r>
      <w:r>
        <w:rPr>
          <w:rFonts w:hint="eastAsia" w:ascii="宋体" w:hAnsi="宋体" w:cs="宋体"/>
          <w:b w:val="0"/>
          <w:color w:val="auto"/>
          <w:sz w:val="28"/>
          <w:szCs w:val="28"/>
          <w:highlight w:val="none"/>
          <w:u w:val="none"/>
        </w:rPr>
        <w:tab/>
      </w:r>
      <w:r>
        <w:rPr>
          <w:rFonts w:hint="eastAsia" w:ascii="宋体" w:hAnsi="宋体" w:cs="宋体"/>
          <w:b w:val="0"/>
          <w:color w:val="auto"/>
          <w:sz w:val="28"/>
          <w:szCs w:val="28"/>
          <w:highlight w:val="none"/>
          <w:u w:val="none"/>
        </w:rPr>
        <w:fldChar w:fldCharType="begin"/>
      </w:r>
      <w:r>
        <w:rPr>
          <w:rFonts w:hint="eastAsia" w:ascii="宋体" w:hAnsi="宋体" w:cs="宋体"/>
          <w:b w:val="0"/>
          <w:color w:val="auto"/>
          <w:sz w:val="28"/>
          <w:szCs w:val="28"/>
          <w:highlight w:val="none"/>
          <w:u w:val="none"/>
        </w:rPr>
        <w:instrText xml:space="preserve"> PAGEREF _Toc177716515 \h </w:instrText>
      </w:r>
      <w:r>
        <w:rPr>
          <w:rFonts w:hint="eastAsia" w:ascii="宋体" w:hAnsi="宋体" w:cs="宋体"/>
          <w:b w:val="0"/>
          <w:color w:val="auto"/>
          <w:sz w:val="28"/>
          <w:szCs w:val="28"/>
          <w:highlight w:val="none"/>
          <w:u w:val="none"/>
        </w:rPr>
        <w:fldChar w:fldCharType="separate"/>
      </w:r>
      <w:r>
        <w:rPr>
          <w:rFonts w:hint="eastAsia" w:ascii="宋体" w:hAnsi="宋体" w:cs="宋体"/>
          <w:b w:val="0"/>
          <w:color w:val="auto"/>
          <w:sz w:val="28"/>
          <w:szCs w:val="28"/>
          <w:highlight w:val="none"/>
          <w:u w:val="none"/>
        </w:rPr>
        <w:t>70</w:t>
      </w:r>
      <w:r>
        <w:rPr>
          <w:rFonts w:hint="eastAsia" w:ascii="宋体" w:hAnsi="宋体" w:cs="宋体"/>
          <w:b w:val="0"/>
          <w:color w:val="auto"/>
          <w:sz w:val="28"/>
          <w:szCs w:val="28"/>
          <w:highlight w:val="none"/>
          <w:u w:val="none"/>
        </w:rPr>
        <w:fldChar w:fldCharType="end"/>
      </w:r>
      <w:r>
        <w:rPr>
          <w:rFonts w:hint="eastAsia" w:ascii="宋体" w:hAnsi="宋体" w:cs="宋体"/>
          <w:b w:val="0"/>
          <w:color w:val="auto"/>
          <w:sz w:val="28"/>
          <w:szCs w:val="28"/>
          <w:highlight w:val="none"/>
          <w:u w:val="none"/>
        </w:rPr>
        <w:fldChar w:fldCharType="end"/>
      </w:r>
    </w:p>
    <w:p w14:paraId="1C089DE6">
      <w:pPr>
        <w:pStyle w:val="20"/>
        <w:keepNext/>
        <w:keepLines/>
        <w:tabs>
          <w:tab w:val="right" w:leader="dot" w:pos="9638"/>
        </w:tabs>
        <w:spacing w:before="0" w:after="0" w:line="360" w:lineRule="auto"/>
        <w:rPr>
          <w:rFonts w:ascii="宋体" w:hAnsi="宋体" w:cs="宋体"/>
          <w:b w:val="0"/>
          <w:color w:val="auto"/>
          <w:sz w:val="28"/>
          <w:szCs w:val="28"/>
          <w:highlight w:val="none"/>
          <w:u w:val="none"/>
        </w:rPr>
      </w:pPr>
      <w:r>
        <w:rPr>
          <w:color w:val="auto"/>
          <w:highlight w:val="none"/>
        </w:rPr>
        <w:fldChar w:fldCharType="begin"/>
      </w:r>
      <w:r>
        <w:rPr>
          <w:color w:val="auto"/>
          <w:highlight w:val="none"/>
        </w:rPr>
        <w:instrText xml:space="preserve"> HYPERLINK \l "_Toc177716529" </w:instrText>
      </w:r>
      <w:r>
        <w:rPr>
          <w:color w:val="auto"/>
          <w:highlight w:val="none"/>
        </w:rPr>
        <w:fldChar w:fldCharType="separate"/>
      </w:r>
      <w:r>
        <w:rPr>
          <w:rFonts w:hint="eastAsia" w:ascii="宋体" w:hAnsi="宋体" w:cs="宋体"/>
          <w:b w:val="0"/>
          <w:color w:val="auto"/>
          <w:sz w:val="28"/>
          <w:szCs w:val="28"/>
          <w:highlight w:val="none"/>
          <w:u w:val="none"/>
        </w:rPr>
        <w:t>第五章  拟签订的合同文本</w:t>
      </w:r>
      <w:r>
        <w:rPr>
          <w:rFonts w:hint="eastAsia" w:ascii="宋体" w:hAnsi="宋体" w:cs="宋体"/>
          <w:b w:val="0"/>
          <w:color w:val="auto"/>
          <w:sz w:val="28"/>
          <w:szCs w:val="28"/>
          <w:highlight w:val="none"/>
          <w:u w:val="none"/>
        </w:rPr>
        <w:tab/>
      </w:r>
      <w:r>
        <w:rPr>
          <w:rFonts w:hint="eastAsia" w:ascii="宋体" w:hAnsi="宋体" w:cs="宋体"/>
          <w:b w:val="0"/>
          <w:color w:val="auto"/>
          <w:sz w:val="28"/>
          <w:szCs w:val="28"/>
          <w:highlight w:val="none"/>
          <w:u w:val="none"/>
        </w:rPr>
        <w:fldChar w:fldCharType="begin"/>
      </w:r>
      <w:r>
        <w:rPr>
          <w:rFonts w:hint="eastAsia" w:ascii="宋体" w:hAnsi="宋体" w:cs="宋体"/>
          <w:b w:val="0"/>
          <w:color w:val="auto"/>
          <w:sz w:val="28"/>
          <w:szCs w:val="28"/>
          <w:highlight w:val="none"/>
          <w:u w:val="none"/>
        </w:rPr>
        <w:instrText xml:space="preserve"> PAGEREF _Toc177716529 \h </w:instrText>
      </w:r>
      <w:r>
        <w:rPr>
          <w:rFonts w:hint="eastAsia" w:ascii="宋体" w:hAnsi="宋体" w:cs="宋体"/>
          <w:b w:val="0"/>
          <w:color w:val="auto"/>
          <w:sz w:val="28"/>
          <w:szCs w:val="28"/>
          <w:highlight w:val="none"/>
          <w:u w:val="none"/>
        </w:rPr>
        <w:fldChar w:fldCharType="separate"/>
      </w:r>
      <w:r>
        <w:rPr>
          <w:rFonts w:hint="eastAsia" w:ascii="宋体" w:hAnsi="宋体" w:cs="宋体"/>
          <w:b w:val="0"/>
          <w:color w:val="auto"/>
          <w:sz w:val="28"/>
          <w:szCs w:val="28"/>
          <w:highlight w:val="none"/>
          <w:u w:val="none"/>
        </w:rPr>
        <w:t>80</w:t>
      </w:r>
      <w:r>
        <w:rPr>
          <w:rFonts w:hint="eastAsia" w:ascii="宋体" w:hAnsi="宋体" w:cs="宋体"/>
          <w:b w:val="0"/>
          <w:color w:val="auto"/>
          <w:sz w:val="28"/>
          <w:szCs w:val="28"/>
          <w:highlight w:val="none"/>
          <w:u w:val="none"/>
        </w:rPr>
        <w:fldChar w:fldCharType="end"/>
      </w:r>
      <w:r>
        <w:rPr>
          <w:rFonts w:hint="eastAsia" w:ascii="宋体" w:hAnsi="宋体" w:cs="宋体"/>
          <w:b w:val="0"/>
          <w:color w:val="auto"/>
          <w:sz w:val="28"/>
          <w:szCs w:val="28"/>
          <w:highlight w:val="none"/>
          <w:u w:val="none"/>
        </w:rPr>
        <w:fldChar w:fldCharType="end"/>
      </w:r>
    </w:p>
    <w:p w14:paraId="1C0B8FFF">
      <w:pPr>
        <w:pStyle w:val="20"/>
        <w:keepNext/>
        <w:keepLines/>
        <w:tabs>
          <w:tab w:val="right" w:leader="dot" w:pos="9638"/>
        </w:tabs>
        <w:spacing w:before="0" w:after="0" w:line="360" w:lineRule="auto"/>
        <w:rPr>
          <w:rFonts w:ascii="宋体" w:hAnsi="宋体" w:cs="宋体"/>
          <w:b w:val="0"/>
          <w:color w:val="auto"/>
          <w:sz w:val="28"/>
          <w:szCs w:val="28"/>
          <w:highlight w:val="none"/>
          <w:u w:val="none"/>
        </w:rPr>
      </w:pPr>
      <w:r>
        <w:rPr>
          <w:color w:val="auto"/>
          <w:highlight w:val="none"/>
        </w:rPr>
        <w:fldChar w:fldCharType="begin"/>
      </w:r>
      <w:r>
        <w:rPr>
          <w:color w:val="auto"/>
          <w:highlight w:val="none"/>
        </w:rPr>
        <w:instrText xml:space="preserve"> HYPERLINK \l "_Toc177716546" </w:instrText>
      </w:r>
      <w:r>
        <w:rPr>
          <w:color w:val="auto"/>
          <w:highlight w:val="none"/>
        </w:rPr>
        <w:fldChar w:fldCharType="separate"/>
      </w:r>
      <w:r>
        <w:rPr>
          <w:rFonts w:hint="eastAsia" w:ascii="宋体" w:hAnsi="宋体" w:cs="宋体"/>
          <w:b w:val="0"/>
          <w:color w:val="auto"/>
          <w:sz w:val="28"/>
          <w:szCs w:val="28"/>
          <w:highlight w:val="none"/>
          <w:u w:val="none"/>
        </w:rPr>
        <w:t>第六章  投标文件格式</w:t>
      </w:r>
      <w:r>
        <w:rPr>
          <w:rFonts w:hint="eastAsia" w:ascii="宋体" w:hAnsi="宋体" w:cs="宋体"/>
          <w:b w:val="0"/>
          <w:color w:val="auto"/>
          <w:sz w:val="28"/>
          <w:szCs w:val="28"/>
          <w:highlight w:val="none"/>
          <w:u w:val="none"/>
        </w:rPr>
        <w:tab/>
      </w:r>
      <w:r>
        <w:rPr>
          <w:rFonts w:hint="eastAsia" w:ascii="宋体" w:hAnsi="宋体" w:cs="宋体"/>
          <w:b w:val="0"/>
          <w:color w:val="auto"/>
          <w:sz w:val="28"/>
          <w:szCs w:val="28"/>
          <w:highlight w:val="none"/>
          <w:u w:val="none"/>
        </w:rPr>
        <w:fldChar w:fldCharType="begin"/>
      </w:r>
      <w:r>
        <w:rPr>
          <w:rFonts w:hint="eastAsia" w:ascii="宋体" w:hAnsi="宋体" w:cs="宋体"/>
          <w:b w:val="0"/>
          <w:color w:val="auto"/>
          <w:sz w:val="28"/>
          <w:szCs w:val="28"/>
          <w:highlight w:val="none"/>
          <w:u w:val="none"/>
        </w:rPr>
        <w:instrText xml:space="preserve"> PAGEREF _Toc177716546 \h </w:instrText>
      </w:r>
      <w:r>
        <w:rPr>
          <w:rFonts w:hint="eastAsia" w:ascii="宋体" w:hAnsi="宋体" w:cs="宋体"/>
          <w:b w:val="0"/>
          <w:color w:val="auto"/>
          <w:sz w:val="28"/>
          <w:szCs w:val="28"/>
          <w:highlight w:val="none"/>
          <w:u w:val="none"/>
        </w:rPr>
        <w:fldChar w:fldCharType="separate"/>
      </w:r>
      <w:r>
        <w:rPr>
          <w:rFonts w:hint="eastAsia" w:ascii="宋体" w:hAnsi="宋体" w:cs="宋体"/>
          <w:b w:val="0"/>
          <w:color w:val="auto"/>
          <w:sz w:val="28"/>
          <w:szCs w:val="28"/>
          <w:highlight w:val="none"/>
          <w:u w:val="none"/>
        </w:rPr>
        <w:t>88</w:t>
      </w:r>
      <w:r>
        <w:rPr>
          <w:rFonts w:hint="eastAsia" w:ascii="宋体" w:hAnsi="宋体" w:cs="宋体"/>
          <w:b w:val="0"/>
          <w:color w:val="auto"/>
          <w:sz w:val="28"/>
          <w:szCs w:val="28"/>
          <w:highlight w:val="none"/>
          <w:u w:val="none"/>
        </w:rPr>
        <w:fldChar w:fldCharType="end"/>
      </w:r>
      <w:r>
        <w:rPr>
          <w:rFonts w:hint="eastAsia" w:ascii="宋体" w:hAnsi="宋体" w:cs="宋体"/>
          <w:b w:val="0"/>
          <w:color w:val="auto"/>
          <w:sz w:val="28"/>
          <w:szCs w:val="28"/>
          <w:highlight w:val="none"/>
          <w:u w:val="none"/>
        </w:rPr>
        <w:fldChar w:fldCharType="end"/>
      </w:r>
    </w:p>
    <w:p w14:paraId="4C586A63">
      <w:pPr>
        <w:pStyle w:val="16"/>
        <w:keepNext/>
        <w:keepLines/>
        <w:spacing w:line="360" w:lineRule="auto"/>
        <w:rPr>
          <w:rFonts w:cs="宋体"/>
          <w:b/>
          <w:color w:val="auto"/>
          <w:sz w:val="36"/>
          <w:highlight w:val="none"/>
        </w:rPr>
        <w:sectPr>
          <w:footerReference r:id="rId5" w:type="default"/>
          <w:pgSz w:w="11906" w:h="16838"/>
          <w:pgMar w:top="1440" w:right="1080" w:bottom="1440" w:left="1080" w:header="720" w:footer="720" w:gutter="0"/>
          <w:pgBorders>
            <w:top w:val="none" w:sz="0" w:space="0"/>
            <w:left w:val="none" w:sz="0" w:space="0"/>
            <w:bottom w:val="none" w:sz="0" w:space="0"/>
            <w:right w:val="none" w:sz="0" w:space="0"/>
          </w:pgBorders>
          <w:pgNumType w:start="1"/>
          <w:cols w:space="720" w:num="1"/>
          <w:docGrid w:linePitch="331" w:charSpace="0"/>
        </w:sectPr>
      </w:pPr>
      <w:r>
        <w:rPr>
          <w:rFonts w:hint="eastAsia" w:cs="宋体"/>
          <w:caps/>
          <w:color w:val="auto"/>
          <w:sz w:val="28"/>
          <w:szCs w:val="28"/>
          <w:highlight w:val="none"/>
        </w:rPr>
        <w:fldChar w:fldCharType="end"/>
      </w:r>
      <w:bookmarkStart w:id="5" w:name="_Toc532545041"/>
      <w:bookmarkStart w:id="6" w:name="_Toc13126"/>
    </w:p>
    <w:p w14:paraId="587A4ECF">
      <w:pPr>
        <w:pStyle w:val="2"/>
        <w:spacing w:line="360" w:lineRule="auto"/>
        <w:rPr>
          <w:color w:val="auto"/>
          <w:highlight w:val="none"/>
        </w:rPr>
      </w:pPr>
      <w:bookmarkStart w:id="7" w:name="_Toc177716494"/>
      <w:r>
        <w:rPr>
          <w:rFonts w:hint="eastAsia"/>
          <w:color w:val="auto"/>
          <w:highlight w:val="none"/>
        </w:rPr>
        <w:t>第一章  招标公告</w:t>
      </w:r>
      <w:bookmarkEnd w:id="7"/>
    </w:p>
    <w:p w14:paraId="2A982A5C">
      <w:pPr>
        <w:keepNext/>
        <w:keepLines/>
        <w:pBdr>
          <w:top w:val="single" w:color="auto" w:sz="4" w:space="1"/>
          <w:left w:val="single" w:color="auto" w:sz="4" w:space="4"/>
          <w:bottom w:val="single" w:color="auto" w:sz="4" w:space="1"/>
          <w:right w:val="single" w:color="auto" w:sz="4" w:space="4"/>
        </w:pBd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项目概况</w:t>
      </w:r>
    </w:p>
    <w:p w14:paraId="772669CC">
      <w:pPr>
        <w:keepNext/>
        <w:keepLines/>
        <w:pBdr>
          <w:top w:val="single" w:color="auto" w:sz="4" w:space="1"/>
          <w:left w:val="single" w:color="auto" w:sz="4" w:space="4"/>
          <w:bottom w:val="single" w:color="auto" w:sz="4" w:space="1"/>
          <w:right w:val="single" w:color="auto" w:sz="4" w:space="4"/>
        </w:pBdr>
        <w:adjustRightInd w:val="0"/>
        <w:snapToGrid w:val="0"/>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u w:val="single"/>
        </w:rPr>
        <w:t>广西公安数字化反电诈平台项目</w:t>
      </w:r>
      <w:r>
        <w:rPr>
          <w:rFonts w:hint="eastAsia" w:ascii="宋体" w:hAnsi="宋体" w:cs="宋体"/>
          <w:color w:val="auto"/>
          <w:szCs w:val="21"/>
          <w:highlight w:val="none"/>
        </w:rPr>
        <w:t>招标项目的潜在投标人应在</w:t>
      </w:r>
      <w:r>
        <w:rPr>
          <w:rFonts w:hint="eastAsia" w:ascii="宋体" w:hAnsi="宋体" w:cs="宋体"/>
          <w:color w:val="auto"/>
          <w:szCs w:val="21"/>
          <w:highlight w:val="none"/>
          <w:u w:val="single"/>
        </w:rPr>
        <w:t>广西政府采购云平台（https://www.gcy.zfcg.gxzf.gov.cn/）</w:t>
      </w:r>
      <w:r>
        <w:rPr>
          <w:rFonts w:hint="eastAsia" w:ascii="宋体" w:hAnsi="宋体" w:cs="宋体"/>
          <w:color w:val="auto"/>
          <w:szCs w:val="21"/>
          <w:highlight w:val="none"/>
        </w:rPr>
        <w:t>获取（下载）招标文件，并于</w:t>
      </w:r>
      <w:r>
        <w:rPr>
          <w:rFonts w:hint="eastAsia" w:ascii="宋体" w:hAnsi="宋体" w:cs="宋体"/>
          <w:color w:val="auto"/>
          <w:szCs w:val="21"/>
          <w:highlight w:val="none"/>
          <w:u w:val="single"/>
          <w:lang w:eastAsia="zh-CN"/>
        </w:rPr>
        <w:t>2024年12月9日9点30分</w:t>
      </w:r>
      <w:r>
        <w:rPr>
          <w:rFonts w:hint="eastAsia" w:ascii="宋体" w:hAnsi="宋体" w:cs="宋体"/>
          <w:color w:val="auto"/>
          <w:szCs w:val="21"/>
          <w:highlight w:val="none"/>
          <w:u w:val="single"/>
        </w:rPr>
        <w:t>（北京时间）</w:t>
      </w:r>
      <w:r>
        <w:rPr>
          <w:rFonts w:hint="eastAsia" w:ascii="宋体" w:hAnsi="宋体" w:cs="宋体"/>
          <w:bCs/>
          <w:color w:val="auto"/>
          <w:szCs w:val="21"/>
          <w:highlight w:val="none"/>
        </w:rPr>
        <w:t>前</w:t>
      </w:r>
      <w:r>
        <w:rPr>
          <w:rFonts w:hint="eastAsia" w:ascii="宋体" w:hAnsi="宋体" w:cs="宋体"/>
          <w:color w:val="auto"/>
          <w:szCs w:val="21"/>
          <w:highlight w:val="none"/>
        </w:rPr>
        <w:t>递交（上传）投标文件。</w:t>
      </w:r>
    </w:p>
    <w:p w14:paraId="429F3FC0">
      <w:pPr>
        <w:keepNext/>
        <w:keepLines/>
        <w:adjustRightInd w:val="0"/>
        <w:snapToGrid w:val="0"/>
        <w:spacing w:before="120" w:beforeLines="50" w:line="360" w:lineRule="auto"/>
        <w:outlineLvl w:val="1"/>
        <w:rPr>
          <w:rFonts w:ascii="宋体" w:hAnsi="宋体" w:cs="宋体"/>
          <w:b/>
          <w:bCs/>
          <w:color w:val="auto"/>
          <w:szCs w:val="21"/>
          <w:highlight w:val="none"/>
        </w:rPr>
      </w:pPr>
      <w:bookmarkStart w:id="8" w:name="_Toc177716495"/>
      <w:r>
        <w:rPr>
          <w:rFonts w:hint="eastAsia" w:ascii="宋体" w:hAnsi="宋体" w:cs="宋体"/>
          <w:b/>
          <w:bCs/>
          <w:color w:val="auto"/>
          <w:szCs w:val="21"/>
          <w:highlight w:val="none"/>
        </w:rPr>
        <w:t>一、项目基本情况</w:t>
      </w:r>
      <w:bookmarkEnd w:id="8"/>
    </w:p>
    <w:p w14:paraId="46F6C104">
      <w:pPr>
        <w:keepNext/>
        <w:keepLines/>
        <w:adjustRightInd w:val="0"/>
        <w:snapToGrid w:val="0"/>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项目编号：</w:t>
      </w:r>
      <w:r>
        <w:rPr>
          <w:rFonts w:hint="eastAsia" w:ascii="宋体" w:hAnsi="宋体" w:cs="宋体"/>
          <w:color w:val="auto"/>
          <w:szCs w:val="21"/>
          <w:highlight w:val="none"/>
          <w:lang w:eastAsia="zh-CN"/>
        </w:rPr>
        <w:t>GXZC2024-G3-006016-XYGC</w:t>
      </w:r>
    </w:p>
    <w:p w14:paraId="3499353E">
      <w:pPr>
        <w:keepNext/>
        <w:keepLines/>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采购计划文号：广西政采[2024]21008号-001</w:t>
      </w:r>
      <w:r>
        <w:rPr>
          <w:rFonts w:hint="eastAsia" w:ascii="宋体" w:hAnsi="宋体" w:cs="宋体"/>
          <w:color w:val="auto"/>
          <w:szCs w:val="21"/>
          <w:highlight w:val="none"/>
          <w:lang w:eastAsia="zh-CN"/>
        </w:rPr>
        <w:t>、</w:t>
      </w:r>
      <w:r>
        <w:rPr>
          <w:rFonts w:hint="eastAsia" w:ascii="宋体" w:hAnsi="宋体" w:cs="宋体"/>
          <w:color w:val="auto"/>
          <w:szCs w:val="21"/>
          <w:highlight w:val="none"/>
        </w:rPr>
        <w:t>广西政采[2024]21008号-002</w:t>
      </w:r>
      <w:r>
        <w:rPr>
          <w:rFonts w:hint="eastAsia" w:ascii="宋体" w:hAnsi="宋体" w:cs="宋体"/>
          <w:color w:val="auto"/>
          <w:szCs w:val="21"/>
          <w:highlight w:val="none"/>
          <w:lang w:eastAsia="zh-CN"/>
        </w:rPr>
        <w:t>、</w:t>
      </w:r>
      <w:r>
        <w:rPr>
          <w:rFonts w:hint="eastAsia" w:ascii="宋体" w:hAnsi="宋体" w:cs="宋体"/>
          <w:color w:val="auto"/>
          <w:szCs w:val="21"/>
          <w:highlight w:val="none"/>
        </w:rPr>
        <w:t>广西政采[2024]21008号-003</w:t>
      </w:r>
    </w:p>
    <w:p w14:paraId="6292A282">
      <w:pPr>
        <w:keepNext/>
        <w:keepLines/>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项目名称：广西公安数字化反电诈平台项目</w:t>
      </w:r>
    </w:p>
    <w:p w14:paraId="38870F54">
      <w:pPr>
        <w:keepNext/>
        <w:keepLines/>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预算金额：</w:t>
      </w:r>
      <w:r>
        <w:rPr>
          <w:rFonts w:hint="eastAsia" w:ascii="宋体" w:hAnsi="宋体" w:cs="宋体"/>
          <w:color w:val="auto"/>
          <w:highlight w:val="none"/>
          <w:lang w:val="en-US" w:eastAsia="zh-CN"/>
        </w:rPr>
        <w:t>1259.49</w:t>
      </w:r>
      <w:r>
        <w:rPr>
          <w:rFonts w:hint="eastAsia" w:ascii="宋体" w:hAnsi="宋体" w:cs="宋体"/>
          <w:color w:val="auto"/>
          <w:szCs w:val="21"/>
          <w:highlight w:val="none"/>
        </w:rPr>
        <w:t>万元</w:t>
      </w:r>
    </w:p>
    <w:p w14:paraId="4BDB3661">
      <w:pPr>
        <w:keepNext/>
        <w:keepLines/>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最高限价：同预算金额</w:t>
      </w:r>
    </w:p>
    <w:p w14:paraId="7CD027A7">
      <w:pPr>
        <w:keepNext/>
        <w:keepLines/>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采购需求：本项目为提升全区公安业务能力，主要建设资金流管理、通讯流管理、网络流管理、人员流管理子系统及综合类应用，采购第三方测试、网络安全等级保护测评、商用密码应用系统安全性评估等服务。如需进一步了解，详见招标文件。</w:t>
      </w:r>
    </w:p>
    <w:p w14:paraId="2AF2EFCE">
      <w:pPr>
        <w:keepNext/>
        <w:keepLines/>
        <w:adjustRightInd w:val="0"/>
        <w:snapToGrid w:val="0"/>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合同履行期限：详见招标文件。</w:t>
      </w:r>
    </w:p>
    <w:p w14:paraId="487C4212">
      <w:pPr>
        <w:keepNext/>
        <w:keepLines/>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本项目不接受联合体投标。</w:t>
      </w:r>
    </w:p>
    <w:p w14:paraId="7039EA71">
      <w:pPr>
        <w:keepNext/>
        <w:keepLines/>
        <w:adjustRightInd w:val="0"/>
        <w:snapToGrid w:val="0"/>
        <w:spacing w:line="360" w:lineRule="auto"/>
        <w:outlineLvl w:val="1"/>
        <w:rPr>
          <w:rFonts w:ascii="宋体" w:hAnsi="宋体" w:cs="宋体"/>
          <w:b/>
          <w:bCs/>
          <w:color w:val="auto"/>
          <w:szCs w:val="21"/>
          <w:highlight w:val="none"/>
        </w:rPr>
      </w:pPr>
      <w:bookmarkStart w:id="9" w:name="_Toc177716496"/>
      <w:r>
        <w:rPr>
          <w:rFonts w:hint="eastAsia" w:ascii="宋体" w:hAnsi="宋体" w:cs="宋体"/>
          <w:b/>
          <w:bCs/>
          <w:color w:val="auto"/>
          <w:szCs w:val="21"/>
          <w:highlight w:val="none"/>
        </w:rPr>
        <w:t>二、申请人的资格要求：</w:t>
      </w:r>
      <w:bookmarkEnd w:id="9"/>
    </w:p>
    <w:p w14:paraId="76808020">
      <w:pPr>
        <w:keepNext/>
        <w:keepLines/>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1.满足《中华人民共和国政府采购法》第二十二条规定；</w:t>
      </w:r>
    </w:p>
    <w:p w14:paraId="3B12CB2B">
      <w:pPr>
        <w:keepNext/>
        <w:keepLines/>
        <w:adjustRightInd w:val="0"/>
        <w:snapToGrid w:val="0"/>
        <w:spacing w:line="360" w:lineRule="auto"/>
        <w:ind w:firstLine="420" w:firstLineChars="200"/>
        <w:rPr>
          <w:rFonts w:ascii="宋体" w:hAnsi="宋体" w:cs="宋体"/>
          <w:b/>
          <w:bCs/>
          <w:color w:val="auto"/>
          <w:szCs w:val="21"/>
          <w:highlight w:val="none"/>
        </w:rPr>
      </w:pPr>
      <w:r>
        <w:rPr>
          <w:rFonts w:hint="eastAsia" w:ascii="宋体" w:hAnsi="宋体" w:cs="宋体"/>
          <w:color w:val="auto"/>
          <w:szCs w:val="21"/>
          <w:highlight w:val="none"/>
        </w:rPr>
        <w:t>2.落实政府采购政策需满足的资格要求：</w:t>
      </w:r>
      <w:r>
        <w:rPr>
          <w:rFonts w:hint="eastAsia" w:ascii="宋体" w:hAnsi="宋体"/>
          <w:color w:val="auto"/>
          <w:szCs w:val="21"/>
          <w:highlight w:val="none"/>
          <w:u w:val="single"/>
        </w:rPr>
        <w:t>本项目非专门面向中小企业采购</w:t>
      </w:r>
      <w:r>
        <w:rPr>
          <w:rFonts w:hint="eastAsia" w:ascii="宋体" w:hAnsi="宋体" w:cs="宋体"/>
          <w:bCs/>
          <w:color w:val="auto"/>
          <w:szCs w:val="21"/>
          <w:highlight w:val="none"/>
        </w:rPr>
        <w:t>；</w:t>
      </w:r>
    </w:p>
    <w:p w14:paraId="52971465">
      <w:pPr>
        <w:keepNext/>
        <w:keepLines/>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3.本项目的特定资格要求：</w:t>
      </w:r>
      <w:r>
        <w:rPr>
          <w:rFonts w:hint="eastAsia" w:ascii="宋体" w:hAnsi="宋体" w:cs="宋体"/>
          <w:color w:val="auto"/>
          <w:szCs w:val="21"/>
          <w:highlight w:val="none"/>
          <w:u w:val="single"/>
        </w:rPr>
        <w:t>无</w:t>
      </w:r>
      <w:r>
        <w:rPr>
          <w:rFonts w:hint="eastAsia" w:ascii="宋体" w:hAnsi="宋体" w:cs="宋体"/>
          <w:color w:val="auto"/>
          <w:szCs w:val="21"/>
          <w:highlight w:val="none"/>
        </w:rPr>
        <w:t>。</w:t>
      </w:r>
    </w:p>
    <w:p w14:paraId="5491AE7D">
      <w:pPr>
        <w:keepNext/>
        <w:keepLines/>
        <w:adjustRightInd w:val="0"/>
        <w:snapToGrid w:val="0"/>
        <w:spacing w:line="360" w:lineRule="auto"/>
        <w:outlineLvl w:val="1"/>
        <w:rPr>
          <w:rFonts w:ascii="宋体" w:hAnsi="宋体" w:cs="宋体"/>
          <w:b/>
          <w:bCs/>
          <w:color w:val="auto"/>
          <w:szCs w:val="21"/>
          <w:highlight w:val="none"/>
        </w:rPr>
      </w:pPr>
      <w:bookmarkStart w:id="10" w:name="_Toc177716497"/>
      <w:r>
        <w:rPr>
          <w:rFonts w:hint="eastAsia" w:ascii="宋体" w:hAnsi="宋体" w:cs="宋体"/>
          <w:b/>
          <w:bCs/>
          <w:color w:val="auto"/>
          <w:szCs w:val="21"/>
          <w:highlight w:val="none"/>
        </w:rPr>
        <w:t>三、获取招标文件</w:t>
      </w:r>
      <w:bookmarkEnd w:id="10"/>
    </w:p>
    <w:p w14:paraId="6CC12F83">
      <w:pPr>
        <w:keepNext/>
        <w:keepLines/>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时间：</w:t>
      </w:r>
      <w:r>
        <w:rPr>
          <w:rFonts w:hint="eastAsia" w:ascii="宋体" w:hAnsi="宋体" w:cs="宋体"/>
          <w:color w:val="auto"/>
          <w:kern w:val="0"/>
          <w:szCs w:val="21"/>
          <w:highlight w:val="none"/>
          <w:u w:val="single"/>
        </w:rPr>
        <w:t>2024年</w:t>
      </w:r>
      <w:r>
        <w:rPr>
          <w:rFonts w:hint="eastAsia" w:ascii="宋体" w:hAnsi="宋体" w:cs="宋体"/>
          <w:color w:val="auto"/>
          <w:kern w:val="0"/>
          <w:szCs w:val="21"/>
          <w:highlight w:val="none"/>
          <w:u w:val="single"/>
          <w:lang w:val="en-US" w:eastAsia="zh-CN"/>
        </w:rPr>
        <w:t>11</w:t>
      </w:r>
      <w:r>
        <w:rPr>
          <w:rFonts w:hint="eastAsia" w:ascii="宋体" w:hAnsi="宋体" w:cs="宋体"/>
          <w:color w:val="auto"/>
          <w:kern w:val="0"/>
          <w:szCs w:val="21"/>
          <w:highlight w:val="none"/>
          <w:u w:val="single"/>
        </w:rPr>
        <w:t>月</w:t>
      </w:r>
      <w:r>
        <w:rPr>
          <w:rFonts w:hint="eastAsia" w:ascii="宋体" w:hAnsi="宋体" w:cs="宋体"/>
          <w:color w:val="auto"/>
          <w:kern w:val="0"/>
          <w:szCs w:val="21"/>
          <w:highlight w:val="none"/>
          <w:u w:val="single"/>
          <w:lang w:val="en-US" w:eastAsia="zh-CN"/>
        </w:rPr>
        <w:t>15</w:t>
      </w:r>
      <w:r>
        <w:rPr>
          <w:rFonts w:hint="eastAsia" w:ascii="宋体" w:hAnsi="宋体" w:cs="宋体"/>
          <w:color w:val="auto"/>
          <w:kern w:val="0"/>
          <w:szCs w:val="21"/>
          <w:highlight w:val="none"/>
          <w:u w:val="single"/>
        </w:rPr>
        <w:t>日</w:t>
      </w:r>
      <w:r>
        <w:rPr>
          <w:rFonts w:hint="eastAsia" w:ascii="宋体" w:hAnsi="宋体" w:cs="宋体"/>
          <w:color w:val="auto"/>
          <w:kern w:val="0"/>
          <w:szCs w:val="21"/>
          <w:highlight w:val="none"/>
        </w:rPr>
        <w:t>至</w:t>
      </w:r>
      <w:r>
        <w:rPr>
          <w:rFonts w:hint="eastAsia" w:ascii="宋体" w:hAnsi="宋体" w:cs="宋体"/>
          <w:color w:val="auto"/>
          <w:kern w:val="0"/>
          <w:szCs w:val="21"/>
          <w:highlight w:val="none"/>
          <w:u w:val="single"/>
        </w:rPr>
        <w:t>2024年</w:t>
      </w:r>
      <w:r>
        <w:rPr>
          <w:rFonts w:hint="eastAsia" w:ascii="宋体" w:hAnsi="宋体" w:cs="宋体"/>
          <w:color w:val="auto"/>
          <w:kern w:val="0"/>
          <w:szCs w:val="21"/>
          <w:highlight w:val="none"/>
          <w:u w:val="single"/>
          <w:lang w:val="en-US" w:eastAsia="zh-CN"/>
        </w:rPr>
        <w:t>11</w:t>
      </w:r>
      <w:r>
        <w:rPr>
          <w:rFonts w:hint="eastAsia" w:ascii="宋体" w:hAnsi="宋体" w:cs="宋体"/>
          <w:color w:val="auto"/>
          <w:kern w:val="0"/>
          <w:szCs w:val="21"/>
          <w:highlight w:val="none"/>
          <w:u w:val="single"/>
        </w:rPr>
        <w:t>月</w:t>
      </w:r>
      <w:r>
        <w:rPr>
          <w:rFonts w:hint="eastAsia" w:ascii="宋体" w:hAnsi="宋体" w:cs="宋体"/>
          <w:color w:val="auto"/>
          <w:kern w:val="0"/>
          <w:szCs w:val="21"/>
          <w:highlight w:val="none"/>
          <w:u w:val="single"/>
          <w:lang w:val="en-US" w:eastAsia="zh-CN"/>
        </w:rPr>
        <w:t>22</w:t>
      </w:r>
      <w:r>
        <w:rPr>
          <w:rFonts w:hint="eastAsia" w:ascii="宋体" w:hAnsi="宋体" w:cs="宋体"/>
          <w:color w:val="auto"/>
          <w:kern w:val="0"/>
          <w:szCs w:val="21"/>
          <w:highlight w:val="none"/>
          <w:u w:val="single"/>
        </w:rPr>
        <w:t>日</w:t>
      </w:r>
      <w:r>
        <w:rPr>
          <w:rFonts w:hint="eastAsia" w:ascii="宋体" w:hAnsi="宋体" w:cs="宋体"/>
          <w:color w:val="auto"/>
          <w:kern w:val="0"/>
          <w:szCs w:val="21"/>
          <w:highlight w:val="none"/>
        </w:rPr>
        <w:t>，每天</w:t>
      </w:r>
      <w:r>
        <w:rPr>
          <w:rFonts w:hint="eastAsia" w:ascii="宋体" w:hAnsi="宋体" w:cs="宋体"/>
          <w:color w:val="auto"/>
          <w:kern w:val="0"/>
          <w:szCs w:val="21"/>
          <w:highlight w:val="none"/>
          <w:u w:val="single"/>
        </w:rPr>
        <w:t>00:00</w:t>
      </w:r>
      <w:r>
        <w:rPr>
          <w:rFonts w:hint="eastAsia" w:ascii="宋体" w:hAnsi="宋体" w:cs="宋体"/>
          <w:color w:val="auto"/>
          <w:kern w:val="0"/>
          <w:szCs w:val="21"/>
          <w:highlight w:val="none"/>
        </w:rPr>
        <w:t>至</w:t>
      </w:r>
      <w:r>
        <w:rPr>
          <w:rFonts w:hint="eastAsia" w:ascii="宋体" w:hAnsi="宋体" w:cs="宋体"/>
          <w:color w:val="auto"/>
          <w:kern w:val="0"/>
          <w:szCs w:val="21"/>
          <w:highlight w:val="none"/>
          <w:u w:val="single"/>
        </w:rPr>
        <w:t>23:59</w:t>
      </w:r>
      <w:r>
        <w:rPr>
          <w:rFonts w:hint="eastAsia" w:ascii="宋体" w:hAnsi="宋体" w:cs="宋体"/>
          <w:color w:val="auto"/>
          <w:kern w:val="0"/>
          <w:szCs w:val="21"/>
          <w:highlight w:val="none"/>
        </w:rPr>
        <w:t>（北京时间，法定节假日除外）</w:t>
      </w:r>
      <w:r>
        <w:rPr>
          <w:rFonts w:hint="eastAsia" w:ascii="宋体" w:hAnsi="宋体" w:cs="宋体"/>
          <w:color w:val="auto"/>
          <w:szCs w:val="21"/>
          <w:highlight w:val="none"/>
        </w:rPr>
        <w:t>。</w:t>
      </w:r>
    </w:p>
    <w:p w14:paraId="5C75C862">
      <w:pPr>
        <w:keepNext/>
        <w:keepLines/>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地点：广西政府采购云平台（https://www.gcy.zfcg.gxzf.gov.cn/）。</w:t>
      </w:r>
    </w:p>
    <w:p w14:paraId="4457ECD1">
      <w:pPr>
        <w:keepNext/>
        <w:keepLines/>
        <w:adjustRightInd w:val="0"/>
        <w:snapToGrid w:val="0"/>
        <w:spacing w:line="360" w:lineRule="auto"/>
        <w:ind w:firstLine="420" w:firstLineChars="200"/>
        <w:rPr>
          <w:rFonts w:ascii="宋体" w:hAnsi="宋体" w:cs="宋体"/>
          <w:b/>
          <w:bCs/>
          <w:color w:val="auto"/>
          <w:szCs w:val="21"/>
          <w:highlight w:val="none"/>
        </w:rPr>
      </w:pPr>
      <w:r>
        <w:rPr>
          <w:rFonts w:hint="eastAsia" w:ascii="宋体" w:hAnsi="宋体" w:cs="宋体"/>
          <w:color w:val="auto"/>
          <w:szCs w:val="21"/>
          <w:highlight w:val="none"/>
        </w:rPr>
        <w:t>方式：网上下载。本项目不提供纸质招标文件，潜在投标人需使用账号登录或者使用CA登录广西政府采购云平台（https://www.gcy.zfcg.gxzf.gov.cn/）-进入“项目采购”应用，在获取采购文件菜单中选择项目，获取招标文件（或在“广西政府采购云电子投标客户端-获取采购文件”跳转到广西政府采购云平台获取）。电子投标文件制作需要基于广西政府采购云平台获取的招标文件编制，通过其他方式获取招标文件的，将有可能导致投标人无法在广西政府采购云平台编制及上传投标文件。</w:t>
      </w:r>
    </w:p>
    <w:p w14:paraId="4A3DAB21">
      <w:pPr>
        <w:keepNext/>
        <w:keepLines/>
        <w:adjustRightInd w:val="0"/>
        <w:snapToGrid w:val="0"/>
        <w:spacing w:line="360" w:lineRule="auto"/>
        <w:ind w:firstLine="472" w:firstLineChars="225"/>
        <w:rPr>
          <w:rFonts w:ascii="宋体" w:hAnsi="宋体" w:cs="宋体"/>
          <w:color w:val="auto"/>
          <w:szCs w:val="21"/>
          <w:highlight w:val="none"/>
        </w:rPr>
      </w:pPr>
      <w:r>
        <w:rPr>
          <w:rFonts w:hint="eastAsia" w:ascii="宋体" w:hAnsi="宋体" w:cs="宋体"/>
          <w:color w:val="auto"/>
          <w:szCs w:val="21"/>
          <w:highlight w:val="none"/>
        </w:rPr>
        <w:t>售价：0元。</w:t>
      </w:r>
    </w:p>
    <w:p w14:paraId="629BCD9E">
      <w:pPr>
        <w:keepNext/>
        <w:keepLines/>
        <w:adjustRightInd w:val="0"/>
        <w:snapToGrid w:val="0"/>
        <w:spacing w:line="360" w:lineRule="auto"/>
        <w:outlineLvl w:val="1"/>
        <w:rPr>
          <w:rFonts w:ascii="宋体" w:hAnsi="宋体" w:cs="宋体"/>
          <w:b/>
          <w:bCs/>
          <w:color w:val="auto"/>
          <w:szCs w:val="21"/>
          <w:highlight w:val="none"/>
        </w:rPr>
      </w:pPr>
      <w:bookmarkStart w:id="11" w:name="_Toc177716498"/>
      <w:r>
        <w:rPr>
          <w:rFonts w:hint="eastAsia" w:ascii="宋体" w:hAnsi="宋体" w:cs="宋体"/>
          <w:b/>
          <w:bCs/>
          <w:color w:val="auto"/>
          <w:szCs w:val="21"/>
          <w:highlight w:val="none"/>
        </w:rPr>
        <w:t>四、提交投标文件截止时间、开标时间和地点</w:t>
      </w:r>
      <w:bookmarkEnd w:id="11"/>
    </w:p>
    <w:p w14:paraId="2C1302C2">
      <w:pPr>
        <w:keepNext/>
        <w:keepLines/>
        <w:adjustRightInd w:val="0"/>
        <w:snapToGrid w:val="0"/>
        <w:spacing w:line="360" w:lineRule="auto"/>
        <w:ind w:firstLine="420" w:firstLineChars="200"/>
        <w:rPr>
          <w:rFonts w:ascii="宋体" w:hAnsi="宋体" w:cs="宋体"/>
          <w:color w:val="auto"/>
          <w:szCs w:val="21"/>
          <w:highlight w:val="none"/>
          <w:u w:val="single"/>
        </w:rPr>
      </w:pPr>
      <w:r>
        <w:rPr>
          <w:rFonts w:hint="eastAsia" w:ascii="宋体" w:hAnsi="宋体" w:cs="宋体"/>
          <w:bCs/>
          <w:color w:val="auto"/>
          <w:szCs w:val="21"/>
          <w:highlight w:val="none"/>
        </w:rPr>
        <w:t>提交投标文件截止时间：</w:t>
      </w:r>
      <w:r>
        <w:rPr>
          <w:rFonts w:hint="eastAsia" w:ascii="宋体" w:hAnsi="宋体" w:cs="宋体"/>
          <w:bCs/>
          <w:color w:val="auto"/>
          <w:szCs w:val="21"/>
          <w:highlight w:val="none"/>
          <w:u w:val="single"/>
          <w:lang w:eastAsia="zh-CN"/>
        </w:rPr>
        <w:t>2024年12月9日9点30分</w:t>
      </w:r>
      <w:r>
        <w:rPr>
          <w:rFonts w:hint="eastAsia" w:ascii="宋体" w:hAnsi="宋体" w:cs="宋体"/>
          <w:bCs/>
          <w:color w:val="auto"/>
          <w:szCs w:val="21"/>
          <w:highlight w:val="none"/>
        </w:rPr>
        <w:t>（北京时间）</w:t>
      </w:r>
    </w:p>
    <w:p w14:paraId="335E9113">
      <w:pPr>
        <w:keepNext/>
        <w:keepLines/>
        <w:widowControl/>
        <w:adjustRightInd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投标地点（网址）：</w:t>
      </w:r>
      <w:r>
        <w:rPr>
          <w:rFonts w:hint="eastAsia" w:ascii="宋体" w:hAnsi="宋体" w:cs="宋体"/>
          <w:color w:val="auto"/>
          <w:szCs w:val="21"/>
          <w:highlight w:val="none"/>
          <w:u w:val="single"/>
        </w:rPr>
        <w:t>广西政府采购云平台（https://www.gcy.zfcg.gxzf.gov.cn/）</w:t>
      </w:r>
    </w:p>
    <w:p w14:paraId="2BEC2734">
      <w:pPr>
        <w:keepNext/>
        <w:keepLines/>
        <w:widowControl/>
        <w:adjustRightInd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开标时间：</w:t>
      </w:r>
      <w:r>
        <w:rPr>
          <w:rFonts w:hint="eastAsia" w:ascii="宋体" w:hAnsi="宋体" w:cs="宋体"/>
          <w:bCs/>
          <w:color w:val="auto"/>
          <w:szCs w:val="21"/>
          <w:highlight w:val="none"/>
          <w:u w:val="single"/>
          <w:lang w:eastAsia="zh-CN"/>
        </w:rPr>
        <w:t>2024年12月9日9点30分</w:t>
      </w:r>
      <w:r>
        <w:rPr>
          <w:rFonts w:hint="eastAsia" w:ascii="宋体" w:hAnsi="宋体" w:cs="宋体"/>
          <w:color w:val="auto"/>
          <w:szCs w:val="21"/>
          <w:highlight w:val="none"/>
        </w:rPr>
        <w:t>（北京时间）</w:t>
      </w:r>
    </w:p>
    <w:p w14:paraId="42063C16">
      <w:pPr>
        <w:keepNext/>
        <w:keepLines/>
        <w:widowControl/>
        <w:adjustRightInd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开标地点：</w:t>
      </w:r>
      <w:r>
        <w:rPr>
          <w:rFonts w:hint="eastAsia" w:ascii="宋体" w:hAnsi="宋体" w:cs="宋体"/>
          <w:color w:val="auto"/>
          <w:szCs w:val="21"/>
          <w:highlight w:val="none"/>
          <w:u w:val="single"/>
        </w:rPr>
        <w:t>广西政府采购云平台（https://www.gcy.zfcg.gxzf.gov.cn/）</w:t>
      </w:r>
    </w:p>
    <w:p w14:paraId="3DB03F41">
      <w:pPr>
        <w:keepNext/>
        <w:keepLines/>
        <w:adjustRightInd w:val="0"/>
        <w:snapToGrid w:val="0"/>
        <w:spacing w:line="360" w:lineRule="auto"/>
        <w:outlineLvl w:val="1"/>
        <w:rPr>
          <w:rFonts w:ascii="宋体" w:hAnsi="宋体" w:cs="宋体"/>
          <w:b/>
          <w:bCs/>
          <w:color w:val="auto"/>
          <w:szCs w:val="21"/>
          <w:highlight w:val="none"/>
        </w:rPr>
      </w:pPr>
      <w:bookmarkStart w:id="12" w:name="_Toc177716499"/>
      <w:r>
        <w:rPr>
          <w:rFonts w:hint="eastAsia" w:ascii="宋体" w:hAnsi="宋体" w:cs="宋体"/>
          <w:b/>
          <w:bCs/>
          <w:color w:val="auto"/>
          <w:szCs w:val="21"/>
          <w:highlight w:val="none"/>
        </w:rPr>
        <w:t>五、公告期限</w:t>
      </w:r>
      <w:bookmarkEnd w:id="12"/>
    </w:p>
    <w:p w14:paraId="2BF0F792">
      <w:pPr>
        <w:keepNext/>
        <w:keepLines/>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自本公告发布之日起5个工作日。</w:t>
      </w:r>
    </w:p>
    <w:p w14:paraId="2D48A114">
      <w:pPr>
        <w:keepNext/>
        <w:keepLines/>
        <w:adjustRightInd w:val="0"/>
        <w:snapToGrid w:val="0"/>
        <w:spacing w:line="360" w:lineRule="auto"/>
        <w:outlineLvl w:val="1"/>
        <w:rPr>
          <w:rFonts w:ascii="宋体" w:hAnsi="宋体" w:cs="宋体"/>
          <w:b/>
          <w:bCs/>
          <w:color w:val="auto"/>
          <w:szCs w:val="21"/>
          <w:highlight w:val="none"/>
        </w:rPr>
      </w:pPr>
      <w:bookmarkStart w:id="13" w:name="_Toc177716500"/>
      <w:r>
        <w:rPr>
          <w:rFonts w:hint="eastAsia" w:ascii="宋体" w:hAnsi="宋体" w:cs="宋体"/>
          <w:b/>
          <w:bCs/>
          <w:color w:val="auto"/>
          <w:szCs w:val="21"/>
          <w:highlight w:val="none"/>
        </w:rPr>
        <w:t>六、其他补充事宜</w:t>
      </w:r>
      <w:bookmarkEnd w:id="13"/>
    </w:p>
    <w:p w14:paraId="3EB2B180">
      <w:pPr>
        <w:keepNext/>
        <w:keepLines/>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1.投标保证金：人民币壹拾万元整（</w:t>
      </w:r>
      <w:r>
        <w:rPr>
          <w:rFonts w:hint="eastAsia" w:ascii="宋体" w:hAnsi="宋体" w:cs="宋体"/>
          <w:color w:val="auto"/>
          <w:kern w:val="0"/>
          <w:szCs w:val="21"/>
          <w:highlight w:val="none"/>
          <w:lang w:val="en-US" w:eastAsia="zh-CN"/>
        </w:rPr>
        <w:t>¥</w:t>
      </w:r>
      <w:r>
        <w:rPr>
          <w:rFonts w:hint="eastAsia" w:ascii="宋体" w:hAnsi="宋体" w:cs="宋体"/>
          <w:color w:val="auto"/>
          <w:kern w:val="0"/>
          <w:szCs w:val="21"/>
          <w:highlight w:val="none"/>
        </w:rPr>
        <w:t>100,000.00）。</w:t>
      </w:r>
    </w:p>
    <w:p w14:paraId="381787EF">
      <w:pPr>
        <w:keepNext/>
        <w:keepLines/>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szCs w:val="21"/>
          <w:highlight w:val="none"/>
        </w:rPr>
        <w:t>投标人可自主选择以转账、电汇、支票、汇票、本票、保函等非现金形式缴纳投标保证金。采用转账、电汇形式的，投标保证金必须从投标人银行账户转出，并于投标截止时间前到达采购代理机构指定账户</w:t>
      </w:r>
      <w:r>
        <w:rPr>
          <w:rFonts w:hint="eastAsia" w:ascii="宋体" w:hAnsi="宋体" w:cs="宋体"/>
          <w:b/>
          <w:bCs/>
          <w:color w:val="auto"/>
          <w:szCs w:val="21"/>
          <w:highlight w:val="none"/>
        </w:rPr>
        <w:t>（户名：</w:t>
      </w:r>
      <w:r>
        <w:rPr>
          <w:rFonts w:hint="eastAsia" w:ascii="宋体" w:hAnsi="宋体" w:cs="宋体"/>
          <w:b/>
          <w:bCs/>
          <w:color w:val="auto"/>
          <w:szCs w:val="21"/>
          <w:highlight w:val="none"/>
          <w:u w:val="single"/>
        </w:rPr>
        <w:t>广西信永工程咨询有限责任公司</w:t>
      </w:r>
      <w:r>
        <w:rPr>
          <w:rFonts w:hint="eastAsia" w:ascii="宋体" w:hAnsi="宋体" w:cs="宋体"/>
          <w:b/>
          <w:bCs/>
          <w:color w:val="auto"/>
          <w:szCs w:val="21"/>
          <w:highlight w:val="none"/>
        </w:rPr>
        <w:t>，开户银行：</w:t>
      </w:r>
      <w:r>
        <w:rPr>
          <w:rFonts w:hint="eastAsia" w:ascii="宋体" w:hAnsi="宋体" w:cs="宋体"/>
          <w:b/>
          <w:bCs/>
          <w:color w:val="auto"/>
          <w:szCs w:val="21"/>
          <w:highlight w:val="none"/>
          <w:u w:val="single"/>
        </w:rPr>
        <w:t>中国银行南宁市桃源支行</w:t>
      </w:r>
      <w:r>
        <w:rPr>
          <w:rFonts w:hint="eastAsia" w:ascii="宋体" w:hAnsi="宋体" w:cs="宋体"/>
          <w:b/>
          <w:bCs/>
          <w:color w:val="auto"/>
          <w:szCs w:val="21"/>
          <w:highlight w:val="none"/>
        </w:rPr>
        <w:t>，银行账号：</w:t>
      </w:r>
      <w:r>
        <w:rPr>
          <w:rFonts w:hint="eastAsia" w:ascii="宋体" w:hAnsi="宋体" w:cs="宋体"/>
          <w:b/>
          <w:bCs/>
          <w:color w:val="auto"/>
          <w:szCs w:val="21"/>
          <w:highlight w:val="none"/>
          <w:u w:val="single"/>
        </w:rPr>
        <w:t>6197 5749 8910</w:t>
      </w:r>
      <w:r>
        <w:rPr>
          <w:rFonts w:hint="eastAsia" w:ascii="宋体" w:hAnsi="宋体" w:cs="宋体"/>
          <w:b/>
          <w:bCs/>
          <w:color w:val="auto"/>
          <w:szCs w:val="21"/>
          <w:highlight w:val="none"/>
        </w:rPr>
        <w:t>）</w:t>
      </w:r>
      <w:r>
        <w:rPr>
          <w:rFonts w:hint="eastAsia" w:ascii="宋体" w:hAnsi="宋体" w:cs="宋体"/>
          <w:color w:val="auto"/>
          <w:szCs w:val="21"/>
          <w:highlight w:val="none"/>
        </w:rPr>
        <w:t>；采用支票、汇票、本票、保函形式的，投标人应于投标截止时间前递交单独密封的支票、汇票、本票、保函原件；否则视为无效投标保证金。本项目不接受现金形式或从个人账户转出的投标保证金。</w:t>
      </w:r>
    </w:p>
    <w:p w14:paraId="4FD6589D">
      <w:pPr>
        <w:keepNext/>
        <w:keepLines/>
        <w:adjustRightInd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2.采购意向公开链接：</w:t>
      </w:r>
      <w:r>
        <w:rPr>
          <w:rFonts w:hint="eastAsia"/>
          <w:color w:val="auto"/>
          <w:highlight w:val="none"/>
        </w:rPr>
        <w:t>http://zfcg.gxzf.gov.cn/site/detail?parentId=66601&amp;articleId=pVsZPOV8l8g/U8Wan685sA==</w:t>
      </w:r>
    </w:p>
    <w:p w14:paraId="51A88BE0">
      <w:pPr>
        <w:keepNext/>
        <w:keepLines/>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szCs w:val="21"/>
          <w:highlight w:val="none"/>
        </w:rPr>
        <w:t>3.</w:t>
      </w:r>
      <w:r>
        <w:rPr>
          <w:rFonts w:hint="eastAsia" w:ascii="宋体" w:hAnsi="宋体" w:cs="宋体"/>
          <w:color w:val="auto"/>
          <w:kern w:val="0"/>
          <w:szCs w:val="21"/>
          <w:highlight w:val="none"/>
        </w:rPr>
        <w:t>网上查询地址：中国政府采购网（www.ccgp.gov.cn）、广西壮族自治区政府采购网（http://zfcg.gxzf.gov.cn）</w:t>
      </w:r>
      <w:r>
        <w:rPr>
          <w:rFonts w:hint="eastAsia" w:ascii="宋体" w:hAnsi="宋体" w:cs="宋体"/>
          <w:color w:val="auto"/>
          <w:kern w:val="0"/>
          <w:szCs w:val="21"/>
          <w:highlight w:val="none"/>
          <w:lang w:eastAsia="zh-CN"/>
        </w:rPr>
        <w:t>、</w:t>
      </w:r>
      <w:r>
        <w:rPr>
          <w:rFonts w:hint="eastAsia" w:ascii="宋体" w:hAnsi="宋体" w:eastAsia="宋体" w:cs="宋体"/>
          <w:color w:val="auto"/>
          <w:szCs w:val="21"/>
          <w:highlight w:val="none"/>
        </w:rPr>
        <w:t>http://gxggzy.gxzf.gov.cn（广西壮族自治区公共资源交易中心网）</w:t>
      </w:r>
      <w:r>
        <w:rPr>
          <w:rFonts w:hint="eastAsia" w:ascii="宋体" w:hAnsi="宋体" w:cs="宋体"/>
          <w:color w:val="auto"/>
          <w:kern w:val="0"/>
          <w:szCs w:val="21"/>
          <w:highlight w:val="none"/>
        </w:rPr>
        <w:t>。</w:t>
      </w:r>
    </w:p>
    <w:p w14:paraId="3BBE653A">
      <w:pPr>
        <w:keepNext/>
        <w:keepLines/>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4.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6B7C0087">
      <w:pPr>
        <w:keepNext/>
        <w:keepLines/>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5.对在“信用中国”网站（www.creditchina.gov.cn）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7ABDF134">
      <w:pPr>
        <w:keepNext/>
        <w:keepLines/>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6.本项目需要落实的政府采购政策：</w:t>
      </w:r>
    </w:p>
    <w:p w14:paraId="5F5A96C6">
      <w:pPr>
        <w:keepNext/>
        <w:keepLines/>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（1）政府采购促进中小企业发展；</w:t>
      </w:r>
    </w:p>
    <w:p w14:paraId="626C5625">
      <w:pPr>
        <w:keepNext/>
        <w:keepLines/>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（2）政府采购促进残疾人就业政策；</w:t>
      </w:r>
    </w:p>
    <w:p w14:paraId="6C44871C">
      <w:pPr>
        <w:keepNext/>
        <w:keepLines/>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（3）政府采购支持监狱企业发展。</w:t>
      </w:r>
    </w:p>
    <w:p w14:paraId="3C5257DD">
      <w:pPr>
        <w:keepNext/>
        <w:keepLines/>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7.投标人投标注意事项：</w:t>
      </w:r>
    </w:p>
    <w:p w14:paraId="10B7501F">
      <w:pPr>
        <w:keepNext/>
        <w:keepLines/>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本项目为全流程电子化采购项目，通过广西政府采购云平台（https://www.gcy.zfcg.gxzf.gov.cn/）实行在线电子投标，投标人应按照本项目招标文件和广西政府采购云平台的要求编制、加密后在投标截止时间前通过网络上传至广西政府采购云平台（加密的电子投标文件是指后缀名为“jmbs”的文件），投标人在广西政府采购云平台提交电子投标文件时，请填写参加远程开标活动经办人联系方式。投标人登录广西政府采购云平台，依次进入“服务中心-帮助文档-操作流程-电子招投标-政府采购项目电子交易管理操作指南-供应商”查看电子投标具体操作流程。</w:t>
      </w:r>
    </w:p>
    <w:p w14:paraId="321645A4">
      <w:pPr>
        <w:keepNext/>
        <w:keepLines/>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未进行网上注册并办理数字证书（CA认证）的投标人将无法参与本项目政府采购活动，投标人应当在投标截止时间前，完成电子交易平台上的CA数字证书办理及投标文件的提交（投标人可登录“广西政府采购网”，依次进入“办事服务-下载专区”或者登录广西政府采购云平台，依次进入“服务中心-入驻与配置”中查看CA数字证书办理操作流程。如在操作过程中遇到问题或者需要技术支持，请致电客服热线：95763）。</w:t>
      </w:r>
    </w:p>
    <w:p w14:paraId="6B6D9F90">
      <w:pPr>
        <w:keepNext/>
        <w:keepLines/>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（3）CA证书在线解密：投标人投标时，需凭制作投标文件时用来加密的有效数字证书（CA认证）登录广西政府采购云平台电子开标大厅现场按规定时间对加密的投标文件进行解密，否则后果自负。</w:t>
      </w:r>
    </w:p>
    <w:p w14:paraId="61B0B0E5">
      <w:pPr>
        <w:keepNext/>
        <w:keepLines/>
        <w:adjustRightInd w:val="0"/>
        <w:snapToGrid w:val="0"/>
        <w:spacing w:line="360" w:lineRule="auto"/>
        <w:ind w:firstLine="420" w:firstLineChars="200"/>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注：1）为确保网上操作合法、有效和安全，请投标人确保在电子投标过程中能够对相关数据电文进行加密和使用电子签章，妥善保管CA数字证书并使用有效的CA数字证书参与整个招标活动。2）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广西政府采购云平台将予以拒收。</w:t>
      </w:r>
    </w:p>
    <w:p w14:paraId="18791590">
      <w:pPr>
        <w:keepNext/>
        <w:keepLines/>
        <w:adjustRightInd w:val="0"/>
        <w:snapToGrid w:val="0"/>
        <w:spacing w:line="360" w:lineRule="auto"/>
        <w:outlineLvl w:val="1"/>
        <w:rPr>
          <w:rFonts w:ascii="宋体" w:hAnsi="宋体" w:cs="宋体"/>
          <w:b/>
          <w:bCs/>
          <w:color w:val="auto"/>
          <w:szCs w:val="21"/>
          <w:highlight w:val="none"/>
        </w:rPr>
      </w:pPr>
      <w:bookmarkStart w:id="14" w:name="_Toc177716501"/>
      <w:r>
        <w:rPr>
          <w:rFonts w:hint="eastAsia" w:ascii="宋体" w:hAnsi="宋体" w:cs="宋体"/>
          <w:b/>
          <w:bCs/>
          <w:color w:val="auto"/>
          <w:szCs w:val="21"/>
          <w:highlight w:val="none"/>
        </w:rPr>
        <w:t>七、对本次招标提出询问，请按以下方式联系。</w:t>
      </w:r>
      <w:bookmarkEnd w:id="14"/>
    </w:p>
    <w:p w14:paraId="6163EED2">
      <w:pPr>
        <w:keepNext/>
        <w:keepLines/>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1.采购人信息</w:t>
      </w:r>
    </w:p>
    <w:p w14:paraId="7D48437C">
      <w:pPr>
        <w:keepNext/>
        <w:keepLines/>
        <w:adjustRightInd w:val="0"/>
        <w:snapToGrid w:val="0"/>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名称：</w:t>
      </w:r>
      <w:r>
        <w:rPr>
          <w:rFonts w:hint="eastAsia" w:ascii="宋体" w:hAnsi="宋体" w:cs="宋体"/>
          <w:color w:val="auto"/>
          <w:szCs w:val="21"/>
          <w:highlight w:val="none"/>
          <w:u w:val="single"/>
        </w:rPr>
        <w:t>广西壮族自治区公安厅</w:t>
      </w:r>
    </w:p>
    <w:p w14:paraId="3291D540">
      <w:pPr>
        <w:keepNext/>
        <w:keepLines/>
        <w:adjustRightInd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地址：</w:t>
      </w:r>
      <w:r>
        <w:rPr>
          <w:rFonts w:hint="eastAsia" w:ascii="宋体" w:hAnsi="宋体" w:cs="宋体"/>
          <w:color w:val="auto"/>
          <w:szCs w:val="21"/>
          <w:highlight w:val="none"/>
          <w:u w:val="single"/>
        </w:rPr>
        <w:t>广西壮族自治区南宁市青秀区佛子岭路1号</w:t>
      </w:r>
    </w:p>
    <w:p w14:paraId="0A0D18EE">
      <w:pPr>
        <w:pStyle w:val="16"/>
        <w:keepNext/>
        <w:keepLines/>
        <w:adjustRightInd w:val="0"/>
        <w:snapToGrid w:val="0"/>
        <w:spacing w:line="360" w:lineRule="auto"/>
        <w:ind w:firstLine="420" w:firstLineChars="200"/>
        <w:rPr>
          <w:rFonts w:cs="宋体"/>
          <w:color w:val="auto"/>
          <w:szCs w:val="21"/>
          <w:highlight w:val="none"/>
          <w:u w:val="single"/>
        </w:rPr>
      </w:pPr>
      <w:r>
        <w:rPr>
          <w:rFonts w:hint="eastAsia" w:cs="宋体"/>
          <w:color w:val="auto"/>
          <w:szCs w:val="21"/>
          <w:highlight w:val="none"/>
        </w:rPr>
        <w:t>联系方式：</w:t>
      </w:r>
      <w:r>
        <w:rPr>
          <w:rFonts w:hint="eastAsia" w:ascii="宋体" w:hAnsi="宋体" w:eastAsia="宋体" w:cs="宋体"/>
          <w:color w:val="auto"/>
          <w:szCs w:val="21"/>
          <w:highlight w:val="none"/>
          <w:u w:val="single"/>
          <w:lang w:val="en-US" w:eastAsia="zh-CN"/>
        </w:rPr>
        <w:t>陀德坤</w:t>
      </w:r>
      <w:r>
        <w:rPr>
          <w:rFonts w:hint="eastAsia" w:ascii="宋体" w:hAnsi="宋体" w:eastAsia="宋体" w:cs="宋体"/>
          <w:color w:val="auto"/>
          <w:szCs w:val="21"/>
          <w:highlight w:val="none"/>
          <w:u w:val="single"/>
        </w:rPr>
        <w:t>，电话：0771-2893128</w:t>
      </w:r>
      <w:r>
        <w:rPr>
          <w:color w:val="auto"/>
          <w:szCs w:val="21"/>
          <w:highlight w:val="none"/>
          <w:u w:val="single"/>
        </w:rPr>
        <w:t xml:space="preserve">  </w:t>
      </w:r>
    </w:p>
    <w:p w14:paraId="7DFAE803">
      <w:pPr>
        <w:keepNext/>
        <w:keepLines/>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2.采购代理机构信息</w:t>
      </w:r>
    </w:p>
    <w:p w14:paraId="49057802">
      <w:pPr>
        <w:keepNext/>
        <w:keepLines/>
        <w:adjustRightInd w:val="0"/>
        <w:snapToGrid w:val="0"/>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名称：</w:t>
      </w:r>
      <w:r>
        <w:rPr>
          <w:rFonts w:hint="eastAsia" w:ascii="宋体" w:hAnsi="宋体" w:cs="宋体"/>
          <w:color w:val="auto"/>
          <w:szCs w:val="21"/>
          <w:highlight w:val="none"/>
          <w:u w:val="single"/>
        </w:rPr>
        <w:t>广西信永工程咨询有限责任公司</w:t>
      </w:r>
    </w:p>
    <w:p w14:paraId="67076796">
      <w:pPr>
        <w:keepNext/>
        <w:keepLines/>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地址：</w:t>
      </w:r>
      <w:r>
        <w:rPr>
          <w:rFonts w:hint="eastAsia" w:ascii="宋体" w:hAnsi="宋体" w:cs="宋体"/>
          <w:color w:val="auto"/>
          <w:szCs w:val="21"/>
          <w:highlight w:val="none"/>
          <w:u w:val="single"/>
        </w:rPr>
        <w:t>南宁市青秀区中柬路9号利海亚洲国际4号楼领峰A座610室</w:t>
      </w:r>
    </w:p>
    <w:p w14:paraId="1AC73B41">
      <w:pPr>
        <w:keepNext/>
        <w:keepLines/>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联系方式：</w:t>
      </w:r>
      <w:r>
        <w:rPr>
          <w:rFonts w:hint="eastAsia" w:ascii="宋体" w:hAnsi="宋体" w:cs="宋体"/>
          <w:color w:val="auto"/>
          <w:szCs w:val="21"/>
          <w:highlight w:val="none"/>
          <w:u w:val="single"/>
        </w:rPr>
        <w:t>黄弋珊，0771-5824699（分机号：812）</w:t>
      </w:r>
    </w:p>
    <w:p w14:paraId="5BA9FA24">
      <w:pPr>
        <w:keepNext/>
        <w:keepLines/>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3.项目联系方式</w:t>
      </w:r>
    </w:p>
    <w:p w14:paraId="17AD596C">
      <w:pPr>
        <w:keepNext/>
        <w:keepLines/>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项目联系人：</w:t>
      </w:r>
      <w:r>
        <w:rPr>
          <w:rFonts w:hint="eastAsia" w:ascii="宋体" w:hAnsi="宋体" w:cs="宋体"/>
          <w:color w:val="auto"/>
          <w:szCs w:val="21"/>
          <w:highlight w:val="none"/>
          <w:u w:val="single"/>
        </w:rPr>
        <w:t>黄弋珊</w:t>
      </w:r>
    </w:p>
    <w:p w14:paraId="65BB35F4">
      <w:pPr>
        <w:keepNext/>
        <w:keepLines/>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电话：</w:t>
      </w:r>
      <w:r>
        <w:rPr>
          <w:rFonts w:hint="eastAsia" w:ascii="宋体" w:hAnsi="宋体" w:cs="宋体"/>
          <w:color w:val="auto"/>
          <w:szCs w:val="21"/>
          <w:highlight w:val="none"/>
          <w:u w:val="single"/>
        </w:rPr>
        <w:t>0771-5824699（分机号：812）</w:t>
      </w:r>
    </w:p>
    <w:p w14:paraId="3E7F7D86">
      <w:pPr>
        <w:pStyle w:val="12"/>
        <w:keepNext/>
        <w:keepLines/>
        <w:spacing w:line="360" w:lineRule="auto"/>
        <w:ind w:firstLine="420" w:firstLineChars="200"/>
        <w:rPr>
          <w:rFonts w:ascii="宋体" w:hAnsi="宋体" w:cs="宋体"/>
          <w:color w:val="auto"/>
          <w:szCs w:val="21"/>
          <w:highlight w:val="none"/>
        </w:rPr>
      </w:pPr>
    </w:p>
    <w:p w14:paraId="654CF1C1">
      <w:pPr>
        <w:keepNext/>
        <w:keepLines/>
        <w:pageBreakBefore w:val="0"/>
        <w:kinsoku/>
        <w:overflowPunct/>
        <w:topLinePunct w:val="0"/>
        <w:bidi w:val="0"/>
        <w:spacing w:line="360" w:lineRule="auto"/>
        <w:ind w:firstLine="420" w:firstLineChars="200"/>
        <w:jc w:val="right"/>
        <w:rPr>
          <w:rFonts w:hint="eastAsia" w:ascii="宋体" w:hAnsi="宋体" w:eastAsia="宋体" w:cs="宋体"/>
          <w:color w:val="auto"/>
          <w:kern w:val="0"/>
          <w:szCs w:val="21"/>
          <w:highlight w:val="none"/>
          <w:lang w:bidi="ar"/>
        </w:rPr>
      </w:pPr>
    </w:p>
    <w:p w14:paraId="34F2EA39">
      <w:pPr>
        <w:keepNext/>
        <w:keepLines/>
        <w:pageBreakBefore w:val="0"/>
        <w:kinsoku/>
        <w:overflowPunct/>
        <w:topLinePunct w:val="0"/>
        <w:bidi w:val="0"/>
        <w:spacing w:line="360" w:lineRule="auto"/>
        <w:ind w:firstLine="420" w:firstLineChars="200"/>
        <w:jc w:val="righ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广西信永工程咨询有限责任公司</w:t>
      </w:r>
    </w:p>
    <w:p w14:paraId="64B97020">
      <w:pPr>
        <w:keepNext/>
        <w:keepLines/>
        <w:wordWrap w:val="0"/>
        <w:snapToGrid/>
        <w:spacing w:line="360" w:lineRule="auto"/>
        <w:ind w:firstLine="420" w:firstLineChars="200"/>
        <w:jc w:val="right"/>
        <w:rPr>
          <w:rFonts w:ascii="宋体" w:hAnsi="宋体" w:cs="宋体"/>
          <w:color w:val="auto"/>
          <w:szCs w:val="21"/>
          <w:highlight w:val="none"/>
          <w:lang w:val="zh-CN"/>
        </w:rPr>
        <w:sectPr>
          <w:footerReference r:id="rId6" w:type="default"/>
          <w:pgSz w:w="11906" w:h="16838"/>
          <w:pgMar w:top="1440" w:right="1080" w:bottom="1440" w:left="1080" w:header="720" w:footer="720" w:gutter="0"/>
          <w:pgBorders>
            <w:top w:val="none" w:sz="0" w:space="0"/>
            <w:left w:val="none" w:sz="0" w:space="0"/>
            <w:bottom w:val="none" w:sz="0" w:space="0"/>
            <w:right w:val="none" w:sz="0" w:space="0"/>
          </w:pgBorders>
          <w:pgNumType w:start="1"/>
          <w:cols w:space="720" w:num="1"/>
          <w:docGrid w:linePitch="331" w:charSpace="0"/>
        </w:sectPr>
      </w:pPr>
      <w:r>
        <w:rPr>
          <w:rFonts w:hint="eastAsia" w:ascii="宋体" w:hAnsi="宋体" w:eastAsia="宋体" w:cs="宋体"/>
          <w:color w:val="auto"/>
          <w:kern w:val="0"/>
          <w:szCs w:val="21"/>
          <w:highlight w:val="none"/>
          <w:lang w:eastAsia="zh-CN" w:bidi="ar"/>
        </w:rPr>
        <w:t>2024年</w:t>
      </w:r>
      <w:r>
        <w:rPr>
          <w:rFonts w:hint="eastAsia" w:ascii="宋体" w:hAnsi="宋体" w:eastAsia="宋体" w:cs="宋体"/>
          <w:color w:val="auto"/>
          <w:kern w:val="0"/>
          <w:szCs w:val="21"/>
          <w:highlight w:val="none"/>
          <w:lang w:val="en-US" w:eastAsia="zh-CN" w:bidi="ar"/>
        </w:rPr>
        <w:t>11</w:t>
      </w:r>
      <w:r>
        <w:rPr>
          <w:rFonts w:hint="eastAsia" w:ascii="宋体" w:hAnsi="宋体" w:eastAsia="宋体" w:cs="宋体"/>
          <w:color w:val="auto"/>
          <w:kern w:val="0"/>
          <w:szCs w:val="21"/>
          <w:highlight w:val="none"/>
          <w:lang w:eastAsia="zh-CN" w:bidi="ar"/>
        </w:rPr>
        <w:t>月</w:t>
      </w:r>
      <w:r>
        <w:rPr>
          <w:rFonts w:hint="eastAsia" w:ascii="宋体" w:hAnsi="宋体" w:eastAsia="宋体" w:cs="宋体"/>
          <w:color w:val="auto"/>
          <w:kern w:val="0"/>
          <w:szCs w:val="21"/>
          <w:highlight w:val="none"/>
          <w:lang w:val="en-US" w:eastAsia="zh-CN" w:bidi="ar"/>
        </w:rPr>
        <w:t>1</w:t>
      </w:r>
      <w:r>
        <w:rPr>
          <w:rFonts w:hint="eastAsia" w:ascii="宋体" w:hAnsi="宋体" w:cs="宋体"/>
          <w:color w:val="auto"/>
          <w:kern w:val="0"/>
          <w:szCs w:val="21"/>
          <w:highlight w:val="none"/>
          <w:lang w:val="en-US" w:eastAsia="zh-CN" w:bidi="ar"/>
        </w:rPr>
        <w:t>5</w:t>
      </w:r>
      <w:r>
        <w:rPr>
          <w:rFonts w:hint="eastAsia" w:ascii="宋体" w:hAnsi="宋体" w:eastAsia="宋体" w:cs="宋体"/>
          <w:color w:val="auto"/>
          <w:kern w:val="0"/>
          <w:szCs w:val="21"/>
          <w:highlight w:val="none"/>
          <w:lang w:bidi="ar"/>
        </w:rPr>
        <w:t>日</w:t>
      </w:r>
    </w:p>
    <w:p w14:paraId="0AFDF0A6">
      <w:pPr>
        <w:pStyle w:val="2"/>
        <w:spacing w:line="360" w:lineRule="auto"/>
        <w:rPr>
          <w:color w:val="auto"/>
          <w:highlight w:val="none"/>
        </w:rPr>
      </w:pPr>
      <w:bookmarkStart w:id="15" w:name="_Toc532545042"/>
      <w:bookmarkStart w:id="16" w:name="_Toc177716502"/>
      <w:bookmarkStart w:id="17" w:name="_Toc31743"/>
      <w:r>
        <w:rPr>
          <w:rFonts w:hint="eastAsia"/>
          <w:color w:val="auto"/>
          <w:highlight w:val="none"/>
        </w:rPr>
        <w:t xml:space="preserve">第二章  </w:t>
      </w:r>
      <w:bookmarkEnd w:id="15"/>
      <w:r>
        <w:rPr>
          <w:rFonts w:hint="eastAsia"/>
          <w:color w:val="auto"/>
          <w:highlight w:val="none"/>
        </w:rPr>
        <w:t>采购需求</w:t>
      </w:r>
      <w:bookmarkEnd w:id="16"/>
      <w:bookmarkEnd w:id="17"/>
    </w:p>
    <w:p w14:paraId="620365E1">
      <w:pPr>
        <w:keepNext/>
        <w:keepLines/>
        <w:spacing w:line="360" w:lineRule="auto"/>
        <w:rPr>
          <w:rFonts w:ascii="宋体" w:hAnsi="宋体" w:cs="宋体"/>
          <w:b/>
          <w:color w:val="auto"/>
          <w:szCs w:val="21"/>
          <w:highlight w:val="none"/>
        </w:rPr>
      </w:pPr>
      <w:r>
        <w:rPr>
          <w:rFonts w:hint="eastAsia" w:ascii="宋体" w:hAnsi="宋体" w:cs="宋体"/>
          <w:b/>
          <w:color w:val="auto"/>
          <w:szCs w:val="21"/>
          <w:highlight w:val="none"/>
        </w:rPr>
        <w:t>说明：</w:t>
      </w:r>
    </w:p>
    <w:p w14:paraId="1242C145">
      <w:pPr>
        <w:keepNext/>
        <w:keepLines/>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1.为落实政府采购政策需满足的要求：</w:t>
      </w:r>
    </w:p>
    <w:p w14:paraId="248AC52A">
      <w:pPr>
        <w:keepNext/>
        <w:keepLines/>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（1）本招标文件所称中小企业必须符合《政府采购促进中小企业发展管理办法》（财库〔2020〕46号）的规定。</w:t>
      </w:r>
    </w:p>
    <w:p w14:paraId="45954D58">
      <w:pPr>
        <w:keepNext/>
        <w:keepLines/>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（2）服务项目中包含货物的，根据《财政部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投标人必须在投标文件中提供所投标产品的节能产品认证证书复印件（加盖投标人电子签章），否则投标文件作无效处理。如本项目包含的配套货物属于品目清单内非标注“★”的产品时，应优先采购，具体详见“第四章 评标方法及评分标准”。</w:t>
      </w:r>
    </w:p>
    <w:p w14:paraId="4F46BB8C">
      <w:pPr>
        <w:keepNext/>
        <w:keepLines/>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服务项目中包含货物的，根据《中华人民共和国网络安全法》《关于调整网络安全专用产品安全管理有关事项的公告》（2023年第1号）、《关于调整&lt;网络关键设备和网络安全专用产品目录&gt;的公告》（2023年第2号）、《国家认监委 工业和信息化部 公安部 国家互联网信息办公室关于发布承担网络关键设备和网络安全专用产品安全认证和安全检测任务机构名录（第一批）的公告》（2018年第12号）、《关于统一发布网络关键设备和网络安全专用产品安全认证和安全检测结果的公告》（2022年第1号）：自2023年7月1日起，列入《网络关键设备和网络安全专用产品目录》的“网络安全专用产品”，应当按照《信息安全技术网络安全专用产品安全技术要求》等相关国家标准的强制性要求，对网络安全专用产品进行安全认证或安全检测，投标人必须在投标文件中提供由具备资格的机构出具的安全认证合格证书或者安全检测合格证书（加盖投标人电子签章），</w:t>
      </w:r>
      <w:r>
        <w:rPr>
          <w:rFonts w:hint="eastAsia" w:ascii="宋体" w:hAnsi="宋体" w:cs="宋体"/>
          <w:b/>
          <w:bCs/>
          <w:color w:val="auto"/>
          <w:szCs w:val="21"/>
          <w:highlight w:val="none"/>
        </w:rPr>
        <w:t>否则投标文件作无效处理</w:t>
      </w:r>
      <w:r>
        <w:rPr>
          <w:rFonts w:hint="eastAsia" w:ascii="宋体" w:hAnsi="宋体" w:cs="宋体"/>
          <w:color w:val="auto"/>
          <w:szCs w:val="21"/>
          <w:highlight w:val="none"/>
        </w:rPr>
        <w:t>；已获得《计算机信息系统安全专用产品销售许可证》的产品，在有效期内可继续销售或者提供。</w:t>
      </w:r>
    </w:p>
    <w:p w14:paraId="77CE937A">
      <w:pPr>
        <w:keepNext/>
        <w:keepLines/>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2.“实质性要求”是指招标文件中已经指明不满足则投标无效的条款，或者不能负偏离的条款，或者采购需求中带“▲”的条款；“重要技术参数指标”是指采购需求中带“◆”的条款。</w:t>
      </w:r>
    </w:p>
    <w:p w14:paraId="40220494">
      <w:pPr>
        <w:keepNext/>
        <w:keepLines/>
        <w:spacing w:line="360" w:lineRule="auto"/>
        <w:ind w:firstLine="420" w:firstLineChars="200"/>
        <w:jc w:val="left"/>
        <w:rPr>
          <w:rFonts w:ascii="宋体" w:hAnsi="宋体" w:cs="宋体"/>
          <w:color w:val="auto"/>
          <w:highlight w:val="none"/>
        </w:rPr>
      </w:pPr>
      <w:r>
        <w:rPr>
          <w:rFonts w:hint="eastAsia" w:ascii="宋体" w:hAnsi="宋体" w:cs="宋体"/>
          <w:color w:val="auto"/>
          <w:szCs w:val="21"/>
          <w:highlight w:val="none"/>
        </w:rPr>
        <w:t>3.</w:t>
      </w:r>
      <w:r>
        <w:rPr>
          <w:rFonts w:hint="eastAsia" w:ascii="宋体" w:hAnsi="宋体" w:cs="宋体"/>
          <w:color w:val="auto"/>
          <w:highlight w:val="none"/>
        </w:rPr>
        <w:t>采购需求中如出现的品牌、型号或者生产厂家仅起参考作用，不属于指定品牌、型号或者生产厂家的情形。投标人可参照或者选用其他相当的品牌、型号或者生产厂家替代，但选用的投标产品参数性能必须满足实质性要求。</w:t>
      </w:r>
    </w:p>
    <w:p w14:paraId="6CCBE2EE">
      <w:pPr>
        <w:keepNext/>
        <w:keepLines/>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4.</w:t>
      </w:r>
      <w:r>
        <w:rPr>
          <w:rFonts w:hint="eastAsia" w:ascii="宋体" w:hAnsi="宋体" w:cs="宋体"/>
          <w:color w:val="auto"/>
          <w:szCs w:val="21"/>
          <w:highlight w:val="none"/>
        </w:rPr>
        <w:t>投标人应根据自身实际情况如实响应招标文件，对招标文件提出的要求和条件作出明确响应，</w:t>
      </w:r>
      <w:r>
        <w:rPr>
          <w:rFonts w:hint="eastAsia" w:ascii="宋体" w:hAnsi="宋体" w:cs="宋体"/>
          <w:b/>
          <w:color w:val="auto"/>
          <w:szCs w:val="21"/>
          <w:highlight w:val="none"/>
        </w:rPr>
        <w:t>否则将作无效响应处理</w:t>
      </w:r>
      <w:r>
        <w:rPr>
          <w:rFonts w:hint="eastAsia" w:ascii="宋体" w:hAnsi="宋体" w:cs="宋体"/>
          <w:color w:val="auto"/>
          <w:szCs w:val="21"/>
          <w:highlight w:val="none"/>
        </w:rPr>
        <w:t>。对于重要技术条款或技术参数应当在投标文件中提供技术支持资料，技术支持资料以招标文件中规定的形式为准，</w:t>
      </w:r>
      <w:r>
        <w:rPr>
          <w:rFonts w:hint="eastAsia" w:ascii="宋体" w:hAnsi="宋体" w:cs="宋体"/>
          <w:b/>
          <w:color w:val="auto"/>
          <w:szCs w:val="21"/>
          <w:highlight w:val="none"/>
        </w:rPr>
        <w:t>否则将视为无效技术支持资料。</w:t>
      </w:r>
    </w:p>
    <w:p w14:paraId="4C5086A5">
      <w:pPr>
        <w:keepNext/>
        <w:keepLines/>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5.投标人必须自行为其投标产品侵犯他人的知识产权或者专利成果的行为承担相应法律责任。</w:t>
      </w:r>
    </w:p>
    <w:p w14:paraId="769DCE0E">
      <w:pPr>
        <w:keepNext/>
        <w:keepLines/>
        <w:spacing w:line="360" w:lineRule="auto"/>
        <w:ind w:firstLine="420" w:firstLineChars="200"/>
        <w:jc w:val="left"/>
        <w:rPr>
          <w:rFonts w:ascii="宋体" w:hAnsi="宋体" w:cs="宋体"/>
          <w:bCs/>
          <w:color w:val="auto"/>
          <w:szCs w:val="21"/>
          <w:highlight w:val="none"/>
        </w:rPr>
      </w:pPr>
      <w:r>
        <w:rPr>
          <w:rFonts w:hint="eastAsia" w:ascii="宋体" w:hAnsi="宋体" w:cs="宋体"/>
          <w:color w:val="auto"/>
          <w:szCs w:val="21"/>
          <w:highlight w:val="none"/>
        </w:rPr>
        <w:t>6.</w:t>
      </w:r>
      <w:r>
        <w:rPr>
          <w:rFonts w:hint="eastAsia" w:ascii="宋体" w:hAnsi="宋体" w:cs="宋体"/>
          <w:b/>
          <w:bCs/>
          <w:color w:val="auto"/>
          <w:szCs w:val="21"/>
          <w:highlight w:val="none"/>
        </w:rPr>
        <w:t>本项目采购标的对应的中小企业划分标准所属行业：</w:t>
      </w:r>
      <w:r>
        <w:rPr>
          <w:rFonts w:hint="eastAsia" w:ascii="宋体" w:hAnsi="宋体" w:cs="宋体"/>
          <w:b/>
          <w:bCs/>
          <w:color w:val="auto"/>
          <w:szCs w:val="21"/>
          <w:highlight w:val="none"/>
          <w:u w:val="single"/>
        </w:rPr>
        <w:t>软件和信息技术服务业</w:t>
      </w:r>
      <w:r>
        <w:rPr>
          <w:rFonts w:hint="eastAsia" w:ascii="宋体" w:hAnsi="宋体" w:cs="宋体"/>
          <w:bCs/>
          <w:color w:val="auto"/>
          <w:szCs w:val="21"/>
          <w:highlight w:val="none"/>
        </w:rPr>
        <w:t>。</w:t>
      </w:r>
    </w:p>
    <w:p w14:paraId="47653FD5">
      <w:pPr>
        <w:keepNext/>
        <w:keepLines/>
        <w:spacing w:line="360" w:lineRule="auto"/>
        <w:rPr>
          <w:color w:val="auto"/>
          <w:highlight w:val="none"/>
        </w:rPr>
      </w:pPr>
    </w:p>
    <w:p w14:paraId="109C74F4">
      <w:pPr>
        <w:pStyle w:val="27"/>
        <w:keepNext/>
        <w:keepLines/>
        <w:spacing w:line="360" w:lineRule="auto"/>
        <w:jc w:val="both"/>
        <w:outlineLvl w:val="9"/>
        <w:rPr>
          <w:color w:val="auto"/>
          <w:highlight w:val="none"/>
        </w:rPr>
        <w:sectPr>
          <w:footerReference r:id="rId7" w:type="default"/>
          <w:pgSz w:w="11906" w:h="16838"/>
          <w:pgMar w:top="1440" w:right="1080" w:bottom="1440" w:left="1080" w:header="720" w:footer="720" w:gutter="0"/>
          <w:pgBorders>
            <w:top w:val="none" w:sz="0" w:space="0"/>
            <w:left w:val="none" w:sz="0" w:space="0"/>
            <w:bottom w:val="none" w:sz="0" w:space="0"/>
            <w:right w:val="none" w:sz="0" w:space="0"/>
          </w:pgBorders>
          <w:cols w:space="720" w:num="1"/>
          <w:docGrid w:linePitch="331" w:charSpace="0"/>
        </w:sectPr>
      </w:pPr>
    </w:p>
    <w:tbl>
      <w:tblPr>
        <w:tblStyle w:val="30"/>
        <w:tblW w:w="102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6"/>
        <w:gridCol w:w="725"/>
        <w:gridCol w:w="887"/>
        <w:gridCol w:w="1179"/>
        <w:gridCol w:w="6668"/>
      </w:tblGrid>
      <w:tr w14:paraId="580AA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205" w:type="dxa"/>
            <w:gridSpan w:val="5"/>
            <w:shd w:val="clear" w:color="000000" w:fill="D8D8D8"/>
            <w:vAlign w:val="center"/>
          </w:tcPr>
          <w:p w14:paraId="7134BAE0">
            <w:pPr>
              <w:widowControl/>
              <w:spacing w:line="360" w:lineRule="auto"/>
              <w:jc w:val="left"/>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一、技术需求</w:t>
            </w:r>
            <w:r>
              <w:rPr>
                <w:rFonts w:hint="eastAsia" w:ascii="宋体" w:hAnsi="宋体" w:cs="宋体"/>
                <w:color w:val="auto"/>
                <w:kern w:val="0"/>
                <w:sz w:val="21"/>
                <w:szCs w:val="21"/>
                <w:highlight w:val="none"/>
              </w:rPr>
              <w:t> </w:t>
            </w:r>
          </w:p>
        </w:tc>
      </w:tr>
      <w:tr w14:paraId="2DFCB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46" w:type="dxa"/>
            <w:shd w:val="clear" w:color="auto" w:fill="auto"/>
            <w:vAlign w:val="center"/>
          </w:tcPr>
          <w:p w14:paraId="1F0883A9">
            <w:pPr>
              <w:widowControl/>
              <w:spacing w:line="360" w:lineRule="auto"/>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序号</w:t>
            </w:r>
          </w:p>
        </w:tc>
        <w:tc>
          <w:tcPr>
            <w:tcW w:w="1612" w:type="dxa"/>
            <w:gridSpan w:val="2"/>
            <w:shd w:val="clear" w:color="auto" w:fill="auto"/>
            <w:vAlign w:val="center"/>
          </w:tcPr>
          <w:p w14:paraId="397BDC2C">
            <w:pPr>
              <w:widowControl/>
              <w:spacing w:line="360" w:lineRule="auto"/>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标的名称</w:t>
            </w:r>
          </w:p>
        </w:tc>
        <w:tc>
          <w:tcPr>
            <w:tcW w:w="1179" w:type="dxa"/>
            <w:shd w:val="clear" w:color="auto" w:fill="auto"/>
            <w:vAlign w:val="center"/>
          </w:tcPr>
          <w:p w14:paraId="37FAF1D6">
            <w:pPr>
              <w:widowControl/>
              <w:spacing w:line="360" w:lineRule="auto"/>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数量</w:t>
            </w:r>
          </w:p>
        </w:tc>
        <w:tc>
          <w:tcPr>
            <w:tcW w:w="6668" w:type="dxa"/>
            <w:tcBorders>
              <w:bottom w:val="single" w:color="auto" w:sz="4" w:space="0"/>
            </w:tcBorders>
            <w:shd w:val="clear" w:color="auto" w:fill="auto"/>
            <w:vAlign w:val="center"/>
          </w:tcPr>
          <w:p w14:paraId="2E3CB9BD">
            <w:pPr>
              <w:widowControl/>
              <w:spacing w:line="360" w:lineRule="auto"/>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技术需求</w:t>
            </w:r>
          </w:p>
        </w:tc>
      </w:tr>
      <w:tr w14:paraId="055B2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46" w:type="dxa"/>
            <w:vMerge w:val="restart"/>
            <w:shd w:val="clear" w:color="auto" w:fill="auto"/>
            <w:vAlign w:val="center"/>
          </w:tcPr>
          <w:p w14:paraId="66477413">
            <w:pPr>
              <w:widowControl/>
              <w:spacing w:line="360" w:lineRule="auto"/>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1612" w:type="dxa"/>
            <w:gridSpan w:val="2"/>
            <w:vMerge w:val="restart"/>
            <w:shd w:val="clear" w:color="auto" w:fill="auto"/>
            <w:vAlign w:val="center"/>
          </w:tcPr>
          <w:p w14:paraId="0367CD60">
            <w:pPr>
              <w:widowControl/>
              <w:spacing w:line="360" w:lineRule="auto"/>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广西公安数字化反电诈平台</w:t>
            </w:r>
          </w:p>
        </w:tc>
        <w:tc>
          <w:tcPr>
            <w:tcW w:w="1179" w:type="dxa"/>
            <w:vMerge w:val="restart"/>
            <w:tcBorders>
              <w:right w:val="single" w:color="auto" w:sz="4" w:space="0"/>
            </w:tcBorders>
            <w:shd w:val="clear" w:color="auto" w:fill="auto"/>
            <w:vAlign w:val="center"/>
          </w:tcPr>
          <w:p w14:paraId="1A90B063">
            <w:pPr>
              <w:widowControl/>
              <w:spacing w:line="240" w:lineRule="auto"/>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1项</w:t>
            </w:r>
          </w:p>
        </w:tc>
        <w:tc>
          <w:tcPr>
            <w:tcW w:w="6668" w:type="dxa"/>
            <w:tcBorders>
              <w:top w:val="single" w:color="auto" w:sz="4" w:space="0"/>
              <w:left w:val="single" w:color="auto" w:sz="4" w:space="0"/>
              <w:bottom w:val="nil"/>
              <w:right w:val="single" w:color="auto" w:sz="4" w:space="0"/>
            </w:tcBorders>
            <w:shd w:val="clear" w:color="auto" w:fill="auto"/>
            <w:vAlign w:val="center"/>
          </w:tcPr>
          <w:p w14:paraId="463E04D7">
            <w:pPr>
              <w:widowControl/>
              <w:spacing w:line="360" w:lineRule="auto"/>
              <w:jc w:val="left"/>
              <w:rPr>
                <w:rFonts w:hint="eastAsia" w:ascii="宋体" w:hAnsi="宋体" w:cs="宋体"/>
                <w:color w:val="auto"/>
                <w:kern w:val="0"/>
                <w:sz w:val="21"/>
                <w:szCs w:val="21"/>
                <w:highlight w:val="none"/>
              </w:rPr>
            </w:pPr>
            <w:r>
              <w:rPr>
                <w:rFonts w:hint="eastAsia" w:ascii="宋体" w:hAnsi="宋体" w:cs="宋体"/>
                <w:b/>
                <w:bCs/>
                <w:color w:val="auto"/>
                <w:kern w:val="0"/>
                <w:sz w:val="21"/>
                <w:szCs w:val="21"/>
                <w:highlight w:val="none"/>
              </w:rPr>
              <w:t>1.反电诈资金流管理子系统</w:t>
            </w:r>
            <w:r>
              <w:rPr>
                <w:rFonts w:hint="eastAsia" w:ascii="宋体" w:hAnsi="宋体" w:cs="宋体"/>
                <w:b/>
                <w:bCs/>
                <w:color w:val="auto"/>
                <w:kern w:val="0"/>
                <w:sz w:val="21"/>
                <w:szCs w:val="21"/>
                <w:highlight w:val="none"/>
              </w:rPr>
              <w:br w:type="textWrapping"/>
            </w:r>
            <w:r>
              <w:rPr>
                <w:rFonts w:hint="eastAsia" w:ascii="宋体" w:hAnsi="宋体" w:cs="宋体"/>
                <w:b/>
                <w:bCs/>
                <w:color w:val="auto"/>
                <w:kern w:val="0"/>
                <w:sz w:val="21"/>
                <w:szCs w:val="21"/>
                <w:highlight w:val="none"/>
              </w:rPr>
              <w:t>1.1金融行业协同治理</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建立警银部门对资金流的信息共享，业务流程的线上自动执行，多部门业务的多跨协同，提供业务流程执行的结果给履职量化考核。核心功能主要包括对公账户管理、涉案银行卡名单管理、金融行业协同治理履职提醒、银行柜面警银快速联动、资金保护措施解除等功能。</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1.1.1对公账户管理：包含对公账户标签规则配置、涉案对公账户基础数据管理、涉案对公账户数据补充管理、涉案对公账户管理、对公账户数据统计和系统对接。</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1.1.1.1对公账户标签规则配置，包含：对公账户标签规则配置管理、对公账户风险浓度配置管理、对公账户风险浓度预警管理。</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◆（1）对公账户标签规则配置管理，建设银行侧对公账户风险标签体系，融合公安、通讯、金融、互联网等不同行业风险标签，支持标签风险值的自定义、黑名单定义、规则定义以及管控措施的定义等。</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2）对公账户风险浓度配置管理，建设银行侧对公账户风险浓度配置功能，对公账户风险浓度配置是在对公账户标签体系的基础上进行赋分计算，支持风险等级计算规则配置，不同的风险级别代码设置不同的风险分值范围。</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（3）对公账户风险浓度预警管理，建设银行侧对公账户风险浓度预警管理机制，建立对公账户核验规则，触发核验规则后进行5色预警，根据不同核验规则对应不同的管控措施，实现对公账号的精准管控。</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1.1.1.2涉案对公账户基础数据管理，建设银行侧数据管理应用，包括查询、分页展示、查看详情等；公安侧涉案对公账户基础数据管理等。</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1.1.1.3涉案对公账户数据补充管理，建设银行侧涉案对公账户数据补充管理功能，支持银行机构基于案对公账户基础信息新增补充涉案账户其他信息。</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1.1.1.4涉案对公账户管理，对公账户管理功能在两端同时展开，即公安机关和银行机构，旨在实现涉案账户信息的高效管理和及时管控：</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1.1.1.5对公账户数据统计，包含：对公账户开户核验统计、对公存量账户核验统计、对公账户线索上报统计、公安侧涉案对公账户统计、银行侧涉案对公账户统计。</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（1）对公账户开户核验统计，支持对公账户开户核验、开户核验结果、开户结果按照各种维度进行统计、导出，按照表格、图表进行展示。</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（2）对公存量账户核验统计，支持对公存量账户核验、核验结果、管控措施按照各种维度进行统计、导出，按照表格、图表进行展示。</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（3）对公账户线索上报统计，支持对公账户线索上报按照各种维度进行统计、导出，按照表格、图表进行展示。</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（4）公安侧涉案对公账户统计，支持公安侧涉案对公账户按照各种维度进行统计、导出，按照表格、图表进行展示。</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（5）银行侧涉案对公账户统计，支持银行侧涉案对公账户按照各种维度进行统计、导出，按照表格、图表进行展示。</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1.1.1.6系统对接，对公账户治理工作需要与外部数据进行对接。包括数据服务查询接口和业务数据交互接口。</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1.1.2涉案银行卡名单管理：包含涉案账户管理和涉案银行卡名单统计。</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1.1.2.1涉案账户管理，包含涉案账户筛选与发起协同、涉案账户协同管理、涉案账户解除管理。</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（1）涉案账户筛选与发起协同，建设银行侧涉案账户管理功能，新增筛选本行涉案银行卡名单的功能、新增涉案账号协同确认功能。</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（2）涉案账户协同管理，建设银行侧、公安侧涉案账户协同管理功能，支持协同查询、分页展示等。</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（3）涉案账户解除管理，建设银行侧、公安侧涉案账户解除管理功能，支持涉案账户解除查询、分页展示。</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1.1.2.2涉案银行卡名单统计，包含涉案银行卡名单统计、涉诈银行卡解除统计。</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（1）涉案银行卡名单统计，银行侧支持涉案银行卡名单数据统计，支持根据时间、处置结果、反馈结果等不同条件维度进行统计，统计结果支持图表可视化展示并导出。</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（2）涉诈银行卡解除统计，银行侧支持解除数据统计，支持根据时间、解除结果等不同条件维度进行统计，统计结果支持图表可视化展示并导出。</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1.1.3金融行业协同治理履职提醒：包含金融行业协同治理履职提醒管理、任务管理、履职处置列表、履职处置统计、警银会商管理、警银会商记录、警银会商统计和可视化看板。</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1.1.3.1金融行业协同治理履职提醒管理，建设公安侧履职提醒管理功能，支持履职提醒新增、查询、详情查看等功能。</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1.1.3.2任务管理，建设银行侧、公安侧履职提醒任务管理功能，支持任务查询、分页展示、任务分派、任务处置反馈、详情查看等功能。</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1.1.3.3履职处置列表，建设银行侧、公安侧履职处置记录查询、详情查看功能，支持履职处置记录导出Excel。</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1.1.3.4履职处置统计，建设银行侧、公安侧履职处置统计，支持按照不同的条件维度进行统计，统计结果支持图表可视化展示及统计数据结果导出execl。</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◆1.1.3.5警银会商管理，建设银行侧、公安侧银会商报送机制，支持会商内容的报送、审批、查询、分页展示、详情查看。</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1.1.3.6警银会商记录，建设银行侧、公安侧警银会商记录查询、详情查看功能，支持履职处置记录导出Excel。</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1.1.3.7警银会商统计，建设银行侧、公安侧警银会商统计，支持按照不同条件维度进行统计，统计结果支持图表可视化展示及统计数据结果导出execl。</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1.1.3.8可视化看板，包含快速联动统计、履职提醒统计、预警保护统计、统计接口。</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（1）快速联动统计，建设银行侧应用支持快速联动看板展示，对一键出警、线索上报、成案数、止付、解除等数据内容可视化展示。</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（2）履职提醒统计，建设银行侧履职提醒任务看板展示，对复盘分析任务、专项复盘任务、警银会商等不同任务类型完结进度进行可视化展示。</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（3）预警保护统计</w:t>
            </w: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rPr>
              <w:t>建设银行侧预警保护看板展示，对预警保护总数、处置、解除等数据内容进行可视化展示。</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（4）统计接口，建设银行侧可视化数据统计管理服务接口，用于可视化数据统计展示时数据交互和业务交互，对外提供接口服务供外部系统调用。</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1.1.4银行柜面警银快速联动：包含一键出警、柜面取现线索上报、联动记录、审核列表、柜面取现线索推送、联动统计。</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一键出警，支持出警情形选择，支持一键出警审批，根据公安处置结果，对涉事银行卡做出相应止付、管控或解控。</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1.1.4.1一键出警，包含出警风险情形选择、出警客户信息填报、一键出警提交、一键出警审批、一键出警详情查看、公安出警处置指令。</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（1）出警风险情形选择，建设银行侧出警风险情形选择功能。</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（2）出警客户信息填报，建设银行侧出警客户信息填报功能。</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（3）一键出警提交，建设银行侧一键出警提交功能，支持继续申请出警。</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（4）一键出警审批，建设银行侧出警请求审批功能，审批通过后民警进行现场协同处置。</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（5）一键出警详情查看，建设银行侧一键出警记录详情查看功能。</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（6）公安出警处置指令，建设银行侧指令处置功能，根据公安出警后对现场处置情况，在平台发起继续管控或者解除管控指令，推送至银行侧。</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◆1.1.4.2柜面取现线索上报，包含线索风险情形选择、线索客户信息填报、线索上报提交、线索上报详情查看、公安联动线索指令。</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（1）线索风险情形选择，建设银行侧线索风险情形选择功能。</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（2）线索客户信息填报，建设银行侧线索客户信息填报功能。</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（3）线索上报提交，建设银行侧线索上报提交功能，支持继续线索上报。</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（4）线索上报详情查看，建设银行侧线索上报记录详情查看功能。</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（5）公安联动线索指令，支持公安侧上报线索进行研判，根据研判结果发起继续管控或解除管控指令，推送至银行侧。</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1.1.4.3联动记录，包含银行一键出警联动记录展示、公安一键出警联动记录展示、一键出警联动记录处置、一键出警联动记录反馈、银行侧线索上报联动记录展示、公安侧线索上报联动记录、线索上报联动记录处置。</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（1）银行一键出警联动记录展示，建设银行侧一键出警记录查询、列表展示、详情查看功能。</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（2）公安一键出警联动记录展示，建设公安侧一键出警记录查询、列表展示、详情查看功能。</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（3）一键出警联动记录处置，建设银行侧一键出警止付、一键出警解控、重新发起或转为线索等处置功能。</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（4）一键出警联动记录反馈，建设银行侧一键出警结果反馈功能。</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（5）银行侧线索上报联动记录展示，建设银行侧线索上报记录查询、列表展示、详情查看功能。</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（6）公安侧线索上报联动记录，建设公安侧线索上报记录查询、列表展示、详情查看功能。</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（7）线索上报联动记录处置，建设银行侧线索上报止付、线索上报解控等处置功能。</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1.1.4.4审核列表，包含审核列表展示、审批操作、审批权限配置。</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（1）审核列表展示，建设银行侧一键出警审批记录查询、列表展示、详情查看。</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（2）审批操作，建设银行侧一键出警审批功能。</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（3）审批权限配置，建设银行侧一键出警审批角色权限配置。</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1.1.4.5柜面取现线索推送，建设银行侧一键出警、线索上报不同风险情形推送功能；</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1.1.4.6联动统计，建设银行侧、公安侧一键出警、线索上报统计查询功能。</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1.1.5资金保护措施解除：包含资金保护解除管理、资金保护解除名单汇聚、资金保护解除名单分发管理和资金保护解除统计。</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1.1.5.1资金保护解除管理，包含资金保护解除管理、解除结果反馈、资金保护解除名单推送、其他银行数据检索、他行解除结果反馈。</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（1）资金保护解除管理，建设银行侧资金保护解除管理功能，支持发起资金保护解除、查询、分页展示、详情查看。</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（2）解除结果反馈，建设银行侧解除结果反馈与闭环管理功能，支持新增、查询、分页展示、详情查看。</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（3）资金保护解除名单推送，建设银行侧资金保护措施解除信息服务接口，推送资金保护解除名单。</w:t>
            </w:r>
          </w:p>
          <w:p w14:paraId="208AAD35">
            <w:pPr>
              <w:widowControl/>
              <w:spacing w:line="360" w:lineRule="auto"/>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lang w:val="en-US" w:eastAsia="zh-CN"/>
              </w:rPr>
              <w:t>4</w:t>
            </w: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rPr>
              <w:t>其他银行解除名单接收</w:t>
            </w: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lang w:val="en-US" w:eastAsia="zh-CN"/>
              </w:rPr>
              <w:t>建设</w:t>
            </w:r>
            <w:r>
              <w:rPr>
                <w:rFonts w:hint="eastAsia" w:ascii="宋体" w:hAnsi="宋体" w:cs="宋体"/>
                <w:color w:val="auto"/>
                <w:kern w:val="0"/>
                <w:sz w:val="21"/>
                <w:szCs w:val="21"/>
                <w:highlight w:val="none"/>
                <w:lang w:eastAsia="zh-CN"/>
              </w:rPr>
              <w:t>银行侧其他银行解除名单解除信息同步服务接口。</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w:t>
            </w:r>
            <w:r>
              <w:rPr>
                <w:rFonts w:hint="eastAsia" w:ascii="宋体" w:hAnsi="宋体" w:cs="宋体"/>
                <w:color w:val="auto"/>
                <w:kern w:val="0"/>
                <w:sz w:val="21"/>
                <w:szCs w:val="21"/>
                <w:highlight w:val="none"/>
                <w:lang w:val="en-US" w:eastAsia="zh-CN"/>
              </w:rPr>
              <w:t>5</w:t>
            </w:r>
            <w:r>
              <w:rPr>
                <w:rFonts w:hint="eastAsia" w:ascii="宋体" w:hAnsi="宋体" w:cs="宋体"/>
                <w:color w:val="auto"/>
                <w:kern w:val="0"/>
                <w:sz w:val="21"/>
                <w:szCs w:val="21"/>
                <w:highlight w:val="none"/>
              </w:rPr>
              <w:t>）其他银行数据检索，建设银行侧其他银行数据检索功能，支持发起资金保护解除。支持解除列表查询</w:t>
            </w: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rPr>
              <w:t>重置</w:t>
            </w:r>
            <w:r>
              <w:rPr>
                <w:rFonts w:hint="eastAsia" w:ascii="宋体" w:hAnsi="宋体" w:cs="宋体"/>
                <w:color w:val="auto"/>
                <w:kern w:val="0"/>
                <w:sz w:val="21"/>
                <w:szCs w:val="21"/>
                <w:highlight w:val="none"/>
                <w:lang w:val="en-US" w:eastAsia="zh-CN"/>
              </w:rPr>
              <w:t>及查看详情</w:t>
            </w: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rPr>
              <w:t>建设银行侧其他银行解除名单解除服务接口</w:t>
            </w: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w:t>
            </w:r>
            <w:r>
              <w:rPr>
                <w:rFonts w:hint="eastAsia" w:ascii="宋体" w:hAnsi="宋体" w:cs="宋体"/>
                <w:color w:val="auto"/>
                <w:kern w:val="0"/>
                <w:sz w:val="21"/>
                <w:szCs w:val="21"/>
                <w:highlight w:val="none"/>
                <w:lang w:val="en-US" w:eastAsia="zh-CN"/>
              </w:rPr>
              <w:t>6</w:t>
            </w:r>
            <w:r>
              <w:rPr>
                <w:rFonts w:hint="eastAsia" w:ascii="宋体" w:hAnsi="宋体" w:cs="宋体"/>
                <w:color w:val="auto"/>
                <w:kern w:val="0"/>
                <w:sz w:val="21"/>
                <w:szCs w:val="21"/>
                <w:highlight w:val="none"/>
              </w:rPr>
              <w:t>）他行解除结果反馈，建设银行侧他行解除结果反馈数据查询、列表展示、详情查看功能。</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1.1.5.2资金保护解除名单汇聚，包含资金保护解除名单汇聚、资金保护解除名单主题库、资金保护解除主题库管理。</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（1）资金保护解除名单汇聚，建设公安侧资金保护解除数据汇聚功能，将各银行侧解除的名单数据统一进行汇聚，形成资金保护解除名单数据池。</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（2）资金保护解除名单主题库，建设公安侧资金保护措施解除名单数据主题库，将接收到的解除名单将进行入库处理，并支持数据同步机制，确保数据的实时更新。</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（3）资金保护解除主题库管理，建设公安侧资金保护解除主题库管理功能，支持数据查询、分页展示。</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◆1.1.5.3资金保护解除名单分发管理，建设公安侧资金保护解除分发管理机制，支持资金保护解除名单数据新增及广播。</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1.1.5.4资金保护解除统计，建设银行侧、公安侧资金保护解除名单统计，统计结果支持图表可视化展示并导出。</w:t>
            </w:r>
          </w:p>
        </w:tc>
      </w:tr>
      <w:tr w14:paraId="5035C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46" w:type="dxa"/>
            <w:vMerge w:val="continue"/>
            <w:vAlign w:val="center"/>
          </w:tcPr>
          <w:p w14:paraId="0C716B02">
            <w:pPr>
              <w:widowControl/>
              <w:spacing w:line="360" w:lineRule="auto"/>
              <w:jc w:val="left"/>
              <w:rPr>
                <w:rFonts w:ascii="宋体" w:hAnsi="宋体" w:cs="宋体"/>
                <w:color w:val="auto"/>
                <w:kern w:val="0"/>
                <w:sz w:val="21"/>
                <w:szCs w:val="21"/>
                <w:highlight w:val="none"/>
              </w:rPr>
            </w:pPr>
          </w:p>
        </w:tc>
        <w:tc>
          <w:tcPr>
            <w:tcW w:w="1612" w:type="dxa"/>
            <w:gridSpan w:val="2"/>
            <w:vMerge w:val="continue"/>
            <w:vAlign w:val="center"/>
          </w:tcPr>
          <w:p w14:paraId="6FDEB96D">
            <w:pPr>
              <w:widowControl/>
              <w:spacing w:line="360" w:lineRule="auto"/>
              <w:jc w:val="left"/>
              <w:rPr>
                <w:rFonts w:ascii="宋体" w:hAnsi="宋体" w:cs="宋体"/>
                <w:color w:val="auto"/>
                <w:kern w:val="0"/>
                <w:sz w:val="21"/>
                <w:szCs w:val="21"/>
                <w:highlight w:val="none"/>
              </w:rPr>
            </w:pPr>
          </w:p>
        </w:tc>
        <w:tc>
          <w:tcPr>
            <w:tcW w:w="1179" w:type="dxa"/>
            <w:vMerge w:val="continue"/>
            <w:tcBorders>
              <w:right w:val="single" w:color="auto" w:sz="4" w:space="0"/>
            </w:tcBorders>
            <w:vAlign w:val="center"/>
          </w:tcPr>
          <w:p w14:paraId="24F5DDBB">
            <w:pPr>
              <w:widowControl/>
              <w:spacing w:line="360" w:lineRule="auto"/>
              <w:jc w:val="left"/>
              <w:rPr>
                <w:rFonts w:ascii="宋体" w:hAnsi="宋体" w:cs="宋体"/>
                <w:color w:val="auto"/>
                <w:kern w:val="0"/>
                <w:sz w:val="21"/>
                <w:szCs w:val="21"/>
                <w:highlight w:val="none"/>
              </w:rPr>
            </w:pPr>
          </w:p>
        </w:tc>
        <w:tc>
          <w:tcPr>
            <w:tcW w:w="6668" w:type="dxa"/>
            <w:tcBorders>
              <w:top w:val="nil"/>
              <w:left w:val="single" w:color="auto" w:sz="4" w:space="0"/>
              <w:bottom w:val="nil"/>
              <w:right w:val="single" w:color="auto" w:sz="4" w:space="0"/>
            </w:tcBorders>
            <w:shd w:val="clear" w:color="auto" w:fill="auto"/>
            <w:vAlign w:val="center"/>
          </w:tcPr>
          <w:p w14:paraId="03810730">
            <w:pPr>
              <w:widowControl/>
              <w:numPr>
                <w:ilvl w:val="-1"/>
                <w:numId w:val="0"/>
              </w:numPr>
              <w:spacing w:line="360" w:lineRule="auto"/>
              <w:ind w:firstLine="0"/>
              <w:jc w:val="left"/>
              <w:rPr>
                <w:rFonts w:hint="eastAsia" w:ascii="宋体" w:hAnsi="宋体" w:cs="宋体"/>
                <w:color w:val="auto"/>
                <w:kern w:val="0"/>
                <w:sz w:val="21"/>
                <w:szCs w:val="21"/>
                <w:highlight w:val="none"/>
              </w:rPr>
            </w:pPr>
            <w:r>
              <w:rPr>
                <w:rFonts w:hint="eastAsia" w:ascii="宋体" w:hAnsi="宋体" w:cs="宋体"/>
                <w:b/>
                <w:bCs/>
                <w:color w:val="auto"/>
                <w:kern w:val="0"/>
                <w:sz w:val="21"/>
                <w:szCs w:val="21"/>
                <w:highlight w:val="none"/>
              </w:rPr>
              <w:t>1.2.资金必追</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基于案件资金流水分析沉淀数据，对涉案流水、涉案账号等相关分析要素进行了标识，为大规模的分析广西境内电诈案件的黑灰卡、电诈案件的活动规律、挖掘更多的情报线索提供支撑。核心功能包括警情同步及涉诈资金流分析、案情同步及涉诈资金流分析、法律文书获取功能、国反平台调证任务管理、涉案资金档案、涉案账单分析、资金调证统计分析功能、电诈资金数据大屏功能、 资金案件提醒、 涉案资金数据输出。</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1.2.1.警情同步及涉诈资金流分析</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将电诈警情未形成案件前，提前对警情一级卡做延伸止付，缩短成案后的调证、研判时间。</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1.2.1.1.</w:t>
            </w:r>
            <w:r>
              <w:rPr>
                <w:rFonts w:hint="eastAsia" w:ascii="宋体" w:hAnsi="宋体" w:cs="宋体"/>
                <w:color w:val="auto"/>
                <w:kern w:val="0"/>
                <w:sz w:val="21"/>
                <w:szCs w:val="21"/>
                <w:highlight w:val="none"/>
                <w:lang w:val="en-US" w:eastAsia="zh-CN"/>
              </w:rPr>
              <w:t>止付服务认证</w:t>
            </w:r>
            <w:r>
              <w:rPr>
                <w:rFonts w:hint="eastAsia" w:ascii="宋体" w:hAnsi="宋体" w:cs="宋体"/>
                <w:color w:val="auto"/>
                <w:kern w:val="0"/>
                <w:sz w:val="21"/>
                <w:szCs w:val="21"/>
                <w:highlight w:val="none"/>
              </w:rPr>
              <w:t>，</w:t>
            </w:r>
            <w:r>
              <w:rPr>
                <w:rFonts w:hint="eastAsia" w:ascii="宋体" w:hAnsi="宋体" w:cs="宋体"/>
                <w:color w:val="auto"/>
                <w:kern w:val="0"/>
                <w:sz w:val="21"/>
                <w:szCs w:val="21"/>
                <w:highlight w:val="none"/>
                <w:lang w:val="en-US" w:eastAsia="zh-CN"/>
              </w:rPr>
              <w:t>与止付服务接口完成对接</w:t>
            </w:r>
            <w:r>
              <w:rPr>
                <w:rFonts w:hint="eastAsia" w:ascii="宋体" w:hAnsi="宋体" w:cs="宋体"/>
                <w:color w:val="auto"/>
                <w:kern w:val="0"/>
                <w:sz w:val="21"/>
                <w:szCs w:val="21"/>
                <w:highlight w:val="none"/>
              </w:rPr>
              <w:t>；</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1.2.1.2.</w:t>
            </w:r>
            <w:r>
              <w:rPr>
                <w:rFonts w:hint="eastAsia"/>
                <w:color w:val="auto"/>
                <w:highlight w:val="none"/>
                <w:lang w:val="en-US" w:eastAsia="zh-CN"/>
              </w:rPr>
              <w:t>止付调度任务</w:t>
            </w:r>
            <w:r>
              <w:rPr>
                <w:rFonts w:hint="eastAsia" w:ascii="宋体" w:hAnsi="宋体" w:cs="宋体"/>
                <w:color w:val="auto"/>
                <w:kern w:val="0"/>
                <w:sz w:val="21"/>
                <w:szCs w:val="21"/>
                <w:highlight w:val="none"/>
              </w:rPr>
              <w:t>，</w:t>
            </w:r>
            <w:r>
              <w:rPr>
                <w:rFonts w:hint="eastAsia" w:ascii="宋体" w:hAnsi="宋体" w:cs="宋体"/>
                <w:color w:val="auto"/>
                <w:kern w:val="0"/>
                <w:sz w:val="21"/>
                <w:szCs w:val="21"/>
                <w:highlight w:val="none"/>
                <w:lang w:val="en-US" w:eastAsia="zh-CN"/>
              </w:rPr>
              <w:t>发起涉案卡止付任务</w:t>
            </w:r>
            <w:r>
              <w:rPr>
                <w:rFonts w:hint="eastAsia" w:ascii="宋体" w:hAnsi="宋体" w:cs="宋体"/>
                <w:color w:val="auto"/>
                <w:kern w:val="0"/>
                <w:sz w:val="21"/>
                <w:szCs w:val="21"/>
                <w:highlight w:val="none"/>
              </w:rPr>
              <w:t>；</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1.2.1.3.</w:t>
            </w:r>
            <w:r>
              <w:rPr>
                <w:rFonts w:hint="default"/>
                <w:color w:val="auto"/>
                <w:highlight w:val="none"/>
                <w:lang w:val="en-US" w:eastAsia="zh-CN"/>
              </w:rPr>
              <w:t>账号止付</w:t>
            </w:r>
            <w:r>
              <w:rPr>
                <w:rFonts w:hint="eastAsia" w:ascii="宋体" w:hAnsi="宋体" w:cs="宋体"/>
                <w:color w:val="auto"/>
                <w:kern w:val="0"/>
                <w:sz w:val="21"/>
                <w:szCs w:val="21"/>
                <w:highlight w:val="none"/>
              </w:rPr>
              <w:t>，与已建接警止付系统快速联动完成1~3级止付</w:t>
            </w: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lang w:val="en-US" w:eastAsia="zh-CN"/>
              </w:rPr>
              <w:t>获取止付后的主体信息和账单</w:t>
            </w:r>
            <w:r>
              <w:rPr>
                <w:rFonts w:hint="eastAsia" w:ascii="宋体" w:hAnsi="宋体" w:cs="宋体"/>
                <w:color w:val="auto"/>
                <w:kern w:val="0"/>
                <w:sz w:val="21"/>
                <w:szCs w:val="21"/>
                <w:highlight w:val="none"/>
              </w:rPr>
              <w:t>；</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1.2.1.4.案件止付通知，用户可根据消息提醒，查看相关警情案件的止付数据情况和止付到期情况。</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1.2.2.案情同步及涉诈资金流分析</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根据案件编号中行政区划特性，分配到每个办案单位，办案单位民警根据工作情况进行查询、领取、移交、合并警情等一</w:t>
            </w:r>
            <w:r>
              <w:rPr>
                <w:rFonts w:hint="eastAsia" w:ascii="宋体" w:hAnsi="宋体" w:cs="宋体"/>
                <w:color w:val="auto"/>
                <w:kern w:val="0"/>
                <w:sz w:val="21"/>
                <w:szCs w:val="21"/>
                <w:highlight w:val="none"/>
                <w:lang w:val="en-US" w:eastAsia="zh-CN"/>
              </w:rPr>
              <w:t>系</w:t>
            </w:r>
            <w:r>
              <w:rPr>
                <w:rFonts w:hint="eastAsia" w:ascii="宋体" w:hAnsi="宋体" w:cs="宋体"/>
                <w:color w:val="auto"/>
                <w:kern w:val="0"/>
                <w:sz w:val="21"/>
                <w:szCs w:val="21"/>
                <w:highlight w:val="none"/>
              </w:rPr>
              <w:t>列工作。</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1.2.2.1.警综电诈案件管理，定时同步警综案件信息，整合受害人信息、涉案一级卡卡信息；</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1.2.2.2.警综案件信息，编辑补充案件信息，按区域、领取状态、案件名、案件编号、创建日期范围、涉案金额等进行检索。</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1.2.3法律文书获取功能</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主要通过法律文书</w:t>
            </w:r>
            <w:r>
              <w:rPr>
                <w:rFonts w:hint="eastAsia" w:ascii="宋体" w:hAnsi="宋体" w:cs="宋体"/>
                <w:color w:val="auto"/>
                <w:kern w:val="0"/>
                <w:sz w:val="21"/>
                <w:szCs w:val="21"/>
                <w:highlight w:val="none"/>
                <w:lang w:val="en-US" w:eastAsia="zh-CN"/>
              </w:rPr>
              <w:t>自动获取</w:t>
            </w:r>
            <w:r>
              <w:rPr>
                <w:rFonts w:hint="eastAsia" w:ascii="宋体" w:hAnsi="宋体" w:cs="宋体"/>
                <w:color w:val="auto"/>
                <w:kern w:val="0"/>
                <w:sz w:val="21"/>
                <w:szCs w:val="21"/>
                <w:highlight w:val="none"/>
              </w:rPr>
              <w:t>，方便民警快速对账单进行查询和冻结申请，减轻民警在申请调证文书的工作。</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1.2.3.1.</w:t>
            </w:r>
            <w:r>
              <w:rPr>
                <w:rFonts w:hint="eastAsia"/>
                <w:color w:val="auto"/>
                <w:highlight w:val="none"/>
                <w:lang w:val="en-US" w:eastAsia="zh-CN"/>
              </w:rPr>
              <w:t>警综平台统一认证对接，对接警综平台统一认证接口，获取警综平台token</w:t>
            </w:r>
            <w:r>
              <w:rPr>
                <w:rFonts w:hint="eastAsia" w:ascii="宋体" w:hAnsi="宋体" w:cs="宋体"/>
                <w:color w:val="auto"/>
                <w:kern w:val="0"/>
                <w:sz w:val="21"/>
                <w:szCs w:val="21"/>
                <w:highlight w:val="none"/>
              </w:rPr>
              <w:t>；</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1.2.3.2.</w:t>
            </w:r>
            <w:r>
              <w:rPr>
                <w:rFonts w:hint="eastAsia"/>
                <w:color w:val="auto"/>
                <w:highlight w:val="none"/>
                <w:lang w:val="en-US" w:eastAsia="zh-CN"/>
              </w:rPr>
              <w:t>法律文书管理，</w:t>
            </w:r>
            <w:r>
              <w:rPr>
                <w:rFonts w:hint="eastAsia" w:ascii="宋体" w:hAnsi="宋体" w:cs="宋体"/>
                <w:color w:val="auto"/>
                <w:kern w:val="0"/>
                <w:sz w:val="21"/>
                <w:szCs w:val="21"/>
                <w:highlight w:val="none"/>
              </w:rPr>
              <w:t>对接获取银行账号</w:t>
            </w: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rPr>
              <w:t>第三方支付的查询财产法律文书、冻结财产法律文书；</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1.2.4.国反平台调证任务管理</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对于部分110警情未经过接警止付子模块并转为案件或者办案过程中需要调取最新的涉案卡主体信息和状态的情况，提供向国反平台发起自动调证任务，完成银行卡和第三方支付账号，账单、主体信息调取证。</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1.2.4.1.</w:t>
            </w:r>
            <w:r>
              <w:rPr>
                <w:rFonts w:hint="eastAsia"/>
                <w:color w:val="auto"/>
                <w:highlight w:val="none"/>
                <w:lang w:val="en-US" w:eastAsia="zh-CN"/>
              </w:rPr>
              <w:t>调证服务接口对接</w:t>
            </w:r>
            <w:r>
              <w:rPr>
                <w:rFonts w:hint="eastAsia" w:ascii="宋体" w:hAnsi="宋体" w:cs="宋体"/>
                <w:color w:val="auto"/>
                <w:kern w:val="0"/>
                <w:sz w:val="21"/>
                <w:szCs w:val="21"/>
                <w:highlight w:val="none"/>
              </w:rPr>
              <w:t>，</w:t>
            </w:r>
            <w:r>
              <w:rPr>
                <w:rFonts w:hint="eastAsia"/>
                <w:color w:val="auto"/>
                <w:highlight w:val="none"/>
                <w:lang w:val="en-US" w:eastAsia="zh-CN"/>
              </w:rPr>
              <w:t>调证服务与国反平台接口对接，完成用户止付、查询、冻结等接口对接服务</w:t>
            </w:r>
            <w:r>
              <w:rPr>
                <w:rFonts w:hint="eastAsia" w:ascii="宋体" w:hAnsi="宋体" w:cs="宋体"/>
                <w:color w:val="auto"/>
                <w:kern w:val="0"/>
                <w:sz w:val="21"/>
                <w:szCs w:val="21"/>
                <w:highlight w:val="none"/>
              </w:rPr>
              <w:t>；</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1.2.4.2.</w:t>
            </w:r>
            <w:r>
              <w:rPr>
                <w:rFonts w:hint="eastAsia"/>
                <w:color w:val="auto"/>
                <w:highlight w:val="none"/>
                <w:lang w:val="en-US" w:eastAsia="zh-CN"/>
              </w:rPr>
              <w:t>调证渠道管理</w:t>
            </w:r>
            <w:r>
              <w:rPr>
                <w:rFonts w:hint="eastAsia" w:ascii="宋体" w:hAnsi="宋体" w:cs="宋体"/>
                <w:color w:val="auto"/>
                <w:kern w:val="0"/>
                <w:sz w:val="21"/>
                <w:szCs w:val="21"/>
                <w:highlight w:val="none"/>
              </w:rPr>
              <w:t>，配置调证渠道与人员证书关系；</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1.2.4.3.归属银行管理</w:t>
            </w:r>
            <w:r>
              <w:rPr>
                <w:rFonts w:hint="eastAsia" w:ascii="宋体" w:hAnsi="宋体" w:cs="宋体"/>
                <w:color w:val="auto"/>
                <w:kern w:val="0"/>
                <w:sz w:val="21"/>
                <w:szCs w:val="21"/>
                <w:highlight w:val="none"/>
                <w:lang w:eastAsia="zh-CN"/>
              </w:rPr>
              <w:t>，</w:t>
            </w:r>
            <w:r>
              <w:rPr>
                <w:rFonts w:hint="eastAsia"/>
                <w:color w:val="auto"/>
                <w:highlight w:val="none"/>
                <w:lang w:val="en-US" w:eastAsia="zh-CN"/>
              </w:rPr>
              <w:t>提高银行卡在国反上的止付、查询的成功率</w:t>
            </w:r>
            <w:r>
              <w:rPr>
                <w:rFonts w:hint="eastAsia" w:ascii="宋体" w:hAnsi="宋体" w:cs="宋体"/>
                <w:color w:val="auto"/>
                <w:kern w:val="0"/>
                <w:sz w:val="21"/>
                <w:szCs w:val="21"/>
                <w:highlight w:val="none"/>
              </w:rPr>
              <w:t>；</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1.2.4.4.</w:t>
            </w:r>
            <w:r>
              <w:rPr>
                <w:rFonts w:hint="eastAsia"/>
                <w:color w:val="auto"/>
                <w:highlight w:val="none"/>
                <w:lang w:val="en-US" w:eastAsia="zh-CN"/>
              </w:rPr>
              <w:t>银行卡前缀管理，适应新的银行卡前缀或变更</w:t>
            </w:r>
            <w:r>
              <w:rPr>
                <w:rFonts w:hint="eastAsia" w:ascii="宋体" w:hAnsi="宋体" w:cs="宋体"/>
                <w:color w:val="auto"/>
                <w:kern w:val="0"/>
                <w:sz w:val="21"/>
                <w:szCs w:val="21"/>
                <w:highlight w:val="none"/>
                <w:lang w:eastAsia="zh-CN"/>
              </w:rPr>
              <w:t>；</w:t>
            </w:r>
          </w:p>
          <w:p w14:paraId="27C192A1">
            <w:pPr>
              <w:widowControl/>
              <w:numPr>
                <w:ilvl w:val="-1"/>
                <w:numId w:val="0"/>
              </w:numPr>
              <w:spacing w:line="360" w:lineRule="auto"/>
              <w:ind w:left="0" w:firstLine="0"/>
              <w:jc w:val="left"/>
              <w:rPr>
                <w:rFonts w:hint="eastAsia"/>
                <w:color w:val="auto"/>
                <w:highlight w:val="none"/>
                <w:lang w:val="en-US" w:eastAsia="zh-CN"/>
              </w:rPr>
            </w:pPr>
            <w:r>
              <w:rPr>
                <w:rFonts w:hint="eastAsia" w:ascii="宋体" w:hAnsi="宋体" w:cs="宋体"/>
                <w:color w:val="auto"/>
                <w:kern w:val="0"/>
                <w:sz w:val="21"/>
                <w:szCs w:val="21"/>
                <w:highlight w:val="none"/>
              </w:rPr>
              <w:t>1.2.4.</w:t>
            </w:r>
            <w:r>
              <w:rPr>
                <w:rFonts w:hint="eastAsia" w:ascii="宋体" w:hAnsi="宋体" w:cs="宋体"/>
                <w:color w:val="auto"/>
                <w:kern w:val="0"/>
                <w:sz w:val="21"/>
                <w:szCs w:val="21"/>
                <w:highlight w:val="none"/>
                <w:lang w:val="en-US" w:eastAsia="zh-CN"/>
              </w:rPr>
              <w:t>5</w:t>
            </w:r>
            <w:r>
              <w:rPr>
                <w:rFonts w:hint="eastAsia" w:ascii="宋体" w:hAnsi="宋体" w:cs="宋体"/>
                <w:color w:val="auto"/>
                <w:kern w:val="0"/>
                <w:sz w:val="21"/>
                <w:szCs w:val="21"/>
                <w:highlight w:val="none"/>
              </w:rPr>
              <w:t>.银行机构管理</w:t>
            </w:r>
            <w:r>
              <w:rPr>
                <w:rFonts w:hint="eastAsia"/>
                <w:color w:val="auto"/>
                <w:highlight w:val="none"/>
                <w:lang w:val="en-US" w:eastAsia="zh-CN"/>
              </w:rPr>
              <w:t>，支撑交易机构数据在调证业务中的使用；</w:t>
            </w:r>
          </w:p>
          <w:p w14:paraId="356B9325">
            <w:pPr>
              <w:widowControl/>
              <w:numPr>
                <w:ilvl w:val="-1"/>
                <w:numId w:val="0"/>
              </w:numPr>
              <w:spacing w:line="360" w:lineRule="auto"/>
              <w:ind w:left="0" w:firstLine="0"/>
              <w:jc w:val="left"/>
              <w:rPr>
                <w:rFonts w:hint="eastAsia"/>
                <w:color w:val="auto"/>
                <w:highlight w:val="none"/>
                <w:lang w:val="en-US" w:eastAsia="zh-CN"/>
              </w:rPr>
            </w:pPr>
            <w:r>
              <w:rPr>
                <w:rFonts w:hint="eastAsia" w:ascii="宋体" w:hAnsi="宋体" w:cs="宋体"/>
                <w:color w:val="auto"/>
                <w:kern w:val="0"/>
                <w:sz w:val="21"/>
                <w:szCs w:val="21"/>
                <w:highlight w:val="none"/>
              </w:rPr>
              <w:t>1.2.4.</w:t>
            </w:r>
            <w:r>
              <w:rPr>
                <w:rFonts w:hint="eastAsia" w:ascii="宋体" w:hAnsi="宋体" w:cs="宋体"/>
                <w:color w:val="auto"/>
                <w:kern w:val="0"/>
                <w:sz w:val="21"/>
                <w:szCs w:val="21"/>
                <w:highlight w:val="none"/>
                <w:lang w:val="en-US" w:eastAsia="zh-CN"/>
              </w:rPr>
              <w:t>6</w:t>
            </w:r>
            <w:r>
              <w:rPr>
                <w:rFonts w:hint="eastAsia" w:ascii="宋体" w:hAnsi="宋体" w:cs="宋体"/>
                <w:color w:val="auto"/>
                <w:kern w:val="0"/>
                <w:sz w:val="21"/>
                <w:szCs w:val="21"/>
                <w:highlight w:val="none"/>
              </w:rPr>
              <w:t>.</w:t>
            </w:r>
            <w:r>
              <w:rPr>
                <w:rFonts w:hint="eastAsia"/>
                <w:color w:val="auto"/>
                <w:highlight w:val="none"/>
                <w:lang w:val="en-US" w:eastAsia="zh-CN"/>
              </w:rPr>
              <w:t>第三方平台类型管理，支撑第三方平台类型在调证业务中的使用；</w:t>
            </w:r>
          </w:p>
          <w:p w14:paraId="390920EC">
            <w:pPr>
              <w:widowControl/>
              <w:numPr>
                <w:ilvl w:val="-1"/>
                <w:numId w:val="0"/>
              </w:numPr>
              <w:spacing w:line="360" w:lineRule="auto"/>
              <w:ind w:left="0" w:firstLine="0"/>
              <w:jc w:val="left"/>
              <w:rPr>
                <w:rFonts w:hint="default"/>
                <w:color w:val="auto"/>
                <w:highlight w:val="none"/>
                <w:lang w:val="en-US" w:eastAsia="zh-CN"/>
              </w:rPr>
            </w:pPr>
            <w:r>
              <w:rPr>
                <w:rFonts w:hint="eastAsia" w:ascii="宋体" w:hAnsi="宋体" w:cs="宋体"/>
                <w:color w:val="auto"/>
                <w:kern w:val="0"/>
                <w:sz w:val="21"/>
                <w:szCs w:val="21"/>
                <w:highlight w:val="none"/>
              </w:rPr>
              <w:t>1.2.4.</w:t>
            </w:r>
            <w:r>
              <w:rPr>
                <w:rFonts w:hint="eastAsia" w:ascii="宋体" w:hAnsi="宋体" w:cs="宋体"/>
                <w:color w:val="auto"/>
                <w:kern w:val="0"/>
                <w:sz w:val="21"/>
                <w:szCs w:val="21"/>
                <w:highlight w:val="none"/>
                <w:lang w:val="en-US" w:eastAsia="zh-CN"/>
              </w:rPr>
              <w:t>7.第三方平台信息管理，</w:t>
            </w:r>
            <w:r>
              <w:rPr>
                <w:rFonts w:hint="eastAsia"/>
                <w:color w:val="auto"/>
                <w:highlight w:val="none"/>
                <w:lang w:val="en-US" w:eastAsia="zh-CN"/>
              </w:rPr>
              <w:t>支撑第三方平台信息在调证业务中的使用；</w:t>
            </w:r>
          </w:p>
          <w:p w14:paraId="0FE91131">
            <w:pPr>
              <w:widowControl/>
              <w:numPr>
                <w:ilvl w:val="-1"/>
                <w:numId w:val="0"/>
              </w:numPr>
              <w:spacing w:line="360" w:lineRule="auto"/>
              <w:ind w:left="0" w:firstLine="0"/>
              <w:jc w:val="left"/>
              <w:rPr>
                <w:rFonts w:hint="eastAsia"/>
                <w:color w:val="auto"/>
                <w:highlight w:val="none"/>
                <w:lang w:val="en-US" w:eastAsia="zh-CN"/>
              </w:rPr>
            </w:pPr>
            <w:r>
              <w:rPr>
                <w:rFonts w:hint="eastAsia" w:ascii="宋体" w:hAnsi="宋体" w:cs="宋体"/>
                <w:color w:val="auto"/>
                <w:kern w:val="0"/>
                <w:sz w:val="21"/>
                <w:szCs w:val="21"/>
                <w:highlight w:val="none"/>
              </w:rPr>
              <w:t>1.2.4.</w:t>
            </w:r>
            <w:r>
              <w:rPr>
                <w:rFonts w:hint="eastAsia" w:ascii="宋体" w:hAnsi="宋体" w:cs="宋体"/>
                <w:color w:val="auto"/>
                <w:kern w:val="0"/>
                <w:sz w:val="21"/>
                <w:szCs w:val="21"/>
                <w:highlight w:val="none"/>
                <w:lang w:val="en-US" w:eastAsia="zh-CN"/>
              </w:rPr>
              <w:t>8</w:t>
            </w:r>
            <w:r>
              <w:rPr>
                <w:rFonts w:hint="eastAsia" w:ascii="宋体" w:hAnsi="宋体" w:cs="宋体"/>
                <w:color w:val="auto"/>
                <w:kern w:val="0"/>
                <w:sz w:val="21"/>
                <w:szCs w:val="21"/>
                <w:highlight w:val="none"/>
              </w:rPr>
              <w:t>.</w:t>
            </w:r>
            <w:r>
              <w:rPr>
                <w:rFonts w:hint="eastAsia"/>
                <w:color w:val="auto"/>
                <w:highlight w:val="none"/>
                <w:lang w:val="en-US" w:eastAsia="zh-CN"/>
              </w:rPr>
              <w:t>第三方平台机构管理，支撑第三方平台机构在调证业务中的使用；</w:t>
            </w:r>
          </w:p>
          <w:p w14:paraId="4F379279">
            <w:pPr>
              <w:widowControl/>
              <w:numPr>
                <w:ilvl w:val="-1"/>
                <w:numId w:val="0"/>
              </w:numPr>
              <w:spacing w:before="0" w:after="0" w:line="360" w:lineRule="auto"/>
              <w:ind w:left="0" w:firstLine="0"/>
              <w:jc w:val="left"/>
              <w:rPr>
                <w:rFonts w:hint="eastAsia"/>
                <w:color w:val="auto"/>
                <w:highlight w:val="none"/>
                <w:lang w:val="en-US" w:eastAsia="zh-CN"/>
              </w:rPr>
            </w:pPr>
            <w:r>
              <w:rPr>
                <w:rFonts w:hint="eastAsia" w:ascii="宋体" w:hAnsi="宋体" w:cs="宋体"/>
                <w:color w:val="auto"/>
                <w:kern w:val="0"/>
                <w:sz w:val="21"/>
                <w:szCs w:val="21"/>
                <w:highlight w:val="none"/>
              </w:rPr>
              <w:t>1.2.4.</w:t>
            </w:r>
            <w:r>
              <w:rPr>
                <w:rFonts w:hint="eastAsia" w:ascii="宋体" w:hAnsi="宋体" w:cs="宋体"/>
                <w:color w:val="auto"/>
                <w:kern w:val="0"/>
                <w:sz w:val="21"/>
                <w:szCs w:val="21"/>
                <w:highlight w:val="none"/>
                <w:lang w:val="en-US" w:eastAsia="zh-CN"/>
              </w:rPr>
              <w:t>9</w:t>
            </w:r>
            <w:r>
              <w:rPr>
                <w:rFonts w:hint="eastAsia" w:ascii="宋体" w:hAnsi="宋体" w:cs="宋体"/>
                <w:color w:val="auto"/>
                <w:kern w:val="0"/>
                <w:sz w:val="21"/>
                <w:szCs w:val="21"/>
                <w:highlight w:val="none"/>
              </w:rPr>
              <w:t>.</w:t>
            </w:r>
            <w:r>
              <w:rPr>
                <w:rFonts w:hint="eastAsia"/>
                <w:color w:val="auto"/>
                <w:highlight w:val="none"/>
                <w:lang w:val="en-US" w:eastAsia="zh-CN"/>
              </w:rPr>
              <w:t>调度器管理，发起调证任务能根据预设进行资源的合理分配，避免任务阻塞；</w:t>
            </w:r>
          </w:p>
          <w:p w14:paraId="3CAFC192">
            <w:pPr>
              <w:widowControl/>
              <w:numPr>
                <w:ilvl w:val="-1"/>
                <w:numId w:val="0"/>
              </w:numPr>
              <w:spacing w:line="360" w:lineRule="auto"/>
              <w:ind w:left="0" w:firstLine="0"/>
              <w:jc w:val="left"/>
              <w:rPr>
                <w:rFonts w:hint="eastAsia"/>
                <w:color w:val="auto"/>
                <w:highlight w:val="none"/>
                <w:lang w:val="en-US" w:eastAsia="zh-CN"/>
              </w:rPr>
            </w:pPr>
            <w:r>
              <w:rPr>
                <w:rFonts w:hint="eastAsia" w:ascii="宋体" w:hAnsi="宋体" w:cs="宋体"/>
                <w:color w:val="auto"/>
                <w:kern w:val="0"/>
                <w:sz w:val="21"/>
                <w:szCs w:val="21"/>
                <w:highlight w:val="none"/>
              </w:rPr>
              <w:t>1.2.4.</w:t>
            </w:r>
            <w:r>
              <w:rPr>
                <w:rFonts w:hint="eastAsia" w:ascii="宋体" w:hAnsi="宋体" w:cs="宋体"/>
                <w:color w:val="auto"/>
                <w:kern w:val="0"/>
                <w:sz w:val="21"/>
                <w:szCs w:val="21"/>
                <w:highlight w:val="none"/>
                <w:lang w:val="en-US" w:eastAsia="zh-CN"/>
              </w:rPr>
              <w:t>10</w:t>
            </w:r>
            <w:r>
              <w:rPr>
                <w:rFonts w:hint="eastAsia" w:ascii="宋体" w:hAnsi="宋体" w:cs="宋体"/>
                <w:color w:val="auto"/>
                <w:kern w:val="0"/>
                <w:sz w:val="21"/>
                <w:szCs w:val="21"/>
                <w:highlight w:val="none"/>
              </w:rPr>
              <w:t>.</w:t>
            </w:r>
            <w:r>
              <w:rPr>
                <w:rFonts w:hint="eastAsia"/>
                <w:color w:val="auto"/>
                <w:highlight w:val="none"/>
                <w:lang w:val="en-US" w:eastAsia="zh-CN"/>
              </w:rPr>
              <w:t>调证坐席管理，管理记录调证坐席ip、所属机构、绑定设备编号、绑定设备类型；</w:t>
            </w:r>
          </w:p>
          <w:p w14:paraId="6285450F">
            <w:pPr>
              <w:widowControl/>
              <w:numPr>
                <w:ilvl w:val="-1"/>
                <w:numId w:val="0"/>
              </w:numPr>
              <w:spacing w:line="360" w:lineRule="auto"/>
              <w:ind w:left="0" w:firstLine="0"/>
              <w:jc w:val="left"/>
              <w:rPr>
                <w:rFonts w:hint="eastAsia"/>
                <w:color w:val="auto"/>
                <w:highlight w:val="none"/>
                <w:lang w:val="en-US" w:eastAsia="zh-CN"/>
              </w:rPr>
            </w:pPr>
            <w:r>
              <w:rPr>
                <w:rFonts w:hint="eastAsia" w:ascii="宋体" w:hAnsi="宋体" w:cs="宋体"/>
                <w:color w:val="auto"/>
                <w:kern w:val="0"/>
                <w:sz w:val="21"/>
                <w:szCs w:val="21"/>
                <w:highlight w:val="none"/>
              </w:rPr>
              <w:t>1.2.4.</w:t>
            </w:r>
            <w:r>
              <w:rPr>
                <w:rFonts w:hint="eastAsia" w:ascii="宋体" w:hAnsi="宋体" w:cs="宋体"/>
                <w:color w:val="auto"/>
                <w:kern w:val="0"/>
                <w:sz w:val="21"/>
                <w:szCs w:val="21"/>
                <w:highlight w:val="none"/>
                <w:lang w:val="en-US" w:eastAsia="zh-CN"/>
              </w:rPr>
              <w:t>11</w:t>
            </w:r>
            <w:r>
              <w:rPr>
                <w:rFonts w:hint="eastAsia" w:ascii="宋体" w:hAnsi="宋体" w:cs="宋体"/>
                <w:color w:val="auto"/>
                <w:kern w:val="0"/>
                <w:sz w:val="21"/>
                <w:szCs w:val="21"/>
                <w:highlight w:val="none"/>
              </w:rPr>
              <w:t>.</w:t>
            </w:r>
            <w:r>
              <w:rPr>
                <w:rFonts w:hint="eastAsia"/>
                <w:color w:val="auto"/>
                <w:highlight w:val="none"/>
                <w:lang w:val="en-US" w:eastAsia="zh-CN"/>
              </w:rPr>
              <w:t>调证坐席状态管理，提供坐席与国反对接服务状态检测，提示用户当前调证服务是否可用；</w:t>
            </w:r>
          </w:p>
          <w:p w14:paraId="6EB655DF">
            <w:pPr>
              <w:widowControl/>
              <w:numPr>
                <w:ilvl w:val="-1"/>
                <w:numId w:val="0"/>
              </w:numPr>
              <w:spacing w:line="360" w:lineRule="auto"/>
              <w:ind w:left="0" w:firstLine="0"/>
              <w:jc w:val="left"/>
              <w:rPr>
                <w:rFonts w:hint="eastAsia"/>
                <w:color w:val="auto"/>
                <w:highlight w:val="none"/>
                <w:lang w:val="en-US" w:eastAsia="zh-CN"/>
              </w:rPr>
            </w:pPr>
            <w:r>
              <w:rPr>
                <w:rFonts w:hint="eastAsia" w:ascii="宋体" w:hAnsi="宋体" w:cs="宋体"/>
                <w:color w:val="auto"/>
                <w:kern w:val="0"/>
                <w:sz w:val="21"/>
                <w:szCs w:val="21"/>
                <w:highlight w:val="none"/>
              </w:rPr>
              <w:t>1.2.4.</w:t>
            </w:r>
            <w:r>
              <w:rPr>
                <w:rFonts w:hint="eastAsia" w:ascii="宋体" w:hAnsi="宋体" w:cs="宋体"/>
                <w:color w:val="auto"/>
                <w:kern w:val="0"/>
                <w:sz w:val="21"/>
                <w:szCs w:val="21"/>
                <w:highlight w:val="none"/>
                <w:lang w:val="en-US" w:eastAsia="zh-CN"/>
              </w:rPr>
              <w:t>12</w:t>
            </w:r>
            <w:r>
              <w:rPr>
                <w:rFonts w:hint="eastAsia" w:ascii="宋体" w:hAnsi="宋体" w:cs="宋体"/>
                <w:color w:val="auto"/>
                <w:kern w:val="0"/>
                <w:sz w:val="21"/>
                <w:szCs w:val="21"/>
                <w:highlight w:val="none"/>
              </w:rPr>
              <w:t>.</w:t>
            </w:r>
            <w:r>
              <w:rPr>
                <w:rFonts w:hint="eastAsia"/>
                <w:color w:val="auto"/>
                <w:highlight w:val="none"/>
                <w:lang w:val="en-US" w:eastAsia="zh-CN"/>
              </w:rPr>
              <w:t>坐席注册申请单管理，提供用户自行安装注册坐席；</w:t>
            </w:r>
          </w:p>
          <w:p w14:paraId="7F890283">
            <w:pPr>
              <w:widowControl/>
              <w:numPr>
                <w:ilvl w:val="-1"/>
                <w:numId w:val="0"/>
              </w:numPr>
              <w:spacing w:line="360" w:lineRule="auto"/>
              <w:ind w:left="0" w:firstLine="0"/>
              <w:jc w:val="left"/>
              <w:rPr>
                <w:rFonts w:hint="eastAsia"/>
                <w:color w:val="auto"/>
                <w:highlight w:val="none"/>
                <w:lang w:val="en-US" w:eastAsia="zh-CN"/>
              </w:rPr>
            </w:pPr>
            <w:r>
              <w:rPr>
                <w:rFonts w:hint="eastAsia" w:ascii="宋体" w:hAnsi="宋体" w:cs="宋体"/>
                <w:color w:val="auto"/>
                <w:kern w:val="0"/>
                <w:sz w:val="21"/>
                <w:szCs w:val="21"/>
                <w:highlight w:val="none"/>
              </w:rPr>
              <w:t>1.2.4.</w:t>
            </w:r>
            <w:r>
              <w:rPr>
                <w:rFonts w:hint="eastAsia" w:ascii="宋体" w:hAnsi="宋体" w:cs="宋体"/>
                <w:color w:val="auto"/>
                <w:kern w:val="0"/>
                <w:sz w:val="21"/>
                <w:szCs w:val="21"/>
                <w:highlight w:val="none"/>
                <w:lang w:val="en-US" w:eastAsia="zh-CN"/>
              </w:rPr>
              <w:t>13</w:t>
            </w:r>
            <w:r>
              <w:rPr>
                <w:rFonts w:hint="eastAsia" w:ascii="宋体" w:hAnsi="宋体" w:cs="宋体"/>
                <w:color w:val="auto"/>
                <w:kern w:val="0"/>
                <w:sz w:val="21"/>
                <w:szCs w:val="21"/>
                <w:highlight w:val="none"/>
              </w:rPr>
              <w:t>.</w:t>
            </w:r>
            <w:r>
              <w:rPr>
                <w:rFonts w:hint="eastAsia"/>
                <w:color w:val="auto"/>
                <w:highlight w:val="none"/>
                <w:lang w:val="en-US" w:eastAsia="zh-CN"/>
              </w:rPr>
              <w:t>坐席审批单管理，为管理员提供坐席申请功能，以便尽快响应个人坐席申请；</w:t>
            </w:r>
          </w:p>
          <w:p w14:paraId="42A2E4E5">
            <w:pPr>
              <w:widowControl/>
              <w:numPr>
                <w:ilvl w:val="-1"/>
                <w:numId w:val="0"/>
              </w:numPr>
              <w:spacing w:line="360" w:lineRule="auto"/>
              <w:ind w:left="0" w:firstLine="0"/>
              <w:jc w:val="left"/>
              <w:rPr>
                <w:rFonts w:hint="eastAsia"/>
                <w:color w:val="auto"/>
                <w:highlight w:val="none"/>
                <w:lang w:val="en-US" w:eastAsia="zh-CN"/>
              </w:rPr>
            </w:pPr>
            <w:r>
              <w:rPr>
                <w:rFonts w:hint="eastAsia" w:ascii="宋体" w:hAnsi="宋体" w:cs="宋体"/>
                <w:color w:val="auto"/>
                <w:kern w:val="0"/>
                <w:sz w:val="21"/>
                <w:szCs w:val="21"/>
                <w:highlight w:val="none"/>
              </w:rPr>
              <w:t>1.2.4.</w:t>
            </w:r>
            <w:r>
              <w:rPr>
                <w:rFonts w:hint="eastAsia" w:ascii="宋体" w:hAnsi="宋体" w:cs="宋体"/>
                <w:color w:val="auto"/>
                <w:kern w:val="0"/>
                <w:sz w:val="21"/>
                <w:szCs w:val="21"/>
                <w:highlight w:val="none"/>
                <w:lang w:val="en-US" w:eastAsia="zh-CN"/>
              </w:rPr>
              <w:t>14</w:t>
            </w:r>
            <w:r>
              <w:rPr>
                <w:rFonts w:hint="eastAsia" w:ascii="宋体" w:hAnsi="宋体" w:cs="宋体"/>
                <w:color w:val="auto"/>
                <w:kern w:val="0"/>
                <w:sz w:val="21"/>
                <w:szCs w:val="21"/>
                <w:highlight w:val="none"/>
              </w:rPr>
              <w:t>.</w:t>
            </w:r>
            <w:r>
              <w:rPr>
                <w:rFonts w:hint="eastAsia"/>
                <w:color w:val="auto"/>
                <w:highlight w:val="none"/>
                <w:lang w:val="en-US" w:eastAsia="zh-CN"/>
              </w:rPr>
              <w:t>坐席授权管理，提供坐席授权密钥、授权码，授权时间控制；</w:t>
            </w:r>
          </w:p>
          <w:p w14:paraId="0691346C">
            <w:pPr>
              <w:widowControl/>
              <w:numPr>
                <w:ilvl w:val="-1"/>
                <w:numId w:val="0"/>
              </w:numPr>
              <w:spacing w:line="360" w:lineRule="auto"/>
              <w:ind w:left="0" w:firstLine="0"/>
              <w:jc w:val="left"/>
              <w:rPr>
                <w:rFonts w:hint="eastAsia"/>
                <w:color w:val="auto"/>
                <w:highlight w:val="none"/>
                <w:lang w:val="en-US" w:eastAsia="zh-CN"/>
              </w:rPr>
            </w:pPr>
            <w:r>
              <w:rPr>
                <w:rFonts w:hint="eastAsia" w:ascii="宋体" w:hAnsi="宋体" w:cs="宋体"/>
                <w:color w:val="auto"/>
                <w:kern w:val="0"/>
                <w:sz w:val="21"/>
                <w:szCs w:val="21"/>
                <w:highlight w:val="none"/>
              </w:rPr>
              <w:t>1.2.4.</w:t>
            </w:r>
            <w:r>
              <w:rPr>
                <w:rFonts w:hint="eastAsia" w:ascii="宋体" w:hAnsi="宋体" w:cs="宋体"/>
                <w:color w:val="auto"/>
                <w:kern w:val="0"/>
                <w:sz w:val="21"/>
                <w:szCs w:val="21"/>
                <w:highlight w:val="none"/>
                <w:lang w:val="en-US" w:eastAsia="zh-CN"/>
              </w:rPr>
              <w:t>15</w:t>
            </w:r>
            <w:r>
              <w:rPr>
                <w:rFonts w:hint="eastAsia" w:ascii="宋体" w:hAnsi="宋体" w:cs="宋体"/>
                <w:color w:val="auto"/>
                <w:kern w:val="0"/>
                <w:sz w:val="21"/>
                <w:szCs w:val="21"/>
                <w:highlight w:val="none"/>
              </w:rPr>
              <w:t>.</w:t>
            </w:r>
            <w:r>
              <w:rPr>
                <w:rFonts w:hint="eastAsia"/>
                <w:color w:val="auto"/>
                <w:highlight w:val="none"/>
                <w:lang w:val="en-US" w:eastAsia="zh-CN"/>
              </w:rPr>
              <w:t>调证任务组管理，提供批量发起自动调证功能，并对调证任务实行分组功能；</w:t>
            </w:r>
          </w:p>
          <w:p w14:paraId="43DECE0A">
            <w:pPr>
              <w:widowControl/>
              <w:numPr>
                <w:ilvl w:val="-1"/>
                <w:numId w:val="0"/>
              </w:numPr>
              <w:spacing w:line="360" w:lineRule="auto"/>
              <w:ind w:left="0" w:firstLine="0"/>
              <w:jc w:val="left"/>
              <w:rPr>
                <w:rFonts w:hint="eastAsia"/>
                <w:color w:val="auto"/>
                <w:highlight w:val="none"/>
                <w:lang w:val="en-US" w:eastAsia="zh-CN"/>
              </w:rPr>
            </w:pPr>
            <w:r>
              <w:rPr>
                <w:rFonts w:hint="eastAsia" w:ascii="宋体" w:hAnsi="宋体" w:cs="宋体"/>
                <w:color w:val="auto"/>
                <w:kern w:val="0"/>
                <w:sz w:val="21"/>
                <w:szCs w:val="21"/>
                <w:highlight w:val="none"/>
              </w:rPr>
              <w:t>1.2.4.</w:t>
            </w:r>
            <w:r>
              <w:rPr>
                <w:rFonts w:hint="eastAsia" w:ascii="宋体" w:hAnsi="宋体" w:cs="宋体"/>
                <w:color w:val="auto"/>
                <w:kern w:val="0"/>
                <w:sz w:val="21"/>
                <w:szCs w:val="21"/>
                <w:highlight w:val="none"/>
                <w:lang w:val="en-US" w:eastAsia="zh-CN"/>
              </w:rPr>
              <w:t>16</w:t>
            </w:r>
            <w:r>
              <w:rPr>
                <w:rFonts w:hint="eastAsia" w:ascii="宋体" w:hAnsi="宋体" w:cs="宋体"/>
                <w:color w:val="auto"/>
                <w:kern w:val="0"/>
                <w:sz w:val="21"/>
                <w:szCs w:val="21"/>
                <w:highlight w:val="none"/>
              </w:rPr>
              <w:t>.</w:t>
            </w:r>
            <w:r>
              <w:rPr>
                <w:rFonts w:hint="eastAsia"/>
                <w:color w:val="auto"/>
                <w:highlight w:val="none"/>
                <w:lang w:val="en-US" w:eastAsia="zh-CN"/>
              </w:rPr>
              <w:t>银行调证任务管理，实时提供银行调证任务信息；</w:t>
            </w:r>
          </w:p>
          <w:p w14:paraId="3A69F86C">
            <w:pPr>
              <w:widowControl/>
              <w:numPr>
                <w:ilvl w:val="-1"/>
                <w:numId w:val="0"/>
              </w:numPr>
              <w:spacing w:line="360" w:lineRule="auto"/>
              <w:ind w:left="0" w:firstLine="0"/>
              <w:jc w:val="left"/>
              <w:rPr>
                <w:rFonts w:hint="eastAsia"/>
                <w:color w:val="auto"/>
                <w:highlight w:val="none"/>
                <w:lang w:val="en-US" w:eastAsia="zh-CN"/>
              </w:rPr>
            </w:pPr>
            <w:r>
              <w:rPr>
                <w:rFonts w:hint="eastAsia" w:ascii="宋体" w:hAnsi="宋体" w:cs="宋体"/>
                <w:color w:val="auto"/>
                <w:kern w:val="0"/>
                <w:sz w:val="21"/>
                <w:szCs w:val="21"/>
                <w:highlight w:val="none"/>
              </w:rPr>
              <w:t>1.2.4.</w:t>
            </w:r>
            <w:r>
              <w:rPr>
                <w:rFonts w:hint="eastAsia" w:ascii="宋体" w:hAnsi="宋体" w:cs="宋体"/>
                <w:color w:val="auto"/>
                <w:kern w:val="0"/>
                <w:sz w:val="21"/>
                <w:szCs w:val="21"/>
                <w:highlight w:val="none"/>
                <w:lang w:val="en-US" w:eastAsia="zh-CN"/>
              </w:rPr>
              <w:t>17</w:t>
            </w:r>
            <w:r>
              <w:rPr>
                <w:rFonts w:hint="eastAsia" w:ascii="宋体" w:hAnsi="宋体" w:cs="宋体"/>
                <w:color w:val="auto"/>
                <w:kern w:val="0"/>
                <w:sz w:val="21"/>
                <w:szCs w:val="21"/>
                <w:highlight w:val="none"/>
              </w:rPr>
              <w:t>.</w:t>
            </w:r>
            <w:r>
              <w:rPr>
                <w:rFonts w:hint="eastAsia"/>
                <w:color w:val="auto"/>
                <w:highlight w:val="none"/>
                <w:lang w:val="en-US" w:eastAsia="zh-CN"/>
              </w:rPr>
              <w:t>银行调证任务历史管理，提供历史银行调证任务信息；</w:t>
            </w:r>
          </w:p>
          <w:p w14:paraId="74A86BCC">
            <w:pPr>
              <w:widowControl/>
              <w:numPr>
                <w:ilvl w:val="-1"/>
                <w:numId w:val="0"/>
              </w:numPr>
              <w:spacing w:before="0" w:after="0" w:line="360" w:lineRule="auto"/>
              <w:ind w:left="0" w:firstLine="0"/>
              <w:jc w:val="left"/>
              <w:rPr>
                <w:rFonts w:hint="eastAsia"/>
                <w:color w:val="auto"/>
                <w:highlight w:val="none"/>
                <w:lang w:val="en-US" w:eastAsia="zh-CN"/>
              </w:rPr>
            </w:pPr>
            <w:r>
              <w:rPr>
                <w:rFonts w:hint="eastAsia" w:ascii="宋体" w:hAnsi="宋体" w:cs="宋体"/>
                <w:color w:val="auto"/>
                <w:kern w:val="0"/>
                <w:sz w:val="21"/>
                <w:szCs w:val="21"/>
                <w:highlight w:val="none"/>
              </w:rPr>
              <w:t>1.2.4.</w:t>
            </w:r>
            <w:r>
              <w:rPr>
                <w:rFonts w:hint="eastAsia" w:ascii="宋体" w:hAnsi="宋体" w:cs="宋体"/>
                <w:color w:val="auto"/>
                <w:kern w:val="0"/>
                <w:sz w:val="21"/>
                <w:szCs w:val="21"/>
                <w:highlight w:val="none"/>
                <w:lang w:val="en-US" w:eastAsia="zh-CN"/>
              </w:rPr>
              <w:t>18</w:t>
            </w:r>
            <w:r>
              <w:rPr>
                <w:rFonts w:hint="eastAsia" w:ascii="宋体" w:hAnsi="宋体" w:cs="宋体"/>
                <w:color w:val="auto"/>
                <w:kern w:val="0"/>
                <w:sz w:val="21"/>
                <w:szCs w:val="21"/>
                <w:highlight w:val="none"/>
              </w:rPr>
              <w:t>.</w:t>
            </w:r>
            <w:r>
              <w:rPr>
                <w:rFonts w:hint="eastAsia"/>
                <w:color w:val="auto"/>
                <w:highlight w:val="none"/>
                <w:lang w:val="en-US" w:eastAsia="zh-CN"/>
              </w:rPr>
              <w:t>第三方调证任务管理，实时提供第三方调证任务信息；</w:t>
            </w:r>
          </w:p>
          <w:p w14:paraId="2394E0D7">
            <w:pPr>
              <w:widowControl/>
              <w:numPr>
                <w:ilvl w:val="-1"/>
                <w:numId w:val="0"/>
              </w:numPr>
              <w:spacing w:before="0" w:after="0" w:line="360" w:lineRule="auto"/>
              <w:ind w:left="0" w:firstLine="0"/>
              <w:jc w:val="left"/>
              <w:rPr>
                <w:rFonts w:hint="eastAsia"/>
                <w:color w:val="auto"/>
                <w:highlight w:val="none"/>
                <w:lang w:val="en-US" w:eastAsia="zh-CN"/>
              </w:rPr>
            </w:pPr>
            <w:r>
              <w:rPr>
                <w:rFonts w:hint="eastAsia" w:ascii="宋体" w:hAnsi="宋体" w:cs="宋体"/>
                <w:color w:val="auto"/>
                <w:kern w:val="0"/>
                <w:sz w:val="21"/>
                <w:szCs w:val="21"/>
                <w:highlight w:val="none"/>
              </w:rPr>
              <w:t>1.2.4.</w:t>
            </w:r>
            <w:r>
              <w:rPr>
                <w:rFonts w:hint="eastAsia" w:ascii="宋体" w:hAnsi="宋体" w:cs="宋体"/>
                <w:color w:val="auto"/>
                <w:kern w:val="0"/>
                <w:sz w:val="21"/>
                <w:szCs w:val="21"/>
                <w:highlight w:val="none"/>
                <w:lang w:val="en-US" w:eastAsia="zh-CN"/>
              </w:rPr>
              <w:t>19</w:t>
            </w:r>
            <w:r>
              <w:rPr>
                <w:rFonts w:hint="eastAsia" w:ascii="宋体" w:hAnsi="宋体" w:cs="宋体"/>
                <w:color w:val="auto"/>
                <w:kern w:val="0"/>
                <w:sz w:val="21"/>
                <w:szCs w:val="21"/>
                <w:highlight w:val="none"/>
              </w:rPr>
              <w:t>.</w:t>
            </w:r>
            <w:r>
              <w:rPr>
                <w:rFonts w:hint="eastAsia"/>
                <w:color w:val="auto"/>
                <w:highlight w:val="none"/>
                <w:lang w:val="en-US" w:eastAsia="zh-CN"/>
              </w:rPr>
              <w:t>第三方证任务历史管理，提供历史第三方调证任务信息；</w:t>
            </w:r>
          </w:p>
          <w:p w14:paraId="681C23B2">
            <w:pPr>
              <w:widowControl/>
              <w:numPr>
                <w:ilvl w:val="-1"/>
                <w:numId w:val="0"/>
              </w:numPr>
              <w:spacing w:line="360" w:lineRule="auto"/>
              <w:ind w:left="0" w:firstLine="0"/>
              <w:jc w:val="left"/>
              <w:rPr>
                <w:rFonts w:hint="eastAsia"/>
                <w:color w:val="auto"/>
                <w:highlight w:val="none"/>
                <w:lang w:val="en-US" w:eastAsia="zh-CN"/>
              </w:rPr>
            </w:pPr>
            <w:r>
              <w:rPr>
                <w:rFonts w:hint="eastAsia" w:ascii="宋体" w:hAnsi="宋体" w:cs="宋体"/>
                <w:color w:val="auto"/>
                <w:kern w:val="0"/>
                <w:sz w:val="21"/>
                <w:szCs w:val="21"/>
                <w:highlight w:val="none"/>
              </w:rPr>
              <w:t>1.2.4.</w:t>
            </w:r>
            <w:r>
              <w:rPr>
                <w:rFonts w:hint="eastAsia" w:ascii="宋体" w:hAnsi="宋体" w:cs="宋体"/>
                <w:color w:val="auto"/>
                <w:kern w:val="0"/>
                <w:sz w:val="21"/>
                <w:szCs w:val="21"/>
                <w:highlight w:val="none"/>
                <w:lang w:val="en-US" w:eastAsia="zh-CN"/>
              </w:rPr>
              <w:t>20</w:t>
            </w:r>
            <w:r>
              <w:rPr>
                <w:rFonts w:hint="eastAsia" w:ascii="宋体" w:hAnsi="宋体" w:cs="宋体"/>
                <w:color w:val="auto"/>
                <w:kern w:val="0"/>
                <w:sz w:val="21"/>
                <w:szCs w:val="21"/>
                <w:highlight w:val="none"/>
              </w:rPr>
              <w:t>.</w:t>
            </w:r>
            <w:r>
              <w:rPr>
                <w:rFonts w:hint="eastAsia"/>
                <w:color w:val="auto"/>
                <w:highlight w:val="none"/>
                <w:lang w:val="en-US" w:eastAsia="zh-CN"/>
              </w:rPr>
              <w:t>银行止付任务管理，提供银行实时止付任务信息；</w:t>
            </w:r>
          </w:p>
          <w:p w14:paraId="0A327746">
            <w:pPr>
              <w:widowControl/>
              <w:numPr>
                <w:ilvl w:val="-1"/>
                <w:numId w:val="0"/>
              </w:numPr>
              <w:spacing w:line="360" w:lineRule="auto"/>
              <w:ind w:left="0" w:firstLine="0"/>
              <w:jc w:val="left"/>
              <w:rPr>
                <w:rFonts w:hint="eastAsia"/>
                <w:color w:val="auto"/>
                <w:highlight w:val="none"/>
                <w:lang w:val="en-US" w:eastAsia="zh-CN"/>
              </w:rPr>
            </w:pPr>
            <w:r>
              <w:rPr>
                <w:rFonts w:hint="eastAsia" w:ascii="宋体" w:hAnsi="宋体" w:cs="宋体"/>
                <w:color w:val="auto"/>
                <w:kern w:val="0"/>
                <w:sz w:val="21"/>
                <w:szCs w:val="21"/>
                <w:highlight w:val="none"/>
              </w:rPr>
              <w:t>1.2.4.</w:t>
            </w:r>
            <w:r>
              <w:rPr>
                <w:rFonts w:hint="eastAsia" w:ascii="宋体" w:hAnsi="宋体" w:cs="宋体"/>
                <w:color w:val="auto"/>
                <w:kern w:val="0"/>
                <w:sz w:val="21"/>
                <w:szCs w:val="21"/>
                <w:highlight w:val="none"/>
                <w:lang w:val="en-US" w:eastAsia="zh-CN"/>
              </w:rPr>
              <w:t>21</w:t>
            </w:r>
            <w:r>
              <w:rPr>
                <w:rFonts w:hint="eastAsia" w:ascii="宋体" w:hAnsi="宋体" w:cs="宋体"/>
                <w:color w:val="auto"/>
                <w:kern w:val="0"/>
                <w:sz w:val="21"/>
                <w:szCs w:val="21"/>
                <w:highlight w:val="none"/>
              </w:rPr>
              <w:t>.</w:t>
            </w:r>
            <w:r>
              <w:rPr>
                <w:rFonts w:hint="eastAsia"/>
                <w:color w:val="auto"/>
                <w:highlight w:val="none"/>
                <w:lang w:val="en-US" w:eastAsia="zh-CN"/>
              </w:rPr>
              <w:t>银行止付任务历史管理，提供银行止付历史任务信息；</w:t>
            </w:r>
          </w:p>
          <w:p w14:paraId="572B4251">
            <w:pPr>
              <w:widowControl/>
              <w:numPr>
                <w:ilvl w:val="-1"/>
                <w:numId w:val="0"/>
              </w:numPr>
              <w:spacing w:before="0" w:after="0" w:line="360" w:lineRule="auto"/>
              <w:ind w:left="0" w:firstLine="0"/>
              <w:jc w:val="left"/>
              <w:rPr>
                <w:rFonts w:hint="eastAsia"/>
                <w:color w:val="auto"/>
                <w:highlight w:val="none"/>
                <w:lang w:val="en-US" w:eastAsia="zh-CN"/>
              </w:rPr>
            </w:pPr>
            <w:r>
              <w:rPr>
                <w:rFonts w:hint="eastAsia" w:ascii="宋体" w:hAnsi="宋体" w:cs="宋体"/>
                <w:color w:val="auto"/>
                <w:kern w:val="0"/>
                <w:sz w:val="21"/>
                <w:szCs w:val="21"/>
                <w:highlight w:val="none"/>
              </w:rPr>
              <w:t>1.2.4.</w:t>
            </w:r>
            <w:r>
              <w:rPr>
                <w:rFonts w:hint="eastAsia" w:ascii="宋体" w:hAnsi="宋体" w:cs="宋体"/>
                <w:color w:val="auto"/>
                <w:kern w:val="0"/>
                <w:sz w:val="21"/>
                <w:szCs w:val="21"/>
                <w:highlight w:val="none"/>
                <w:lang w:val="en-US" w:eastAsia="zh-CN"/>
              </w:rPr>
              <w:t>22</w:t>
            </w:r>
            <w:r>
              <w:rPr>
                <w:rFonts w:hint="eastAsia" w:ascii="宋体" w:hAnsi="宋体" w:cs="宋体"/>
                <w:color w:val="auto"/>
                <w:kern w:val="0"/>
                <w:sz w:val="21"/>
                <w:szCs w:val="21"/>
                <w:highlight w:val="none"/>
              </w:rPr>
              <w:t>.</w:t>
            </w:r>
            <w:r>
              <w:rPr>
                <w:rFonts w:hint="eastAsia"/>
                <w:color w:val="auto"/>
                <w:highlight w:val="none"/>
                <w:lang w:val="en-US" w:eastAsia="zh-CN"/>
              </w:rPr>
              <w:t>第三方止付任务管理，提供第三方实时止付任务信息；</w:t>
            </w:r>
          </w:p>
          <w:p w14:paraId="3BEC8FCC">
            <w:pPr>
              <w:widowControl/>
              <w:numPr>
                <w:ilvl w:val="-1"/>
                <w:numId w:val="0"/>
              </w:numPr>
              <w:spacing w:line="360" w:lineRule="auto"/>
              <w:ind w:left="0" w:firstLine="0"/>
              <w:jc w:val="left"/>
              <w:rPr>
                <w:rFonts w:hint="eastAsia"/>
                <w:color w:val="auto"/>
                <w:highlight w:val="none"/>
                <w:lang w:val="en-US" w:eastAsia="zh-CN"/>
              </w:rPr>
            </w:pPr>
            <w:r>
              <w:rPr>
                <w:rFonts w:hint="eastAsia" w:ascii="宋体" w:hAnsi="宋体" w:cs="宋体"/>
                <w:color w:val="auto"/>
                <w:kern w:val="0"/>
                <w:sz w:val="21"/>
                <w:szCs w:val="21"/>
                <w:highlight w:val="none"/>
              </w:rPr>
              <w:t>1.2.4.</w:t>
            </w:r>
            <w:r>
              <w:rPr>
                <w:rFonts w:hint="eastAsia" w:ascii="宋体" w:hAnsi="宋体" w:cs="宋体"/>
                <w:color w:val="auto"/>
                <w:kern w:val="0"/>
                <w:sz w:val="21"/>
                <w:szCs w:val="21"/>
                <w:highlight w:val="none"/>
                <w:lang w:val="en-US" w:eastAsia="zh-CN"/>
              </w:rPr>
              <w:t>23</w:t>
            </w:r>
            <w:r>
              <w:rPr>
                <w:rFonts w:hint="eastAsia" w:ascii="宋体" w:hAnsi="宋体" w:cs="宋体"/>
                <w:color w:val="auto"/>
                <w:kern w:val="0"/>
                <w:sz w:val="21"/>
                <w:szCs w:val="21"/>
                <w:highlight w:val="none"/>
              </w:rPr>
              <w:t>.</w:t>
            </w:r>
            <w:r>
              <w:rPr>
                <w:rFonts w:hint="eastAsia" w:ascii="宋体" w:hAnsi="宋体" w:cs="宋体"/>
                <w:color w:val="auto"/>
                <w:kern w:val="0"/>
                <w:sz w:val="21"/>
                <w:szCs w:val="21"/>
                <w:highlight w:val="none"/>
                <w:lang w:val="en-US" w:eastAsia="zh-CN"/>
              </w:rPr>
              <w:t>第三方</w:t>
            </w:r>
            <w:r>
              <w:rPr>
                <w:rFonts w:hint="eastAsia"/>
                <w:color w:val="auto"/>
                <w:highlight w:val="none"/>
                <w:lang w:val="en-US" w:eastAsia="zh-CN"/>
              </w:rPr>
              <w:t>止付任务历史管理，提供第三方止付历史任务信息；</w:t>
            </w:r>
          </w:p>
          <w:p w14:paraId="7800F9AA">
            <w:pPr>
              <w:widowControl/>
              <w:numPr>
                <w:ilvl w:val="-1"/>
                <w:numId w:val="0"/>
              </w:numPr>
              <w:spacing w:line="360" w:lineRule="auto"/>
              <w:ind w:left="0" w:firstLine="0"/>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1.2.4.</w:t>
            </w:r>
            <w:r>
              <w:rPr>
                <w:rFonts w:hint="eastAsia" w:ascii="宋体" w:hAnsi="宋体" w:cs="宋体"/>
                <w:color w:val="auto"/>
                <w:kern w:val="0"/>
                <w:sz w:val="21"/>
                <w:szCs w:val="21"/>
                <w:highlight w:val="none"/>
                <w:lang w:val="en-US" w:eastAsia="zh-CN"/>
              </w:rPr>
              <w:t>24</w:t>
            </w:r>
            <w:r>
              <w:rPr>
                <w:rFonts w:hint="eastAsia" w:ascii="宋体" w:hAnsi="宋体" w:cs="宋体"/>
                <w:color w:val="auto"/>
                <w:kern w:val="0"/>
                <w:sz w:val="21"/>
                <w:szCs w:val="21"/>
                <w:highlight w:val="none"/>
              </w:rPr>
              <w:t>.</w:t>
            </w:r>
            <w:r>
              <w:rPr>
                <w:rFonts w:hint="eastAsia"/>
                <w:color w:val="auto"/>
                <w:highlight w:val="none"/>
                <w:lang w:val="en-US" w:eastAsia="zh-CN"/>
              </w:rPr>
              <w:t>自动调证任务管理，对调证任务状态进行实时监控及停止、重启、删除等操作。</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1.2.5.涉案资金档案</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建立涉案资金档案，对资金案件流水分析进行一案一档，并通过多维度案件数据进行管理。</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1.2.5.1.</w:t>
            </w:r>
            <w:r>
              <w:rPr>
                <w:rFonts w:hint="eastAsia" w:ascii="宋体" w:hAnsi="宋体" w:cs="宋体"/>
                <w:color w:val="auto"/>
                <w:kern w:val="0"/>
                <w:sz w:val="21"/>
                <w:szCs w:val="21"/>
                <w:highlight w:val="none"/>
                <w:lang w:val="en-US" w:eastAsia="zh-CN"/>
              </w:rPr>
              <w:t>电诈案件</w:t>
            </w:r>
            <w:r>
              <w:rPr>
                <w:rFonts w:hint="eastAsia" w:ascii="宋体" w:hAnsi="宋体" w:cs="宋体"/>
                <w:color w:val="auto"/>
                <w:kern w:val="0"/>
                <w:sz w:val="21"/>
                <w:szCs w:val="21"/>
                <w:highlight w:val="none"/>
              </w:rPr>
              <w:t>管理，涉案资金、账户余额、可返金额、返还比例、未调回账单数；</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1.2.5.2.案件授权管理，案件移交、分享；</w:t>
            </w:r>
          </w:p>
          <w:p w14:paraId="50F4CE02">
            <w:pPr>
              <w:widowControl/>
              <w:numPr>
                <w:ilvl w:val="-1"/>
                <w:numId w:val="0"/>
              </w:numPr>
              <w:spacing w:line="360" w:lineRule="auto"/>
              <w:ind w:left="0" w:firstLine="0"/>
              <w:jc w:val="left"/>
              <w:rPr>
                <w:rFonts w:hint="eastAsia"/>
                <w:color w:val="auto"/>
                <w:highlight w:val="none"/>
                <w:lang w:val="en-US" w:eastAsia="zh-CN"/>
              </w:rPr>
            </w:pPr>
            <w:r>
              <w:rPr>
                <w:rFonts w:hint="eastAsia" w:ascii="宋体" w:hAnsi="宋体" w:cs="宋体"/>
                <w:color w:val="auto"/>
                <w:kern w:val="0"/>
                <w:sz w:val="21"/>
                <w:szCs w:val="21"/>
                <w:highlight w:val="none"/>
              </w:rPr>
              <w:t>1.2.5.3.</w:t>
            </w:r>
            <w:r>
              <w:rPr>
                <w:rFonts w:hint="eastAsia"/>
                <w:color w:val="auto"/>
                <w:highlight w:val="none"/>
                <w:lang w:val="en-US" w:eastAsia="zh-CN"/>
              </w:rPr>
              <w:t>案件辅助/证据材料管理，提供案件辅助/证据材料信息上传；</w:t>
            </w:r>
          </w:p>
          <w:p w14:paraId="6A0A0303">
            <w:pPr>
              <w:widowControl/>
              <w:numPr>
                <w:ilvl w:val="-1"/>
                <w:numId w:val="0"/>
              </w:numPr>
              <w:spacing w:line="360" w:lineRule="auto"/>
              <w:ind w:left="0" w:firstLine="0"/>
              <w:jc w:val="left"/>
              <w:rPr>
                <w:rFonts w:hint="eastAsia"/>
                <w:color w:val="auto"/>
                <w:highlight w:val="none"/>
                <w:lang w:val="en-US" w:eastAsia="zh-CN"/>
              </w:rPr>
            </w:pPr>
            <w:r>
              <w:rPr>
                <w:rFonts w:hint="eastAsia" w:ascii="宋体" w:hAnsi="宋体" w:cs="宋体"/>
                <w:color w:val="auto"/>
                <w:kern w:val="0"/>
                <w:sz w:val="21"/>
                <w:szCs w:val="21"/>
                <w:highlight w:val="none"/>
              </w:rPr>
              <w:t>1.2.5.</w:t>
            </w:r>
            <w:r>
              <w:rPr>
                <w:rFonts w:hint="eastAsia" w:ascii="宋体" w:hAnsi="宋体" w:cs="宋体"/>
                <w:color w:val="auto"/>
                <w:kern w:val="0"/>
                <w:sz w:val="21"/>
                <w:szCs w:val="21"/>
                <w:highlight w:val="none"/>
                <w:lang w:val="en-US" w:eastAsia="zh-CN"/>
              </w:rPr>
              <w:t>4</w:t>
            </w:r>
            <w:r>
              <w:rPr>
                <w:rFonts w:hint="eastAsia"/>
                <w:color w:val="auto"/>
                <w:highlight w:val="none"/>
                <w:lang w:val="en-US" w:eastAsia="zh-CN"/>
              </w:rPr>
              <w:t>案件结案/归档管理，操作并记录案件的结案状态，归档情况；</w:t>
            </w:r>
          </w:p>
          <w:p w14:paraId="5FECF028">
            <w:pPr>
              <w:widowControl/>
              <w:numPr>
                <w:ilvl w:val="-1"/>
                <w:numId w:val="0"/>
              </w:numPr>
              <w:spacing w:line="360" w:lineRule="auto"/>
              <w:ind w:left="0" w:firstLine="0"/>
              <w:jc w:val="left"/>
              <w:rPr>
                <w:rFonts w:hint="eastAsia"/>
                <w:color w:val="auto"/>
                <w:highlight w:val="none"/>
                <w:lang w:val="en-US" w:eastAsia="zh-CN"/>
              </w:rPr>
            </w:pPr>
            <w:r>
              <w:rPr>
                <w:rFonts w:hint="eastAsia" w:ascii="宋体" w:hAnsi="宋体" w:cs="宋体"/>
                <w:color w:val="auto"/>
                <w:kern w:val="0"/>
                <w:sz w:val="21"/>
                <w:szCs w:val="21"/>
                <w:highlight w:val="none"/>
              </w:rPr>
              <w:t>1.2.5.</w:t>
            </w:r>
            <w:r>
              <w:rPr>
                <w:rFonts w:hint="eastAsia" w:ascii="宋体" w:hAnsi="宋体" w:cs="宋体"/>
                <w:color w:val="auto"/>
                <w:kern w:val="0"/>
                <w:sz w:val="21"/>
                <w:szCs w:val="21"/>
                <w:highlight w:val="none"/>
                <w:lang w:val="en-US" w:eastAsia="zh-CN"/>
              </w:rPr>
              <w:t>5</w:t>
            </w:r>
            <w:r>
              <w:rPr>
                <w:rFonts w:hint="eastAsia"/>
                <w:color w:val="auto"/>
                <w:highlight w:val="none"/>
                <w:lang w:val="en-US" w:eastAsia="zh-CN"/>
              </w:rPr>
              <w:t>帮信账号管理，归集帮助信息网络犯罪活动的账号信息；</w:t>
            </w:r>
          </w:p>
          <w:p w14:paraId="3B8B2FEA">
            <w:pPr>
              <w:widowControl/>
              <w:numPr>
                <w:ilvl w:val="-1"/>
                <w:numId w:val="0"/>
              </w:numPr>
              <w:spacing w:line="360" w:lineRule="auto"/>
              <w:ind w:left="0" w:firstLine="0"/>
              <w:jc w:val="left"/>
              <w:rPr>
                <w:rFonts w:hint="eastAsia"/>
                <w:color w:val="auto"/>
                <w:highlight w:val="none"/>
                <w:lang w:val="en-US" w:eastAsia="zh-CN"/>
              </w:rPr>
            </w:pPr>
            <w:r>
              <w:rPr>
                <w:rFonts w:hint="eastAsia" w:ascii="宋体" w:hAnsi="宋体" w:cs="宋体"/>
                <w:color w:val="auto"/>
                <w:kern w:val="0"/>
                <w:sz w:val="21"/>
                <w:szCs w:val="21"/>
                <w:highlight w:val="none"/>
              </w:rPr>
              <w:t>1.2.5.</w:t>
            </w:r>
            <w:r>
              <w:rPr>
                <w:rFonts w:hint="eastAsia" w:ascii="宋体" w:hAnsi="宋体" w:cs="宋体"/>
                <w:color w:val="auto"/>
                <w:kern w:val="0"/>
                <w:sz w:val="21"/>
                <w:szCs w:val="21"/>
                <w:highlight w:val="none"/>
                <w:lang w:val="en-US" w:eastAsia="zh-CN"/>
              </w:rPr>
              <w:t>6</w:t>
            </w:r>
            <w:r>
              <w:rPr>
                <w:rFonts w:hint="eastAsia"/>
                <w:color w:val="auto"/>
                <w:highlight w:val="none"/>
                <w:lang w:val="en-US" w:eastAsia="zh-CN"/>
              </w:rPr>
              <w:t>涉案账号、流水导出，导出案件涉案流水统计详情信息和导出案件涉案账号统计详情信息；</w:t>
            </w:r>
          </w:p>
          <w:p w14:paraId="6AA1ED4E">
            <w:pPr>
              <w:widowControl/>
              <w:numPr>
                <w:ilvl w:val="-1"/>
                <w:numId w:val="0"/>
              </w:numPr>
              <w:spacing w:line="360" w:lineRule="auto"/>
              <w:ind w:left="0" w:firstLine="0"/>
              <w:jc w:val="left"/>
              <w:rPr>
                <w:rFonts w:hint="eastAsia"/>
                <w:color w:val="auto"/>
                <w:highlight w:val="none"/>
                <w:lang w:val="en-US" w:eastAsia="zh-CN"/>
              </w:rPr>
            </w:pPr>
            <w:r>
              <w:rPr>
                <w:rFonts w:hint="eastAsia" w:ascii="宋体" w:hAnsi="宋体" w:cs="宋体"/>
                <w:color w:val="auto"/>
                <w:kern w:val="0"/>
                <w:sz w:val="21"/>
                <w:szCs w:val="21"/>
                <w:highlight w:val="none"/>
              </w:rPr>
              <w:t>1.2.5.</w:t>
            </w:r>
            <w:r>
              <w:rPr>
                <w:rFonts w:hint="eastAsia" w:ascii="宋体" w:hAnsi="宋体" w:cs="宋体"/>
                <w:color w:val="auto"/>
                <w:kern w:val="0"/>
                <w:sz w:val="21"/>
                <w:szCs w:val="21"/>
                <w:highlight w:val="none"/>
                <w:lang w:val="en-US" w:eastAsia="zh-CN"/>
              </w:rPr>
              <w:t>7</w:t>
            </w:r>
            <w:r>
              <w:rPr>
                <w:rFonts w:hint="eastAsia"/>
                <w:color w:val="auto"/>
                <w:highlight w:val="none"/>
                <w:lang w:val="en-US" w:eastAsia="zh-CN"/>
              </w:rPr>
              <w:t>涉案流水管理，提供案件中涉及电信诈骗犯罪活动的资金流水信息；</w:t>
            </w:r>
          </w:p>
          <w:p w14:paraId="10C3824F">
            <w:pPr>
              <w:widowControl/>
              <w:numPr>
                <w:ilvl w:val="-1"/>
                <w:numId w:val="0"/>
              </w:numPr>
              <w:spacing w:line="360" w:lineRule="auto"/>
              <w:ind w:left="0" w:firstLine="0"/>
              <w:jc w:val="left"/>
              <w:rPr>
                <w:rFonts w:hint="eastAsia"/>
                <w:color w:val="auto"/>
                <w:highlight w:val="none"/>
                <w:lang w:val="en-US" w:eastAsia="zh-CN"/>
              </w:rPr>
            </w:pPr>
            <w:r>
              <w:rPr>
                <w:rFonts w:hint="eastAsia" w:ascii="宋体" w:hAnsi="宋体" w:cs="宋体"/>
                <w:color w:val="auto"/>
                <w:kern w:val="0"/>
                <w:sz w:val="21"/>
                <w:szCs w:val="21"/>
                <w:highlight w:val="none"/>
              </w:rPr>
              <w:t>1.2.5.</w:t>
            </w:r>
            <w:r>
              <w:rPr>
                <w:rFonts w:hint="eastAsia" w:ascii="宋体" w:hAnsi="宋体" w:cs="宋体"/>
                <w:color w:val="auto"/>
                <w:kern w:val="0"/>
                <w:sz w:val="21"/>
                <w:szCs w:val="21"/>
                <w:highlight w:val="none"/>
                <w:lang w:val="en-US" w:eastAsia="zh-CN"/>
              </w:rPr>
              <w:t>8</w:t>
            </w:r>
            <w:r>
              <w:rPr>
                <w:rFonts w:hint="eastAsia"/>
                <w:color w:val="auto"/>
                <w:highlight w:val="none"/>
                <w:lang w:val="en-US" w:eastAsia="zh-CN"/>
              </w:rPr>
              <w:t>银行账号管理，管理记录案件中银行账号、开户行信息；</w:t>
            </w:r>
          </w:p>
          <w:p w14:paraId="4C3B7B9A">
            <w:pPr>
              <w:widowControl/>
              <w:numPr>
                <w:ilvl w:val="-1"/>
                <w:numId w:val="0"/>
              </w:numPr>
              <w:spacing w:line="360" w:lineRule="auto"/>
              <w:ind w:left="0" w:firstLine="0"/>
              <w:jc w:val="left"/>
              <w:rPr>
                <w:rFonts w:hint="eastAsia"/>
                <w:color w:val="auto"/>
                <w:highlight w:val="none"/>
                <w:lang w:val="en-US" w:eastAsia="zh-CN"/>
              </w:rPr>
            </w:pPr>
            <w:r>
              <w:rPr>
                <w:rFonts w:hint="eastAsia" w:ascii="宋体" w:hAnsi="宋体" w:cs="宋体"/>
                <w:color w:val="auto"/>
                <w:kern w:val="0"/>
                <w:sz w:val="21"/>
                <w:szCs w:val="21"/>
                <w:highlight w:val="none"/>
              </w:rPr>
              <w:t>1.2.5.</w:t>
            </w:r>
            <w:r>
              <w:rPr>
                <w:rFonts w:hint="eastAsia" w:ascii="宋体" w:hAnsi="宋体" w:cs="宋体"/>
                <w:color w:val="auto"/>
                <w:kern w:val="0"/>
                <w:sz w:val="21"/>
                <w:szCs w:val="21"/>
                <w:highlight w:val="none"/>
                <w:lang w:val="en-US" w:eastAsia="zh-CN"/>
              </w:rPr>
              <w:t>9</w:t>
            </w:r>
            <w:r>
              <w:rPr>
                <w:rFonts w:hint="eastAsia"/>
                <w:color w:val="auto"/>
                <w:highlight w:val="none"/>
                <w:lang w:val="en-US" w:eastAsia="zh-CN"/>
              </w:rPr>
              <w:t>电诈案件合并，将案件与警情或者自建分析案件进行数据合并；</w:t>
            </w:r>
          </w:p>
          <w:p w14:paraId="3E55AEF6">
            <w:pPr>
              <w:widowControl/>
              <w:numPr>
                <w:ilvl w:val="-1"/>
                <w:numId w:val="0"/>
              </w:numPr>
              <w:spacing w:line="360" w:lineRule="auto"/>
              <w:ind w:left="0" w:firstLine="0"/>
              <w:jc w:val="left"/>
              <w:rPr>
                <w:rFonts w:hint="eastAsia"/>
                <w:color w:val="auto"/>
                <w:highlight w:val="none"/>
                <w:lang w:val="en-US" w:eastAsia="zh-CN"/>
              </w:rPr>
            </w:pPr>
            <w:r>
              <w:rPr>
                <w:rFonts w:hint="eastAsia" w:ascii="宋体" w:hAnsi="宋体" w:cs="宋体"/>
                <w:color w:val="auto"/>
                <w:kern w:val="0"/>
                <w:sz w:val="21"/>
                <w:szCs w:val="21"/>
                <w:highlight w:val="none"/>
              </w:rPr>
              <w:t>1.2.5.</w:t>
            </w:r>
            <w:r>
              <w:rPr>
                <w:rFonts w:hint="eastAsia" w:ascii="宋体" w:hAnsi="宋体" w:cs="宋体"/>
                <w:color w:val="auto"/>
                <w:kern w:val="0"/>
                <w:sz w:val="21"/>
                <w:szCs w:val="21"/>
                <w:highlight w:val="none"/>
                <w:lang w:val="en-US" w:eastAsia="zh-CN"/>
              </w:rPr>
              <w:t>10</w:t>
            </w:r>
            <w:r>
              <w:rPr>
                <w:rFonts w:hint="eastAsia"/>
                <w:color w:val="auto"/>
                <w:highlight w:val="none"/>
                <w:lang w:val="en-US" w:eastAsia="zh-CN"/>
              </w:rPr>
              <w:t>电诈案件指派，提供案件指派功能，以便下级办案人员能快速响应；</w:t>
            </w:r>
          </w:p>
          <w:p w14:paraId="64A6614B">
            <w:pPr>
              <w:widowControl/>
              <w:numPr>
                <w:ilvl w:val="-1"/>
                <w:numId w:val="0"/>
              </w:numPr>
              <w:spacing w:line="360" w:lineRule="auto"/>
              <w:ind w:left="0" w:firstLine="0"/>
              <w:jc w:val="left"/>
              <w:rPr>
                <w:rFonts w:hint="eastAsia"/>
                <w:color w:val="auto"/>
                <w:highlight w:val="none"/>
                <w:lang w:val="en-US" w:eastAsia="zh-CN"/>
              </w:rPr>
            </w:pPr>
            <w:r>
              <w:rPr>
                <w:rFonts w:hint="eastAsia" w:ascii="宋体" w:hAnsi="宋体" w:cs="宋体"/>
                <w:color w:val="auto"/>
                <w:kern w:val="0"/>
                <w:sz w:val="21"/>
                <w:szCs w:val="21"/>
                <w:highlight w:val="none"/>
              </w:rPr>
              <w:t>1.2.5.</w:t>
            </w:r>
            <w:r>
              <w:rPr>
                <w:rFonts w:hint="eastAsia" w:ascii="宋体" w:hAnsi="宋体" w:cs="宋体"/>
                <w:color w:val="auto"/>
                <w:kern w:val="0"/>
                <w:sz w:val="21"/>
                <w:szCs w:val="21"/>
                <w:highlight w:val="none"/>
                <w:lang w:val="en-US" w:eastAsia="zh-CN"/>
              </w:rPr>
              <w:t>11</w:t>
            </w:r>
            <w:r>
              <w:rPr>
                <w:rFonts w:hint="eastAsia"/>
                <w:color w:val="auto"/>
                <w:highlight w:val="none"/>
                <w:lang w:val="en-US" w:eastAsia="zh-CN"/>
              </w:rPr>
              <w:t>电诈案件移交，将已经领取的案件移交给其他办案人员进行分析侦办；</w:t>
            </w:r>
          </w:p>
          <w:p w14:paraId="7A13AC34">
            <w:pPr>
              <w:widowControl/>
              <w:numPr>
                <w:ilvl w:val="-1"/>
                <w:numId w:val="0"/>
              </w:numPr>
              <w:spacing w:line="360" w:lineRule="auto"/>
              <w:ind w:left="0" w:firstLine="0"/>
              <w:jc w:val="left"/>
              <w:rPr>
                <w:rFonts w:hint="eastAsia"/>
                <w:color w:val="auto"/>
                <w:highlight w:val="none"/>
                <w:lang w:val="en-US" w:eastAsia="zh-CN"/>
              </w:rPr>
            </w:pPr>
            <w:r>
              <w:rPr>
                <w:rFonts w:hint="eastAsia" w:ascii="宋体" w:hAnsi="宋体" w:cs="宋体"/>
                <w:color w:val="auto"/>
                <w:kern w:val="0"/>
                <w:sz w:val="21"/>
                <w:szCs w:val="21"/>
                <w:highlight w:val="none"/>
              </w:rPr>
              <w:t>1.2.5.</w:t>
            </w:r>
            <w:r>
              <w:rPr>
                <w:rFonts w:hint="eastAsia" w:ascii="宋体" w:hAnsi="宋体" w:cs="宋体"/>
                <w:color w:val="auto"/>
                <w:kern w:val="0"/>
                <w:sz w:val="21"/>
                <w:szCs w:val="21"/>
                <w:highlight w:val="none"/>
                <w:lang w:val="en-US" w:eastAsia="zh-CN"/>
              </w:rPr>
              <w:t>12</w:t>
            </w:r>
            <w:r>
              <w:rPr>
                <w:rFonts w:hint="eastAsia"/>
                <w:color w:val="auto"/>
                <w:highlight w:val="none"/>
                <w:lang w:val="en-US" w:eastAsia="zh-CN"/>
              </w:rPr>
              <w:t>电诈案件导入，快速批量导入案件；</w:t>
            </w:r>
          </w:p>
          <w:p w14:paraId="23BFEC98">
            <w:pPr>
              <w:widowControl/>
              <w:numPr>
                <w:ilvl w:val="-1"/>
                <w:numId w:val="0"/>
              </w:numPr>
              <w:spacing w:line="360" w:lineRule="auto"/>
              <w:ind w:left="0" w:firstLine="0"/>
              <w:jc w:val="left"/>
              <w:rPr>
                <w:rFonts w:hint="eastAsia"/>
                <w:color w:val="auto"/>
                <w:highlight w:val="none"/>
                <w:lang w:val="en-US" w:eastAsia="zh-CN"/>
              </w:rPr>
            </w:pPr>
            <w:r>
              <w:rPr>
                <w:rFonts w:hint="eastAsia" w:ascii="宋体" w:hAnsi="宋体" w:cs="宋体"/>
                <w:color w:val="auto"/>
                <w:kern w:val="0"/>
                <w:sz w:val="21"/>
                <w:szCs w:val="21"/>
                <w:highlight w:val="none"/>
              </w:rPr>
              <w:t>1.2.5.</w:t>
            </w:r>
            <w:r>
              <w:rPr>
                <w:rFonts w:hint="eastAsia" w:ascii="宋体" w:hAnsi="宋体" w:cs="宋体"/>
                <w:color w:val="auto"/>
                <w:kern w:val="0"/>
                <w:sz w:val="21"/>
                <w:szCs w:val="21"/>
                <w:highlight w:val="none"/>
                <w:lang w:val="en-US" w:eastAsia="zh-CN"/>
              </w:rPr>
              <w:t>13</w:t>
            </w:r>
            <w:r>
              <w:rPr>
                <w:rFonts w:hint="eastAsia"/>
                <w:color w:val="auto"/>
                <w:highlight w:val="none"/>
                <w:lang w:val="en-US" w:eastAsia="zh-CN"/>
              </w:rPr>
              <w:t>案件提取，系统提供对案件进行搜索，搜索条件如：区域、案件名称、案件编号、办案人、涉案金额范围、案件创建时间范围等进行搜索和导出；</w:t>
            </w:r>
          </w:p>
          <w:p w14:paraId="359110B1">
            <w:pPr>
              <w:widowControl/>
              <w:numPr>
                <w:ilvl w:val="-1"/>
                <w:numId w:val="0"/>
              </w:numPr>
              <w:spacing w:line="360" w:lineRule="auto"/>
              <w:ind w:left="0" w:firstLine="0"/>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1.2.5.</w:t>
            </w:r>
            <w:r>
              <w:rPr>
                <w:rFonts w:hint="eastAsia" w:ascii="宋体" w:hAnsi="宋体" w:cs="宋体"/>
                <w:color w:val="auto"/>
                <w:kern w:val="0"/>
                <w:sz w:val="21"/>
                <w:szCs w:val="21"/>
                <w:highlight w:val="none"/>
                <w:lang w:val="en-US" w:eastAsia="zh-CN"/>
              </w:rPr>
              <w:t>14</w:t>
            </w:r>
            <w:r>
              <w:rPr>
                <w:rFonts w:hint="eastAsia"/>
                <w:color w:val="auto"/>
                <w:highlight w:val="none"/>
                <w:lang w:val="en-US" w:eastAsia="zh-CN"/>
              </w:rPr>
              <w:t>诈骗类型管理：诈骗类型的标识，对应查询和止付事由模板的生成，用于查询统计类的细分；</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1.2.5.</w:t>
            </w:r>
            <w:r>
              <w:rPr>
                <w:rFonts w:hint="eastAsia" w:ascii="宋体" w:hAnsi="宋体" w:cs="宋体"/>
                <w:color w:val="auto"/>
                <w:kern w:val="0"/>
                <w:sz w:val="21"/>
                <w:szCs w:val="21"/>
                <w:highlight w:val="none"/>
                <w:lang w:val="en-US" w:eastAsia="zh-CN"/>
              </w:rPr>
              <w:t>15</w:t>
            </w:r>
            <w:r>
              <w:rPr>
                <w:rFonts w:hint="eastAsia" w:ascii="宋体" w:hAnsi="宋体" w:cs="宋体"/>
                <w:color w:val="auto"/>
                <w:kern w:val="0"/>
                <w:sz w:val="21"/>
                <w:szCs w:val="21"/>
                <w:highlight w:val="none"/>
              </w:rPr>
              <w:t>.案件督导管理，可以对案件办案过程进行督导；</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1.2.6.涉案账单分析</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为了确保账单分析准确性，需要对资金流水数据进行校准、建模等分析前工作。</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1.2.6.1.资金流水校准，银行、微信、支付宝、其它类型账单进行整理和清理，确保记录的准确性和完整性；</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1.2.6.2.资金流水建模管理，对各金融机构流水特征进行分析建模；</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1.2.6.3.资金层级分析功能，自动标记下一级流水和计算受害金额；</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1.2.6.4.</w:t>
            </w:r>
            <w:r>
              <w:rPr>
                <w:rFonts w:hint="eastAsia"/>
                <w:color w:val="auto"/>
                <w:highlight w:val="none"/>
                <w:lang w:val="en-US" w:eastAsia="zh-CN"/>
              </w:rPr>
              <w:t>涉案账号导出</w:t>
            </w:r>
            <w:r>
              <w:rPr>
                <w:rFonts w:hint="eastAsia" w:ascii="宋体" w:hAnsi="宋体" w:cs="宋体"/>
                <w:color w:val="auto"/>
                <w:kern w:val="0"/>
                <w:sz w:val="21"/>
                <w:szCs w:val="21"/>
                <w:highlight w:val="none"/>
              </w:rPr>
              <w:t>，主要协助办案民警快速掌握未调取涉案账号情况。</w:t>
            </w:r>
          </w:p>
          <w:p w14:paraId="3AC63183">
            <w:pPr>
              <w:widowControl/>
              <w:numPr>
                <w:ilvl w:val="0"/>
                <w:numId w:val="0"/>
              </w:numPr>
              <w:spacing w:line="360" w:lineRule="auto"/>
              <w:jc w:val="left"/>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1.2.6.5案件</w:t>
            </w:r>
            <w:r>
              <w:rPr>
                <w:rFonts w:hint="eastAsia" w:ascii="宋体" w:hAnsi="宋体" w:cs="宋体"/>
                <w:color w:val="auto"/>
                <w:kern w:val="0"/>
                <w:szCs w:val="21"/>
                <w:highlight w:val="none"/>
              </w:rPr>
              <w:t>主体信息完善</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提供Excel标准格式批量上传涉案账号的主体信息</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单个涉案账号主体信息编辑功能、可从国反平台调证涉案账号主体信息。</w:t>
            </w:r>
          </w:p>
          <w:p w14:paraId="6FAD6997">
            <w:pPr>
              <w:numPr>
                <w:ilvl w:val="0"/>
                <w:numId w:val="0"/>
              </w:numPr>
              <w:spacing w:line="360" w:lineRule="auto"/>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1.2.6.6</w:t>
            </w:r>
            <w:r>
              <w:rPr>
                <w:rFonts w:hint="eastAsia"/>
                <w:color w:val="auto"/>
                <w:highlight w:val="none"/>
                <w:lang w:val="en-US" w:eastAsia="zh-CN"/>
              </w:rPr>
              <w:t>账单预处理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提供分级账单列表、脏数据列表。可以手工预处理账单流水。</w:t>
            </w:r>
          </w:p>
          <w:p w14:paraId="03B824EF">
            <w:pPr>
              <w:spacing w:line="360" w:lineRule="auto"/>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en-US" w:eastAsia="zh-CN"/>
              </w:rPr>
              <w:t>1.2.6.7资金分析图，提供</w:t>
            </w:r>
            <w:r>
              <w:rPr>
                <w:rFonts w:hint="eastAsia" w:ascii="宋体" w:hAnsi="宋体" w:cs="宋体"/>
                <w:color w:val="auto"/>
                <w:kern w:val="0"/>
                <w:szCs w:val="21"/>
                <w:highlight w:val="none"/>
                <w:lang w:val="zh-CN"/>
              </w:rPr>
              <w:t>通用流水图，</w:t>
            </w:r>
            <w:r>
              <w:rPr>
                <w:rFonts w:hint="eastAsia"/>
                <w:color w:val="auto"/>
                <w:highlight w:val="none"/>
                <w:lang w:val="zh-CN"/>
              </w:rPr>
              <w:t>对可疑人员的账户、资金流水，账户性质，找出存在的资金周转关系，以及重点账户的资金流向，统计账户的流入流出的资金总额及笔数</w:t>
            </w:r>
            <w:r>
              <w:rPr>
                <w:rFonts w:hint="eastAsia" w:ascii="宋体" w:hAnsi="宋体" w:cs="宋体"/>
                <w:color w:val="auto"/>
                <w:kern w:val="0"/>
                <w:szCs w:val="21"/>
                <w:highlight w:val="none"/>
                <w:lang w:val="zh-CN"/>
              </w:rPr>
              <w:t>；</w:t>
            </w:r>
          </w:p>
          <w:p w14:paraId="6062CC70">
            <w:pPr>
              <w:widowControl/>
              <w:numPr>
                <w:ilvl w:val="0"/>
                <w:numId w:val="0"/>
              </w:numPr>
              <w:spacing w:line="360" w:lineRule="auto"/>
              <w:jc w:val="left"/>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en-US" w:eastAsia="zh-CN"/>
              </w:rPr>
              <w:t>1.2.6.8</w:t>
            </w:r>
            <w:r>
              <w:rPr>
                <w:rFonts w:hint="eastAsia"/>
                <w:color w:val="auto"/>
                <w:highlight w:val="none"/>
              </w:rPr>
              <w:t>标记分级流水图</w:t>
            </w:r>
            <w:r>
              <w:rPr>
                <w:rFonts w:hint="eastAsia" w:ascii="宋体" w:hAnsi="宋体" w:cs="宋体"/>
                <w:color w:val="auto"/>
                <w:kern w:val="0"/>
                <w:szCs w:val="21"/>
                <w:highlight w:val="none"/>
                <w:lang w:val="en-US" w:eastAsia="zh-CN"/>
              </w:rPr>
              <w:t>，</w:t>
            </w:r>
            <w:r>
              <w:rPr>
                <w:rFonts w:hint="eastAsia"/>
                <w:color w:val="auto"/>
                <w:highlight w:val="none"/>
              </w:rPr>
              <w:t>以资金流向明确性、层级化</w:t>
            </w:r>
            <w:r>
              <w:rPr>
                <w:rFonts w:hint="eastAsia"/>
                <w:color w:val="auto"/>
                <w:highlight w:val="none"/>
                <w:lang w:val="en-US" w:eastAsia="zh-CN"/>
              </w:rPr>
              <w:t>为目的展现</w:t>
            </w:r>
            <w:r>
              <w:rPr>
                <w:rFonts w:hint="eastAsia" w:ascii="宋体" w:hAnsi="宋体" w:cs="宋体"/>
                <w:color w:val="auto"/>
                <w:kern w:val="0"/>
                <w:szCs w:val="21"/>
                <w:highlight w:val="none"/>
                <w:lang w:val="zh-CN"/>
              </w:rPr>
              <w:t>。提供标记分级节点管理、返还金额计算功能。</w:t>
            </w:r>
          </w:p>
          <w:p w14:paraId="06B21CB1">
            <w:pPr>
              <w:widowControl/>
              <w:numPr>
                <w:ilvl w:val="0"/>
                <w:numId w:val="0"/>
              </w:numPr>
              <w:spacing w:line="360" w:lineRule="auto"/>
              <w:jc w:val="left"/>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en-US" w:eastAsia="zh-CN"/>
              </w:rPr>
              <w:t>1.2.6.9计算返还资金，</w:t>
            </w:r>
            <w:r>
              <w:rPr>
                <w:rFonts w:hint="eastAsia" w:ascii="宋体" w:hAnsi="宋体" w:cs="宋体"/>
                <w:color w:val="auto"/>
                <w:kern w:val="0"/>
                <w:szCs w:val="21"/>
                <w:highlight w:val="none"/>
                <w:lang w:val="zh-CN"/>
              </w:rPr>
              <w:t>建立算法模型计算每一级涉案账号的返还资金</w:t>
            </w:r>
            <w:r>
              <w:rPr>
                <w:rFonts w:hint="eastAsia" w:ascii="宋体" w:hAnsi="宋体" w:cs="宋体"/>
                <w:color w:val="auto"/>
                <w:kern w:val="0"/>
                <w:szCs w:val="21"/>
                <w:highlight w:val="none"/>
                <w:lang w:val="en-US" w:eastAsia="zh-CN"/>
              </w:rPr>
              <w:t>并展示</w:t>
            </w:r>
            <w:r>
              <w:rPr>
                <w:rFonts w:hint="eastAsia" w:ascii="宋体" w:hAnsi="宋体" w:cs="宋体"/>
                <w:color w:val="auto"/>
                <w:kern w:val="0"/>
                <w:szCs w:val="21"/>
                <w:highlight w:val="none"/>
                <w:lang w:val="zh-CN"/>
              </w:rPr>
              <w:t>。</w:t>
            </w:r>
          </w:p>
          <w:p w14:paraId="1C040448">
            <w:pPr>
              <w:widowControl/>
              <w:numPr>
                <w:ilvl w:val="0"/>
                <w:numId w:val="0"/>
              </w:numPr>
              <w:spacing w:line="360" w:lineRule="auto"/>
              <w:jc w:val="left"/>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1.2.6.10智能处理对公账号流水关联，</w:t>
            </w:r>
            <w:r>
              <w:rPr>
                <w:rFonts w:hint="eastAsia" w:ascii="宋体" w:hAnsi="宋体" w:cs="宋体"/>
                <w:color w:val="auto"/>
                <w:kern w:val="0"/>
                <w:szCs w:val="21"/>
                <w:highlight w:val="none"/>
                <w:lang w:val="zh-CN"/>
              </w:rPr>
              <w:t>自动识别对公账号与结算账号的上下级流水之间关联识别</w:t>
            </w:r>
            <w:r>
              <w:rPr>
                <w:rFonts w:hint="eastAsia" w:ascii="宋体" w:hAnsi="宋体" w:cs="宋体"/>
                <w:color w:val="auto"/>
                <w:kern w:val="0"/>
                <w:szCs w:val="21"/>
                <w:highlight w:val="none"/>
                <w:lang w:val="en-US" w:eastAsia="zh-CN"/>
              </w:rPr>
              <w:t>并展示。</w:t>
            </w:r>
          </w:p>
          <w:p w14:paraId="38C79202">
            <w:pPr>
              <w:widowControl/>
              <w:numPr>
                <w:ilvl w:val="0"/>
                <w:numId w:val="0"/>
              </w:numPr>
              <w:spacing w:line="360" w:lineRule="auto"/>
              <w:jc w:val="left"/>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en-US" w:eastAsia="zh-CN"/>
              </w:rPr>
              <w:t>1.2.6.11智能处理银行转第三方支付平台流水关联，</w:t>
            </w:r>
            <w:r>
              <w:rPr>
                <w:rFonts w:hint="eastAsia" w:ascii="宋体" w:hAnsi="宋体" w:cs="宋体"/>
                <w:color w:val="auto"/>
                <w:kern w:val="0"/>
                <w:szCs w:val="21"/>
                <w:highlight w:val="none"/>
                <w:lang w:val="zh-CN"/>
              </w:rPr>
              <w:t>自动识别银行转第三方支付平台的上下级流水之间关联识别</w:t>
            </w:r>
            <w:r>
              <w:rPr>
                <w:rFonts w:hint="eastAsia" w:ascii="宋体" w:hAnsi="宋体" w:cs="宋体"/>
                <w:color w:val="auto"/>
                <w:kern w:val="0"/>
                <w:szCs w:val="21"/>
                <w:highlight w:val="none"/>
                <w:lang w:val="en-US" w:eastAsia="zh-CN"/>
              </w:rPr>
              <w:t>并展示</w:t>
            </w:r>
            <w:r>
              <w:rPr>
                <w:rFonts w:hint="eastAsia" w:ascii="宋体" w:hAnsi="宋体" w:cs="宋体"/>
                <w:color w:val="auto"/>
                <w:kern w:val="0"/>
                <w:szCs w:val="21"/>
                <w:highlight w:val="none"/>
                <w:lang w:val="zh-CN"/>
              </w:rPr>
              <w:t>。</w:t>
            </w:r>
          </w:p>
          <w:p w14:paraId="5A8F853D">
            <w:pPr>
              <w:widowControl/>
              <w:numPr>
                <w:ilvl w:val="-1"/>
                <w:numId w:val="0"/>
              </w:numPr>
              <w:spacing w:line="360" w:lineRule="auto"/>
              <w:ind w:firstLine="0"/>
              <w:jc w:val="left"/>
              <w:rPr>
                <w:rFonts w:hint="eastAsia" w:ascii="宋体" w:hAnsi="宋体" w:cs="宋体"/>
                <w:color w:val="auto"/>
                <w:kern w:val="0"/>
                <w:sz w:val="21"/>
                <w:szCs w:val="21"/>
                <w:highlight w:val="none"/>
              </w:rPr>
            </w:pPr>
            <w:r>
              <w:rPr>
                <w:rFonts w:hint="eastAsia" w:ascii="宋体" w:hAnsi="宋体" w:cs="宋体"/>
                <w:color w:val="auto"/>
                <w:kern w:val="0"/>
                <w:szCs w:val="21"/>
                <w:highlight w:val="none"/>
                <w:lang w:val="en-US" w:eastAsia="zh-CN"/>
              </w:rPr>
              <w:t>1.2.6.12智能处理国家反诈大数据平台调回账单脏数据，</w:t>
            </w:r>
            <w:r>
              <w:rPr>
                <w:rFonts w:hint="eastAsia" w:ascii="宋体" w:hAnsi="宋体" w:cs="宋体"/>
                <w:color w:val="auto"/>
                <w:kern w:val="0"/>
                <w:szCs w:val="21"/>
                <w:highlight w:val="none"/>
                <w:lang w:val="zh-CN"/>
              </w:rPr>
              <w:t>处理脏数据如交易时间出差的，账号有脏数据的等情况，</w:t>
            </w:r>
            <w:r>
              <w:rPr>
                <w:rFonts w:hint="eastAsia" w:ascii="宋体" w:hAnsi="宋体" w:cs="宋体"/>
                <w:color w:val="auto"/>
                <w:kern w:val="0"/>
                <w:szCs w:val="21"/>
                <w:highlight w:val="none"/>
                <w:lang w:val="en-US" w:eastAsia="zh-CN"/>
              </w:rPr>
              <w:t>展示处理情况</w:t>
            </w:r>
            <w:r>
              <w:rPr>
                <w:rFonts w:hint="eastAsia" w:ascii="宋体" w:hAnsi="宋体" w:cs="宋体"/>
                <w:color w:val="auto"/>
                <w:kern w:val="0"/>
                <w:szCs w:val="21"/>
                <w:highlight w:val="none"/>
                <w:lang w:val="zh-CN"/>
              </w:rPr>
              <w:t>。</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1.2.7.资金调证统计分析功能</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针对电诈案件数据分析，掌握各单位案件办理效率，为后续工作开展提供决策数据支撑。</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1.2.7.1.</w:t>
            </w:r>
            <w:r>
              <w:rPr>
                <w:rFonts w:hint="eastAsia"/>
                <w:color w:val="auto"/>
                <w:highlight w:val="none"/>
              </w:rPr>
              <w:t>资金分析统计管理</w:t>
            </w:r>
            <w:r>
              <w:rPr>
                <w:rFonts w:hint="eastAsia" w:ascii="宋体" w:hAnsi="宋体" w:cs="宋体"/>
                <w:color w:val="auto"/>
                <w:kern w:val="0"/>
                <w:sz w:val="21"/>
                <w:szCs w:val="21"/>
                <w:highlight w:val="none"/>
              </w:rPr>
              <w:t>，统计展示全区、各地市、各区县的案件</w:t>
            </w:r>
            <w:r>
              <w:rPr>
                <w:rFonts w:hint="eastAsia" w:ascii="宋体" w:hAnsi="宋体" w:cs="宋体"/>
                <w:color w:val="auto"/>
                <w:kern w:val="0"/>
                <w:sz w:val="21"/>
                <w:szCs w:val="21"/>
                <w:highlight w:val="none"/>
                <w:lang w:val="en-US" w:eastAsia="zh-CN"/>
              </w:rPr>
              <w:t>止付、调证、冻结挽损情况</w:t>
            </w:r>
            <w:r>
              <w:rPr>
                <w:rFonts w:hint="eastAsia" w:ascii="宋体" w:hAnsi="宋体" w:cs="宋体"/>
                <w:color w:val="auto"/>
                <w:kern w:val="0"/>
                <w:sz w:val="21"/>
                <w:szCs w:val="21"/>
                <w:highlight w:val="none"/>
              </w:rPr>
              <w:t>。</w:t>
            </w:r>
          </w:p>
          <w:p w14:paraId="66902FF0">
            <w:pPr>
              <w:widowControl/>
              <w:spacing w:line="360" w:lineRule="auto"/>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1.2.7.</w:t>
            </w:r>
            <w:r>
              <w:rPr>
                <w:rFonts w:hint="eastAsia" w:ascii="宋体" w:hAnsi="宋体" w:cs="宋体"/>
                <w:color w:val="auto"/>
                <w:kern w:val="0"/>
                <w:sz w:val="21"/>
                <w:szCs w:val="21"/>
                <w:highlight w:val="none"/>
                <w:lang w:val="en-US" w:eastAsia="zh-CN"/>
              </w:rPr>
              <w:t>2</w:t>
            </w:r>
            <w:r>
              <w:rPr>
                <w:rFonts w:hint="eastAsia" w:ascii="宋体" w:hAnsi="宋体" w:cs="宋体"/>
                <w:color w:val="auto"/>
                <w:kern w:val="0"/>
                <w:sz w:val="21"/>
                <w:szCs w:val="21"/>
                <w:highlight w:val="none"/>
              </w:rPr>
              <w:t>.</w:t>
            </w:r>
            <w:r>
              <w:rPr>
                <w:rFonts w:hint="eastAsia"/>
                <w:color w:val="auto"/>
                <w:highlight w:val="none"/>
              </w:rPr>
              <w:t>资金分析层级统计管理</w:t>
            </w:r>
            <w:r>
              <w:rPr>
                <w:rFonts w:hint="eastAsia" w:ascii="宋体" w:hAnsi="宋体" w:cs="宋体"/>
                <w:color w:val="auto"/>
                <w:kern w:val="0"/>
                <w:sz w:val="21"/>
                <w:szCs w:val="21"/>
                <w:highlight w:val="none"/>
              </w:rPr>
              <w:t>，统计展示全区、各地市、各区县的案件情况，各级案件数量、案件占比、未调回账单案件数量。</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1.2.8.电诈资金数据大屏功能</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数据大屏以广西</w:t>
            </w:r>
            <w:r>
              <w:rPr>
                <w:rFonts w:hint="eastAsia" w:ascii="宋体" w:hAnsi="宋体" w:cs="宋体"/>
                <w:color w:val="auto"/>
                <w:kern w:val="0"/>
                <w:sz w:val="21"/>
                <w:szCs w:val="21"/>
                <w:highlight w:val="none"/>
                <w:lang w:val="en-US" w:eastAsia="zh-CN"/>
              </w:rPr>
              <w:t>壮族</w:t>
            </w:r>
            <w:r>
              <w:rPr>
                <w:rFonts w:hint="eastAsia" w:ascii="宋体" w:hAnsi="宋体" w:cs="宋体"/>
                <w:color w:val="auto"/>
                <w:kern w:val="0"/>
                <w:sz w:val="21"/>
                <w:szCs w:val="21"/>
                <w:highlight w:val="none"/>
              </w:rPr>
              <w:t>自治区地图为中心，通过点击地图中各地市/各区县，穿透查询出该地市/区县的案件数据。功能需求：</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1.2.8.1.</w:t>
            </w:r>
            <w:r>
              <w:rPr>
                <w:rFonts w:hint="eastAsia"/>
                <w:color w:val="auto"/>
                <w:highlight w:val="none"/>
                <w:lang w:val="zh-CN"/>
              </w:rPr>
              <w:t>全区案件数据统计，账单流水级别案件统计、案件同比统计、案件数据统计、今日新增案件、账号流水TOP10</w:t>
            </w:r>
            <w:r>
              <w:rPr>
                <w:rFonts w:hint="eastAsia" w:ascii="宋体" w:hAnsi="宋体" w:cs="宋体"/>
                <w:color w:val="auto"/>
                <w:kern w:val="0"/>
                <w:sz w:val="21"/>
                <w:szCs w:val="21"/>
                <w:highlight w:val="none"/>
              </w:rPr>
              <w:t>；</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1.2.8.2.</w:t>
            </w:r>
            <w:r>
              <w:rPr>
                <w:rFonts w:hint="eastAsia"/>
                <w:color w:val="auto"/>
                <w:highlight w:val="none"/>
                <w:lang w:val="en-US" w:eastAsia="zh-CN"/>
              </w:rPr>
              <w:t>地市</w:t>
            </w:r>
            <w:r>
              <w:rPr>
                <w:rFonts w:hint="eastAsia"/>
                <w:color w:val="auto"/>
                <w:highlight w:val="none"/>
                <w:lang w:val="zh-CN"/>
              </w:rPr>
              <w:t>案件数据统计，</w:t>
            </w:r>
            <w:r>
              <w:rPr>
                <w:rFonts w:hint="eastAsia"/>
                <w:color w:val="auto"/>
                <w:highlight w:val="none"/>
                <w:lang w:val="en-US" w:eastAsia="zh-CN"/>
              </w:rPr>
              <w:t>同全区，将数据统计维度下钻至地市、县分局</w:t>
            </w:r>
            <w:r>
              <w:rPr>
                <w:rFonts w:hint="eastAsia" w:ascii="宋体" w:hAnsi="宋体" w:cs="宋体"/>
                <w:color w:val="auto"/>
                <w:kern w:val="0"/>
                <w:sz w:val="21"/>
                <w:szCs w:val="21"/>
                <w:highlight w:val="none"/>
              </w:rPr>
              <w:t>；</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1.2.8.3</w:t>
            </w:r>
            <w:r>
              <w:rPr>
                <w:rFonts w:hint="eastAsia"/>
                <w:color w:val="auto"/>
                <w:highlight w:val="none"/>
              </w:rPr>
              <w:t>涉案数据数量级统</w:t>
            </w:r>
            <w:r>
              <w:rPr>
                <w:rFonts w:hint="eastAsia"/>
                <w:color w:val="auto"/>
                <w:highlight w:val="none"/>
                <w:lang w:val="zh-CN"/>
              </w:rPr>
              <w:t>计，</w:t>
            </w:r>
            <w:r>
              <w:rPr>
                <w:rFonts w:hint="eastAsia"/>
                <w:color w:val="auto"/>
                <w:highlight w:val="none"/>
                <w:lang w:val="en-US" w:eastAsia="zh-CN"/>
              </w:rPr>
              <w:t>统计介于制定涉案金额的</w:t>
            </w:r>
            <w:r>
              <w:rPr>
                <w:rFonts w:hint="default"/>
                <w:color w:val="auto"/>
                <w:highlight w:val="none"/>
                <w:lang w:val="en-US" w:eastAsia="zh-CN"/>
              </w:rPr>
              <w:t>案件数、受害金额、可冻结金额、可返还金额等数据</w:t>
            </w:r>
            <w:r>
              <w:rPr>
                <w:rFonts w:hint="eastAsia" w:ascii="宋体" w:hAnsi="宋体" w:cs="宋体"/>
                <w:color w:val="auto"/>
                <w:kern w:val="0"/>
                <w:sz w:val="21"/>
                <w:szCs w:val="21"/>
                <w:highlight w:val="none"/>
              </w:rPr>
              <w:t>；</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1.2.9.资金案件提醒</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1.2.9.</w:t>
            </w:r>
            <w:r>
              <w:rPr>
                <w:rFonts w:ascii="宋体" w:hAnsi="宋体" w:cs="宋体"/>
                <w:color w:val="auto"/>
                <w:kern w:val="0"/>
                <w:sz w:val="21"/>
                <w:szCs w:val="21"/>
                <w:highlight w:val="none"/>
              </w:rPr>
              <w:t>1</w:t>
            </w:r>
            <w:r>
              <w:rPr>
                <w:rFonts w:hint="eastAsia" w:ascii="宋体" w:hAnsi="宋体" w:cs="宋体"/>
                <w:color w:val="auto"/>
                <w:kern w:val="0"/>
                <w:sz w:val="21"/>
                <w:szCs w:val="21"/>
                <w:highlight w:val="none"/>
              </w:rPr>
              <w:t>.冻结到期提醒。</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1.2.10.涉案资金数据输出</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1.2.10.1.</w:t>
            </w:r>
            <w:r>
              <w:rPr>
                <w:rFonts w:hint="eastAsia"/>
                <w:color w:val="auto"/>
                <w:sz w:val="21"/>
                <w:szCs w:val="21"/>
                <w:highlight w:val="none"/>
              </w:rPr>
              <w:t xml:space="preserve"> </w:t>
            </w:r>
            <w:r>
              <w:rPr>
                <w:rFonts w:hint="eastAsia" w:ascii="宋体" w:hAnsi="宋体" w:cs="宋体"/>
                <w:color w:val="auto"/>
                <w:kern w:val="0"/>
                <w:sz w:val="21"/>
                <w:szCs w:val="21"/>
                <w:highlight w:val="none"/>
              </w:rPr>
              <w:t>驾驶舱认证服务管理；</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1.2.10.2.</w:t>
            </w:r>
            <w:r>
              <w:rPr>
                <w:rFonts w:hint="eastAsia"/>
                <w:color w:val="auto"/>
                <w:sz w:val="21"/>
                <w:szCs w:val="21"/>
                <w:highlight w:val="none"/>
              </w:rPr>
              <w:t xml:space="preserve"> </w:t>
            </w:r>
            <w:r>
              <w:rPr>
                <w:rFonts w:hint="eastAsia" w:ascii="宋体" w:hAnsi="宋体" w:cs="宋体"/>
                <w:color w:val="auto"/>
                <w:kern w:val="0"/>
                <w:sz w:val="21"/>
                <w:szCs w:val="21"/>
                <w:highlight w:val="none"/>
              </w:rPr>
              <w:t>基础数据管理；</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1.2.10.3.</w:t>
            </w:r>
            <w:r>
              <w:rPr>
                <w:rFonts w:hint="eastAsia"/>
                <w:color w:val="auto"/>
                <w:sz w:val="21"/>
                <w:szCs w:val="21"/>
                <w:highlight w:val="none"/>
              </w:rPr>
              <w:t xml:space="preserve"> </w:t>
            </w:r>
            <w:r>
              <w:rPr>
                <w:rFonts w:hint="eastAsia" w:ascii="宋体" w:hAnsi="宋体" w:cs="宋体"/>
                <w:color w:val="auto"/>
                <w:kern w:val="0"/>
                <w:sz w:val="21"/>
                <w:szCs w:val="21"/>
                <w:highlight w:val="none"/>
              </w:rPr>
              <w:t>接入方管理</w:t>
            </w:r>
            <w:r>
              <w:rPr>
                <w:rFonts w:hint="eastAsia" w:ascii="宋体" w:hAnsi="宋体" w:cs="宋体"/>
                <w:color w:val="auto"/>
                <w:kern w:val="0"/>
                <w:sz w:val="21"/>
                <w:szCs w:val="21"/>
                <w:highlight w:val="none"/>
                <w:lang w:eastAsia="zh-CN"/>
              </w:rPr>
              <w:t>，</w:t>
            </w:r>
            <w:r>
              <w:rPr>
                <w:rFonts w:hint="eastAsia"/>
                <w:color w:val="auto"/>
                <w:highlight w:val="none"/>
                <w:lang w:val="en-US" w:eastAsia="zh-CN"/>
              </w:rPr>
              <w:t>对接入方信息包含单位名称、私密管理</w:t>
            </w:r>
            <w:r>
              <w:rPr>
                <w:rFonts w:hint="eastAsia" w:ascii="宋体" w:hAnsi="宋体" w:cs="宋体"/>
                <w:color w:val="auto"/>
                <w:kern w:val="0"/>
                <w:sz w:val="21"/>
                <w:szCs w:val="21"/>
                <w:highlight w:val="none"/>
              </w:rPr>
              <w:t>；</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1.2.10.4.</w:t>
            </w:r>
            <w:r>
              <w:rPr>
                <w:rFonts w:hint="eastAsia" w:ascii="宋体" w:hAnsi="宋体" w:cs="宋体"/>
                <w:color w:val="auto"/>
                <w:kern w:val="0"/>
                <w:sz w:val="21"/>
                <w:szCs w:val="21"/>
                <w:highlight w:val="none"/>
                <w:lang w:val="en-US" w:eastAsia="zh-CN"/>
              </w:rPr>
              <w:t xml:space="preserve"> 地图服务管理，</w:t>
            </w:r>
            <w:r>
              <w:rPr>
                <w:rFonts w:hint="eastAsia" w:ascii="宋体" w:hAnsi="宋体" w:cs="宋体"/>
                <w:color w:val="auto"/>
                <w:kern w:val="0"/>
                <w:sz w:val="21"/>
                <w:szCs w:val="21"/>
                <w:highlight w:val="none"/>
              </w:rPr>
              <w:t>区域数据按地图基本参数信息输出，行政区划显示和上下点击穿透。</w:t>
            </w:r>
          </w:p>
        </w:tc>
      </w:tr>
      <w:tr w14:paraId="1F0D4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46" w:type="dxa"/>
            <w:vMerge w:val="continue"/>
            <w:vAlign w:val="center"/>
          </w:tcPr>
          <w:p w14:paraId="644EA492">
            <w:pPr>
              <w:widowControl/>
              <w:spacing w:line="360" w:lineRule="auto"/>
              <w:jc w:val="left"/>
              <w:rPr>
                <w:rFonts w:ascii="宋体" w:hAnsi="宋体" w:cs="宋体"/>
                <w:color w:val="auto"/>
                <w:kern w:val="0"/>
                <w:sz w:val="21"/>
                <w:szCs w:val="21"/>
                <w:highlight w:val="none"/>
              </w:rPr>
            </w:pPr>
          </w:p>
        </w:tc>
        <w:tc>
          <w:tcPr>
            <w:tcW w:w="1612" w:type="dxa"/>
            <w:gridSpan w:val="2"/>
            <w:vMerge w:val="continue"/>
            <w:vAlign w:val="center"/>
          </w:tcPr>
          <w:p w14:paraId="03EBEA17">
            <w:pPr>
              <w:widowControl/>
              <w:spacing w:line="360" w:lineRule="auto"/>
              <w:jc w:val="left"/>
              <w:rPr>
                <w:rFonts w:ascii="宋体" w:hAnsi="宋体" w:cs="宋体"/>
                <w:color w:val="auto"/>
                <w:kern w:val="0"/>
                <w:sz w:val="21"/>
                <w:szCs w:val="21"/>
                <w:highlight w:val="none"/>
              </w:rPr>
            </w:pPr>
          </w:p>
        </w:tc>
        <w:tc>
          <w:tcPr>
            <w:tcW w:w="1179" w:type="dxa"/>
            <w:vMerge w:val="continue"/>
            <w:tcBorders>
              <w:right w:val="single" w:color="auto" w:sz="4" w:space="0"/>
            </w:tcBorders>
            <w:vAlign w:val="center"/>
          </w:tcPr>
          <w:p w14:paraId="75DA0AD3">
            <w:pPr>
              <w:widowControl/>
              <w:spacing w:line="360" w:lineRule="auto"/>
              <w:jc w:val="left"/>
              <w:rPr>
                <w:rFonts w:ascii="宋体" w:hAnsi="宋体" w:cs="宋体"/>
                <w:color w:val="auto"/>
                <w:kern w:val="0"/>
                <w:sz w:val="21"/>
                <w:szCs w:val="21"/>
                <w:highlight w:val="none"/>
              </w:rPr>
            </w:pPr>
          </w:p>
        </w:tc>
        <w:tc>
          <w:tcPr>
            <w:tcW w:w="6668" w:type="dxa"/>
            <w:tcBorders>
              <w:top w:val="nil"/>
              <w:left w:val="single" w:color="auto" w:sz="4" w:space="0"/>
              <w:bottom w:val="nil"/>
              <w:right w:val="single" w:color="auto" w:sz="4" w:space="0"/>
            </w:tcBorders>
            <w:shd w:val="clear" w:color="auto" w:fill="auto"/>
            <w:vAlign w:val="center"/>
          </w:tcPr>
          <w:p w14:paraId="198DE639">
            <w:pPr>
              <w:widowControl/>
              <w:spacing w:line="360" w:lineRule="auto"/>
              <w:jc w:val="left"/>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2.反电诈通信流管理子系统</w:t>
            </w:r>
          </w:p>
        </w:tc>
      </w:tr>
      <w:tr w14:paraId="02B9A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46" w:type="dxa"/>
            <w:vMerge w:val="continue"/>
            <w:vAlign w:val="center"/>
          </w:tcPr>
          <w:p w14:paraId="560596EC">
            <w:pPr>
              <w:widowControl/>
              <w:spacing w:line="360" w:lineRule="auto"/>
              <w:jc w:val="left"/>
              <w:rPr>
                <w:rFonts w:ascii="宋体" w:hAnsi="宋体" w:cs="宋体"/>
                <w:color w:val="auto"/>
                <w:kern w:val="0"/>
                <w:sz w:val="21"/>
                <w:szCs w:val="21"/>
                <w:highlight w:val="none"/>
              </w:rPr>
            </w:pPr>
          </w:p>
        </w:tc>
        <w:tc>
          <w:tcPr>
            <w:tcW w:w="1612" w:type="dxa"/>
            <w:gridSpan w:val="2"/>
            <w:vMerge w:val="continue"/>
            <w:vAlign w:val="center"/>
          </w:tcPr>
          <w:p w14:paraId="3090B744">
            <w:pPr>
              <w:widowControl/>
              <w:spacing w:line="360" w:lineRule="auto"/>
              <w:jc w:val="left"/>
              <w:rPr>
                <w:rFonts w:ascii="宋体" w:hAnsi="宋体" w:cs="宋体"/>
                <w:color w:val="auto"/>
                <w:kern w:val="0"/>
                <w:sz w:val="21"/>
                <w:szCs w:val="21"/>
                <w:highlight w:val="none"/>
              </w:rPr>
            </w:pPr>
          </w:p>
        </w:tc>
        <w:tc>
          <w:tcPr>
            <w:tcW w:w="1179" w:type="dxa"/>
            <w:vMerge w:val="continue"/>
            <w:tcBorders>
              <w:right w:val="single" w:color="auto" w:sz="4" w:space="0"/>
            </w:tcBorders>
            <w:vAlign w:val="center"/>
          </w:tcPr>
          <w:p w14:paraId="5499D4B9">
            <w:pPr>
              <w:widowControl/>
              <w:spacing w:line="360" w:lineRule="auto"/>
              <w:jc w:val="left"/>
              <w:rPr>
                <w:rFonts w:ascii="宋体" w:hAnsi="宋体" w:cs="宋体"/>
                <w:color w:val="auto"/>
                <w:kern w:val="0"/>
                <w:sz w:val="21"/>
                <w:szCs w:val="21"/>
                <w:highlight w:val="none"/>
              </w:rPr>
            </w:pPr>
          </w:p>
        </w:tc>
        <w:tc>
          <w:tcPr>
            <w:tcW w:w="6668" w:type="dxa"/>
            <w:tcBorders>
              <w:top w:val="nil"/>
              <w:left w:val="single" w:color="auto" w:sz="4" w:space="0"/>
              <w:bottom w:val="nil"/>
              <w:right w:val="single" w:color="auto" w:sz="4" w:space="0"/>
            </w:tcBorders>
            <w:shd w:val="clear" w:color="auto" w:fill="auto"/>
            <w:vAlign w:val="center"/>
          </w:tcPr>
          <w:p w14:paraId="3DF09DC5">
            <w:pPr>
              <w:widowControl/>
              <w:spacing w:line="360" w:lineRule="auto"/>
              <w:jc w:val="left"/>
              <w:rPr>
                <w:rFonts w:ascii="宋体" w:hAnsi="宋体" w:cs="宋体"/>
                <w:color w:val="auto"/>
                <w:kern w:val="0"/>
                <w:sz w:val="21"/>
                <w:szCs w:val="21"/>
                <w:highlight w:val="none"/>
              </w:rPr>
            </w:pPr>
            <w:r>
              <w:rPr>
                <w:rFonts w:hint="eastAsia" w:ascii="宋体" w:hAnsi="宋体" w:cs="宋体"/>
                <w:b/>
                <w:bCs/>
                <w:color w:val="auto"/>
                <w:kern w:val="0"/>
                <w:szCs w:val="21"/>
                <w:highlight w:val="none"/>
              </w:rPr>
              <w:t>2.1通信行业涉诈联动校验</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支持包含境内固话涉诈实名校验、移动电话卡涉诈实名校验、境外电话涉诈校验、虚拟电话代理商涉诈校验、短信平台涉诈校验、GOIP/VOIP综合治理等六大类，支持汇聚通管、运营商相关数据，核验涉案情况并返回结果，构建六大类实名核查数字档案。</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1.境内固话涉诈实名校验</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（1）境内固话实名数据汇聚</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支持统一数据汇聚，对接广西管局/运营商境内固话涉诈实名数据。</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（2）境内固话实名数据核验</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基于公安案件库，查询境内固话实名数据在广西本地关联的案件数量、案件发生时间，并将涉案结果原路返回并页面展示。</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（3）境内固话实名风险档案管理</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统一数据分析，建立风险涉诈固话档案，档案包括固话号码是否涉案、是否核验等。</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2.移动电话卡涉诈实名校验</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（1）境内移动号卡实名数据汇聚</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支持统一数据汇聚，对接广西管局、运营商境内移动电话号卡实名核验数据。</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 xml:space="preserve">（2）境内移动号卡实名数据核验 </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基于公安案件库，查询境内移动号卡实名数据在广西本地关联的案件数量、案件发生时间，并将涉案结果原路返回并页面展示。</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 xml:space="preserve">（3）境内移动号卡实名风险档案管理 </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统一数据分析，建立风险涉诈移动号卡档案，档案包括移动电话卡号码是否涉案、是否核验等。</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3.境外电话涉诈校验</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（1）境外电话防骚扰数据汇聚</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开发统一数据汇聚，对接广西管局、运营商境外电话数据及公安出入境数据、公安人口数据。</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（2）境外电话实名数据核验</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基于公安案件库，查询境外号卡实名数据在广西本地关联的案件数量、案件发生时间，并将涉案结果原路返回并页面展示。</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（3）境外电话防骚扰数据档案管理</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统一数据分析，建立风险境外电话档案，档案包括境外电话卡号码是否涉案、是否核验等。</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4.虚拟电话代理商涉诈校验</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（1）虚拟电话代理商数据汇聚</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开发统一数据汇聚，对接广西管局、运营商境内虚拟电话代理商数据。</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（2）虚拟电话代理商实名数据核验</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基于公安案件库，查询虚拟电话代理商实名数据在广西本地关联的案件数量、案件发生时间，并将涉案结果原路返回并页面展示。</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（3）虚拟电话代理商风险档案管理</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统一数据分析，建立风险虚拟电话档案，档案包括虚拟电话代理商是否涉案、是否核验等。</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5.短信平台涉诈校</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（1）短信平台数据汇聚</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开发统一数据汇聚，对接广西管局、运营商境内短信平台数据。</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（2）短信平台数据核验</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基于公安案件库，查询短信平台号码实名数据在广西本地关联的案件数量、案件发生时间，并将涉案结果原路返回并页面展示。</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（3）短信平台风险档案管理</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统一数据分析，建立短信平台风险档案，档案包括短信号卡是否涉案、是否核验等。</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6.GOIP/VOIP综合治理</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（1）GOIP/VOIP数据汇聚</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开发统一数据汇聚，对接广西管局、运营商境内GOIP/VOIP数据。</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（2）GOIP/VOIP数据核验</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基于公安案件库，查询GOIP/VOIP号码实名数据在广西本地关联的案件数量、案件发生时间，并将涉案结果原路返回并页面展示。</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（3）GOIP/VOIP风险档案管理</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统一数据分析，建立风险GOIP/VOIP档案，档案包括GOIP/VOIP号卡是否涉案、是否核验等。</w:t>
            </w:r>
          </w:p>
        </w:tc>
      </w:tr>
      <w:tr w14:paraId="6BECC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46" w:type="dxa"/>
            <w:vMerge w:val="continue"/>
            <w:vAlign w:val="center"/>
          </w:tcPr>
          <w:p w14:paraId="5F7810DF">
            <w:pPr>
              <w:widowControl/>
              <w:spacing w:line="360" w:lineRule="auto"/>
              <w:jc w:val="left"/>
              <w:rPr>
                <w:rFonts w:ascii="宋体" w:hAnsi="宋体" w:cs="宋体"/>
                <w:color w:val="auto"/>
                <w:kern w:val="0"/>
                <w:sz w:val="21"/>
                <w:szCs w:val="21"/>
                <w:highlight w:val="none"/>
              </w:rPr>
            </w:pPr>
          </w:p>
        </w:tc>
        <w:tc>
          <w:tcPr>
            <w:tcW w:w="1612" w:type="dxa"/>
            <w:gridSpan w:val="2"/>
            <w:vMerge w:val="continue"/>
            <w:vAlign w:val="center"/>
          </w:tcPr>
          <w:p w14:paraId="687DEEA0">
            <w:pPr>
              <w:widowControl/>
              <w:spacing w:line="360" w:lineRule="auto"/>
              <w:jc w:val="left"/>
              <w:rPr>
                <w:rFonts w:ascii="宋体" w:hAnsi="宋体" w:cs="宋体"/>
                <w:color w:val="auto"/>
                <w:kern w:val="0"/>
                <w:sz w:val="21"/>
                <w:szCs w:val="21"/>
                <w:highlight w:val="none"/>
              </w:rPr>
            </w:pPr>
          </w:p>
        </w:tc>
        <w:tc>
          <w:tcPr>
            <w:tcW w:w="1179" w:type="dxa"/>
            <w:vMerge w:val="continue"/>
            <w:tcBorders>
              <w:right w:val="single" w:color="auto" w:sz="4" w:space="0"/>
            </w:tcBorders>
            <w:vAlign w:val="center"/>
          </w:tcPr>
          <w:p w14:paraId="17E4CE6E">
            <w:pPr>
              <w:widowControl/>
              <w:spacing w:line="360" w:lineRule="auto"/>
              <w:jc w:val="left"/>
              <w:rPr>
                <w:rFonts w:ascii="宋体" w:hAnsi="宋体" w:cs="宋体"/>
                <w:color w:val="auto"/>
                <w:kern w:val="0"/>
                <w:sz w:val="21"/>
                <w:szCs w:val="21"/>
                <w:highlight w:val="none"/>
              </w:rPr>
            </w:pPr>
          </w:p>
        </w:tc>
        <w:tc>
          <w:tcPr>
            <w:tcW w:w="6668" w:type="dxa"/>
            <w:tcBorders>
              <w:top w:val="nil"/>
              <w:left w:val="single" w:color="auto" w:sz="4" w:space="0"/>
              <w:bottom w:val="nil"/>
              <w:right w:val="single" w:color="auto" w:sz="4" w:space="0"/>
            </w:tcBorders>
            <w:shd w:val="clear" w:color="auto" w:fill="auto"/>
            <w:vAlign w:val="center"/>
          </w:tcPr>
          <w:p w14:paraId="1DF91332">
            <w:pPr>
              <w:widowControl/>
              <w:spacing w:line="360" w:lineRule="auto"/>
              <w:jc w:val="left"/>
              <w:rPr>
                <w:rFonts w:hint="eastAsia" w:ascii="宋体" w:hAnsi="宋体" w:cs="宋体"/>
                <w:color w:val="auto"/>
                <w:kern w:val="0"/>
                <w:szCs w:val="21"/>
                <w:highlight w:val="none"/>
              </w:rPr>
            </w:pPr>
            <w:r>
              <w:rPr>
                <w:rFonts w:hint="eastAsia" w:ascii="宋体" w:hAnsi="宋体" w:cs="宋体"/>
                <w:b/>
                <w:bCs/>
                <w:color w:val="auto"/>
                <w:kern w:val="0"/>
                <w:szCs w:val="21"/>
                <w:highlight w:val="none"/>
              </w:rPr>
              <w:t>2.2通信流预警劝阻</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支持包含通信流潜在受害人预警、通信异常提醒成果展示、通信流重点区域劝阻展示等三部分，支持针对潜在受害人的通信风险进行动态积分的分级分类预警，统计分析潜在受害人的全息档案，展示通信异常提醒情况，展示重点区域劝阻情况。</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1.通信流潜在受害人预警</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支持对公安内部预警数据，互联网侧多个厂商数据、部平台预警数据等接入与数据处理展示。支持展示根据预警来源、预警内容、预警人画像信息、预警人涉案情况进行计算预警积分。</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（1）预警数据对接</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对接公安内部、运营商以及第三方企业通信流等预警数据</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（2）分级分类预警</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基于不同的12+2涉诈类型，结合潜在受害人的预警数据来源，制定分级分类动态积分预警规则，为每条预警信息分配相应的积分。</w:t>
            </w:r>
          </w:p>
          <w:p w14:paraId="6BD02736">
            <w:pPr>
              <w:widowControl/>
              <w:numPr>
                <w:ilvl w:val="0"/>
                <w:numId w:val="0"/>
              </w:numPr>
              <w:spacing w:line="360" w:lineRule="auto"/>
              <w:jc w:val="left"/>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2.通信流潜在受害人全息档案</w:t>
            </w:r>
          </w:p>
          <w:p w14:paraId="2D252945">
            <w:pPr>
              <w:widowControl/>
              <w:numPr>
                <w:ilvl w:val="0"/>
                <w:numId w:val="0"/>
              </w:numPr>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通信流</w:t>
            </w:r>
            <w:r>
              <w:rPr>
                <w:rFonts w:hint="eastAsia" w:ascii="宋体" w:hAnsi="宋体" w:eastAsia="宋体" w:cs="宋体"/>
                <w:color w:val="auto"/>
                <w:kern w:val="0"/>
                <w:szCs w:val="21"/>
                <w:highlight w:val="none"/>
                <w:lang w:val="en-US" w:eastAsia="zh-CN"/>
              </w:rPr>
              <w:t>潜在受害人全息档案统计分析</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基于</w:t>
            </w:r>
            <w:r>
              <w:rPr>
                <w:rFonts w:hint="eastAsia" w:ascii="宋体" w:hAnsi="宋体" w:cs="宋体"/>
                <w:color w:val="auto"/>
                <w:kern w:val="0"/>
                <w:szCs w:val="21"/>
                <w:highlight w:val="none"/>
                <w:lang w:val="en-US" w:eastAsia="zh-CN"/>
              </w:rPr>
              <w:t>通信侧</w:t>
            </w:r>
            <w:r>
              <w:rPr>
                <w:rFonts w:hint="eastAsia" w:ascii="宋体" w:hAnsi="宋体" w:eastAsia="宋体" w:cs="宋体"/>
                <w:color w:val="auto"/>
                <w:kern w:val="0"/>
                <w:szCs w:val="21"/>
                <w:highlight w:val="none"/>
                <w:lang w:val="en-US" w:eastAsia="zh-CN"/>
              </w:rPr>
              <w:t>潜在受害人分级分类预警数据，形成潜在受害人全息档案。</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）通信流潜在受害人全息档案展示</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基于时间轴展示潜在受害人该条预警劝阻回访情况，并展示潜在受害人历史预警信息。支持展示预警人基础信息：头像、姓名、性别、年龄、手机号、籍贯、文化程度、居住地址、预警分数，涉诈信息：预警账号、数据来源、预警日期、手机号码归属地、归属运营商、黑域名、预警类型。关联信息：关联预警、关联警情、关联案件、关联人，预警全生命周期查看。支持展示潜在受害人历史预警信息。</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.通信流异常提醒成果展示</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1</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对接AI智能外呼</w:t>
            </w:r>
          </w:p>
          <w:p w14:paraId="3D6283E6">
            <w:pPr>
              <w:widowControl/>
              <w:numPr>
                <w:ilvl w:val="0"/>
                <w:numId w:val="0"/>
              </w:numPr>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推送预警数据，对接AI智能外呼进行劝阻，并展示AI回访状态，包括已回访-未接听、待回访等通信异常提醒回访详情。</w:t>
            </w:r>
          </w:p>
          <w:p w14:paraId="79A76998">
            <w:pPr>
              <w:widowControl/>
              <w:numPr>
                <w:ilvl w:val="0"/>
                <w:numId w:val="0"/>
              </w:numPr>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运营商异常号码AI外呼处置反馈</w:t>
            </w:r>
          </w:p>
          <w:p w14:paraId="544EFC4C">
            <w:pPr>
              <w:widowControl/>
              <w:numPr>
                <w:ilvl w:val="0"/>
                <w:numId w:val="0"/>
              </w:numPr>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对接运营商自主发现的疑似涉诈号码，推送AI智能外呼平台，进行AI拨打电话给被叫电话（受害人），把对应的嫌疑人主叫电话打标签，判断主叫电话是否涉诈，把涉诈电话结果推送运营商。</w:t>
            </w:r>
          </w:p>
          <w:p w14:paraId="6E11E7BF">
            <w:pPr>
              <w:widowControl/>
              <w:numPr>
                <w:ilvl w:val="0"/>
                <w:numId w:val="0"/>
              </w:numPr>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通信流重点区域劝阻展示</w:t>
            </w:r>
          </w:p>
          <w:p w14:paraId="3A51404C">
            <w:pPr>
              <w:widowControl/>
              <w:spacing w:line="360" w:lineRule="auto"/>
              <w:jc w:val="left"/>
              <w:rPr>
                <w:rFonts w:ascii="宋体" w:hAnsi="宋体" w:cs="宋体"/>
                <w:color w:val="auto"/>
                <w:kern w:val="0"/>
                <w:sz w:val="21"/>
                <w:szCs w:val="21"/>
                <w:highlight w:val="none"/>
              </w:rPr>
            </w:pPr>
            <w:r>
              <w:rPr>
                <w:rFonts w:hint="eastAsia" w:ascii="宋体" w:hAnsi="宋体" w:cs="宋体"/>
                <w:color w:val="auto"/>
                <w:kern w:val="0"/>
                <w:szCs w:val="21"/>
                <w:highlight w:val="none"/>
              </w:rPr>
              <w:t>对接多方预警数据源线索，通过分析预警发生的位置、人员基本信息、预警类型、劝阻类型展示重点区域劝阻情况，实现精准识别潜在受害者和诈骗活动区域。对接AI智能外呼，展示公安在重点区域的劝阻结果，包括已劝阻未被骗、已劝阻已被骗、未劝阻已被骗等标签。</w:t>
            </w:r>
          </w:p>
        </w:tc>
      </w:tr>
      <w:tr w14:paraId="643DB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46" w:type="dxa"/>
            <w:vMerge w:val="continue"/>
            <w:vAlign w:val="center"/>
          </w:tcPr>
          <w:p w14:paraId="265D5C2D">
            <w:pPr>
              <w:widowControl/>
              <w:spacing w:line="360" w:lineRule="auto"/>
              <w:jc w:val="left"/>
              <w:rPr>
                <w:rFonts w:ascii="宋体" w:hAnsi="宋体" w:cs="宋体"/>
                <w:color w:val="auto"/>
                <w:kern w:val="0"/>
                <w:sz w:val="21"/>
                <w:szCs w:val="21"/>
                <w:highlight w:val="none"/>
              </w:rPr>
            </w:pPr>
          </w:p>
        </w:tc>
        <w:tc>
          <w:tcPr>
            <w:tcW w:w="1612" w:type="dxa"/>
            <w:gridSpan w:val="2"/>
            <w:vMerge w:val="continue"/>
            <w:vAlign w:val="center"/>
          </w:tcPr>
          <w:p w14:paraId="26575BA7">
            <w:pPr>
              <w:widowControl/>
              <w:spacing w:line="360" w:lineRule="auto"/>
              <w:jc w:val="left"/>
              <w:rPr>
                <w:rFonts w:ascii="宋体" w:hAnsi="宋体" w:cs="宋体"/>
                <w:color w:val="auto"/>
                <w:kern w:val="0"/>
                <w:sz w:val="21"/>
                <w:szCs w:val="21"/>
                <w:highlight w:val="none"/>
              </w:rPr>
            </w:pPr>
          </w:p>
        </w:tc>
        <w:tc>
          <w:tcPr>
            <w:tcW w:w="1179" w:type="dxa"/>
            <w:vMerge w:val="continue"/>
            <w:tcBorders>
              <w:right w:val="single" w:color="auto" w:sz="4" w:space="0"/>
            </w:tcBorders>
            <w:vAlign w:val="center"/>
          </w:tcPr>
          <w:p w14:paraId="1C598D31">
            <w:pPr>
              <w:widowControl/>
              <w:spacing w:line="360" w:lineRule="auto"/>
              <w:jc w:val="left"/>
              <w:rPr>
                <w:rFonts w:ascii="宋体" w:hAnsi="宋体" w:cs="宋体"/>
                <w:color w:val="auto"/>
                <w:kern w:val="0"/>
                <w:sz w:val="21"/>
                <w:szCs w:val="21"/>
                <w:highlight w:val="none"/>
              </w:rPr>
            </w:pPr>
          </w:p>
        </w:tc>
        <w:tc>
          <w:tcPr>
            <w:tcW w:w="6668" w:type="dxa"/>
            <w:tcBorders>
              <w:top w:val="nil"/>
              <w:left w:val="single" w:color="auto" w:sz="4" w:space="0"/>
              <w:bottom w:val="nil"/>
              <w:right w:val="single" w:color="auto" w:sz="4" w:space="0"/>
            </w:tcBorders>
            <w:shd w:val="clear" w:color="auto" w:fill="auto"/>
            <w:vAlign w:val="center"/>
          </w:tcPr>
          <w:p w14:paraId="64F7A6AF">
            <w:pPr>
              <w:widowControl/>
              <w:spacing w:line="360" w:lineRule="auto"/>
              <w:jc w:val="left"/>
              <w:rPr>
                <w:rFonts w:ascii="宋体" w:hAnsi="宋体" w:cs="宋体"/>
                <w:color w:val="auto"/>
                <w:kern w:val="0"/>
                <w:sz w:val="21"/>
                <w:szCs w:val="21"/>
                <w:highlight w:val="none"/>
              </w:rPr>
            </w:pPr>
            <w:r>
              <w:rPr>
                <w:rFonts w:hint="eastAsia" w:ascii="宋体" w:hAnsi="宋体" w:cs="宋体"/>
                <w:b/>
                <w:bCs/>
                <w:color w:val="auto"/>
                <w:kern w:val="0"/>
                <w:sz w:val="21"/>
                <w:szCs w:val="21"/>
                <w:highlight w:val="none"/>
              </w:rPr>
              <w:t>2.3通信流技术反制</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支持基于案件、警情等多源情报获取涉诈电话等涉诈要素，通过对接广西管局风控，实现广西公安和管局对涉诈信息的快速流转和处置，提升预警反制实效性，建立涉诈号码黑白名单库，实现封堵文书自动生成，进行涉诈号码实时推送封堵，并建立解封机制。包含以下部分：</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（1）通信流涉诈号码对</w:t>
            </w:r>
            <w:r>
              <w:rPr>
                <w:rFonts w:hint="eastAsia" w:ascii="宋体" w:hAnsi="宋体" w:eastAsia="宋体" w:cs="宋体"/>
                <w:color w:val="auto"/>
                <w:kern w:val="0"/>
                <w:sz w:val="21"/>
                <w:szCs w:val="21"/>
                <w:highlight w:val="none"/>
              </w:rPr>
              <w:t>接：对接现勘、</w:t>
            </w:r>
            <w:r>
              <w:rPr>
                <w:rFonts w:hint="eastAsia" w:ascii="宋体" w:hAnsi="宋体" w:eastAsia="宋体" w:cs="宋体"/>
                <w:color w:val="auto"/>
                <w:kern w:val="0"/>
                <w:sz w:val="21"/>
                <w:szCs w:val="21"/>
                <w:highlight w:val="none"/>
                <w:lang w:val="en-US" w:eastAsia="zh-CN"/>
              </w:rPr>
              <w:t>警情、</w:t>
            </w:r>
            <w:r>
              <w:rPr>
                <w:rFonts w:hint="eastAsia" w:ascii="宋体" w:hAnsi="宋体" w:eastAsia="宋体" w:cs="宋体"/>
                <w:color w:val="auto"/>
                <w:kern w:val="0"/>
                <w:sz w:val="21"/>
                <w:szCs w:val="21"/>
                <w:highlight w:val="none"/>
              </w:rPr>
              <w:t>案件的涉诈电话号码信息。</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（2）通信流黑白名单库管理：建立号码黑白名单库。</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3）通信流涉诈号码处置：支持查看治理号码总量、涉诈主叫号码数、未涉诈主叫号码数的统计，支持隐患号码新增录入：处置类型、封堵号码类型、封堵号码、案件类型、管控原因、描述，隐患号码治理列表：上报时间、上报状态、号码、号码类型、发现渠道、案件类别、受害人号码、处置类型、描述、省份、地市、单位名称、申诉联系人、申诉联系方式、回访状态、回访标记、封堵文书、回访详情。</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（4）封堵文书自动生成：支持涉诈号码封堵文书自动生成以及管理。</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（5）涉诈电话解封：支持查看发起解封总数、已解封数、未解封数，支持解封录入号码、支持查看解封列表：创建时间、创建人、解封号码、处置结果、处置时间、解封文书的预览与下载。</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6）保护性关停：支持查看关停总量、关联号码趋势、关停号码批量新增、关停号码模板下载和导入、关停号码导出、关停号码列表查看：手机号码、归属市、关停状态、处置时间、处置详情、备注、关停操作。</w:t>
            </w:r>
          </w:p>
        </w:tc>
      </w:tr>
      <w:tr w14:paraId="792D7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46" w:type="dxa"/>
            <w:vMerge w:val="continue"/>
            <w:vAlign w:val="center"/>
          </w:tcPr>
          <w:p w14:paraId="78F64752">
            <w:pPr>
              <w:widowControl/>
              <w:spacing w:line="360" w:lineRule="auto"/>
              <w:jc w:val="left"/>
              <w:rPr>
                <w:rFonts w:ascii="宋体" w:hAnsi="宋体" w:cs="宋体"/>
                <w:color w:val="auto"/>
                <w:kern w:val="0"/>
                <w:sz w:val="21"/>
                <w:szCs w:val="21"/>
                <w:highlight w:val="none"/>
              </w:rPr>
            </w:pPr>
          </w:p>
        </w:tc>
        <w:tc>
          <w:tcPr>
            <w:tcW w:w="1612" w:type="dxa"/>
            <w:gridSpan w:val="2"/>
            <w:vMerge w:val="continue"/>
            <w:vAlign w:val="center"/>
          </w:tcPr>
          <w:p w14:paraId="3C6799AC">
            <w:pPr>
              <w:widowControl/>
              <w:spacing w:line="360" w:lineRule="auto"/>
              <w:jc w:val="left"/>
              <w:rPr>
                <w:rFonts w:ascii="宋体" w:hAnsi="宋体" w:cs="宋体"/>
                <w:color w:val="auto"/>
                <w:kern w:val="0"/>
                <w:sz w:val="21"/>
                <w:szCs w:val="21"/>
                <w:highlight w:val="none"/>
              </w:rPr>
            </w:pPr>
          </w:p>
        </w:tc>
        <w:tc>
          <w:tcPr>
            <w:tcW w:w="1179" w:type="dxa"/>
            <w:vMerge w:val="continue"/>
            <w:tcBorders>
              <w:right w:val="single" w:color="auto" w:sz="4" w:space="0"/>
            </w:tcBorders>
            <w:vAlign w:val="center"/>
          </w:tcPr>
          <w:p w14:paraId="64C1F8C8">
            <w:pPr>
              <w:widowControl/>
              <w:spacing w:line="360" w:lineRule="auto"/>
              <w:jc w:val="left"/>
              <w:rPr>
                <w:rFonts w:ascii="宋体" w:hAnsi="宋体" w:cs="宋体"/>
                <w:color w:val="auto"/>
                <w:kern w:val="0"/>
                <w:sz w:val="21"/>
                <w:szCs w:val="21"/>
                <w:highlight w:val="none"/>
              </w:rPr>
            </w:pPr>
          </w:p>
        </w:tc>
        <w:tc>
          <w:tcPr>
            <w:tcW w:w="6668" w:type="dxa"/>
            <w:tcBorders>
              <w:top w:val="nil"/>
              <w:left w:val="single" w:color="auto" w:sz="4" w:space="0"/>
              <w:bottom w:val="nil"/>
              <w:right w:val="single" w:color="auto" w:sz="4" w:space="0"/>
            </w:tcBorders>
            <w:shd w:val="clear" w:color="auto" w:fill="auto"/>
            <w:vAlign w:val="center"/>
          </w:tcPr>
          <w:p w14:paraId="5A5D828F">
            <w:pPr>
              <w:widowControl/>
              <w:spacing w:line="360" w:lineRule="auto"/>
              <w:jc w:val="left"/>
              <w:rPr>
                <w:rFonts w:hint="eastAsia" w:ascii="宋体" w:hAnsi="宋体" w:eastAsia="宋体" w:cs="宋体"/>
                <w:color w:val="auto"/>
                <w:kern w:val="0"/>
                <w:sz w:val="21"/>
                <w:szCs w:val="21"/>
                <w:highlight w:val="none"/>
                <w:lang w:val="en-US" w:eastAsia="zh-CN"/>
              </w:rPr>
            </w:pPr>
            <w:r>
              <w:rPr>
                <w:rFonts w:hint="eastAsia" w:ascii="宋体" w:hAnsi="宋体" w:cs="宋体"/>
                <w:b/>
                <w:bCs/>
                <w:color w:val="auto"/>
                <w:kern w:val="0"/>
                <w:sz w:val="21"/>
                <w:szCs w:val="21"/>
                <w:highlight w:val="none"/>
              </w:rPr>
              <w:t>2.4通信流落地打击</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支持包含以下部分：</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（1）通信流标签分析：支持基础标签和业务标签分析，并不断更新优化标签库。</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（2）通信流串并分析：支持面向通信流电话、短信、互联网单维度和多维度串并分析。</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（3）通信流调证分析：通过话单数据、涉诈号码进行关联查询、话单分析，输出涉案数据规律，实现线索调证分析</w:t>
            </w: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lang w:val="en-US" w:eastAsia="zh-CN"/>
              </w:rPr>
              <w:t>包括话单录入、通讯关系分析、关联查询、话单六度分析。</w:t>
            </w:r>
          </w:p>
          <w:p w14:paraId="2498378B">
            <w:pPr>
              <w:widowControl/>
              <w:spacing w:line="360" w:lineRule="auto"/>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（4）通信流窝点分析：支持区内涉诈电话用户分析窝点位置、窝点人员等。</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（5）◆通信流可视化图谱分析：支持通信流知识图谱构建、可视化图谱关联分析。</w:t>
            </w:r>
          </w:p>
        </w:tc>
      </w:tr>
      <w:tr w14:paraId="3BA75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46" w:type="dxa"/>
            <w:vMerge w:val="continue"/>
            <w:vAlign w:val="center"/>
          </w:tcPr>
          <w:p w14:paraId="67D23E25">
            <w:pPr>
              <w:widowControl/>
              <w:spacing w:line="360" w:lineRule="auto"/>
              <w:jc w:val="left"/>
              <w:rPr>
                <w:rFonts w:ascii="宋体" w:hAnsi="宋体" w:cs="宋体"/>
                <w:color w:val="auto"/>
                <w:kern w:val="0"/>
                <w:sz w:val="21"/>
                <w:szCs w:val="21"/>
                <w:highlight w:val="none"/>
              </w:rPr>
            </w:pPr>
          </w:p>
        </w:tc>
        <w:tc>
          <w:tcPr>
            <w:tcW w:w="1612" w:type="dxa"/>
            <w:gridSpan w:val="2"/>
            <w:vMerge w:val="continue"/>
            <w:vAlign w:val="center"/>
          </w:tcPr>
          <w:p w14:paraId="56216148">
            <w:pPr>
              <w:widowControl/>
              <w:spacing w:line="360" w:lineRule="auto"/>
              <w:jc w:val="left"/>
              <w:rPr>
                <w:rFonts w:ascii="宋体" w:hAnsi="宋体" w:cs="宋体"/>
                <w:color w:val="auto"/>
                <w:kern w:val="0"/>
                <w:sz w:val="21"/>
                <w:szCs w:val="21"/>
                <w:highlight w:val="none"/>
              </w:rPr>
            </w:pPr>
          </w:p>
        </w:tc>
        <w:tc>
          <w:tcPr>
            <w:tcW w:w="1179" w:type="dxa"/>
            <w:vMerge w:val="continue"/>
            <w:tcBorders>
              <w:right w:val="single" w:color="auto" w:sz="4" w:space="0"/>
            </w:tcBorders>
            <w:vAlign w:val="center"/>
          </w:tcPr>
          <w:p w14:paraId="0D37F00C">
            <w:pPr>
              <w:widowControl/>
              <w:spacing w:line="360" w:lineRule="auto"/>
              <w:jc w:val="left"/>
              <w:rPr>
                <w:rFonts w:ascii="宋体" w:hAnsi="宋体" w:cs="宋体"/>
                <w:color w:val="auto"/>
                <w:kern w:val="0"/>
                <w:sz w:val="21"/>
                <w:szCs w:val="21"/>
                <w:highlight w:val="none"/>
              </w:rPr>
            </w:pPr>
          </w:p>
        </w:tc>
        <w:tc>
          <w:tcPr>
            <w:tcW w:w="6668" w:type="dxa"/>
            <w:tcBorders>
              <w:top w:val="nil"/>
              <w:left w:val="single" w:color="auto" w:sz="4" w:space="0"/>
              <w:bottom w:val="nil"/>
              <w:right w:val="single" w:color="auto" w:sz="4" w:space="0"/>
            </w:tcBorders>
            <w:shd w:val="clear" w:color="auto" w:fill="auto"/>
            <w:vAlign w:val="center"/>
          </w:tcPr>
          <w:p w14:paraId="7074C3A0">
            <w:pPr>
              <w:widowControl/>
              <w:spacing w:line="360" w:lineRule="auto"/>
              <w:jc w:val="left"/>
              <w:rPr>
                <w:rFonts w:ascii="宋体" w:hAnsi="宋体" w:cs="宋体"/>
                <w:color w:val="auto"/>
                <w:kern w:val="0"/>
                <w:sz w:val="21"/>
                <w:szCs w:val="21"/>
                <w:highlight w:val="none"/>
              </w:rPr>
            </w:pPr>
            <w:r>
              <w:rPr>
                <w:rFonts w:hint="eastAsia" w:ascii="宋体" w:hAnsi="宋体" w:cs="宋体"/>
                <w:b/>
                <w:bCs/>
                <w:color w:val="auto"/>
                <w:kern w:val="0"/>
                <w:sz w:val="21"/>
                <w:szCs w:val="21"/>
                <w:highlight w:val="none"/>
              </w:rPr>
              <w:t>2.5通信流统计分析</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支持包含以下部分：</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（1）通信流预警大屏展示：展示预警情况、预警劝阻趋势、分级预警、预警TOP5、涉诈类型占比、通信反制分布、重点涉诈类型TOP3等。</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（2）通信流校验成果展示：展示通信行业涉诈联动校验情况。</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（3）通信流多维度统计分析：统计分析AI智能外呼、公安内部人工劝阻预警劝阻情况。</w:t>
            </w:r>
          </w:p>
        </w:tc>
      </w:tr>
      <w:tr w14:paraId="6A2CA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46" w:type="dxa"/>
            <w:vMerge w:val="continue"/>
            <w:vAlign w:val="center"/>
          </w:tcPr>
          <w:p w14:paraId="2288E10C">
            <w:pPr>
              <w:widowControl/>
              <w:spacing w:line="360" w:lineRule="auto"/>
              <w:jc w:val="left"/>
              <w:rPr>
                <w:rFonts w:ascii="宋体" w:hAnsi="宋体" w:cs="宋体"/>
                <w:color w:val="auto"/>
                <w:kern w:val="0"/>
                <w:sz w:val="21"/>
                <w:szCs w:val="21"/>
                <w:highlight w:val="none"/>
              </w:rPr>
            </w:pPr>
          </w:p>
        </w:tc>
        <w:tc>
          <w:tcPr>
            <w:tcW w:w="1612" w:type="dxa"/>
            <w:gridSpan w:val="2"/>
            <w:vMerge w:val="continue"/>
            <w:vAlign w:val="center"/>
          </w:tcPr>
          <w:p w14:paraId="569C3BA6">
            <w:pPr>
              <w:widowControl/>
              <w:spacing w:line="360" w:lineRule="auto"/>
              <w:jc w:val="left"/>
              <w:rPr>
                <w:rFonts w:ascii="宋体" w:hAnsi="宋体" w:cs="宋体"/>
                <w:color w:val="auto"/>
                <w:kern w:val="0"/>
                <w:sz w:val="21"/>
                <w:szCs w:val="21"/>
                <w:highlight w:val="none"/>
              </w:rPr>
            </w:pPr>
          </w:p>
        </w:tc>
        <w:tc>
          <w:tcPr>
            <w:tcW w:w="1179" w:type="dxa"/>
            <w:vMerge w:val="continue"/>
            <w:tcBorders>
              <w:right w:val="single" w:color="auto" w:sz="4" w:space="0"/>
            </w:tcBorders>
            <w:vAlign w:val="center"/>
          </w:tcPr>
          <w:p w14:paraId="3D903046">
            <w:pPr>
              <w:widowControl/>
              <w:spacing w:line="360" w:lineRule="auto"/>
              <w:jc w:val="left"/>
              <w:rPr>
                <w:rFonts w:ascii="宋体" w:hAnsi="宋体" w:cs="宋体"/>
                <w:color w:val="auto"/>
                <w:kern w:val="0"/>
                <w:sz w:val="21"/>
                <w:szCs w:val="21"/>
                <w:highlight w:val="none"/>
              </w:rPr>
            </w:pPr>
          </w:p>
        </w:tc>
        <w:tc>
          <w:tcPr>
            <w:tcW w:w="6668" w:type="dxa"/>
            <w:tcBorders>
              <w:top w:val="nil"/>
              <w:left w:val="single" w:color="auto" w:sz="4" w:space="0"/>
              <w:bottom w:val="nil"/>
              <w:right w:val="single" w:color="auto" w:sz="4" w:space="0"/>
            </w:tcBorders>
            <w:shd w:val="clear" w:color="auto" w:fill="auto"/>
            <w:noWrap/>
            <w:vAlign w:val="center"/>
          </w:tcPr>
          <w:p w14:paraId="6FB66BFB">
            <w:pPr>
              <w:widowControl/>
              <w:spacing w:line="360" w:lineRule="auto"/>
              <w:jc w:val="left"/>
              <w:rPr>
                <w:rFonts w:ascii="宋体" w:hAnsi="宋体" w:cs="宋体"/>
                <w:b/>
                <w:bCs/>
                <w:color w:val="auto"/>
                <w:kern w:val="0"/>
                <w:sz w:val="21"/>
                <w:szCs w:val="21"/>
                <w:highlight w:val="none"/>
              </w:rPr>
            </w:pPr>
            <w:r>
              <w:rPr>
                <w:rFonts w:hint="eastAsia" w:ascii="宋体" w:hAnsi="宋体" w:cs="宋体"/>
                <w:b/>
                <w:bCs/>
                <w:color w:val="auto"/>
                <w:kern w:val="0"/>
                <w:szCs w:val="21"/>
                <w:highlight w:val="none"/>
              </w:rPr>
              <w:t>3.反电诈网络流管理子系统</w:t>
            </w:r>
          </w:p>
        </w:tc>
      </w:tr>
      <w:tr w14:paraId="3AFA9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46" w:type="dxa"/>
            <w:vMerge w:val="continue"/>
            <w:vAlign w:val="center"/>
          </w:tcPr>
          <w:p w14:paraId="0B08D489">
            <w:pPr>
              <w:widowControl/>
              <w:spacing w:line="360" w:lineRule="auto"/>
              <w:jc w:val="left"/>
              <w:rPr>
                <w:rFonts w:ascii="宋体" w:hAnsi="宋体" w:cs="宋体"/>
                <w:color w:val="auto"/>
                <w:kern w:val="0"/>
                <w:sz w:val="21"/>
                <w:szCs w:val="21"/>
                <w:highlight w:val="none"/>
              </w:rPr>
            </w:pPr>
          </w:p>
        </w:tc>
        <w:tc>
          <w:tcPr>
            <w:tcW w:w="1612" w:type="dxa"/>
            <w:gridSpan w:val="2"/>
            <w:vMerge w:val="continue"/>
            <w:vAlign w:val="center"/>
          </w:tcPr>
          <w:p w14:paraId="339975DB">
            <w:pPr>
              <w:widowControl/>
              <w:spacing w:line="360" w:lineRule="auto"/>
              <w:jc w:val="left"/>
              <w:rPr>
                <w:rFonts w:ascii="宋体" w:hAnsi="宋体" w:cs="宋体"/>
                <w:color w:val="auto"/>
                <w:kern w:val="0"/>
                <w:sz w:val="21"/>
                <w:szCs w:val="21"/>
                <w:highlight w:val="none"/>
              </w:rPr>
            </w:pPr>
          </w:p>
        </w:tc>
        <w:tc>
          <w:tcPr>
            <w:tcW w:w="1179" w:type="dxa"/>
            <w:vMerge w:val="continue"/>
            <w:tcBorders>
              <w:right w:val="single" w:color="auto" w:sz="4" w:space="0"/>
            </w:tcBorders>
            <w:vAlign w:val="center"/>
          </w:tcPr>
          <w:p w14:paraId="19974E62">
            <w:pPr>
              <w:widowControl/>
              <w:spacing w:line="360" w:lineRule="auto"/>
              <w:jc w:val="left"/>
              <w:rPr>
                <w:rFonts w:ascii="宋体" w:hAnsi="宋体" w:cs="宋体"/>
                <w:color w:val="auto"/>
                <w:kern w:val="0"/>
                <w:sz w:val="21"/>
                <w:szCs w:val="21"/>
                <w:highlight w:val="none"/>
              </w:rPr>
            </w:pPr>
          </w:p>
        </w:tc>
        <w:tc>
          <w:tcPr>
            <w:tcW w:w="6668" w:type="dxa"/>
            <w:tcBorders>
              <w:top w:val="nil"/>
              <w:left w:val="single" w:color="auto" w:sz="4" w:space="0"/>
              <w:bottom w:val="nil"/>
              <w:right w:val="single" w:color="auto" w:sz="4" w:space="0"/>
            </w:tcBorders>
            <w:shd w:val="clear" w:color="auto" w:fill="auto"/>
            <w:vAlign w:val="center"/>
          </w:tcPr>
          <w:p w14:paraId="72AFD361">
            <w:pPr>
              <w:widowControl/>
              <w:spacing w:line="360" w:lineRule="auto"/>
              <w:jc w:val="left"/>
              <w:rPr>
                <w:rFonts w:ascii="宋体" w:hAnsi="宋体" w:cs="宋体"/>
                <w:color w:val="auto"/>
                <w:kern w:val="0"/>
                <w:sz w:val="21"/>
                <w:szCs w:val="21"/>
                <w:highlight w:val="none"/>
              </w:rPr>
            </w:pPr>
            <w:r>
              <w:rPr>
                <w:rFonts w:hint="eastAsia" w:ascii="宋体" w:hAnsi="宋体" w:cs="宋体"/>
                <w:b/>
                <w:bCs/>
                <w:color w:val="auto"/>
                <w:kern w:val="0"/>
                <w:sz w:val="22"/>
                <w:szCs w:val="22"/>
                <w:highlight w:val="none"/>
              </w:rPr>
              <w:t>3.1互联网行业涉诈联动校验</w:t>
            </w:r>
            <w:r>
              <w:rPr>
                <w:rFonts w:hint="eastAsia" w:ascii="宋体" w:hAnsi="宋体" w:cs="宋体"/>
                <w:color w:val="auto"/>
                <w:kern w:val="0"/>
                <w:sz w:val="22"/>
                <w:szCs w:val="22"/>
                <w:highlight w:val="none"/>
              </w:rPr>
              <w:br w:type="textWrapping"/>
            </w:r>
            <w:r>
              <w:rPr>
                <w:rFonts w:hint="eastAsia" w:ascii="宋体" w:hAnsi="宋体" w:cs="宋体"/>
                <w:color w:val="auto"/>
                <w:kern w:val="0"/>
                <w:sz w:val="22"/>
                <w:szCs w:val="22"/>
                <w:highlight w:val="none"/>
              </w:rPr>
              <w:t>支持包含涉诈app校验（域名、网址）、涉诈引流信息校验、涉网黑app治理（域名、网址）校验、涉网黑引流信息校验等四大类，支持汇聚通管、运营商相关数据，核验涉案情况并返回结果，构建六大类实名核查数字档案。</w:t>
            </w:r>
            <w:r>
              <w:rPr>
                <w:rFonts w:hint="eastAsia" w:ascii="宋体" w:hAnsi="宋体" w:cs="宋体"/>
                <w:color w:val="auto"/>
                <w:kern w:val="0"/>
                <w:sz w:val="22"/>
                <w:szCs w:val="22"/>
                <w:highlight w:val="none"/>
              </w:rPr>
              <w:br w:type="textWrapping"/>
            </w:r>
            <w:r>
              <w:rPr>
                <w:rFonts w:hint="eastAsia" w:ascii="宋体" w:hAnsi="宋体" w:cs="宋体"/>
                <w:color w:val="auto"/>
                <w:kern w:val="0"/>
                <w:sz w:val="22"/>
                <w:szCs w:val="22"/>
                <w:highlight w:val="none"/>
              </w:rPr>
              <w:t>1.涉诈app校验</w:t>
            </w:r>
            <w:r>
              <w:rPr>
                <w:rFonts w:hint="eastAsia" w:ascii="宋体" w:hAnsi="宋体" w:cs="宋体"/>
                <w:color w:val="auto"/>
                <w:kern w:val="0"/>
                <w:sz w:val="22"/>
                <w:szCs w:val="22"/>
                <w:highlight w:val="none"/>
              </w:rPr>
              <w:br w:type="textWrapping"/>
            </w:r>
            <w:r>
              <w:rPr>
                <w:rFonts w:hint="eastAsia" w:ascii="宋体" w:hAnsi="宋体" w:cs="宋体"/>
                <w:color w:val="auto"/>
                <w:kern w:val="0"/>
                <w:sz w:val="22"/>
                <w:szCs w:val="22"/>
                <w:highlight w:val="none"/>
              </w:rPr>
              <w:t>（1）涉诈app（域名、网址）数据汇聚</w:t>
            </w:r>
            <w:r>
              <w:rPr>
                <w:rFonts w:hint="eastAsia" w:ascii="宋体" w:hAnsi="宋体" w:cs="宋体"/>
                <w:color w:val="auto"/>
                <w:kern w:val="0"/>
                <w:sz w:val="22"/>
                <w:szCs w:val="22"/>
                <w:highlight w:val="none"/>
              </w:rPr>
              <w:br w:type="textWrapping"/>
            </w:r>
            <w:r>
              <w:rPr>
                <w:rFonts w:hint="eastAsia" w:ascii="宋体" w:hAnsi="宋体" w:cs="宋体"/>
                <w:color w:val="auto"/>
                <w:kern w:val="0"/>
                <w:sz w:val="22"/>
                <w:szCs w:val="22"/>
                <w:highlight w:val="none"/>
              </w:rPr>
              <w:t>开发统一数据汇聚，对接广西管局、运营商境内app（域名、网址）数据。</w:t>
            </w:r>
            <w:r>
              <w:rPr>
                <w:rFonts w:hint="eastAsia" w:ascii="宋体" w:hAnsi="宋体" w:cs="宋体"/>
                <w:color w:val="auto"/>
                <w:kern w:val="0"/>
                <w:sz w:val="22"/>
                <w:szCs w:val="22"/>
                <w:highlight w:val="none"/>
              </w:rPr>
              <w:br w:type="textWrapping"/>
            </w:r>
            <w:r>
              <w:rPr>
                <w:rFonts w:hint="eastAsia" w:ascii="宋体" w:hAnsi="宋体" w:cs="宋体"/>
                <w:color w:val="auto"/>
                <w:kern w:val="0"/>
                <w:sz w:val="22"/>
                <w:szCs w:val="22"/>
                <w:highlight w:val="none"/>
              </w:rPr>
              <w:t>（2）涉诈app（域名、网址）关联分析</w:t>
            </w:r>
            <w:r>
              <w:rPr>
                <w:rFonts w:hint="eastAsia" w:ascii="宋体" w:hAnsi="宋体" w:cs="宋体"/>
                <w:color w:val="auto"/>
                <w:kern w:val="0"/>
                <w:sz w:val="22"/>
                <w:szCs w:val="22"/>
                <w:highlight w:val="none"/>
              </w:rPr>
              <w:br w:type="textWrapping"/>
            </w:r>
            <w:r>
              <w:rPr>
                <w:rFonts w:hint="eastAsia" w:ascii="宋体" w:hAnsi="宋体" w:cs="宋体"/>
                <w:color w:val="auto"/>
                <w:kern w:val="0"/>
                <w:sz w:val="22"/>
                <w:szCs w:val="22"/>
                <w:highlight w:val="none"/>
              </w:rPr>
              <w:t>基于公安案件库，查询涉诈app（域名、网址）数据是否涉案，及在广西本地关联的案件数量、案件发生时间，并将涉案结果原路返回。</w:t>
            </w:r>
            <w:r>
              <w:rPr>
                <w:rFonts w:hint="eastAsia" w:ascii="宋体" w:hAnsi="宋体" w:cs="宋体"/>
                <w:color w:val="auto"/>
                <w:kern w:val="0"/>
                <w:sz w:val="22"/>
                <w:szCs w:val="22"/>
                <w:highlight w:val="none"/>
              </w:rPr>
              <w:br w:type="textWrapping"/>
            </w:r>
            <w:r>
              <w:rPr>
                <w:rFonts w:hint="eastAsia" w:ascii="宋体" w:hAnsi="宋体" w:cs="宋体"/>
                <w:color w:val="auto"/>
                <w:kern w:val="0"/>
                <w:sz w:val="22"/>
                <w:szCs w:val="22"/>
                <w:highlight w:val="none"/>
              </w:rPr>
              <w:t>（3）涉诈app（域名、网址）风险档案</w:t>
            </w:r>
            <w:r>
              <w:rPr>
                <w:rFonts w:hint="eastAsia" w:ascii="宋体" w:hAnsi="宋体" w:cs="宋体"/>
                <w:color w:val="auto"/>
                <w:kern w:val="0"/>
                <w:sz w:val="22"/>
                <w:szCs w:val="22"/>
                <w:highlight w:val="none"/>
              </w:rPr>
              <w:br w:type="textWrapping"/>
            </w:r>
            <w:r>
              <w:rPr>
                <w:rFonts w:hint="eastAsia" w:ascii="宋体" w:hAnsi="宋体" w:cs="宋体"/>
                <w:color w:val="auto"/>
                <w:kern w:val="0"/>
                <w:sz w:val="22"/>
                <w:szCs w:val="22"/>
                <w:highlight w:val="none"/>
              </w:rPr>
              <w:t>统一数据分析，建立涉诈app（域名、网址）风险档案，档案包括app（域名、网址）是否涉案、是否核验等。</w:t>
            </w:r>
            <w:r>
              <w:rPr>
                <w:rFonts w:hint="eastAsia" w:ascii="宋体" w:hAnsi="宋体" w:cs="宋体"/>
                <w:color w:val="auto"/>
                <w:kern w:val="0"/>
                <w:sz w:val="22"/>
                <w:szCs w:val="22"/>
                <w:highlight w:val="none"/>
              </w:rPr>
              <w:br w:type="textWrapping"/>
            </w:r>
            <w:r>
              <w:rPr>
                <w:rFonts w:hint="eastAsia" w:ascii="宋体" w:hAnsi="宋体" w:cs="宋体"/>
                <w:color w:val="auto"/>
                <w:kern w:val="0"/>
                <w:sz w:val="22"/>
                <w:szCs w:val="22"/>
                <w:highlight w:val="none"/>
              </w:rPr>
              <w:t>（4）涉诈app（域名、网址）校验信息反馈</w:t>
            </w:r>
            <w:r>
              <w:rPr>
                <w:rFonts w:hint="eastAsia" w:ascii="宋体" w:hAnsi="宋体" w:cs="宋体"/>
                <w:color w:val="auto"/>
                <w:kern w:val="0"/>
                <w:sz w:val="22"/>
                <w:szCs w:val="22"/>
                <w:highlight w:val="none"/>
              </w:rPr>
              <w:br w:type="textWrapping"/>
            </w:r>
            <w:r>
              <w:rPr>
                <w:rFonts w:hint="eastAsia" w:ascii="宋体" w:hAnsi="宋体" w:cs="宋体"/>
                <w:color w:val="auto"/>
                <w:kern w:val="0"/>
                <w:sz w:val="22"/>
                <w:szCs w:val="22"/>
                <w:highlight w:val="none"/>
              </w:rPr>
              <w:t>将涉诈app（域名、网址）案件关联结果反馈至广西管局、运营商相关系统。</w:t>
            </w:r>
            <w:r>
              <w:rPr>
                <w:rFonts w:hint="eastAsia" w:ascii="宋体" w:hAnsi="宋体" w:cs="宋体"/>
                <w:color w:val="auto"/>
                <w:kern w:val="0"/>
                <w:sz w:val="22"/>
                <w:szCs w:val="22"/>
                <w:highlight w:val="none"/>
              </w:rPr>
              <w:br w:type="textWrapping"/>
            </w:r>
            <w:r>
              <w:rPr>
                <w:rFonts w:hint="eastAsia" w:ascii="宋体" w:hAnsi="宋体" w:cs="宋体"/>
                <w:color w:val="auto"/>
                <w:kern w:val="0"/>
                <w:sz w:val="22"/>
                <w:szCs w:val="22"/>
                <w:highlight w:val="none"/>
              </w:rPr>
              <w:t>2.涉诈引流信息校验</w:t>
            </w:r>
            <w:r>
              <w:rPr>
                <w:rFonts w:hint="eastAsia" w:ascii="宋体" w:hAnsi="宋体" w:cs="宋体"/>
                <w:color w:val="auto"/>
                <w:kern w:val="0"/>
                <w:sz w:val="22"/>
                <w:szCs w:val="22"/>
                <w:highlight w:val="none"/>
              </w:rPr>
              <w:br w:type="textWrapping"/>
            </w:r>
            <w:r>
              <w:rPr>
                <w:rFonts w:hint="eastAsia" w:ascii="宋体" w:hAnsi="宋体" w:cs="宋体"/>
                <w:color w:val="auto"/>
                <w:kern w:val="0"/>
                <w:sz w:val="22"/>
                <w:szCs w:val="22"/>
                <w:highlight w:val="none"/>
              </w:rPr>
              <w:t>（1）涉诈信息（引流）数据汇聚</w:t>
            </w:r>
            <w:r>
              <w:rPr>
                <w:rFonts w:hint="eastAsia" w:ascii="宋体" w:hAnsi="宋体" w:cs="宋体"/>
                <w:color w:val="auto"/>
                <w:kern w:val="0"/>
                <w:sz w:val="22"/>
                <w:szCs w:val="22"/>
                <w:highlight w:val="none"/>
              </w:rPr>
              <w:br w:type="textWrapping"/>
            </w:r>
            <w:r>
              <w:rPr>
                <w:rFonts w:hint="eastAsia" w:ascii="宋体" w:hAnsi="宋体" w:cs="宋体"/>
                <w:color w:val="auto"/>
                <w:kern w:val="0"/>
                <w:sz w:val="22"/>
                <w:szCs w:val="22"/>
                <w:highlight w:val="none"/>
              </w:rPr>
              <w:t>开发统一数据汇聚，对接广西管局、运营商境内不良信息（引流）数据。</w:t>
            </w:r>
            <w:r>
              <w:rPr>
                <w:rFonts w:hint="eastAsia" w:ascii="宋体" w:hAnsi="宋体" w:cs="宋体"/>
                <w:color w:val="auto"/>
                <w:kern w:val="0"/>
                <w:sz w:val="22"/>
                <w:szCs w:val="22"/>
                <w:highlight w:val="none"/>
              </w:rPr>
              <w:br w:type="textWrapping"/>
            </w:r>
            <w:r>
              <w:rPr>
                <w:rFonts w:hint="eastAsia" w:ascii="宋体" w:hAnsi="宋体" w:cs="宋体"/>
                <w:color w:val="auto"/>
                <w:kern w:val="0"/>
                <w:sz w:val="22"/>
                <w:szCs w:val="22"/>
                <w:highlight w:val="none"/>
              </w:rPr>
              <w:t>（2）涉诈信息（引流）数据关联分析</w:t>
            </w:r>
            <w:r>
              <w:rPr>
                <w:rFonts w:hint="eastAsia" w:ascii="宋体" w:hAnsi="宋体" w:cs="宋体"/>
                <w:color w:val="auto"/>
                <w:kern w:val="0"/>
                <w:sz w:val="22"/>
                <w:szCs w:val="22"/>
                <w:highlight w:val="none"/>
              </w:rPr>
              <w:br w:type="textWrapping"/>
            </w:r>
            <w:r>
              <w:rPr>
                <w:rFonts w:hint="eastAsia" w:ascii="宋体" w:hAnsi="宋体" w:cs="宋体"/>
                <w:color w:val="auto"/>
                <w:kern w:val="0"/>
                <w:sz w:val="22"/>
                <w:szCs w:val="22"/>
                <w:highlight w:val="none"/>
              </w:rPr>
              <w:t>基于公安案件库，查询涉诈信息（引流）数据是否涉案，及在广西本地关联的案件数量、案件发生时间，并将涉案结果原路返回。</w:t>
            </w:r>
            <w:r>
              <w:rPr>
                <w:rFonts w:hint="eastAsia" w:ascii="宋体" w:hAnsi="宋体" w:cs="宋体"/>
                <w:color w:val="auto"/>
                <w:kern w:val="0"/>
                <w:sz w:val="22"/>
                <w:szCs w:val="22"/>
                <w:highlight w:val="none"/>
              </w:rPr>
              <w:br w:type="textWrapping"/>
            </w:r>
            <w:r>
              <w:rPr>
                <w:rFonts w:hint="eastAsia" w:ascii="宋体" w:hAnsi="宋体" w:cs="宋体"/>
                <w:color w:val="auto"/>
                <w:kern w:val="0"/>
                <w:sz w:val="22"/>
                <w:szCs w:val="22"/>
                <w:highlight w:val="none"/>
              </w:rPr>
              <w:t>（3）涉诈信息（引流）联防联控风险档案管理</w:t>
            </w:r>
            <w:r>
              <w:rPr>
                <w:rFonts w:hint="eastAsia" w:ascii="宋体" w:hAnsi="宋体" w:cs="宋体"/>
                <w:color w:val="auto"/>
                <w:kern w:val="0"/>
                <w:sz w:val="22"/>
                <w:szCs w:val="22"/>
                <w:highlight w:val="none"/>
              </w:rPr>
              <w:br w:type="textWrapping"/>
            </w:r>
            <w:r>
              <w:rPr>
                <w:rFonts w:hint="eastAsia" w:ascii="宋体" w:hAnsi="宋体" w:cs="宋体"/>
                <w:color w:val="auto"/>
                <w:kern w:val="0"/>
                <w:sz w:val="22"/>
                <w:szCs w:val="22"/>
                <w:highlight w:val="none"/>
              </w:rPr>
              <w:t>统一数据分析，建立涉诈信息（引流）风险档案，档案包括涉诈信息（引流）是否涉案、是否核验等。</w:t>
            </w:r>
            <w:r>
              <w:rPr>
                <w:rFonts w:hint="eastAsia" w:ascii="宋体" w:hAnsi="宋体" w:cs="宋体"/>
                <w:color w:val="auto"/>
                <w:kern w:val="0"/>
                <w:sz w:val="22"/>
                <w:szCs w:val="22"/>
                <w:highlight w:val="none"/>
              </w:rPr>
              <w:br w:type="textWrapping"/>
            </w:r>
            <w:r>
              <w:rPr>
                <w:rFonts w:hint="eastAsia" w:ascii="宋体" w:hAnsi="宋体" w:cs="宋体"/>
                <w:color w:val="auto"/>
                <w:kern w:val="0"/>
                <w:sz w:val="22"/>
                <w:szCs w:val="22"/>
                <w:highlight w:val="none"/>
              </w:rPr>
              <w:t>（4）涉诈信息（引流）校验信息反馈</w:t>
            </w:r>
            <w:r>
              <w:rPr>
                <w:rFonts w:hint="eastAsia" w:ascii="宋体" w:hAnsi="宋体" w:cs="宋体"/>
                <w:color w:val="auto"/>
                <w:kern w:val="0"/>
                <w:sz w:val="22"/>
                <w:szCs w:val="22"/>
                <w:highlight w:val="none"/>
              </w:rPr>
              <w:br w:type="textWrapping"/>
            </w:r>
            <w:r>
              <w:rPr>
                <w:rFonts w:hint="eastAsia" w:ascii="宋体" w:hAnsi="宋体" w:cs="宋体"/>
                <w:color w:val="auto"/>
                <w:kern w:val="0"/>
                <w:sz w:val="22"/>
                <w:szCs w:val="22"/>
                <w:highlight w:val="none"/>
              </w:rPr>
              <w:t>将涉诈信息（引流）案件关联结果反馈至广西管局、运营商相关系统。</w:t>
            </w:r>
            <w:r>
              <w:rPr>
                <w:rFonts w:hint="eastAsia" w:ascii="宋体" w:hAnsi="宋体" w:cs="宋体"/>
                <w:color w:val="auto"/>
                <w:kern w:val="0"/>
                <w:sz w:val="22"/>
                <w:szCs w:val="22"/>
                <w:highlight w:val="none"/>
              </w:rPr>
              <w:br w:type="textWrapping"/>
            </w:r>
            <w:r>
              <w:rPr>
                <w:rFonts w:hint="eastAsia" w:ascii="宋体" w:hAnsi="宋体" w:cs="宋体"/>
                <w:color w:val="auto"/>
                <w:kern w:val="0"/>
                <w:sz w:val="22"/>
                <w:szCs w:val="22"/>
                <w:highlight w:val="none"/>
              </w:rPr>
              <w:t>3.涉网黑app（域名、网址）校验</w:t>
            </w:r>
            <w:r>
              <w:rPr>
                <w:rFonts w:hint="eastAsia" w:ascii="宋体" w:hAnsi="宋体" w:cs="宋体"/>
                <w:color w:val="auto"/>
                <w:kern w:val="0"/>
                <w:sz w:val="22"/>
                <w:szCs w:val="22"/>
                <w:highlight w:val="none"/>
              </w:rPr>
              <w:br w:type="textWrapping"/>
            </w:r>
            <w:r>
              <w:rPr>
                <w:rFonts w:hint="eastAsia" w:ascii="宋体" w:hAnsi="宋体" w:cs="宋体"/>
                <w:color w:val="auto"/>
                <w:kern w:val="0"/>
                <w:sz w:val="22"/>
                <w:szCs w:val="22"/>
                <w:highlight w:val="none"/>
              </w:rPr>
              <w:t>（1）涉网黑app（域名、网址）数据汇聚</w:t>
            </w:r>
            <w:r>
              <w:rPr>
                <w:rFonts w:hint="eastAsia" w:ascii="宋体" w:hAnsi="宋体" w:cs="宋体"/>
                <w:color w:val="auto"/>
                <w:kern w:val="0"/>
                <w:sz w:val="22"/>
                <w:szCs w:val="22"/>
                <w:highlight w:val="none"/>
              </w:rPr>
              <w:br w:type="textWrapping"/>
            </w:r>
            <w:r>
              <w:rPr>
                <w:rFonts w:hint="eastAsia" w:ascii="宋体" w:hAnsi="宋体" w:cs="宋体"/>
                <w:color w:val="auto"/>
                <w:kern w:val="0"/>
                <w:sz w:val="22"/>
                <w:szCs w:val="22"/>
                <w:highlight w:val="none"/>
              </w:rPr>
              <w:t>开发统一数据汇聚，对接广西管局、运营商境内涉网黑app（域名、网址）数据。</w:t>
            </w:r>
            <w:r>
              <w:rPr>
                <w:rFonts w:hint="eastAsia" w:ascii="宋体" w:hAnsi="宋体" w:cs="宋体"/>
                <w:color w:val="auto"/>
                <w:kern w:val="0"/>
                <w:sz w:val="22"/>
                <w:szCs w:val="22"/>
                <w:highlight w:val="none"/>
              </w:rPr>
              <w:br w:type="textWrapping"/>
            </w:r>
            <w:r>
              <w:rPr>
                <w:rFonts w:hint="eastAsia" w:ascii="宋体" w:hAnsi="宋体" w:cs="宋体"/>
                <w:color w:val="auto"/>
                <w:kern w:val="0"/>
                <w:sz w:val="22"/>
                <w:szCs w:val="22"/>
                <w:highlight w:val="none"/>
              </w:rPr>
              <w:t>（2）涉网黑app（域名、网址）数据关联分析</w:t>
            </w:r>
            <w:r>
              <w:rPr>
                <w:rFonts w:hint="eastAsia" w:ascii="宋体" w:hAnsi="宋体" w:cs="宋体"/>
                <w:color w:val="auto"/>
                <w:kern w:val="0"/>
                <w:sz w:val="22"/>
                <w:szCs w:val="22"/>
                <w:highlight w:val="none"/>
              </w:rPr>
              <w:br w:type="textWrapping"/>
            </w:r>
            <w:r>
              <w:rPr>
                <w:rFonts w:hint="eastAsia" w:ascii="宋体" w:hAnsi="宋体" w:cs="宋体"/>
                <w:color w:val="auto"/>
                <w:kern w:val="0"/>
                <w:sz w:val="22"/>
                <w:szCs w:val="22"/>
                <w:highlight w:val="none"/>
              </w:rPr>
              <w:t>基于公安案件库，查询涉网黑app（域名、网址）数据是否涉案，及在广西本地关联的案件数量、案件发生时间，并将涉案结果原路返回。</w:t>
            </w:r>
            <w:r>
              <w:rPr>
                <w:rFonts w:hint="eastAsia" w:ascii="宋体" w:hAnsi="宋体" w:cs="宋体"/>
                <w:color w:val="auto"/>
                <w:kern w:val="0"/>
                <w:sz w:val="22"/>
                <w:szCs w:val="22"/>
                <w:highlight w:val="none"/>
              </w:rPr>
              <w:br w:type="textWrapping"/>
            </w:r>
            <w:r>
              <w:rPr>
                <w:rFonts w:hint="eastAsia" w:ascii="宋体" w:hAnsi="宋体" w:cs="宋体"/>
                <w:color w:val="auto"/>
                <w:kern w:val="0"/>
                <w:sz w:val="22"/>
                <w:szCs w:val="22"/>
                <w:highlight w:val="none"/>
              </w:rPr>
              <w:t>（3）涉网黑app（域名、网址）风险档案管理</w:t>
            </w:r>
            <w:r>
              <w:rPr>
                <w:rFonts w:hint="eastAsia" w:ascii="宋体" w:hAnsi="宋体" w:cs="宋体"/>
                <w:color w:val="auto"/>
                <w:kern w:val="0"/>
                <w:sz w:val="22"/>
                <w:szCs w:val="22"/>
                <w:highlight w:val="none"/>
              </w:rPr>
              <w:br w:type="textWrapping"/>
            </w:r>
            <w:r>
              <w:rPr>
                <w:rFonts w:hint="eastAsia" w:ascii="宋体" w:hAnsi="宋体" w:cs="宋体"/>
                <w:color w:val="auto"/>
                <w:kern w:val="0"/>
                <w:sz w:val="22"/>
                <w:szCs w:val="22"/>
                <w:highlight w:val="none"/>
              </w:rPr>
              <w:t>统一数据分析，建立涉网黑app（域名、网址）风险档案，档案包括涉网黑app（域名、网址）是否涉案、是否核验等。</w:t>
            </w:r>
            <w:r>
              <w:rPr>
                <w:rFonts w:hint="eastAsia" w:ascii="宋体" w:hAnsi="宋体" w:cs="宋体"/>
                <w:color w:val="auto"/>
                <w:kern w:val="0"/>
                <w:sz w:val="22"/>
                <w:szCs w:val="22"/>
                <w:highlight w:val="none"/>
              </w:rPr>
              <w:br w:type="textWrapping"/>
            </w:r>
            <w:r>
              <w:rPr>
                <w:rFonts w:hint="eastAsia" w:ascii="宋体" w:hAnsi="宋体" w:cs="宋体"/>
                <w:color w:val="auto"/>
                <w:kern w:val="0"/>
                <w:sz w:val="22"/>
                <w:szCs w:val="22"/>
                <w:highlight w:val="none"/>
              </w:rPr>
              <w:t>（4）涉网黑app（域名、网址）校验信息反馈</w:t>
            </w:r>
            <w:r>
              <w:rPr>
                <w:rFonts w:hint="eastAsia" w:ascii="宋体" w:hAnsi="宋体" w:cs="宋体"/>
                <w:color w:val="auto"/>
                <w:kern w:val="0"/>
                <w:sz w:val="22"/>
                <w:szCs w:val="22"/>
                <w:highlight w:val="none"/>
              </w:rPr>
              <w:br w:type="textWrapping"/>
            </w:r>
            <w:r>
              <w:rPr>
                <w:rFonts w:hint="eastAsia" w:ascii="宋体" w:hAnsi="宋体" w:cs="宋体"/>
                <w:color w:val="auto"/>
                <w:kern w:val="0"/>
                <w:sz w:val="22"/>
                <w:szCs w:val="22"/>
                <w:highlight w:val="none"/>
              </w:rPr>
              <w:t>将涉网黑app（域名、网址）案件关联结果反馈至广西管局、运营商相关系统。</w:t>
            </w:r>
            <w:r>
              <w:rPr>
                <w:rFonts w:hint="eastAsia" w:ascii="宋体" w:hAnsi="宋体" w:cs="宋体"/>
                <w:color w:val="auto"/>
                <w:kern w:val="0"/>
                <w:sz w:val="22"/>
                <w:szCs w:val="22"/>
                <w:highlight w:val="none"/>
              </w:rPr>
              <w:br w:type="textWrapping"/>
            </w:r>
            <w:r>
              <w:rPr>
                <w:rFonts w:hint="eastAsia" w:ascii="宋体" w:hAnsi="宋体" w:cs="宋体"/>
                <w:color w:val="auto"/>
                <w:kern w:val="0"/>
                <w:sz w:val="22"/>
                <w:szCs w:val="22"/>
                <w:highlight w:val="none"/>
              </w:rPr>
              <w:t>4.涉网黑引流信息校验</w:t>
            </w:r>
            <w:r>
              <w:rPr>
                <w:rFonts w:hint="eastAsia" w:ascii="宋体" w:hAnsi="宋体" w:cs="宋体"/>
                <w:color w:val="auto"/>
                <w:kern w:val="0"/>
                <w:sz w:val="22"/>
                <w:szCs w:val="22"/>
                <w:highlight w:val="none"/>
              </w:rPr>
              <w:br w:type="textWrapping"/>
            </w:r>
            <w:r>
              <w:rPr>
                <w:rFonts w:hint="eastAsia" w:ascii="宋体" w:hAnsi="宋体" w:cs="宋体"/>
                <w:color w:val="auto"/>
                <w:kern w:val="0"/>
                <w:sz w:val="22"/>
                <w:szCs w:val="22"/>
                <w:highlight w:val="none"/>
              </w:rPr>
              <w:t>（1）涉网黑信息（引流）数据汇聚</w:t>
            </w:r>
            <w:r>
              <w:rPr>
                <w:rFonts w:hint="eastAsia" w:ascii="宋体" w:hAnsi="宋体" w:cs="宋体"/>
                <w:color w:val="auto"/>
                <w:kern w:val="0"/>
                <w:sz w:val="22"/>
                <w:szCs w:val="22"/>
                <w:highlight w:val="none"/>
              </w:rPr>
              <w:br w:type="textWrapping"/>
            </w:r>
            <w:r>
              <w:rPr>
                <w:rFonts w:hint="eastAsia" w:ascii="宋体" w:hAnsi="宋体" w:cs="宋体"/>
                <w:color w:val="auto"/>
                <w:kern w:val="0"/>
                <w:sz w:val="22"/>
                <w:szCs w:val="22"/>
                <w:highlight w:val="none"/>
              </w:rPr>
              <w:t>开发统一数据汇聚，对接广西管局、运营商境内涉网黑信息（引流）数据。</w:t>
            </w:r>
            <w:r>
              <w:rPr>
                <w:rFonts w:hint="eastAsia" w:ascii="宋体" w:hAnsi="宋体" w:cs="宋体"/>
                <w:color w:val="auto"/>
                <w:kern w:val="0"/>
                <w:sz w:val="22"/>
                <w:szCs w:val="22"/>
                <w:highlight w:val="none"/>
              </w:rPr>
              <w:br w:type="textWrapping"/>
            </w:r>
            <w:r>
              <w:rPr>
                <w:rFonts w:hint="eastAsia" w:ascii="宋体" w:hAnsi="宋体" w:cs="宋体"/>
                <w:color w:val="auto"/>
                <w:kern w:val="0"/>
                <w:sz w:val="22"/>
                <w:szCs w:val="22"/>
                <w:highlight w:val="none"/>
              </w:rPr>
              <w:t>（2）涉网黑信息（引流）数据关联分析</w:t>
            </w:r>
            <w:r>
              <w:rPr>
                <w:rFonts w:hint="eastAsia" w:ascii="宋体" w:hAnsi="宋体" w:cs="宋体"/>
                <w:color w:val="auto"/>
                <w:kern w:val="0"/>
                <w:sz w:val="22"/>
                <w:szCs w:val="22"/>
                <w:highlight w:val="none"/>
              </w:rPr>
              <w:br w:type="textWrapping"/>
            </w:r>
            <w:r>
              <w:rPr>
                <w:rFonts w:hint="eastAsia" w:ascii="宋体" w:hAnsi="宋体" w:cs="宋体"/>
                <w:color w:val="auto"/>
                <w:kern w:val="0"/>
                <w:sz w:val="22"/>
                <w:szCs w:val="22"/>
                <w:highlight w:val="none"/>
              </w:rPr>
              <w:t>基于公安案件库，查询涉网黑信息（引流）是否涉案，及在广西本地关联的案件数量、案件发生时间，并将涉案结果原路返回。</w:t>
            </w:r>
            <w:r>
              <w:rPr>
                <w:rFonts w:hint="eastAsia" w:ascii="宋体" w:hAnsi="宋体" w:cs="宋体"/>
                <w:color w:val="auto"/>
                <w:kern w:val="0"/>
                <w:sz w:val="22"/>
                <w:szCs w:val="22"/>
                <w:highlight w:val="none"/>
              </w:rPr>
              <w:br w:type="textWrapping"/>
            </w:r>
            <w:r>
              <w:rPr>
                <w:rFonts w:hint="eastAsia" w:ascii="宋体" w:hAnsi="宋体" w:cs="宋体"/>
                <w:color w:val="auto"/>
                <w:kern w:val="0"/>
                <w:sz w:val="22"/>
                <w:szCs w:val="22"/>
                <w:highlight w:val="none"/>
              </w:rPr>
              <w:t>（3）涉网黑信息（引流）风险档案管理</w:t>
            </w:r>
            <w:r>
              <w:rPr>
                <w:rFonts w:hint="eastAsia" w:ascii="宋体" w:hAnsi="宋体" w:cs="宋体"/>
                <w:color w:val="auto"/>
                <w:kern w:val="0"/>
                <w:sz w:val="22"/>
                <w:szCs w:val="22"/>
                <w:highlight w:val="none"/>
              </w:rPr>
              <w:br w:type="textWrapping"/>
            </w:r>
            <w:r>
              <w:rPr>
                <w:rFonts w:hint="eastAsia" w:ascii="宋体" w:hAnsi="宋体" w:cs="宋体"/>
                <w:color w:val="auto"/>
                <w:kern w:val="0"/>
                <w:sz w:val="22"/>
                <w:szCs w:val="22"/>
                <w:highlight w:val="none"/>
              </w:rPr>
              <w:t>统一数据分析，建立涉网黑信息（引流）风险档案，档案包括涉网黑信息（引流）是否涉案、是否核验等。</w:t>
            </w:r>
            <w:r>
              <w:rPr>
                <w:rFonts w:hint="eastAsia" w:ascii="宋体" w:hAnsi="宋体" w:cs="宋体"/>
                <w:color w:val="auto"/>
                <w:kern w:val="0"/>
                <w:sz w:val="22"/>
                <w:szCs w:val="22"/>
                <w:highlight w:val="none"/>
              </w:rPr>
              <w:br w:type="textWrapping"/>
            </w:r>
            <w:r>
              <w:rPr>
                <w:rFonts w:hint="eastAsia" w:ascii="宋体" w:hAnsi="宋体" w:cs="宋体"/>
                <w:color w:val="auto"/>
                <w:kern w:val="0"/>
                <w:sz w:val="22"/>
                <w:szCs w:val="22"/>
                <w:highlight w:val="none"/>
              </w:rPr>
              <w:t>（4）涉网黑信息（引流）校验信息反馈</w:t>
            </w:r>
            <w:r>
              <w:rPr>
                <w:rFonts w:hint="eastAsia" w:ascii="宋体" w:hAnsi="宋体" w:cs="宋体"/>
                <w:color w:val="auto"/>
                <w:kern w:val="0"/>
                <w:sz w:val="22"/>
                <w:szCs w:val="22"/>
                <w:highlight w:val="none"/>
              </w:rPr>
              <w:br w:type="textWrapping"/>
            </w:r>
            <w:r>
              <w:rPr>
                <w:rFonts w:hint="eastAsia" w:ascii="宋体" w:hAnsi="宋体" w:cs="宋体"/>
                <w:color w:val="auto"/>
                <w:kern w:val="0"/>
                <w:sz w:val="22"/>
                <w:szCs w:val="22"/>
                <w:highlight w:val="none"/>
              </w:rPr>
              <w:t>将涉网黑不良信息（引流）案件关联结果反馈至广西管局、运营商相关系统。</w:t>
            </w:r>
          </w:p>
        </w:tc>
      </w:tr>
      <w:tr w14:paraId="74112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46" w:type="dxa"/>
            <w:vMerge w:val="continue"/>
            <w:vAlign w:val="center"/>
          </w:tcPr>
          <w:p w14:paraId="6D6F9A42">
            <w:pPr>
              <w:widowControl/>
              <w:spacing w:line="360" w:lineRule="auto"/>
              <w:jc w:val="left"/>
              <w:rPr>
                <w:rFonts w:ascii="宋体" w:hAnsi="宋体" w:cs="宋体"/>
                <w:color w:val="auto"/>
                <w:kern w:val="0"/>
                <w:sz w:val="21"/>
                <w:szCs w:val="21"/>
                <w:highlight w:val="none"/>
              </w:rPr>
            </w:pPr>
          </w:p>
        </w:tc>
        <w:tc>
          <w:tcPr>
            <w:tcW w:w="1612" w:type="dxa"/>
            <w:gridSpan w:val="2"/>
            <w:vMerge w:val="continue"/>
            <w:vAlign w:val="center"/>
          </w:tcPr>
          <w:p w14:paraId="55B9A43F">
            <w:pPr>
              <w:widowControl/>
              <w:spacing w:line="360" w:lineRule="auto"/>
              <w:jc w:val="left"/>
              <w:rPr>
                <w:rFonts w:ascii="宋体" w:hAnsi="宋体" w:cs="宋体"/>
                <w:color w:val="auto"/>
                <w:kern w:val="0"/>
                <w:sz w:val="21"/>
                <w:szCs w:val="21"/>
                <w:highlight w:val="none"/>
              </w:rPr>
            </w:pPr>
          </w:p>
        </w:tc>
        <w:tc>
          <w:tcPr>
            <w:tcW w:w="1179" w:type="dxa"/>
            <w:vMerge w:val="continue"/>
            <w:tcBorders>
              <w:right w:val="single" w:color="auto" w:sz="4" w:space="0"/>
            </w:tcBorders>
            <w:vAlign w:val="center"/>
          </w:tcPr>
          <w:p w14:paraId="155D1A93">
            <w:pPr>
              <w:widowControl/>
              <w:spacing w:line="360" w:lineRule="auto"/>
              <w:jc w:val="left"/>
              <w:rPr>
                <w:rFonts w:ascii="宋体" w:hAnsi="宋体" w:cs="宋体"/>
                <w:color w:val="auto"/>
                <w:kern w:val="0"/>
                <w:sz w:val="21"/>
                <w:szCs w:val="21"/>
                <w:highlight w:val="none"/>
              </w:rPr>
            </w:pPr>
          </w:p>
        </w:tc>
        <w:tc>
          <w:tcPr>
            <w:tcW w:w="6668" w:type="dxa"/>
            <w:tcBorders>
              <w:top w:val="nil"/>
              <w:left w:val="single" w:color="auto" w:sz="4" w:space="0"/>
              <w:bottom w:val="nil"/>
              <w:right w:val="single" w:color="auto" w:sz="4" w:space="0"/>
            </w:tcBorders>
            <w:shd w:val="clear" w:color="auto" w:fill="auto"/>
            <w:vAlign w:val="center"/>
          </w:tcPr>
          <w:p w14:paraId="1154EA8E">
            <w:pPr>
              <w:widowControl/>
              <w:spacing w:line="360" w:lineRule="auto"/>
              <w:jc w:val="left"/>
              <w:rPr>
                <w:rFonts w:ascii="宋体" w:hAnsi="宋体" w:cs="宋体"/>
                <w:color w:val="auto"/>
                <w:kern w:val="0"/>
                <w:sz w:val="21"/>
                <w:szCs w:val="21"/>
                <w:highlight w:val="none"/>
              </w:rPr>
            </w:pPr>
            <w:r>
              <w:rPr>
                <w:rFonts w:hint="eastAsia" w:ascii="宋体" w:hAnsi="宋体" w:cs="宋体"/>
                <w:b/>
                <w:bCs/>
                <w:color w:val="auto"/>
                <w:kern w:val="0"/>
                <w:sz w:val="22"/>
                <w:szCs w:val="22"/>
                <w:highlight w:val="none"/>
              </w:rPr>
              <w:t>3.2网络流预警劝阻</w:t>
            </w:r>
            <w:r>
              <w:rPr>
                <w:rFonts w:hint="eastAsia" w:ascii="宋体" w:hAnsi="宋体" w:cs="宋体"/>
                <w:color w:val="auto"/>
                <w:kern w:val="0"/>
                <w:sz w:val="22"/>
                <w:szCs w:val="22"/>
                <w:highlight w:val="none"/>
              </w:rPr>
              <w:br w:type="textWrapping"/>
            </w:r>
            <w:r>
              <w:rPr>
                <w:rFonts w:hint="eastAsia" w:ascii="宋体" w:hAnsi="宋体" w:cs="宋体"/>
                <w:color w:val="auto"/>
                <w:kern w:val="0"/>
                <w:sz w:val="22"/>
                <w:szCs w:val="22"/>
                <w:highlight w:val="none"/>
              </w:rPr>
              <w:t>支持包含网络流潜在受害人预警、网络流潜在受害人全息档案、网络流异常提醒成果展示、网络流劝阻结果分析等四部分。支持针对潜在受害人的网络风险进行动态积分的分级分类预警，统计分析潜在受害人的全息档案，展示通信异常提醒情况，展示重点区域劝阻情况。基于广西公安涉诈案件、第三方涉诈样本及研判扩线情报，通过及时推送给广西管局进行互联网异常登录线上提醒，对接AI智能外呼、对外金融企业、人工等多维度的劝阻，并结合劝阻结果以及历史劝阻记录进行分析，反向优化预警数据检出规则。</w:t>
            </w:r>
            <w:r>
              <w:rPr>
                <w:rFonts w:hint="eastAsia" w:ascii="宋体" w:hAnsi="宋体" w:cs="宋体"/>
                <w:color w:val="auto"/>
                <w:kern w:val="0"/>
                <w:sz w:val="22"/>
                <w:szCs w:val="22"/>
                <w:highlight w:val="none"/>
              </w:rPr>
              <w:br w:type="textWrapping"/>
            </w:r>
            <w:r>
              <w:rPr>
                <w:rFonts w:hint="eastAsia" w:ascii="宋体" w:hAnsi="宋体" w:cs="宋体"/>
                <w:color w:val="auto"/>
                <w:kern w:val="0"/>
                <w:sz w:val="22"/>
                <w:szCs w:val="22"/>
                <w:highlight w:val="none"/>
              </w:rPr>
              <w:t>1.网络流潜在受害人精准预警</w:t>
            </w:r>
            <w:r>
              <w:rPr>
                <w:rFonts w:hint="eastAsia" w:ascii="宋体" w:hAnsi="宋体" w:cs="宋体"/>
                <w:color w:val="auto"/>
                <w:kern w:val="0"/>
                <w:sz w:val="22"/>
                <w:szCs w:val="22"/>
                <w:highlight w:val="none"/>
              </w:rPr>
              <w:br w:type="textWrapping"/>
            </w:r>
            <w:r>
              <w:rPr>
                <w:rFonts w:hint="eastAsia" w:ascii="宋体" w:hAnsi="宋体" w:cs="宋体"/>
                <w:color w:val="auto"/>
                <w:kern w:val="0"/>
                <w:sz w:val="22"/>
                <w:szCs w:val="22"/>
                <w:highlight w:val="none"/>
              </w:rPr>
              <w:t>（1）预警数据对接</w:t>
            </w:r>
            <w:r>
              <w:rPr>
                <w:rFonts w:hint="eastAsia" w:ascii="宋体" w:hAnsi="宋体" w:cs="宋体"/>
                <w:color w:val="auto"/>
                <w:kern w:val="0"/>
                <w:sz w:val="22"/>
                <w:szCs w:val="22"/>
                <w:highlight w:val="none"/>
              </w:rPr>
              <w:br w:type="textWrapping"/>
            </w:r>
            <w:r>
              <w:rPr>
                <w:rFonts w:hint="eastAsia" w:ascii="宋体" w:hAnsi="宋体" w:cs="宋体"/>
                <w:color w:val="auto"/>
                <w:kern w:val="0"/>
                <w:sz w:val="22"/>
                <w:szCs w:val="22"/>
                <w:highlight w:val="none"/>
              </w:rPr>
              <w:t>对接公安内部、运营商以及第三方企业网络流等预警数据。</w:t>
            </w:r>
            <w:r>
              <w:rPr>
                <w:rFonts w:hint="eastAsia" w:ascii="宋体" w:hAnsi="宋体" w:cs="宋体"/>
                <w:color w:val="auto"/>
                <w:kern w:val="0"/>
                <w:sz w:val="22"/>
                <w:szCs w:val="22"/>
                <w:highlight w:val="none"/>
              </w:rPr>
              <w:br w:type="textWrapping"/>
            </w:r>
            <w:r>
              <w:rPr>
                <w:rFonts w:hint="eastAsia" w:ascii="宋体" w:hAnsi="宋体" w:cs="宋体"/>
                <w:color w:val="auto"/>
                <w:kern w:val="0"/>
                <w:sz w:val="22"/>
                <w:szCs w:val="22"/>
                <w:highlight w:val="none"/>
              </w:rPr>
              <w:t>（2）分级分类预警</w:t>
            </w:r>
            <w:r>
              <w:rPr>
                <w:rFonts w:hint="eastAsia" w:ascii="宋体" w:hAnsi="宋体" w:cs="宋体"/>
                <w:color w:val="auto"/>
                <w:kern w:val="0"/>
                <w:sz w:val="22"/>
                <w:szCs w:val="22"/>
                <w:highlight w:val="none"/>
              </w:rPr>
              <w:br w:type="textWrapping"/>
            </w:r>
            <w:r>
              <w:rPr>
                <w:rFonts w:hint="eastAsia" w:ascii="宋体" w:hAnsi="宋体" w:cs="宋体"/>
                <w:color w:val="auto"/>
                <w:kern w:val="0"/>
                <w:sz w:val="22"/>
                <w:szCs w:val="22"/>
                <w:highlight w:val="none"/>
              </w:rPr>
              <w:t>基于不同的12+2涉诈类型，结合潜在受害人的预警数据来源，制定分级分类动态积分预警规则，为每条预警信息分配相应的积分。</w:t>
            </w:r>
            <w:r>
              <w:rPr>
                <w:rFonts w:hint="eastAsia" w:ascii="宋体" w:hAnsi="宋体" w:cs="宋体"/>
                <w:color w:val="auto"/>
                <w:kern w:val="0"/>
                <w:sz w:val="22"/>
                <w:szCs w:val="22"/>
                <w:highlight w:val="none"/>
              </w:rPr>
              <w:br w:type="textWrapping"/>
            </w:r>
            <w:r>
              <w:rPr>
                <w:rFonts w:hint="eastAsia" w:ascii="宋体" w:hAnsi="宋体" w:cs="宋体"/>
                <w:color w:val="auto"/>
                <w:kern w:val="0"/>
                <w:sz w:val="22"/>
                <w:szCs w:val="22"/>
                <w:highlight w:val="none"/>
              </w:rPr>
              <w:t>2.网络流潜在受害人全息档案</w:t>
            </w:r>
            <w:r>
              <w:rPr>
                <w:rFonts w:hint="eastAsia" w:ascii="宋体" w:hAnsi="宋体" w:cs="宋体"/>
                <w:color w:val="auto"/>
                <w:kern w:val="0"/>
                <w:sz w:val="22"/>
                <w:szCs w:val="22"/>
                <w:highlight w:val="none"/>
              </w:rPr>
              <w:br w:type="textWrapping"/>
            </w:r>
            <w:r>
              <w:rPr>
                <w:rFonts w:hint="eastAsia" w:ascii="宋体" w:hAnsi="宋体" w:cs="宋体"/>
                <w:color w:val="auto"/>
                <w:kern w:val="0"/>
                <w:sz w:val="22"/>
                <w:szCs w:val="22"/>
                <w:highlight w:val="none"/>
              </w:rPr>
              <w:t>（1）网络流潜在受害人全息档案统计分析</w:t>
            </w:r>
            <w:r>
              <w:rPr>
                <w:rFonts w:hint="eastAsia" w:ascii="宋体" w:hAnsi="宋体" w:cs="宋体"/>
                <w:color w:val="auto"/>
                <w:kern w:val="0"/>
                <w:sz w:val="22"/>
                <w:szCs w:val="22"/>
                <w:highlight w:val="none"/>
              </w:rPr>
              <w:br w:type="textWrapping"/>
            </w:r>
            <w:r>
              <w:rPr>
                <w:rFonts w:hint="eastAsia" w:ascii="宋体" w:hAnsi="宋体" w:cs="宋体"/>
                <w:color w:val="auto"/>
                <w:kern w:val="0"/>
                <w:sz w:val="22"/>
                <w:szCs w:val="22"/>
                <w:highlight w:val="none"/>
              </w:rPr>
              <w:t>基于网络侧潜在受害人分级分类预警数据，形成潜在受害人全息档案。</w:t>
            </w:r>
            <w:r>
              <w:rPr>
                <w:rFonts w:hint="eastAsia" w:ascii="宋体" w:hAnsi="宋体" w:cs="宋体"/>
                <w:color w:val="auto"/>
                <w:kern w:val="0"/>
                <w:sz w:val="22"/>
                <w:szCs w:val="22"/>
                <w:highlight w:val="none"/>
              </w:rPr>
              <w:br w:type="textWrapping"/>
            </w:r>
            <w:r>
              <w:rPr>
                <w:rFonts w:hint="eastAsia" w:ascii="宋体" w:hAnsi="宋体" w:cs="宋体"/>
                <w:color w:val="auto"/>
                <w:kern w:val="0"/>
                <w:sz w:val="22"/>
                <w:szCs w:val="22"/>
                <w:highlight w:val="none"/>
              </w:rPr>
              <w:t>（2）网络流潜在受害人全息档案展示</w:t>
            </w:r>
            <w:r>
              <w:rPr>
                <w:rFonts w:hint="eastAsia" w:ascii="宋体" w:hAnsi="宋体" w:cs="宋体"/>
                <w:color w:val="auto"/>
                <w:kern w:val="0"/>
                <w:sz w:val="22"/>
                <w:szCs w:val="22"/>
                <w:highlight w:val="none"/>
              </w:rPr>
              <w:br w:type="textWrapping"/>
            </w:r>
            <w:r>
              <w:rPr>
                <w:rFonts w:hint="eastAsia" w:ascii="宋体" w:hAnsi="宋体" w:cs="宋体"/>
                <w:color w:val="auto"/>
                <w:kern w:val="0"/>
                <w:sz w:val="22"/>
                <w:szCs w:val="22"/>
                <w:highlight w:val="none"/>
              </w:rPr>
              <w:t>基于时间轴展示关联历史预警信息、历史劝阻、涉案情况等。</w:t>
            </w:r>
            <w:r>
              <w:rPr>
                <w:rFonts w:hint="eastAsia" w:ascii="宋体" w:hAnsi="宋体" w:cs="宋体"/>
                <w:color w:val="auto"/>
                <w:kern w:val="0"/>
                <w:sz w:val="22"/>
                <w:szCs w:val="22"/>
                <w:highlight w:val="none"/>
              </w:rPr>
              <w:br w:type="textWrapping"/>
            </w:r>
            <w:r>
              <w:rPr>
                <w:rFonts w:hint="eastAsia" w:ascii="宋体" w:hAnsi="宋体" w:cs="宋体"/>
                <w:color w:val="auto"/>
                <w:kern w:val="0"/>
                <w:sz w:val="22"/>
                <w:szCs w:val="22"/>
                <w:highlight w:val="none"/>
              </w:rPr>
              <w:t>3.网络流异常提醒成果展示</w:t>
            </w:r>
            <w:r>
              <w:rPr>
                <w:rFonts w:hint="eastAsia" w:ascii="宋体" w:hAnsi="宋体" w:cs="宋体"/>
                <w:color w:val="auto"/>
                <w:kern w:val="0"/>
                <w:sz w:val="22"/>
                <w:szCs w:val="22"/>
                <w:highlight w:val="none"/>
              </w:rPr>
              <w:br w:type="textWrapping"/>
            </w:r>
            <w:r>
              <w:rPr>
                <w:rFonts w:hint="eastAsia" w:ascii="宋体" w:hAnsi="宋体" w:cs="宋体"/>
                <w:color w:val="auto"/>
                <w:kern w:val="0"/>
                <w:sz w:val="22"/>
                <w:szCs w:val="22"/>
                <w:highlight w:val="none"/>
              </w:rPr>
              <w:t>（1）公安推送管局高危预警数据</w:t>
            </w:r>
            <w:r>
              <w:rPr>
                <w:rFonts w:hint="eastAsia" w:ascii="宋体" w:hAnsi="宋体" w:cs="宋体"/>
                <w:color w:val="auto"/>
                <w:kern w:val="0"/>
                <w:sz w:val="22"/>
                <w:szCs w:val="22"/>
                <w:highlight w:val="none"/>
              </w:rPr>
              <w:br w:type="textWrapping"/>
            </w:r>
            <w:r>
              <w:rPr>
                <w:rFonts w:hint="eastAsia" w:ascii="宋体" w:hAnsi="宋体" w:cs="宋体"/>
                <w:color w:val="auto"/>
                <w:kern w:val="0"/>
                <w:sz w:val="22"/>
                <w:szCs w:val="22"/>
                <w:highlight w:val="none"/>
              </w:rPr>
              <w:t>基于公安涉诈警情、案件、第三方涉诈样本，通过交互通道及时推送给管局。</w:t>
            </w:r>
            <w:r>
              <w:rPr>
                <w:rFonts w:hint="eastAsia" w:ascii="宋体" w:hAnsi="宋体" w:cs="宋体"/>
                <w:color w:val="auto"/>
                <w:kern w:val="0"/>
                <w:sz w:val="22"/>
                <w:szCs w:val="22"/>
                <w:highlight w:val="none"/>
              </w:rPr>
              <w:br w:type="textWrapping"/>
            </w:r>
            <w:r>
              <w:rPr>
                <w:rFonts w:hint="eastAsia" w:ascii="宋体" w:hAnsi="宋体" w:cs="宋体"/>
                <w:color w:val="auto"/>
                <w:kern w:val="0"/>
                <w:sz w:val="22"/>
                <w:szCs w:val="22"/>
                <w:highlight w:val="none"/>
              </w:rPr>
              <w:t>（2）接收异常处置反馈结果</w:t>
            </w:r>
            <w:r>
              <w:rPr>
                <w:rFonts w:hint="eastAsia" w:ascii="宋体" w:hAnsi="宋体" w:cs="宋体"/>
                <w:color w:val="auto"/>
                <w:kern w:val="0"/>
                <w:sz w:val="22"/>
                <w:szCs w:val="22"/>
                <w:highlight w:val="none"/>
              </w:rPr>
              <w:br w:type="textWrapping"/>
            </w:r>
            <w:r>
              <w:rPr>
                <w:rFonts w:hint="eastAsia" w:ascii="宋体" w:hAnsi="宋体" w:cs="宋体"/>
                <w:color w:val="auto"/>
                <w:kern w:val="0"/>
                <w:sz w:val="22"/>
                <w:szCs w:val="22"/>
                <w:highlight w:val="none"/>
              </w:rPr>
              <w:t>管局当潜在受害人访问涉诈APP、网址等涉诈信息时，进行异常登录线上短信提醒，并返回公安展示结果。</w:t>
            </w:r>
            <w:r>
              <w:rPr>
                <w:rFonts w:hint="eastAsia" w:ascii="宋体" w:hAnsi="宋体" w:cs="宋体"/>
                <w:color w:val="auto"/>
                <w:kern w:val="0"/>
                <w:sz w:val="22"/>
                <w:szCs w:val="22"/>
                <w:highlight w:val="none"/>
              </w:rPr>
              <w:br w:type="textWrapping"/>
            </w:r>
            <w:r>
              <w:rPr>
                <w:rFonts w:hint="eastAsia" w:ascii="宋体" w:hAnsi="宋体" w:cs="宋体"/>
                <w:color w:val="auto"/>
                <w:kern w:val="0"/>
                <w:sz w:val="22"/>
                <w:szCs w:val="22"/>
                <w:highlight w:val="none"/>
              </w:rPr>
              <w:t>4. 网络流劝阻结果分析</w:t>
            </w:r>
            <w:r>
              <w:rPr>
                <w:rFonts w:hint="eastAsia" w:ascii="宋体" w:hAnsi="宋体" w:cs="宋体"/>
                <w:color w:val="auto"/>
                <w:kern w:val="0"/>
                <w:sz w:val="22"/>
                <w:szCs w:val="22"/>
                <w:highlight w:val="none"/>
              </w:rPr>
              <w:br w:type="textWrapping"/>
            </w:r>
            <w:r>
              <w:rPr>
                <w:rFonts w:hint="eastAsia" w:ascii="宋体" w:hAnsi="宋体" w:cs="宋体"/>
                <w:color w:val="auto"/>
                <w:kern w:val="0"/>
                <w:sz w:val="22"/>
                <w:szCs w:val="22"/>
                <w:highlight w:val="none"/>
              </w:rPr>
              <w:t>支持马上金融企业劝阻结果分析和国反劝阻结果分析。</w:t>
            </w:r>
          </w:p>
        </w:tc>
      </w:tr>
      <w:tr w14:paraId="0998B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46" w:type="dxa"/>
            <w:vMerge w:val="continue"/>
            <w:vAlign w:val="center"/>
          </w:tcPr>
          <w:p w14:paraId="56B3CB29">
            <w:pPr>
              <w:widowControl/>
              <w:spacing w:line="360" w:lineRule="auto"/>
              <w:jc w:val="left"/>
              <w:rPr>
                <w:rFonts w:ascii="宋体" w:hAnsi="宋体" w:cs="宋体"/>
                <w:color w:val="auto"/>
                <w:kern w:val="0"/>
                <w:sz w:val="21"/>
                <w:szCs w:val="21"/>
                <w:highlight w:val="none"/>
              </w:rPr>
            </w:pPr>
          </w:p>
        </w:tc>
        <w:tc>
          <w:tcPr>
            <w:tcW w:w="1612" w:type="dxa"/>
            <w:gridSpan w:val="2"/>
            <w:vMerge w:val="continue"/>
            <w:vAlign w:val="center"/>
          </w:tcPr>
          <w:p w14:paraId="50B888A4">
            <w:pPr>
              <w:widowControl/>
              <w:spacing w:line="360" w:lineRule="auto"/>
              <w:jc w:val="left"/>
              <w:rPr>
                <w:rFonts w:ascii="宋体" w:hAnsi="宋体" w:cs="宋体"/>
                <w:color w:val="auto"/>
                <w:kern w:val="0"/>
                <w:sz w:val="21"/>
                <w:szCs w:val="21"/>
                <w:highlight w:val="none"/>
              </w:rPr>
            </w:pPr>
          </w:p>
        </w:tc>
        <w:tc>
          <w:tcPr>
            <w:tcW w:w="1179" w:type="dxa"/>
            <w:vMerge w:val="continue"/>
            <w:tcBorders>
              <w:right w:val="single" w:color="auto" w:sz="4" w:space="0"/>
            </w:tcBorders>
            <w:vAlign w:val="center"/>
          </w:tcPr>
          <w:p w14:paraId="6E4408A6">
            <w:pPr>
              <w:widowControl/>
              <w:spacing w:line="360" w:lineRule="auto"/>
              <w:jc w:val="left"/>
              <w:rPr>
                <w:rFonts w:ascii="宋体" w:hAnsi="宋体" w:cs="宋体"/>
                <w:color w:val="auto"/>
                <w:kern w:val="0"/>
                <w:sz w:val="21"/>
                <w:szCs w:val="21"/>
                <w:highlight w:val="none"/>
              </w:rPr>
            </w:pPr>
          </w:p>
        </w:tc>
        <w:tc>
          <w:tcPr>
            <w:tcW w:w="6668" w:type="dxa"/>
            <w:tcBorders>
              <w:top w:val="nil"/>
              <w:left w:val="single" w:color="auto" w:sz="4" w:space="0"/>
              <w:bottom w:val="nil"/>
              <w:right w:val="single" w:color="auto" w:sz="4" w:space="0"/>
            </w:tcBorders>
            <w:shd w:val="clear" w:color="auto" w:fill="auto"/>
            <w:vAlign w:val="center"/>
          </w:tcPr>
          <w:p w14:paraId="5CA305DE">
            <w:pPr>
              <w:widowControl/>
              <w:spacing w:line="360" w:lineRule="auto"/>
              <w:jc w:val="left"/>
              <w:rPr>
                <w:rFonts w:ascii="宋体" w:hAnsi="宋体" w:cs="宋体"/>
                <w:color w:val="auto"/>
                <w:kern w:val="0"/>
                <w:sz w:val="21"/>
                <w:szCs w:val="21"/>
                <w:highlight w:val="none"/>
              </w:rPr>
            </w:pPr>
            <w:r>
              <w:rPr>
                <w:rFonts w:hint="eastAsia" w:ascii="宋体" w:hAnsi="宋体" w:cs="宋体"/>
                <w:b/>
                <w:bCs/>
                <w:color w:val="auto"/>
                <w:kern w:val="0"/>
                <w:sz w:val="22"/>
                <w:szCs w:val="22"/>
                <w:highlight w:val="none"/>
              </w:rPr>
              <w:t>3.3网络流技术反制</w:t>
            </w:r>
            <w:r>
              <w:rPr>
                <w:rFonts w:hint="eastAsia" w:ascii="宋体" w:hAnsi="宋体" w:cs="宋体"/>
                <w:color w:val="auto"/>
                <w:kern w:val="0"/>
                <w:sz w:val="22"/>
                <w:szCs w:val="22"/>
                <w:highlight w:val="none"/>
              </w:rPr>
              <w:br w:type="textWrapping"/>
            </w:r>
            <w:r>
              <w:rPr>
                <w:rFonts w:hint="eastAsia" w:ascii="宋体" w:hAnsi="宋体" w:cs="宋体"/>
                <w:color w:val="auto"/>
                <w:kern w:val="0"/>
                <w:sz w:val="22"/>
                <w:szCs w:val="22"/>
                <w:highlight w:val="none"/>
              </w:rPr>
              <w:t>支持基于案件、警情等多源情报获取涉诈网址、APP等涉诈要素，通过对接广西管局风控，实现广西公安和管局对涉诈信息的快速流转和处置，提升预警反制实效性，建立涉诈网址、app黑白名单库，实现封堵文书自动生成，进行涉诈网址、app、互联网账号实时推送封堵，并建立解封机制。包含以下内容：</w:t>
            </w:r>
            <w:r>
              <w:rPr>
                <w:rFonts w:hint="eastAsia" w:ascii="宋体" w:hAnsi="宋体" w:cs="宋体"/>
                <w:color w:val="auto"/>
                <w:kern w:val="0"/>
                <w:sz w:val="22"/>
                <w:szCs w:val="22"/>
                <w:highlight w:val="none"/>
              </w:rPr>
              <w:br w:type="textWrapping"/>
            </w:r>
            <w:r>
              <w:rPr>
                <w:rFonts w:hint="eastAsia" w:ascii="宋体" w:hAnsi="宋体" w:cs="宋体"/>
                <w:color w:val="auto"/>
                <w:kern w:val="0"/>
                <w:sz w:val="22"/>
                <w:szCs w:val="22"/>
                <w:highlight w:val="none"/>
              </w:rPr>
              <w:t>（1）网络流现勘对接：接口对接涉诈案件现勘采集涉诈网址、app等多源数据。</w:t>
            </w:r>
            <w:r>
              <w:rPr>
                <w:rFonts w:hint="eastAsia" w:ascii="宋体" w:hAnsi="宋体" w:cs="宋体"/>
                <w:color w:val="auto"/>
                <w:kern w:val="0"/>
                <w:sz w:val="22"/>
                <w:szCs w:val="22"/>
                <w:highlight w:val="none"/>
              </w:rPr>
              <w:br w:type="textWrapping"/>
            </w:r>
            <w:r>
              <w:rPr>
                <w:rFonts w:hint="eastAsia" w:ascii="宋体" w:hAnsi="宋体" w:cs="宋体"/>
                <w:color w:val="auto"/>
                <w:kern w:val="0"/>
                <w:sz w:val="22"/>
                <w:szCs w:val="22"/>
                <w:highlight w:val="none"/>
              </w:rPr>
              <w:t>（2）涉诈网址研判分析：支持域名相似度分析、网站特征分析、网站视觉特性相似度分析、网站文本内容相似度分析、涉诈网址同家族分析、涉诈网址情报扩线、涉诈网址关联分析一键生成分析报告。</w:t>
            </w:r>
            <w:r>
              <w:rPr>
                <w:rFonts w:hint="eastAsia" w:ascii="宋体" w:hAnsi="宋体" w:cs="宋体"/>
                <w:color w:val="auto"/>
                <w:kern w:val="0"/>
                <w:sz w:val="22"/>
                <w:szCs w:val="22"/>
                <w:highlight w:val="none"/>
              </w:rPr>
              <w:br w:type="textWrapping"/>
            </w:r>
            <w:r>
              <w:rPr>
                <w:rFonts w:hint="eastAsia" w:ascii="宋体" w:hAnsi="宋体" w:cs="宋体"/>
                <w:color w:val="auto"/>
                <w:kern w:val="0"/>
                <w:sz w:val="22"/>
                <w:szCs w:val="22"/>
                <w:highlight w:val="none"/>
              </w:rPr>
              <w:t>◆（3）涉诈网址画像：支持通过涉诈网址综合研判分析获取涉诈网址多源情报信息，基于涉诈网址多维分析进行涉诈网址关联情报融合，建立情报间业务关联；支持基于多维度、全方位对涉诈网址的研判分析需求，对涉诈网址进行多维全息画像。</w:t>
            </w:r>
            <w:r>
              <w:rPr>
                <w:rFonts w:hint="eastAsia" w:ascii="宋体" w:hAnsi="宋体" w:cs="宋体"/>
                <w:color w:val="auto"/>
                <w:kern w:val="0"/>
                <w:sz w:val="22"/>
                <w:szCs w:val="22"/>
                <w:highlight w:val="none"/>
              </w:rPr>
              <w:br w:type="textWrapping"/>
            </w:r>
            <w:r>
              <w:rPr>
                <w:rFonts w:hint="eastAsia" w:ascii="宋体" w:hAnsi="宋体" w:cs="宋体"/>
                <w:color w:val="auto"/>
                <w:kern w:val="0"/>
                <w:sz w:val="22"/>
                <w:szCs w:val="22"/>
                <w:highlight w:val="none"/>
              </w:rPr>
              <w:t>（4）涉诈APP研判分析：支持涉诈APP静态分析、涉诈APP动态分析、AI模型分析、涉诈APP同家族分析、涉诈APP情报扩线、涉诈APP关联分析、一键生成涉诈APP分析报告。</w:t>
            </w:r>
            <w:r>
              <w:rPr>
                <w:rFonts w:hint="eastAsia" w:ascii="宋体" w:hAnsi="宋体" w:cs="宋体"/>
                <w:color w:val="auto"/>
                <w:kern w:val="0"/>
                <w:sz w:val="22"/>
                <w:szCs w:val="22"/>
                <w:highlight w:val="none"/>
              </w:rPr>
              <w:br w:type="textWrapping"/>
            </w:r>
            <w:r>
              <w:rPr>
                <w:rFonts w:hint="eastAsia" w:ascii="宋体" w:hAnsi="宋体" w:cs="宋体"/>
                <w:color w:val="auto"/>
                <w:kern w:val="0"/>
                <w:sz w:val="22"/>
                <w:szCs w:val="22"/>
                <w:highlight w:val="none"/>
              </w:rPr>
              <w:t>（5）涉诈APP画像：支持进行涉诈APP关联情报融合，建立情报间业务关联；支持涉诈APP进行多维全息画像。</w:t>
            </w:r>
            <w:r>
              <w:rPr>
                <w:rFonts w:hint="eastAsia" w:ascii="宋体" w:hAnsi="宋体" w:cs="宋体"/>
                <w:color w:val="auto"/>
                <w:kern w:val="0"/>
                <w:sz w:val="22"/>
                <w:szCs w:val="22"/>
                <w:highlight w:val="none"/>
              </w:rPr>
              <w:br w:type="textWrapping"/>
            </w:r>
            <w:r>
              <w:rPr>
                <w:rFonts w:hint="eastAsia" w:ascii="宋体" w:hAnsi="宋体" w:cs="宋体"/>
                <w:color w:val="auto"/>
                <w:kern w:val="0"/>
                <w:sz w:val="22"/>
                <w:szCs w:val="22"/>
                <w:highlight w:val="none"/>
              </w:rPr>
              <w:t>（6）网络流黑白名单库管理：支持基于广西涉诈案件的涉诈APP及研判分析，研判输出涉诈和非涉诈APP，以及结合互联网厂商涉诈APP黑白名单库，建设广西公安涉诈网址黑白名单库。</w:t>
            </w:r>
            <w:r>
              <w:rPr>
                <w:rFonts w:hint="eastAsia" w:ascii="宋体" w:hAnsi="宋体" w:cs="宋体"/>
                <w:color w:val="auto"/>
                <w:kern w:val="0"/>
                <w:sz w:val="22"/>
                <w:szCs w:val="22"/>
                <w:highlight w:val="none"/>
              </w:rPr>
              <w:br w:type="textWrapping"/>
            </w:r>
            <w:r>
              <w:rPr>
                <w:rFonts w:hint="eastAsia" w:ascii="宋体" w:hAnsi="宋体" w:cs="宋体"/>
                <w:color w:val="auto"/>
                <w:kern w:val="0"/>
                <w:sz w:val="22"/>
                <w:szCs w:val="22"/>
                <w:highlight w:val="none"/>
              </w:rPr>
              <w:t>（7）涉诈网址封堵反制：支持新增网址人工录入、与公安部对接涉诈域名处置、封堵策略下发、拨测结果反馈、涉诈网址管理、涉诈网址处置流程展示。</w:t>
            </w:r>
            <w:r>
              <w:rPr>
                <w:rFonts w:hint="eastAsia" w:ascii="宋体" w:hAnsi="宋体" w:cs="宋体"/>
                <w:color w:val="auto"/>
                <w:kern w:val="0"/>
                <w:sz w:val="22"/>
                <w:szCs w:val="22"/>
                <w:highlight w:val="none"/>
              </w:rPr>
              <w:br w:type="textWrapping"/>
            </w:r>
            <w:r>
              <w:rPr>
                <w:rFonts w:hint="eastAsia" w:ascii="宋体" w:hAnsi="宋体" w:cs="宋体"/>
                <w:color w:val="auto"/>
                <w:kern w:val="0"/>
                <w:sz w:val="22"/>
                <w:szCs w:val="22"/>
                <w:highlight w:val="none"/>
              </w:rPr>
              <w:t>（8）涉诈网址解封：针对涉诈网址误封情况，联动管局/运营商，建立解封机制。</w:t>
            </w:r>
            <w:r>
              <w:rPr>
                <w:rFonts w:hint="eastAsia" w:ascii="宋体" w:hAnsi="宋体" w:cs="宋体"/>
                <w:color w:val="auto"/>
                <w:kern w:val="0"/>
                <w:sz w:val="22"/>
                <w:szCs w:val="22"/>
                <w:highlight w:val="none"/>
              </w:rPr>
              <w:br w:type="textWrapping"/>
            </w:r>
            <w:r>
              <w:rPr>
                <w:rFonts w:hint="eastAsia" w:ascii="宋体" w:hAnsi="宋体" w:cs="宋体"/>
                <w:color w:val="auto"/>
                <w:kern w:val="0"/>
                <w:sz w:val="22"/>
                <w:szCs w:val="22"/>
                <w:highlight w:val="none"/>
              </w:rPr>
              <w:t>（9）涉诈互联网账号反制：支持涉诈互联网账号新增录入、下发管局实时封堵策略，涉诈互联网账号管理、涉诈互联网账号处置流程展示。</w:t>
            </w:r>
            <w:r>
              <w:rPr>
                <w:rFonts w:hint="eastAsia" w:ascii="宋体" w:hAnsi="宋体" w:cs="宋体"/>
                <w:color w:val="auto"/>
                <w:kern w:val="0"/>
                <w:sz w:val="22"/>
                <w:szCs w:val="22"/>
                <w:highlight w:val="none"/>
              </w:rPr>
              <w:br w:type="textWrapping"/>
            </w:r>
            <w:r>
              <w:rPr>
                <w:rFonts w:hint="eastAsia" w:ascii="宋体" w:hAnsi="宋体" w:cs="宋体"/>
                <w:color w:val="auto"/>
                <w:kern w:val="0"/>
                <w:sz w:val="22"/>
                <w:szCs w:val="22"/>
                <w:highlight w:val="none"/>
              </w:rPr>
              <w:t>（10）涉诈互联网账号解封：针对涉诈互联网账号误封情况，联动管局/运营商，通过人工下发管局涉诈互联网账号解封指令，建立解封机制。</w:t>
            </w:r>
            <w:r>
              <w:rPr>
                <w:rFonts w:hint="eastAsia" w:ascii="宋体" w:hAnsi="宋体" w:cs="宋体"/>
                <w:color w:val="auto"/>
                <w:kern w:val="0"/>
                <w:sz w:val="22"/>
                <w:szCs w:val="22"/>
                <w:highlight w:val="none"/>
              </w:rPr>
              <w:br w:type="textWrapping"/>
            </w:r>
            <w:r>
              <w:rPr>
                <w:rFonts w:hint="eastAsia" w:ascii="宋体" w:hAnsi="宋体" w:cs="宋体"/>
                <w:color w:val="auto"/>
                <w:kern w:val="0"/>
                <w:sz w:val="22"/>
                <w:szCs w:val="22"/>
                <w:highlight w:val="none"/>
              </w:rPr>
              <w:t>（11）网络流涉诈封堵文书生成：支持涉诈网址、涉诈互联网账号封堵文书生成和管理。</w:t>
            </w:r>
            <w:r>
              <w:rPr>
                <w:rFonts w:hint="eastAsia" w:ascii="宋体" w:hAnsi="宋体" w:cs="宋体"/>
                <w:color w:val="auto"/>
                <w:kern w:val="0"/>
                <w:sz w:val="22"/>
                <w:szCs w:val="22"/>
                <w:highlight w:val="none"/>
              </w:rPr>
              <w:br w:type="textWrapping"/>
            </w:r>
            <w:r>
              <w:rPr>
                <w:rFonts w:hint="eastAsia" w:ascii="宋体" w:hAnsi="宋体" w:cs="宋体"/>
                <w:color w:val="auto"/>
                <w:kern w:val="0"/>
                <w:sz w:val="22"/>
                <w:szCs w:val="22"/>
                <w:highlight w:val="none"/>
              </w:rPr>
              <w:t>（12）互联网金融反制结果展示：通过对接某金融接口，推送预警数据，接收处置反馈结果并展示。</w:t>
            </w:r>
          </w:p>
        </w:tc>
      </w:tr>
      <w:tr w14:paraId="3DA8B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46" w:type="dxa"/>
            <w:vMerge w:val="continue"/>
            <w:vAlign w:val="center"/>
          </w:tcPr>
          <w:p w14:paraId="4BA1F41A">
            <w:pPr>
              <w:widowControl/>
              <w:spacing w:line="360" w:lineRule="auto"/>
              <w:jc w:val="left"/>
              <w:rPr>
                <w:rFonts w:ascii="宋体" w:hAnsi="宋体" w:cs="宋体"/>
                <w:color w:val="auto"/>
                <w:kern w:val="0"/>
                <w:sz w:val="21"/>
                <w:szCs w:val="21"/>
                <w:highlight w:val="none"/>
              </w:rPr>
            </w:pPr>
          </w:p>
        </w:tc>
        <w:tc>
          <w:tcPr>
            <w:tcW w:w="1612" w:type="dxa"/>
            <w:gridSpan w:val="2"/>
            <w:vMerge w:val="continue"/>
            <w:vAlign w:val="center"/>
          </w:tcPr>
          <w:p w14:paraId="436F0228">
            <w:pPr>
              <w:widowControl/>
              <w:spacing w:line="360" w:lineRule="auto"/>
              <w:jc w:val="left"/>
              <w:rPr>
                <w:rFonts w:ascii="宋体" w:hAnsi="宋体" w:cs="宋体"/>
                <w:color w:val="auto"/>
                <w:kern w:val="0"/>
                <w:sz w:val="21"/>
                <w:szCs w:val="21"/>
                <w:highlight w:val="none"/>
              </w:rPr>
            </w:pPr>
          </w:p>
        </w:tc>
        <w:tc>
          <w:tcPr>
            <w:tcW w:w="1179" w:type="dxa"/>
            <w:vMerge w:val="continue"/>
            <w:tcBorders>
              <w:right w:val="single" w:color="auto" w:sz="4" w:space="0"/>
            </w:tcBorders>
            <w:vAlign w:val="center"/>
          </w:tcPr>
          <w:p w14:paraId="64B31478">
            <w:pPr>
              <w:widowControl/>
              <w:spacing w:line="360" w:lineRule="auto"/>
              <w:jc w:val="left"/>
              <w:rPr>
                <w:rFonts w:ascii="宋体" w:hAnsi="宋体" w:cs="宋体"/>
                <w:color w:val="auto"/>
                <w:kern w:val="0"/>
                <w:sz w:val="21"/>
                <w:szCs w:val="21"/>
                <w:highlight w:val="none"/>
              </w:rPr>
            </w:pPr>
          </w:p>
        </w:tc>
        <w:tc>
          <w:tcPr>
            <w:tcW w:w="6668" w:type="dxa"/>
            <w:tcBorders>
              <w:top w:val="nil"/>
              <w:left w:val="single" w:color="auto" w:sz="4" w:space="0"/>
              <w:bottom w:val="nil"/>
              <w:right w:val="single" w:color="auto" w:sz="4" w:space="0"/>
            </w:tcBorders>
            <w:shd w:val="clear" w:color="auto" w:fill="auto"/>
            <w:vAlign w:val="center"/>
          </w:tcPr>
          <w:p w14:paraId="23488A66">
            <w:pPr>
              <w:widowControl/>
              <w:spacing w:line="360" w:lineRule="auto"/>
              <w:jc w:val="left"/>
              <w:rPr>
                <w:rFonts w:ascii="宋体" w:hAnsi="宋体" w:cs="宋体"/>
                <w:color w:val="auto"/>
                <w:kern w:val="0"/>
                <w:sz w:val="21"/>
                <w:szCs w:val="21"/>
                <w:highlight w:val="none"/>
              </w:rPr>
            </w:pPr>
            <w:r>
              <w:rPr>
                <w:rFonts w:hint="eastAsia" w:ascii="宋体" w:hAnsi="宋体" w:cs="宋体"/>
                <w:b/>
                <w:bCs/>
                <w:color w:val="auto"/>
                <w:kern w:val="0"/>
                <w:sz w:val="22"/>
                <w:szCs w:val="22"/>
                <w:highlight w:val="none"/>
              </w:rPr>
              <w:t>3.4网络流落地打击</w:t>
            </w:r>
            <w:r>
              <w:rPr>
                <w:rFonts w:hint="eastAsia" w:ascii="宋体" w:hAnsi="宋体" w:cs="宋体"/>
                <w:color w:val="auto"/>
                <w:kern w:val="0"/>
                <w:sz w:val="22"/>
                <w:szCs w:val="22"/>
                <w:highlight w:val="none"/>
              </w:rPr>
              <w:br w:type="textWrapping"/>
            </w:r>
            <w:r>
              <w:rPr>
                <w:rFonts w:hint="eastAsia" w:ascii="宋体" w:hAnsi="宋体" w:cs="宋体"/>
                <w:color w:val="auto"/>
                <w:kern w:val="0"/>
                <w:sz w:val="22"/>
                <w:szCs w:val="22"/>
                <w:highlight w:val="none"/>
              </w:rPr>
              <w:t>支持包含网络流标签分析、网络流串并分析、网络流窝点分析、网络流图谱分析等四部分。</w:t>
            </w:r>
            <w:r>
              <w:rPr>
                <w:rFonts w:hint="eastAsia" w:ascii="宋体" w:hAnsi="宋体" w:cs="宋体"/>
                <w:color w:val="auto"/>
                <w:kern w:val="0"/>
                <w:sz w:val="22"/>
                <w:szCs w:val="22"/>
                <w:highlight w:val="none"/>
              </w:rPr>
              <w:br w:type="textWrapping"/>
            </w:r>
            <w:r>
              <w:rPr>
                <w:rFonts w:hint="eastAsia" w:ascii="宋体" w:hAnsi="宋体" w:cs="宋体"/>
                <w:color w:val="auto"/>
                <w:kern w:val="0"/>
                <w:sz w:val="22"/>
                <w:szCs w:val="22"/>
                <w:highlight w:val="none"/>
              </w:rPr>
              <w:t>（1）网络流标签分析：支持建立涉诈标签、标签生命周期管理、标签应用，利用标签快速、精准地分析目标对象的属性信息、关系信息等。</w:t>
            </w:r>
            <w:r>
              <w:rPr>
                <w:rFonts w:hint="eastAsia" w:ascii="宋体" w:hAnsi="宋体" w:cs="宋体"/>
                <w:color w:val="auto"/>
                <w:kern w:val="0"/>
                <w:sz w:val="22"/>
                <w:szCs w:val="22"/>
                <w:highlight w:val="none"/>
              </w:rPr>
              <w:br w:type="textWrapping"/>
            </w:r>
            <w:r>
              <w:rPr>
                <w:rFonts w:hint="eastAsia" w:ascii="宋体" w:hAnsi="宋体" w:cs="宋体"/>
                <w:color w:val="auto"/>
                <w:kern w:val="0"/>
                <w:sz w:val="22"/>
                <w:szCs w:val="22"/>
                <w:highlight w:val="none"/>
              </w:rPr>
              <w:t>（2）网络流串并分析：支持网络流单维度串并分析、网络流多维度串并分析，串并维度主要包括网址、app、whoisIP、whois邮箱、whois注册商进行串并。</w:t>
            </w:r>
            <w:r>
              <w:rPr>
                <w:rFonts w:hint="eastAsia" w:ascii="宋体" w:hAnsi="宋体" w:cs="宋体"/>
                <w:color w:val="auto"/>
                <w:kern w:val="0"/>
                <w:sz w:val="22"/>
                <w:szCs w:val="22"/>
                <w:highlight w:val="none"/>
              </w:rPr>
              <w:br w:type="textWrapping"/>
            </w:r>
            <w:r>
              <w:rPr>
                <w:rFonts w:hint="eastAsia" w:ascii="宋体" w:hAnsi="宋体" w:cs="宋体"/>
                <w:color w:val="auto"/>
                <w:kern w:val="0"/>
                <w:sz w:val="22"/>
                <w:szCs w:val="22"/>
                <w:highlight w:val="none"/>
              </w:rPr>
              <w:t>（3）网络流窝点分析：支持结合各类诈骗场景分析，发现一些团伙和诈骗窝点的特点，通过对窝点人员或诈骗团伙技术人员进行网络访问行为还原和日志回溯及窝点分析，进行诈骗窝点定位。</w:t>
            </w:r>
            <w:r>
              <w:rPr>
                <w:rFonts w:hint="eastAsia" w:ascii="宋体" w:hAnsi="宋体" w:cs="宋体"/>
                <w:color w:val="auto"/>
                <w:kern w:val="0"/>
                <w:sz w:val="22"/>
                <w:szCs w:val="22"/>
                <w:highlight w:val="none"/>
              </w:rPr>
              <w:br w:type="textWrapping"/>
            </w:r>
            <w:r>
              <w:rPr>
                <w:rFonts w:hint="eastAsia" w:ascii="宋体" w:hAnsi="宋体" w:cs="宋体"/>
                <w:color w:val="auto"/>
                <w:kern w:val="0"/>
                <w:sz w:val="22"/>
                <w:szCs w:val="22"/>
                <w:highlight w:val="none"/>
              </w:rPr>
              <w:t>（4）网络流图谱分析：支持网络流知识图谱建立、网络流可视化分析、网络流关联分析。</w:t>
            </w:r>
          </w:p>
        </w:tc>
      </w:tr>
      <w:tr w14:paraId="3B29E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46" w:type="dxa"/>
            <w:vMerge w:val="continue"/>
            <w:vAlign w:val="center"/>
          </w:tcPr>
          <w:p w14:paraId="12DD6A72">
            <w:pPr>
              <w:widowControl/>
              <w:spacing w:line="360" w:lineRule="auto"/>
              <w:jc w:val="left"/>
              <w:rPr>
                <w:rFonts w:ascii="宋体" w:hAnsi="宋体" w:cs="宋体"/>
                <w:color w:val="auto"/>
                <w:kern w:val="0"/>
                <w:sz w:val="21"/>
                <w:szCs w:val="21"/>
                <w:highlight w:val="none"/>
              </w:rPr>
            </w:pPr>
          </w:p>
        </w:tc>
        <w:tc>
          <w:tcPr>
            <w:tcW w:w="1612" w:type="dxa"/>
            <w:gridSpan w:val="2"/>
            <w:vMerge w:val="continue"/>
            <w:vAlign w:val="center"/>
          </w:tcPr>
          <w:p w14:paraId="63990786">
            <w:pPr>
              <w:widowControl/>
              <w:spacing w:line="360" w:lineRule="auto"/>
              <w:jc w:val="left"/>
              <w:rPr>
                <w:rFonts w:ascii="宋体" w:hAnsi="宋体" w:cs="宋体"/>
                <w:color w:val="auto"/>
                <w:kern w:val="0"/>
                <w:sz w:val="21"/>
                <w:szCs w:val="21"/>
                <w:highlight w:val="none"/>
              </w:rPr>
            </w:pPr>
          </w:p>
        </w:tc>
        <w:tc>
          <w:tcPr>
            <w:tcW w:w="1179" w:type="dxa"/>
            <w:vMerge w:val="continue"/>
            <w:tcBorders>
              <w:right w:val="single" w:color="auto" w:sz="4" w:space="0"/>
            </w:tcBorders>
            <w:vAlign w:val="center"/>
          </w:tcPr>
          <w:p w14:paraId="69C90079">
            <w:pPr>
              <w:widowControl/>
              <w:spacing w:line="360" w:lineRule="auto"/>
              <w:jc w:val="left"/>
              <w:rPr>
                <w:rFonts w:ascii="宋体" w:hAnsi="宋体" w:cs="宋体"/>
                <w:color w:val="auto"/>
                <w:kern w:val="0"/>
                <w:sz w:val="21"/>
                <w:szCs w:val="21"/>
                <w:highlight w:val="none"/>
              </w:rPr>
            </w:pPr>
          </w:p>
        </w:tc>
        <w:tc>
          <w:tcPr>
            <w:tcW w:w="6668" w:type="dxa"/>
            <w:tcBorders>
              <w:top w:val="nil"/>
              <w:left w:val="single" w:color="auto" w:sz="4" w:space="0"/>
              <w:bottom w:val="nil"/>
              <w:right w:val="single" w:color="auto" w:sz="4" w:space="0"/>
            </w:tcBorders>
            <w:shd w:val="clear" w:color="auto" w:fill="auto"/>
            <w:vAlign w:val="center"/>
          </w:tcPr>
          <w:p w14:paraId="5BDD1929">
            <w:pPr>
              <w:widowControl/>
              <w:spacing w:line="360" w:lineRule="auto"/>
              <w:jc w:val="left"/>
              <w:rPr>
                <w:rFonts w:ascii="宋体" w:hAnsi="宋体" w:cs="宋体"/>
                <w:color w:val="auto"/>
                <w:kern w:val="0"/>
                <w:sz w:val="21"/>
                <w:szCs w:val="21"/>
                <w:highlight w:val="none"/>
              </w:rPr>
            </w:pPr>
            <w:r>
              <w:rPr>
                <w:rFonts w:hint="eastAsia" w:ascii="宋体" w:hAnsi="宋体" w:cs="宋体"/>
                <w:b/>
                <w:bCs/>
                <w:color w:val="auto"/>
                <w:kern w:val="0"/>
                <w:sz w:val="22"/>
                <w:szCs w:val="22"/>
                <w:highlight w:val="none"/>
              </w:rPr>
              <w:t>3.5网络流统计分析</w:t>
            </w:r>
            <w:r>
              <w:rPr>
                <w:rFonts w:hint="eastAsia" w:ascii="宋体" w:hAnsi="宋体" w:cs="宋体"/>
                <w:color w:val="auto"/>
                <w:kern w:val="0"/>
                <w:sz w:val="22"/>
                <w:szCs w:val="22"/>
                <w:highlight w:val="none"/>
              </w:rPr>
              <w:br w:type="textWrapping"/>
            </w:r>
            <w:r>
              <w:rPr>
                <w:rFonts w:hint="eastAsia" w:ascii="宋体" w:hAnsi="宋体" w:cs="宋体"/>
                <w:color w:val="auto"/>
                <w:kern w:val="0"/>
                <w:sz w:val="22"/>
                <w:szCs w:val="22"/>
                <w:highlight w:val="none"/>
              </w:rPr>
              <w:t>支持包含以下内容：</w:t>
            </w:r>
            <w:r>
              <w:rPr>
                <w:rFonts w:hint="eastAsia" w:ascii="宋体" w:hAnsi="宋体" w:cs="宋体"/>
                <w:color w:val="auto"/>
                <w:kern w:val="0"/>
                <w:sz w:val="22"/>
                <w:szCs w:val="22"/>
                <w:highlight w:val="none"/>
              </w:rPr>
              <w:br w:type="textWrapping"/>
            </w:r>
            <w:r>
              <w:rPr>
                <w:rFonts w:hint="eastAsia" w:ascii="宋体" w:hAnsi="宋体" w:cs="宋体"/>
                <w:color w:val="auto"/>
                <w:kern w:val="0"/>
                <w:sz w:val="22"/>
                <w:szCs w:val="22"/>
                <w:highlight w:val="none"/>
              </w:rPr>
              <w:t>（1）网络流预警大屏展示：展示预警情况、预警劝阻趋势、分级预警</w:t>
            </w:r>
            <w:r>
              <w:rPr>
                <w:rFonts w:hint="eastAsia" w:ascii="宋体" w:hAnsi="宋体" w:cs="宋体"/>
                <w:color w:val="auto"/>
                <w:kern w:val="0"/>
                <w:sz w:val="22"/>
                <w:szCs w:val="22"/>
                <w:highlight w:val="none"/>
                <w:lang w:eastAsia="zh-CN"/>
              </w:rPr>
              <w:t>、</w:t>
            </w:r>
            <w:r>
              <w:rPr>
                <w:rFonts w:hint="eastAsia" w:ascii="宋体" w:hAnsi="宋体" w:cs="宋体"/>
                <w:color w:val="auto"/>
                <w:kern w:val="0"/>
                <w:sz w:val="22"/>
                <w:szCs w:val="22"/>
                <w:highlight w:val="none"/>
              </w:rPr>
              <w:t>预警TOP5</w:t>
            </w:r>
            <w:r>
              <w:rPr>
                <w:rFonts w:hint="eastAsia" w:ascii="宋体" w:hAnsi="宋体" w:cs="宋体"/>
                <w:color w:val="auto"/>
                <w:kern w:val="0"/>
                <w:sz w:val="22"/>
                <w:szCs w:val="22"/>
                <w:highlight w:val="none"/>
              </w:rPr>
              <w:tab/>
            </w:r>
            <w:r>
              <w:rPr>
                <w:rFonts w:hint="eastAsia" w:ascii="宋体" w:hAnsi="宋体" w:cs="宋体"/>
                <w:color w:val="auto"/>
                <w:kern w:val="0"/>
                <w:sz w:val="22"/>
                <w:szCs w:val="22"/>
                <w:highlight w:val="none"/>
              </w:rPr>
              <w:t>、涉诈类型占比、网络反制分布、重点涉诈类型TOP3</w:t>
            </w:r>
            <w:r>
              <w:rPr>
                <w:rFonts w:hint="eastAsia" w:ascii="宋体" w:hAnsi="宋体" w:cs="宋体"/>
                <w:color w:val="auto"/>
                <w:kern w:val="0"/>
                <w:sz w:val="22"/>
                <w:szCs w:val="22"/>
                <w:highlight w:val="none"/>
                <w:lang w:eastAsia="zh-CN"/>
              </w:rPr>
              <w:t>。</w:t>
            </w:r>
            <w:r>
              <w:rPr>
                <w:rFonts w:hint="eastAsia" w:ascii="宋体" w:hAnsi="宋体" w:cs="宋体"/>
                <w:color w:val="auto"/>
                <w:kern w:val="0"/>
                <w:sz w:val="22"/>
                <w:szCs w:val="22"/>
                <w:highlight w:val="none"/>
              </w:rPr>
              <w:br w:type="textWrapping"/>
            </w:r>
            <w:r>
              <w:rPr>
                <w:rFonts w:hint="eastAsia" w:ascii="宋体" w:hAnsi="宋体" w:cs="宋体"/>
                <w:color w:val="auto"/>
                <w:kern w:val="0"/>
                <w:sz w:val="22"/>
                <w:szCs w:val="22"/>
                <w:highlight w:val="none"/>
              </w:rPr>
              <w:t>（2）网络流校验成果展示：支持涉诈联动校验反制成果展示</w:t>
            </w:r>
            <w:r>
              <w:rPr>
                <w:rFonts w:hint="eastAsia" w:ascii="宋体" w:hAnsi="宋体" w:cs="宋体"/>
                <w:color w:val="auto"/>
                <w:kern w:val="0"/>
                <w:sz w:val="22"/>
                <w:szCs w:val="22"/>
                <w:highlight w:val="none"/>
                <w:lang w:eastAsia="zh-CN"/>
              </w:rPr>
              <w:t>，</w:t>
            </w:r>
            <w:r>
              <w:rPr>
                <w:rFonts w:hint="eastAsia" w:ascii="宋体" w:hAnsi="宋体" w:cs="宋体"/>
                <w:color w:val="auto"/>
                <w:kern w:val="0"/>
                <w:sz w:val="22"/>
                <w:szCs w:val="22"/>
                <w:highlight w:val="none"/>
                <w:lang w:val="en-US" w:eastAsia="zh-CN"/>
              </w:rPr>
              <w:t>包括涉诈app（域名、网址）校验成果展示</w:t>
            </w:r>
            <w:r>
              <w:rPr>
                <w:rFonts w:hint="eastAsia" w:ascii="宋体" w:hAnsi="宋体" w:cs="宋体"/>
                <w:color w:val="auto"/>
                <w:kern w:val="0"/>
                <w:sz w:val="22"/>
                <w:szCs w:val="22"/>
                <w:highlight w:val="none"/>
                <w:lang w:val="en-US" w:eastAsia="zh-CN"/>
              </w:rPr>
              <w:tab/>
            </w:r>
            <w:r>
              <w:rPr>
                <w:rFonts w:hint="eastAsia" w:ascii="宋体" w:hAnsi="宋体" w:cs="宋体"/>
                <w:color w:val="auto"/>
                <w:kern w:val="0"/>
                <w:sz w:val="22"/>
                <w:szCs w:val="22"/>
                <w:highlight w:val="none"/>
                <w:lang w:val="en-US" w:eastAsia="zh-CN"/>
              </w:rPr>
              <w:t>、涉诈引流信息校验成果展示、涉网黑app（域名、网址）校验成果展示、涉网黑引流信息校验成果展示</w:t>
            </w:r>
            <w:r>
              <w:rPr>
                <w:rFonts w:hint="eastAsia" w:ascii="宋体" w:hAnsi="宋体" w:cs="宋体"/>
                <w:color w:val="auto"/>
                <w:kern w:val="0"/>
                <w:sz w:val="22"/>
                <w:szCs w:val="22"/>
                <w:highlight w:val="none"/>
              </w:rPr>
              <w:t>。</w:t>
            </w:r>
            <w:r>
              <w:rPr>
                <w:rFonts w:hint="eastAsia" w:ascii="宋体" w:hAnsi="宋体" w:cs="宋体"/>
                <w:color w:val="auto"/>
                <w:kern w:val="0"/>
                <w:sz w:val="22"/>
                <w:szCs w:val="22"/>
                <w:highlight w:val="none"/>
              </w:rPr>
              <w:br w:type="textWrapping"/>
            </w:r>
            <w:r>
              <w:rPr>
                <w:rFonts w:hint="eastAsia" w:ascii="宋体" w:hAnsi="宋体" w:cs="宋体"/>
                <w:color w:val="auto"/>
                <w:kern w:val="0"/>
                <w:sz w:val="22"/>
                <w:szCs w:val="22"/>
                <w:highlight w:val="none"/>
              </w:rPr>
              <w:t>（3）网络流反制成果展示：支持地区防范成效展示，分地市预警成效展示、分地市劝阻成效展示、拦截成效展示、网络反制分布成果统计展示、支持预警劝阻趋势分类统计展示、支持不同拦截类型分类展示统计等。</w:t>
            </w:r>
          </w:p>
        </w:tc>
      </w:tr>
      <w:tr w14:paraId="400F2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46" w:type="dxa"/>
            <w:vMerge w:val="continue"/>
            <w:vAlign w:val="center"/>
          </w:tcPr>
          <w:p w14:paraId="7EF36867">
            <w:pPr>
              <w:widowControl/>
              <w:spacing w:line="360" w:lineRule="auto"/>
              <w:jc w:val="left"/>
              <w:rPr>
                <w:rFonts w:ascii="宋体" w:hAnsi="宋体" w:cs="宋体"/>
                <w:color w:val="auto"/>
                <w:kern w:val="0"/>
                <w:sz w:val="21"/>
                <w:szCs w:val="21"/>
                <w:highlight w:val="none"/>
              </w:rPr>
            </w:pPr>
          </w:p>
        </w:tc>
        <w:tc>
          <w:tcPr>
            <w:tcW w:w="1612" w:type="dxa"/>
            <w:gridSpan w:val="2"/>
            <w:vMerge w:val="continue"/>
            <w:vAlign w:val="center"/>
          </w:tcPr>
          <w:p w14:paraId="545CB584">
            <w:pPr>
              <w:widowControl/>
              <w:spacing w:line="360" w:lineRule="auto"/>
              <w:jc w:val="left"/>
              <w:rPr>
                <w:rFonts w:ascii="宋体" w:hAnsi="宋体" w:cs="宋体"/>
                <w:color w:val="auto"/>
                <w:kern w:val="0"/>
                <w:sz w:val="21"/>
                <w:szCs w:val="21"/>
                <w:highlight w:val="none"/>
              </w:rPr>
            </w:pPr>
          </w:p>
        </w:tc>
        <w:tc>
          <w:tcPr>
            <w:tcW w:w="1179" w:type="dxa"/>
            <w:vMerge w:val="continue"/>
            <w:tcBorders>
              <w:right w:val="single" w:color="auto" w:sz="4" w:space="0"/>
            </w:tcBorders>
            <w:vAlign w:val="center"/>
          </w:tcPr>
          <w:p w14:paraId="43F04E62">
            <w:pPr>
              <w:widowControl/>
              <w:spacing w:line="360" w:lineRule="auto"/>
              <w:jc w:val="left"/>
              <w:rPr>
                <w:rFonts w:ascii="宋体" w:hAnsi="宋体" w:cs="宋体"/>
                <w:color w:val="auto"/>
                <w:kern w:val="0"/>
                <w:sz w:val="21"/>
                <w:szCs w:val="21"/>
                <w:highlight w:val="none"/>
              </w:rPr>
            </w:pPr>
          </w:p>
        </w:tc>
        <w:tc>
          <w:tcPr>
            <w:tcW w:w="6668" w:type="dxa"/>
            <w:tcBorders>
              <w:top w:val="nil"/>
              <w:left w:val="single" w:color="auto" w:sz="4" w:space="0"/>
              <w:bottom w:val="nil"/>
              <w:right w:val="single" w:color="auto" w:sz="4" w:space="0"/>
            </w:tcBorders>
            <w:shd w:val="clear" w:color="auto" w:fill="auto"/>
            <w:noWrap/>
            <w:vAlign w:val="center"/>
          </w:tcPr>
          <w:p w14:paraId="38A2B929">
            <w:pPr>
              <w:widowControl/>
              <w:spacing w:line="360" w:lineRule="auto"/>
              <w:jc w:val="left"/>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4.反电诈人员流管理子系统。</w:t>
            </w:r>
          </w:p>
        </w:tc>
      </w:tr>
      <w:tr w14:paraId="5FB6C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46" w:type="dxa"/>
            <w:vMerge w:val="continue"/>
            <w:vAlign w:val="center"/>
          </w:tcPr>
          <w:p w14:paraId="17B5C4B7">
            <w:pPr>
              <w:widowControl/>
              <w:spacing w:line="360" w:lineRule="auto"/>
              <w:jc w:val="left"/>
              <w:rPr>
                <w:rFonts w:ascii="宋体" w:hAnsi="宋体" w:cs="宋体"/>
                <w:color w:val="auto"/>
                <w:kern w:val="0"/>
                <w:sz w:val="21"/>
                <w:szCs w:val="21"/>
                <w:highlight w:val="none"/>
              </w:rPr>
            </w:pPr>
          </w:p>
        </w:tc>
        <w:tc>
          <w:tcPr>
            <w:tcW w:w="1612" w:type="dxa"/>
            <w:gridSpan w:val="2"/>
            <w:vMerge w:val="continue"/>
            <w:vAlign w:val="center"/>
          </w:tcPr>
          <w:p w14:paraId="42683B81">
            <w:pPr>
              <w:widowControl/>
              <w:spacing w:line="360" w:lineRule="auto"/>
              <w:jc w:val="left"/>
              <w:rPr>
                <w:rFonts w:ascii="宋体" w:hAnsi="宋体" w:cs="宋体"/>
                <w:color w:val="auto"/>
                <w:kern w:val="0"/>
                <w:sz w:val="21"/>
                <w:szCs w:val="21"/>
                <w:highlight w:val="none"/>
              </w:rPr>
            </w:pPr>
          </w:p>
        </w:tc>
        <w:tc>
          <w:tcPr>
            <w:tcW w:w="1179" w:type="dxa"/>
            <w:vMerge w:val="continue"/>
            <w:tcBorders>
              <w:right w:val="single" w:color="auto" w:sz="4" w:space="0"/>
            </w:tcBorders>
            <w:vAlign w:val="center"/>
          </w:tcPr>
          <w:p w14:paraId="645DE616">
            <w:pPr>
              <w:widowControl/>
              <w:spacing w:line="360" w:lineRule="auto"/>
              <w:jc w:val="left"/>
              <w:rPr>
                <w:rFonts w:ascii="宋体" w:hAnsi="宋体" w:cs="宋体"/>
                <w:color w:val="auto"/>
                <w:kern w:val="0"/>
                <w:sz w:val="21"/>
                <w:szCs w:val="21"/>
                <w:highlight w:val="none"/>
              </w:rPr>
            </w:pPr>
          </w:p>
        </w:tc>
        <w:tc>
          <w:tcPr>
            <w:tcW w:w="6668" w:type="dxa"/>
            <w:tcBorders>
              <w:top w:val="nil"/>
              <w:left w:val="single" w:color="auto" w:sz="4" w:space="0"/>
              <w:bottom w:val="nil"/>
              <w:right w:val="single" w:color="auto" w:sz="4" w:space="0"/>
            </w:tcBorders>
            <w:shd w:val="clear" w:color="auto" w:fill="auto"/>
            <w:vAlign w:val="center"/>
          </w:tcPr>
          <w:p w14:paraId="7A2C7C87">
            <w:pPr>
              <w:widowControl/>
              <w:spacing w:line="360" w:lineRule="auto"/>
              <w:jc w:val="left"/>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4.1涉诈人员流管控</w:t>
            </w:r>
          </w:p>
          <w:p w14:paraId="3A70C143">
            <w:pPr>
              <w:widowControl/>
              <w:spacing w:line="360" w:lineRule="auto"/>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4.1.1涉诈人员数字档案</w:t>
            </w:r>
          </w:p>
          <w:p w14:paraId="24EB1CD9">
            <w:pPr>
              <w:widowControl/>
              <w:spacing w:line="360" w:lineRule="auto"/>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1.涉诈人员广西警务数据接入：接入涉诈人员广西警务数据，实现与涉诈人员广西移动互联网大数据的融合，形成身份专题库、设备专题库、关系专题库和车辆专题库，涉诈人员相关警务数据包括23类：常住人口、暂住人口、电子围栏、网络围栏、人脸抓拍、网吧上网、快递、小区登记、酒店入住、民航乘机、铁路乘车、前科人员、自主报备人员、漏管失控人员、陆路偷渡拦截人员、自主摸排人员、重点人员预警、声纹采集人员、涉诈高危人员、滞留金三角人员、滞留柬埔寨人员、滞留缅北人员、滞留阿联酋人员数据</w:t>
            </w:r>
            <w:r>
              <w:rPr>
                <w:rFonts w:hint="eastAsia" w:ascii="宋体" w:hAnsi="宋体" w:cs="宋体"/>
                <w:color w:val="auto"/>
                <w:kern w:val="0"/>
                <w:sz w:val="21"/>
                <w:szCs w:val="21"/>
                <w:highlight w:val="none"/>
                <w:lang w:eastAsia="zh-CN"/>
              </w:rPr>
              <w:t>。</w:t>
            </w:r>
          </w:p>
          <w:p w14:paraId="4BB6E2DD">
            <w:pPr>
              <w:widowControl/>
              <w:spacing w:line="360" w:lineRule="auto"/>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2.涉诈人员多维数据处理：对</w:t>
            </w:r>
            <w:r>
              <w:rPr>
                <w:rFonts w:hint="eastAsia" w:ascii="宋体" w:hAnsi="宋体" w:cs="宋体"/>
                <w:color w:val="auto"/>
                <w:kern w:val="0"/>
                <w:sz w:val="21"/>
                <w:szCs w:val="21"/>
                <w:highlight w:val="none"/>
                <w:lang w:val="en-US" w:eastAsia="zh-CN"/>
              </w:rPr>
              <w:t>接入的23类</w:t>
            </w:r>
            <w:r>
              <w:rPr>
                <w:rFonts w:hint="eastAsia" w:ascii="宋体" w:hAnsi="宋体" w:cs="宋体"/>
                <w:color w:val="auto"/>
                <w:kern w:val="0"/>
                <w:sz w:val="21"/>
                <w:szCs w:val="21"/>
                <w:highlight w:val="none"/>
              </w:rPr>
              <w:t>涉诈人员相关警务数据进行去重、字段标准化、字段映射等数据处理；</w:t>
            </w:r>
          </w:p>
          <w:p w14:paraId="307EC332">
            <w:pPr>
              <w:widowControl/>
              <w:spacing w:line="360" w:lineRule="auto"/>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3.涉诈人员多维数据融合：基于移动设备四码对多源数据进行关联融合，建立反电诈档案中心，实现数据关联查询</w:t>
            </w: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rPr>
              <w:t>基于融合后的数据建立身份、标签、关系和位置专题库，为应用层业务功能提供数据支撑。</w:t>
            </w:r>
          </w:p>
          <w:p w14:paraId="0E8E55ED">
            <w:pPr>
              <w:widowControl/>
              <w:spacing w:line="360" w:lineRule="auto"/>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（1）涉诈人员广西身份专题库：整合实名身份、设备身份（设备四码）、车辆信息，作为人员基础ID库。</w:t>
            </w:r>
          </w:p>
          <w:p w14:paraId="01003BF0">
            <w:pPr>
              <w:widowControl/>
              <w:spacing w:line="360" w:lineRule="auto"/>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（2）涉诈人员广西标签专题库：基于大数据建模分析，通过人物特征、设备特征、APP特征和位置特征四个维度，建立标签库，为人员打标签。</w:t>
            </w:r>
          </w:p>
          <w:p w14:paraId="1E0AF9F5">
            <w:pPr>
              <w:widowControl/>
              <w:spacing w:line="360" w:lineRule="auto"/>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（3）涉诈人员广西关系专题库：基于实名、同网数据，将所有涉及到的人与设备的关系、设备与设备的关系、人与人的关系进行整合，建立关系专题库。</w:t>
            </w:r>
          </w:p>
          <w:p w14:paraId="3ECEB88B">
            <w:pPr>
              <w:widowControl/>
              <w:spacing w:line="360" w:lineRule="auto"/>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（4）涉诈人员广西位置专题库：将各类位置数据进行整合，建立位置专题库。</w:t>
            </w:r>
          </w:p>
          <w:p w14:paraId="6BE38907">
            <w:pPr>
              <w:widowControl/>
              <w:spacing w:line="360" w:lineRule="auto"/>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w:t>
            </w:r>
            <w:r>
              <w:rPr>
                <w:rFonts w:hint="eastAsia" w:ascii="宋体" w:hAnsi="宋体" w:cs="宋体"/>
                <w:color w:val="auto"/>
                <w:kern w:val="0"/>
                <w:sz w:val="21"/>
                <w:szCs w:val="21"/>
                <w:highlight w:val="none"/>
                <w:lang w:val="en-US" w:eastAsia="zh-CN"/>
              </w:rPr>
              <w:t>5</w:t>
            </w:r>
            <w:r>
              <w:rPr>
                <w:rFonts w:hint="eastAsia" w:ascii="宋体" w:hAnsi="宋体" w:cs="宋体"/>
                <w:color w:val="auto"/>
                <w:kern w:val="0"/>
                <w:sz w:val="21"/>
                <w:szCs w:val="21"/>
                <w:highlight w:val="none"/>
              </w:rPr>
              <w:t>）</w:t>
            </w:r>
            <w:r>
              <w:rPr>
                <w:rFonts w:hint="eastAsia" w:ascii="宋体" w:hAnsi="宋体" w:cs="宋体"/>
                <w:color w:val="auto"/>
                <w:kern w:val="0"/>
                <w:szCs w:val="21"/>
                <w:highlight w:val="none"/>
              </w:rPr>
              <w:t>自建档案表：建设</w:t>
            </w:r>
            <w:r>
              <w:rPr>
                <w:rFonts w:hint="eastAsia" w:ascii="宋体" w:hAnsi="宋体" w:cs="宋体"/>
                <w:color w:val="auto"/>
                <w:kern w:val="0"/>
                <w:szCs w:val="21"/>
                <w:highlight w:val="none"/>
                <w:lang w:val="en-US" w:eastAsia="zh-CN"/>
              </w:rPr>
              <w:t>包括</w:t>
            </w:r>
            <w:r>
              <w:rPr>
                <w:rFonts w:hint="eastAsia" w:ascii="宋体" w:hAnsi="宋体" w:cs="宋体"/>
                <w:color w:val="auto"/>
                <w:kern w:val="0"/>
                <w:szCs w:val="21"/>
                <w:highlight w:val="none"/>
              </w:rPr>
              <w:t>前科人员预警详情表、自主报备人员预警详情表、漏管失控人员预警详情表、陆路偷渡拦截人员预警详情表、自主摸排人员预警详情表、动态管理人员预警详情表、声纹采集人员预警详情表、涉诈两卡人员预警详情表、滞留金三角人员预警详情表、滞留柬埔寨人员预警详情表、滞留缅北人员预警详情表、滞留阿联酋人员预警详情表</w:t>
            </w:r>
            <w:r>
              <w:rPr>
                <w:rFonts w:hint="eastAsia" w:ascii="宋体" w:hAnsi="宋体" w:cs="宋体"/>
                <w:color w:val="auto"/>
                <w:kern w:val="0"/>
                <w:sz w:val="21"/>
                <w:szCs w:val="21"/>
                <w:highlight w:val="none"/>
              </w:rPr>
              <w:t>。</w:t>
            </w:r>
          </w:p>
          <w:p w14:paraId="01A009C7">
            <w:pPr>
              <w:widowControl/>
              <w:spacing w:line="360" w:lineRule="auto"/>
              <w:jc w:val="left"/>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rPr>
              <w:t>4.组合提数：支持建立组合提数任务，通过APP、标签和围栏三个维度进行组合提数，发现辖区风险群体，提数结果包括设备ID、设备信息、特征标签、最后停留位置等，支持查看人群点位、群体画像和聚集分析。</w:t>
            </w:r>
            <w:r>
              <w:rPr>
                <w:rFonts w:hint="eastAsia" w:ascii="宋体" w:hAnsi="宋体" w:cs="宋体"/>
                <w:color w:val="auto"/>
                <w:kern w:val="0"/>
                <w:sz w:val="21"/>
                <w:szCs w:val="21"/>
                <w:highlight w:val="none"/>
                <w:lang w:val="en-US" w:eastAsia="zh-CN"/>
              </w:rPr>
              <w:t>包括组合提数任务名称查询、生成状态查询、创建人查询、任务查询条件重置、任务列表展示、任务卡片展示、新增任务、系统模版、我的模版、自定义新增、任务查看、任务删除、任务重算、任务订阅、任务复制、任务设备信息、任务人群定位、任务画像分析、任务聚集分析、自定义新增标签选择、自定义新增APP选择、自定义新增区域选择、自定义新增导入群体、自定义新增包含过滤条件选择、结果导出。</w:t>
            </w:r>
          </w:p>
          <w:p w14:paraId="51139419">
            <w:pPr>
              <w:widowControl/>
              <w:spacing w:line="360" w:lineRule="auto"/>
              <w:jc w:val="left"/>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rPr>
              <w:t>5.人员搜索：基于融合治理后的数据，提供人员搜索</w:t>
            </w:r>
            <w:r>
              <w:rPr>
                <w:rFonts w:hint="eastAsia" w:ascii="宋体" w:hAnsi="宋体" w:cs="宋体"/>
                <w:color w:val="auto"/>
                <w:kern w:val="0"/>
                <w:sz w:val="21"/>
                <w:szCs w:val="21"/>
                <w:highlight w:val="none"/>
                <w:lang w:val="en-US" w:eastAsia="zh-CN"/>
              </w:rPr>
              <w:t>数据碰撞</w:t>
            </w:r>
            <w:r>
              <w:rPr>
                <w:rFonts w:hint="eastAsia" w:ascii="宋体" w:hAnsi="宋体" w:cs="宋体"/>
                <w:color w:val="auto"/>
                <w:kern w:val="0"/>
                <w:sz w:val="21"/>
                <w:szCs w:val="21"/>
                <w:highlight w:val="none"/>
              </w:rPr>
              <w:t>功能，支持1000万条广西籍人员手机数据查询和展示。</w:t>
            </w:r>
            <w:r>
              <w:rPr>
                <w:rFonts w:hint="eastAsia" w:ascii="宋体" w:hAnsi="宋体" w:cs="宋体"/>
                <w:color w:val="auto"/>
                <w:kern w:val="0"/>
                <w:sz w:val="21"/>
                <w:szCs w:val="21"/>
                <w:highlight w:val="none"/>
                <w:lang w:val="en-US" w:eastAsia="zh-CN"/>
              </w:rPr>
              <w:t>包括姓名、身份证号、手机号码和MAC搜索，支持IMSI、IMEI、IDFA、OAID、ICCID、安卓IDI碰撞分析。</w:t>
            </w:r>
          </w:p>
          <w:p w14:paraId="45CFEE59">
            <w:pPr>
              <w:widowControl/>
              <w:spacing w:line="360" w:lineRule="auto"/>
              <w:jc w:val="left"/>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rPr>
              <w:t>6.重点人画像：从概览、前科、APP、关系、轨迹、社会面、管控七个维度进行重点人员画像的全方位展示。</w:t>
            </w:r>
            <w:r>
              <w:rPr>
                <w:rFonts w:hint="eastAsia" w:ascii="宋体" w:hAnsi="宋体" w:cs="宋体"/>
                <w:color w:val="auto"/>
                <w:kern w:val="0"/>
                <w:sz w:val="21"/>
                <w:szCs w:val="21"/>
                <w:highlight w:val="none"/>
                <w:lang w:val="en-US" w:eastAsia="zh-CN"/>
              </w:rPr>
              <w:t>支持对查询的档案进行收藏和导出，支持新增、查询收藏夹。</w:t>
            </w:r>
          </w:p>
          <w:p w14:paraId="01E7EDF8">
            <w:pPr>
              <w:widowControl/>
              <w:spacing w:line="360" w:lineRule="auto"/>
              <w:jc w:val="left"/>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rPr>
              <w:t>7.</w:t>
            </w:r>
            <w:r>
              <w:rPr>
                <w:rFonts w:hint="eastAsia" w:ascii="宋体" w:hAnsi="宋体" w:cs="宋体"/>
                <w:color w:val="auto"/>
                <w:kern w:val="0"/>
                <w:sz w:val="21"/>
                <w:szCs w:val="21"/>
                <w:highlight w:val="none"/>
                <w:lang w:val="en-US" w:eastAsia="zh-CN"/>
              </w:rPr>
              <w:t>接口服务</w:t>
            </w:r>
            <w:r>
              <w:rPr>
                <w:rFonts w:hint="eastAsia" w:ascii="宋体" w:hAnsi="宋体" w:cs="宋体"/>
                <w:color w:val="auto"/>
                <w:kern w:val="0"/>
                <w:sz w:val="21"/>
                <w:szCs w:val="21"/>
                <w:highlight w:val="none"/>
              </w:rPr>
              <w:t>：支持通过身份证或手机号进行调用涉诈重点人轨迹</w:t>
            </w:r>
            <w:r>
              <w:rPr>
                <w:rFonts w:hint="eastAsia" w:ascii="宋体" w:hAnsi="宋体" w:cs="宋体"/>
                <w:color w:val="auto"/>
                <w:kern w:val="0"/>
                <w:sz w:val="21"/>
                <w:szCs w:val="21"/>
                <w:highlight w:val="none"/>
                <w:lang w:val="en-US" w:eastAsia="zh-CN"/>
              </w:rPr>
              <w:t>查询接口</w:t>
            </w:r>
            <w:r>
              <w:rPr>
                <w:rFonts w:hint="eastAsia" w:ascii="宋体" w:hAnsi="宋体" w:cs="宋体"/>
                <w:color w:val="auto"/>
                <w:kern w:val="0"/>
                <w:sz w:val="21"/>
                <w:szCs w:val="21"/>
                <w:highlight w:val="none"/>
              </w:rPr>
              <w:t>，返回轨迹信息</w:t>
            </w:r>
            <w:r>
              <w:rPr>
                <w:rFonts w:hint="eastAsia" w:ascii="宋体" w:hAnsi="宋体" w:cs="宋体"/>
                <w:color w:val="auto"/>
                <w:kern w:val="0"/>
                <w:sz w:val="21"/>
                <w:szCs w:val="21"/>
                <w:highlight w:val="none"/>
                <w:lang w:eastAsia="zh-CN"/>
              </w:rPr>
              <w:t>。</w:t>
            </w:r>
          </w:p>
          <w:p w14:paraId="1D7F1BA7">
            <w:pPr>
              <w:widowControl/>
              <w:spacing w:line="360" w:lineRule="auto"/>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lang w:val="en-US" w:eastAsia="zh-CN"/>
              </w:rPr>
              <w:t>8</w:t>
            </w:r>
            <w:r>
              <w:rPr>
                <w:rFonts w:hint="eastAsia" w:ascii="宋体" w:hAnsi="宋体" w:cs="宋体"/>
                <w:color w:val="auto"/>
                <w:kern w:val="0"/>
                <w:sz w:val="21"/>
                <w:szCs w:val="21"/>
                <w:highlight w:val="none"/>
              </w:rPr>
              <w:t>.WiFi碰撞：支持输入多个WiFi MAC</w:t>
            </w: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rPr>
              <w:t>选择不同时间进行碰撞</w:t>
            </w: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rPr>
              <w:t>支持交集和并集分析，碰撞结果支持以图谱和列表形式查看，支持通过手机号、MAC、IMEI、IMSI等维度进行查询</w:t>
            </w: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lang w:val="en-US" w:eastAsia="zh-CN"/>
              </w:rPr>
              <w:t>碰撞结果支持导出</w:t>
            </w:r>
            <w:r>
              <w:rPr>
                <w:rFonts w:hint="eastAsia" w:ascii="宋体" w:hAnsi="宋体" w:cs="宋体"/>
                <w:color w:val="auto"/>
                <w:kern w:val="0"/>
                <w:sz w:val="21"/>
                <w:szCs w:val="21"/>
                <w:highlight w:val="none"/>
              </w:rPr>
              <w:t>。</w:t>
            </w:r>
          </w:p>
          <w:p w14:paraId="417CFA9E">
            <w:pPr>
              <w:widowControl/>
              <w:spacing w:line="360" w:lineRule="auto"/>
              <w:jc w:val="left"/>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9</w:t>
            </w:r>
            <w:r>
              <w:rPr>
                <w:rFonts w:hint="eastAsia" w:ascii="宋体" w:hAnsi="宋体" w:cs="宋体"/>
                <w:color w:val="auto"/>
                <w:kern w:val="0"/>
                <w:sz w:val="21"/>
                <w:szCs w:val="21"/>
                <w:highlight w:val="none"/>
              </w:rPr>
              <w:t>.基站分析：支持输入基站号码，选择时间段，性别，年龄特征进行分析。</w:t>
            </w:r>
            <w:r>
              <w:rPr>
                <w:rFonts w:hint="eastAsia" w:ascii="宋体" w:hAnsi="宋体" w:cs="宋体"/>
                <w:color w:val="auto"/>
                <w:kern w:val="0"/>
                <w:sz w:val="21"/>
                <w:szCs w:val="21"/>
                <w:highlight w:val="none"/>
                <w:lang w:val="en-US" w:eastAsia="zh-CN"/>
              </w:rPr>
              <w:t>支持分析结果查看和导出和基站地图打点。</w:t>
            </w:r>
          </w:p>
          <w:p w14:paraId="5851CB1D">
            <w:pPr>
              <w:widowControl/>
              <w:spacing w:line="360" w:lineRule="auto"/>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lang w:val="en-US" w:eastAsia="zh-CN"/>
              </w:rPr>
              <w:t>10</w:t>
            </w:r>
            <w:r>
              <w:rPr>
                <w:rFonts w:hint="eastAsia" w:ascii="宋体" w:hAnsi="宋体" w:cs="宋体"/>
                <w:color w:val="auto"/>
                <w:kern w:val="0"/>
                <w:sz w:val="21"/>
                <w:szCs w:val="21"/>
                <w:highlight w:val="none"/>
              </w:rPr>
              <w:t>.图上作战：支持用户在地图上绘制多个围栏，设置时间段，进行提数和碰撞分析。支持历史任务查看、查询、编辑、删除，支持新增图上作战碰撞任务、地图圆形围栏绘制、地图多边形围栏绘制、地图轨迹绘制，支持图上作战碰撞结果简表查看、详表查看、查询、查询条件筛选、查询条件重置，支持导入数据、结果定位和结果导出</w:t>
            </w:r>
          </w:p>
          <w:p w14:paraId="0EF79A1D">
            <w:pPr>
              <w:widowControl/>
              <w:spacing w:line="360" w:lineRule="auto"/>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4.1.2涉诈重点人管理</w:t>
            </w:r>
          </w:p>
          <w:p w14:paraId="2FEBBFC9">
            <w:pPr>
              <w:widowControl/>
              <w:spacing w:line="360" w:lineRule="auto"/>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1.重点人信息库</w:t>
            </w:r>
            <w:r>
              <w:rPr>
                <w:rFonts w:hint="eastAsia" w:ascii="宋体" w:hAnsi="宋体" w:cs="宋体"/>
                <w:color w:val="auto"/>
                <w:kern w:val="0"/>
                <w:sz w:val="21"/>
                <w:szCs w:val="21"/>
                <w:highlight w:val="none"/>
                <w:lang w:val="en-US" w:eastAsia="zh-CN"/>
              </w:rPr>
              <w:t>管理</w:t>
            </w:r>
            <w:r>
              <w:rPr>
                <w:rFonts w:hint="eastAsia" w:ascii="宋体" w:hAnsi="宋体" w:cs="宋体"/>
                <w:color w:val="auto"/>
                <w:kern w:val="0"/>
                <w:sz w:val="21"/>
                <w:szCs w:val="21"/>
                <w:highlight w:val="none"/>
              </w:rPr>
              <w:t>：根据重点人创建类型自动创建的本单位本警种的各级类型重点人员库。支持重点人员概览、筛选、表格展示，支持对重点人打标签、单个新增、批量导入、编辑、删除、撤管、批量导入记录、信息导出、批量加入常控库、批量撤管、批量删除、批量转列管，支持导出综述报告，支持重点人数据下发和移交。</w:t>
            </w:r>
          </w:p>
          <w:p w14:paraId="43DB3A2C">
            <w:pPr>
              <w:widowControl/>
              <w:spacing w:line="360" w:lineRule="auto"/>
              <w:jc w:val="left"/>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rPr>
              <w:t>2.关注</w:t>
            </w:r>
            <w:r>
              <w:rPr>
                <w:rFonts w:hint="eastAsia" w:ascii="宋体" w:hAnsi="宋体" w:cs="宋体"/>
                <w:color w:val="auto"/>
                <w:kern w:val="0"/>
                <w:sz w:val="21"/>
                <w:szCs w:val="21"/>
                <w:highlight w:val="none"/>
                <w:lang w:val="en-US" w:eastAsia="zh-CN"/>
              </w:rPr>
              <w:t>人员</w:t>
            </w:r>
            <w:r>
              <w:rPr>
                <w:rFonts w:hint="eastAsia" w:ascii="宋体" w:hAnsi="宋体" w:cs="宋体"/>
                <w:color w:val="auto"/>
                <w:kern w:val="0"/>
                <w:sz w:val="21"/>
                <w:szCs w:val="21"/>
                <w:highlight w:val="none"/>
              </w:rPr>
              <w:t>：根据关注人创建类型自动创建的本单位本警种的各级类型关注人员库。支持关注人员表格展示、卡片展示，支持关注人员新增、批量新增、编辑、删除、转列管、查询、查询重置、批量导入记录、导出、批量加入临控库、批量删除、批量转列管，支持关注人员类型管理和综述报告导出</w:t>
            </w:r>
            <w:r>
              <w:rPr>
                <w:rFonts w:hint="eastAsia" w:ascii="宋体" w:hAnsi="宋体" w:cs="宋体"/>
                <w:color w:val="auto"/>
                <w:kern w:val="0"/>
                <w:sz w:val="21"/>
                <w:szCs w:val="21"/>
                <w:highlight w:val="none"/>
                <w:lang w:eastAsia="zh-CN"/>
              </w:rPr>
              <w:t>。</w:t>
            </w:r>
          </w:p>
          <w:p w14:paraId="50C36459">
            <w:pPr>
              <w:widowControl/>
              <w:spacing w:line="360" w:lineRule="auto"/>
              <w:jc w:val="left"/>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rPr>
              <w:t>3.流转中心：</w:t>
            </w:r>
            <w:r>
              <w:rPr>
                <w:rFonts w:hint="eastAsia"/>
                <w:color w:val="auto"/>
                <w:szCs w:val="28"/>
                <w:highlight w:val="none"/>
              </w:rPr>
              <w:t>登录账号的下发及移交任务管理中心，可查看相关任务详情以及对未接收任务进行撤回</w:t>
            </w:r>
            <w:r>
              <w:rPr>
                <w:rFonts w:hint="eastAsia" w:ascii="宋体" w:hAnsi="宋体" w:cs="宋体"/>
                <w:color w:val="auto"/>
                <w:kern w:val="0"/>
                <w:sz w:val="21"/>
                <w:szCs w:val="21"/>
                <w:highlight w:val="none"/>
              </w:rPr>
              <w:t>。包括我下发的、我下发的查询、我下发的查询重置、我移交的、我移交的查询、我移交的查询重置</w:t>
            </w:r>
            <w:r>
              <w:rPr>
                <w:rFonts w:hint="eastAsia" w:ascii="宋体" w:hAnsi="宋体" w:cs="宋体"/>
                <w:color w:val="auto"/>
                <w:kern w:val="0"/>
                <w:sz w:val="21"/>
                <w:szCs w:val="21"/>
                <w:highlight w:val="none"/>
                <w:lang w:eastAsia="zh-CN"/>
              </w:rPr>
              <w:t>。</w:t>
            </w:r>
          </w:p>
          <w:p w14:paraId="70F31886">
            <w:pPr>
              <w:widowControl/>
              <w:spacing w:line="360" w:lineRule="auto"/>
              <w:jc w:val="left"/>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rPr>
              <w:t>4.接收中心：</w:t>
            </w:r>
            <w:r>
              <w:rPr>
                <w:rFonts w:hint="eastAsia"/>
                <w:color w:val="auto"/>
                <w:szCs w:val="28"/>
                <w:highlight w:val="none"/>
              </w:rPr>
              <w:t>登录账号收到的下发及移交任务的管理中心，可查看相关任务详情以及对接收到的下发任务进行责任人配置，对接收到的移交任务进行接收或拒绝</w:t>
            </w:r>
            <w:r>
              <w:rPr>
                <w:rFonts w:hint="eastAsia" w:ascii="宋体" w:hAnsi="宋体" w:cs="宋体"/>
                <w:color w:val="auto"/>
                <w:kern w:val="0"/>
                <w:sz w:val="21"/>
                <w:szCs w:val="21"/>
                <w:highlight w:val="none"/>
              </w:rPr>
              <w:t>。包括下发给我的、下发给我的查询、下发给我的查询重置、移交给我的、移交我的查询、移交我的查询重置</w:t>
            </w:r>
            <w:r>
              <w:rPr>
                <w:rFonts w:hint="eastAsia" w:ascii="宋体" w:hAnsi="宋体" w:cs="宋体"/>
                <w:color w:val="auto"/>
                <w:kern w:val="0"/>
                <w:sz w:val="21"/>
                <w:szCs w:val="21"/>
                <w:highlight w:val="none"/>
                <w:lang w:eastAsia="zh-CN"/>
              </w:rPr>
              <w:t>。</w:t>
            </w:r>
          </w:p>
          <w:p w14:paraId="2F80B5E9">
            <w:pPr>
              <w:widowControl/>
              <w:spacing w:line="360" w:lineRule="auto"/>
              <w:jc w:val="left"/>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rPr>
              <w:t>5.滞留境外教育劝返人员管理：支持对滞留境外人员总数</w:t>
            </w:r>
            <w:r>
              <w:rPr>
                <w:rFonts w:hint="eastAsia" w:ascii="宋体" w:hAnsi="宋体" w:cs="宋体"/>
                <w:color w:val="auto"/>
                <w:kern w:val="0"/>
                <w:sz w:val="21"/>
                <w:szCs w:val="21"/>
                <w:highlight w:val="none"/>
                <w:lang w:val="en-US" w:eastAsia="zh-CN"/>
              </w:rPr>
              <w:t>计算</w:t>
            </w:r>
            <w:r>
              <w:rPr>
                <w:rFonts w:hint="eastAsia" w:ascii="宋体" w:hAnsi="宋体" w:cs="宋体"/>
                <w:color w:val="auto"/>
                <w:kern w:val="0"/>
                <w:sz w:val="21"/>
                <w:szCs w:val="21"/>
                <w:highlight w:val="none"/>
              </w:rPr>
              <w:t>、排名进行管理和上图展示。</w:t>
            </w:r>
            <w:r>
              <w:rPr>
                <w:rFonts w:hint="eastAsia" w:ascii="宋体" w:hAnsi="宋体" w:cs="宋体"/>
                <w:color w:val="auto"/>
                <w:kern w:val="0"/>
                <w:sz w:val="21"/>
                <w:szCs w:val="21"/>
                <w:highlight w:val="none"/>
                <w:lang w:val="en-US" w:eastAsia="zh-CN"/>
              </w:rPr>
              <w:t>包括滞留缅北人员、滞留柬埔寨人员、滞留金三角人员、滞留菲律宾人员、滞留阿联酋人员。</w:t>
            </w:r>
          </w:p>
          <w:p w14:paraId="2575F1DE">
            <w:pPr>
              <w:widowControl/>
              <w:spacing w:line="360" w:lineRule="auto"/>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6.列管列控人员管理：对漏管失控人员、法定不准出境人员</w:t>
            </w:r>
            <w:r>
              <w:rPr>
                <w:rFonts w:hint="eastAsia" w:ascii="宋体" w:hAnsi="宋体" w:cs="宋体"/>
                <w:color w:val="auto"/>
                <w:kern w:val="0"/>
                <w:sz w:val="21"/>
                <w:szCs w:val="21"/>
                <w:highlight w:val="none"/>
                <w:lang w:val="en-US" w:eastAsia="zh-CN"/>
              </w:rPr>
              <w:t>总数计算</w:t>
            </w:r>
            <w:r>
              <w:rPr>
                <w:rFonts w:hint="eastAsia" w:ascii="宋体" w:hAnsi="宋体" w:cs="宋体"/>
                <w:color w:val="auto"/>
                <w:kern w:val="0"/>
                <w:sz w:val="21"/>
                <w:szCs w:val="21"/>
                <w:highlight w:val="none"/>
              </w:rPr>
              <w:t>、排名进行管理并上图展示。</w:t>
            </w:r>
          </w:p>
          <w:p w14:paraId="6AA1BCF0">
            <w:pPr>
              <w:widowControl/>
              <w:spacing w:line="360" w:lineRule="auto"/>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7.拦截劝阻人员管理：对拦截劝阻人员</w:t>
            </w:r>
            <w:r>
              <w:rPr>
                <w:rFonts w:hint="eastAsia" w:ascii="宋体" w:hAnsi="宋体" w:cs="宋体"/>
                <w:color w:val="auto"/>
                <w:kern w:val="0"/>
                <w:sz w:val="21"/>
                <w:szCs w:val="21"/>
                <w:highlight w:val="none"/>
                <w:lang w:val="en-US" w:eastAsia="zh-CN"/>
              </w:rPr>
              <w:t>总数计算</w:t>
            </w:r>
            <w:r>
              <w:rPr>
                <w:rFonts w:hint="eastAsia" w:ascii="宋体" w:hAnsi="宋体" w:cs="宋体"/>
                <w:color w:val="auto"/>
                <w:kern w:val="0"/>
                <w:sz w:val="21"/>
                <w:szCs w:val="21"/>
                <w:highlight w:val="none"/>
              </w:rPr>
              <w:t>、排名进行管理和上图展示，包括机场拦截劝阻人员、偷渡人员、预警处置人员。</w:t>
            </w:r>
          </w:p>
          <w:p w14:paraId="6FA3AF8C">
            <w:pPr>
              <w:widowControl/>
              <w:spacing w:line="360" w:lineRule="auto"/>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8.两卡人员管理：</w:t>
            </w:r>
            <w:r>
              <w:rPr>
                <w:rFonts w:hint="eastAsia" w:ascii="宋体" w:hAnsi="宋体" w:cs="宋体"/>
                <w:color w:val="auto"/>
                <w:kern w:val="0"/>
                <w:sz w:val="21"/>
                <w:szCs w:val="21"/>
                <w:highlight w:val="none"/>
                <w:lang w:val="en-US" w:eastAsia="zh-CN"/>
              </w:rPr>
              <w:t>对两卡线索、两卡管控、资金预警、其他类型预警指标进行计算和排名，并将两卡人员、两卡管控人员上图展示，支持两卡人员标签功能，</w:t>
            </w:r>
            <w:r>
              <w:rPr>
                <w:rFonts w:hint="eastAsia" w:ascii="宋体" w:hAnsi="宋体" w:cs="宋体"/>
                <w:color w:val="auto"/>
                <w:kern w:val="0"/>
                <w:sz w:val="21"/>
                <w:szCs w:val="21"/>
                <w:highlight w:val="none"/>
              </w:rPr>
              <w:t>包括户籍地在广西、开户地在广西的两卡人员。</w:t>
            </w:r>
          </w:p>
          <w:p w14:paraId="5DA848DF">
            <w:pPr>
              <w:widowControl/>
              <w:spacing w:line="360" w:lineRule="auto"/>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9.</w:t>
            </w:r>
            <w:r>
              <w:rPr>
                <w:rFonts w:hint="eastAsia" w:ascii="宋体" w:hAnsi="宋体" w:cs="宋体"/>
                <w:color w:val="auto"/>
                <w:kern w:val="0"/>
                <w:sz w:val="21"/>
                <w:szCs w:val="21"/>
                <w:highlight w:val="none"/>
                <w:lang w:val="en-US" w:eastAsia="zh-CN"/>
              </w:rPr>
              <w:t>动态管控</w:t>
            </w:r>
            <w:r>
              <w:rPr>
                <w:rFonts w:hint="eastAsia" w:ascii="宋体" w:hAnsi="宋体" w:cs="宋体"/>
                <w:color w:val="auto"/>
                <w:kern w:val="0"/>
                <w:sz w:val="21"/>
                <w:szCs w:val="21"/>
                <w:highlight w:val="none"/>
              </w:rPr>
              <w:t>人员管理：对</w:t>
            </w:r>
            <w:r>
              <w:rPr>
                <w:rFonts w:hint="eastAsia" w:ascii="宋体" w:hAnsi="宋体" w:cs="宋体"/>
                <w:color w:val="auto"/>
                <w:kern w:val="0"/>
                <w:sz w:val="21"/>
                <w:szCs w:val="21"/>
                <w:highlight w:val="none"/>
                <w:lang w:val="en-US" w:eastAsia="zh-CN"/>
              </w:rPr>
              <w:t>动态管控</w:t>
            </w:r>
            <w:r>
              <w:rPr>
                <w:rFonts w:hint="eastAsia" w:ascii="宋体" w:hAnsi="宋体" w:cs="宋体"/>
                <w:color w:val="auto"/>
                <w:kern w:val="0"/>
                <w:sz w:val="21"/>
                <w:szCs w:val="21"/>
                <w:highlight w:val="none"/>
              </w:rPr>
              <w:t>人员</w:t>
            </w:r>
            <w:r>
              <w:rPr>
                <w:rFonts w:hint="eastAsia" w:ascii="宋体" w:hAnsi="宋体" w:cs="宋体"/>
                <w:color w:val="auto"/>
                <w:kern w:val="0"/>
                <w:sz w:val="21"/>
                <w:szCs w:val="21"/>
                <w:highlight w:val="none"/>
                <w:lang w:val="en-US" w:eastAsia="zh-CN"/>
              </w:rPr>
              <w:t>指标计算、排名进行管理，和轨迹上图展示，对高危人员入桂预警信息、涉案人员入桂预警信息和管控人员轨迹</w:t>
            </w:r>
            <w:r>
              <w:rPr>
                <w:rFonts w:hint="eastAsia" w:ascii="宋体" w:hAnsi="宋体" w:cs="宋体"/>
                <w:color w:val="auto"/>
                <w:kern w:val="0"/>
                <w:sz w:val="21"/>
                <w:szCs w:val="21"/>
                <w:highlight w:val="none"/>
              </w:rPr>
              <w:t>上图展示。</w:t>
            </w:r>
          </w:p>
          <w:p w14:paraId="59FF076C">
            <w:pPr>
              <w:widowControl/>
              <w:spacing w:line="360" w:lineRule="auto"/>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10.断流打击管理：对断流打击情况进行统计分析和上图展示，包括案件抓捕数、案件起诉数、案件判决数、案件来源类型、案件数量、全区分布等。</w:t>
            </w:r>
          </w:p>
          <w:p w14:paraId="6EDA2D31">
            <w:pPr>
              <w:widowControl/>
              <w:spacing w:line="360" w:lineRule="auto"/>
              <w:jc w:val="left"/>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rPr>
              <w:t>11.信息采集及自主摸排管理：对生物四项数据采集</w:t>
            </w: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lang w:val="en-US" w:eastAsia="zh-CN"/>
              </w:rPr>
              <w:t>比对结果分析</w:t>
            </w:r>
            <w:r>
              <w:rPr>
                <w:rFonts w:hint="eastAsia" w:ascii="宋体" w:hAnsi="宋体" w:cs="宋体"/>
                <w:color w:val="auto"/>
                <w:kern w:val="0"/>
                <w:sz w:val="21"/>
                <w:szCs w:val="21"/>
                <w:highlight w:val="none"/>
              </w:rPr>
              <w:t>数据</w:t>
            </w:r>
            <w:r>
              <w:rPr>
                <w:rFonts w:hint="eastAsia" w:ascii="宋体" w:hAnsi="宋体" w:cs="宋体"/>
                <w:color w:val="auto"/>
                <w:kern w:val="0"/>
                <w:sz w:val="21"/>
                <w:szCs w:val="21"/>
                <w:highlight w:val="none"/>
                <w:lang w:val="en-US" w:eastAsia="zh-CN"/>
              </w:rPr>
              <w:t>和自主摸排人员</w:t>
            </w:r>
            <w:r>
              <w:rPr>
                <w:rFonts w:hint="eastAsia" w:ascii="宋体" w:hAnsi="宋体" w:cs="宋体"/>
                <w:color w:val="auto"/>
                <w:kern w:val="0"/>
                <w:sz w:val="21"/>
                <w:szCs w:val="21"/>
                <w:highlight w:val="none"/>
              </w:rPr>
              <w:t>进行管理和上图展示，包括采集率、采集数、全区排名等。</w:t>
            </w:r>
          </w:p>
          <w:p w14:paraId="2FC89C82">
            <w:pPr>
              <w:widowControl/>
              <w:spacing w:line="360" w:lineRule="auto"/>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4.1.3涉诈重点人布控</w:t>
            </w:r>
          </w:p>
          <w:p w14:paraId="123D99D2">
            <w:pPr>
              <w:widowControl/>
              <w:spacing w:line="360" w:lineRule="auto"/>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1.预警态势大屏：统计展示预警布控信息，包括任务总数、预警消息、</w:t>
            </w:r>
            <w:r>
              <w:rPr>
                <w:rFonts w:hint="eastAsia" w:ascii="宋体" w:hAnsi="宋体" w:cs="宋体"/>
                <w:color w:val="auto"/>
                <w:kern w:val="0"/>
                <w:sz w:val="21"/>
                <w:szCs w:val="21"/>
                <w:highlight w:val="none"/>
                <w:lang w:val="en-US" w:eastAsia="zh-CN"/>
              </w:rPr>
              <w:t>布控任务、</w:t>
            </w:r>
            <w:r>
              <w:rPr>
                <w:rFonts w:hint="eastAsia" w:ascii="宋体" w:hAnsi="宋体" w:cs="宋体"/>
                <w:color w:val="auto"/>
                <w:kern w:val="0"/>
                <w:sz w:val="21"/>
                <w:szCs w:val="21"/>
                <w:highlight w:val="none"/>
              </w:rPr>
              <w:t>布控人数、</w:t>
            </w:r>
            <w:r>
              <w:rPr>
                <w:rFonts w:hint="eastAsia" w:ascii="宋体" w:hAnsi="宋体" w:cs="宋体"/>
                <w:color w:val="auto"/>
                <w:kern w:val="0"/>
                <w:sz w:val="21"/>
                <w:szCs w:val="21"/>
                <w:highlight w:val="none"/>
                <w:lang w:val="en-US" w:eastAsia="zh-CN"/>
              </w:rPr>
              <w:t>类型占比、</w:t>
            </w:r>
            <w:r>
              <w:rPr>
                <w:rFonts w:hint="eastAsia" w:ascii="宋体" w:hAnsi="宋体" w:cs="宋体"/>
                <w:color w:val="auto"/>
                <w:kern w:val="0"/>
                <w:sz w:val="21"/>
                <w:szCs w:val="21"/>
                <w:highlight w:val="none"/>
              </w:rPr>
              <w:t>实时预警</w:t>
            </w: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lang w:val="en-US" w:eastAsia="zh-CN"/>
              </w:rPr>
              <w:t>预警态势</w:t>
            </w:r>
            <w:r>
              <w:rPr>
                <w:rFonts w:hint="eastAsia" w:ascii="宋体" w:hAnsi="宋体" w:cs="宋体"/>
                <w:color w:val="auto"/>
                <w:kern w:val="0"/>
                <w:sz w:val="21"/>
                <w:szCs w:val="21"/>
                <w:highlight w:val="none"/>
              </w:rPr>
              <w:t>等信息。</w:t>
            </w:r>
          </w:p>
          <w:p w14:paraId="26192429">
            <w:pPr>
              <w:widowControl/>
              <w:spacing w:line="360" w:lineRule="auto"/>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2.布控中心：支持查看布控任务列表和新增布控任务，布控类型包括进出围栏、轨迹订阅、感知轨迹聚集、同连WiFi、</w:t>
            </w:r>
            <w:r>
              <w:rPr>
                <w:rFonts w:hint="eastAsia" w:ascii="宋体" w:hAnsi="宋体" w:cs="宋体"/>
                <w:color w:val="auto"/>
                <w:kern w:val="0"/>
                <w:sz w:val="21"/>
                <w:szCs w:val="21"/>
                <w:highlight w:val="none"/>
                <w:lang w:val="en-US" w:eastAsia="zh-CN"/>
              </w:rPr>
              <w:t>同</w:t>
            </w:r>
            <w:r>
              <w:rPr>
                <w:rFonts w:hint="eastAsia" w:ascii="宋体" w:hAnsi="宋体" w:cs="宋体"/>
                <w:color w:val="auto"/>
                <w:kern w:val="0"/>
                <w:sz w:val="21"/>
                <w:szCs w:val="21"/>
                <w:highlight w:val="none"/>
              </w:rPr>
              <w:t>出行、同入住</w:t>
            </w: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lang w:val="en-US" w:eastAsia="zh-CN"/>
              </w:rPr>
              <w:t>同网吧</w:t>
            </w:r>
            <w:r>
              <w:rPr>
                <w:rFonts w:hint="eastAsia" w:ascii="宋体" w:hAnsi="宋体" w:cs="宋体"/>
                <w:color w:val="auto"/>
                <w:kern w:val="0"/>
                <w:sz w:val="21"/>
                <w:szCs w:val="21"/>
                <w:highlight w:val="none"/>
              </w:rPr>
              <w:t>等，支持增加布控白名单，布控结果支持地图展示。</w:t>
            </w:r>
          </w:p>
          <w:p w14:paraId="1385DC70">
            <w:pPr>
              <w:widowControl/>
              <w:spacing w:line="360" w:lineRule="auto"/>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4.1.4预警产出</w:t>
            </w:r>
          </w:p>
          <w:p w14:paraId="7D419E5B">
            <w:pPr>
              <w:widowControl/>
              <w:spacing w:line="360" w:lineRule="auto"/>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1.预警数据反向赋能打标：对部推资金预警人员进行风险赋分以及风险打标。</w:t>
            </w:r>
          </w:p>
          <w:p w14:paraId="4F5FD7B7">
            <w:pPr>
              <w:widowControl/>
              <w:spacing w:line="360" w:lineRule="auto"/>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2.易感人群发现：通过移动互联网大数据、警情案情数据等融合构建易感人员发现，以每七日计算一次更新人员列表。</w:t>
            </w:r>
          </w:p>
          <w:p w14:paraId="0D33EA43">
            <w:pPr>
              <w:widowControl/>
              <w:spacing w:line="360" w:lineRule="auto"/>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3.潜在受害人感知：主动发现感知安装涉诈APP的设备并进行数据推送。</w:t>
            </w:r>
          </w:p>
          <w:p w14:paraId="099E27BD">
            <w:pPr>
              <w:widowControl/>
              <w:spacing w:line="360" w:lineRule="auto"/>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4.赋能反诈联盟链建模产出：针对反诈联盟链推送嫌疑两卡数据进行预警打标，反馈风险标签结果。</w:t>
            </w:r>
          </w:p>
          <w:p w14:paraId="28C2C2C4">
            <w:pPr>
              <w:widowControl/>
              <w:spacing w:line="360" w:lineRule="auto"/>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4.1.5境外风险人态势感知</w:t>
            </w:r>
          </w:p>
          <w:p w14:paraId="453D9351">
            <w:pPr>
              <w:widowControl/>
              <w:spacing w:line="360" w:lineRule="auto"/>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1.境外风险人感知发现：通过数据分析，感知发现涉诈高危国家滞留人员和涉诈高危国家回流人员</w:t>
            </w:r>
            <w:r>
              <w:rPr>
                <w:rFonts w:hint="eastAsia" w:ascii="宋体" w:hAnsi="宋体" w:cs="宋体"/>
                <w:color w:val="auto"/>
                <w:kern w:val="0"/>
                <w:sz w:val="21"/>
                <w:szCs w:val="21"/>
                <w:highlight w:val="none"/>
                <w:lang w:eastAsia="zh-CN"/>
              </w:rPr>
              <w:t>，进行高危地漫入人员风险的信息推送</w:t>
            </w:r>
            <w:r>
              <w:rPr>
                <w:rFonts w:hint="eastAsia" w:ascii="宋体" w:hAnsi="宋体" w:cs="宋体"/>
                <w:color w:val="auto"/>
                <w:kern w:val="0"/>
                <w:sz w:val="21"/>
                <w:szCs w:val="21"/>
                <w:highlight w:val="none"/>
              </w:rPr>
              <w:t>。</w:t>
            </w:r>
          </w:p>
          <w:p w14:paraId="62A86B4D">
            <w:pPr>
              <w:widowControl/>
              <w:spacing w:line="360" w:lineRule="auto"/>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2.境外风险人员管理：对涉诈高危地回流、滞留人员、辖区高危涉诈外溢人员进行感知发现，并建立境外风险人员库，基于移动互联网大数据挖掘出开发测试人员标签、软件top安装行为、问题WiFi链接、问题url访问等行为，发现在东南亚国家及柬埔寨等国的涉诈风险人员，对其打上标签，并根据其特征计算风险等级。</w:t>
            </w:r>
          </w:p>
          <w:p w14:paraId="48B68156">
            <w:pPr>
              <w:widowControl/>
              <w:spacing w:line="360" w:lineRule="auto"/>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lang w:val="en-US" w:eastAsia="zh-CN"/>
              </w:rPr>
              <w:t>3</w:t>
            </w:r>
            <w:r>
              <w:rPr>
                <w:rFonts w:hint="eastAsia" w:ascii="宋体" w:hAnsi="宋体" w:cs="宋体"/>
                <w:color w:val="auto"/>
                <w:kern w:val="0"/>
                <w:sz w:val="21"/>
                <w:szCs w:val="21"/>
                <w:highlight w:val="none"/>
              </w:rPr>
              <w:t>.境外风险人员预警处理统计：统计境外风险人预警情况、处理反馈情况。</w:t>
            </w:r>
          </w:p>
          <w:p w14:paraId="119220C2">
            <w:pPr>
              <w:widowControl/>
              <w:spacing w:line="360" w:lineRule="auto"/>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lang w:val="en-US" w:eastAsia="zh-CN"/>
              </w:rPr>
              <w:t>4</w:t>
            </w:r>
            <w:r>
              <w:rPr>
                <w:rFonts w:hint="eastAsia" w:ascii="宋体" w:hAnsi="宋体" w:cs="宋体"/>
                <w:color w:val="auto"/>
                <w:kern w:val="0"/>
                <w:sz w:val="21"/>
                <w:szCs w:val="21"/>
                <w:highlight w:val="none"/>
              </w:rPr>
              <w:t>.境外风险人员态势：通过地图支持展示境外风险基本信息、风险窝点分布态势、风险人员分布态势、风险人员户籍分布、风险人员等级、风险人员活跃时间分布、常用敏感APP、最新风险窝点等。</w:t>
            </w:r>
          </w:p>
          <w:p w14:paraId="146959AF">
            <w:pPr>
              <w:widowControl/>
              <w:spacing w:line="360" w:lineRule="auto"/>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通过移动互联网数据实时掌握越南、老挝、柬埔寨、泰国、缅甸、马来西亚、菲律宾、印度尼西亚九国下，出境诈骗广西籍人。</w:t>
            </w:r>
          </w:p>
        </w:tc>
      </w:tr>
      <w:tr w14:paraId="2CA84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46" w:type="dxa"/>
            <w:vMerge w:val="continue"/>
            <w:vAlign w:val="center"/>
          </w:tcPr>
          <w:p w14:paraId="32FB1FBE">
            <w:pPr>
              <w:widowControl/>
              <w:spacing w:line="360" w:lineRule="auto"/>
              <w:jc w:val="left"/>
              <w:rPr>
                <w:rFonts w:ascii="宋体" w:hAnsi="宋体" w:cs="宋体"/>
                <w:color w:val="auto"/>
                <w:kern w:val="0"/>
                <w:sz w:val="21"/>
                <w:szCs w:val="21"/>
                <w:highlight w:val="none"/>
              </w:rPr>
            </w:pPr>
          </w:p>
        </w:tc>
        <w:tc>
          <w:tcPr>
            <w:tcW w:w="1612" w:type="dxa"/>
            <w:gridSpan w:val="2"/>
            <w:vMerge w:val="continue"/>
            <w:vAlign w:val="center"/>
          </w:tcPr>
          <w:p w14:paraId="4646ADA7">
            <w:pPr>
              <w:widowControl/>
              <w:spacing w:line="360" w:lineRule="auto"/>
              <w:jc w:val="left"/>
              <w:rPr>
                <w:rFonts w:ascii="宋体" w:hAnsi="宋体" w:cs="宋体"/>
                <w:color w:val="auto"/>
                <w:kern w:val="0"/>
                <w:sz w:val="21"/>
                <w:szCs w:val="21"/>
                <w:highlight w:val="none"/>
              </w:rPr>
            </w:pPr>
          </w:p>
        </w:tc>
        <w:tc>
          <w:tcPr>
            <w:tcW w:w="1179" w:type="dxa"/>
            <w:vMerge w:val="continue"/>
            <w:tcBorders>
              <w:right w:val="single" w:color="auto" w:sz="4" w:space="0"/>
            </w:tcBorders>
            <w:vAlign w:val="center"/>
          </w:tcPr>
          <w:p w14:paraId="6F0D8632">
            <w:pPr>
              <w:widowControl/>
              <w:spacing w:line="360" w:lineRule="auto"/>
              <w:jc w:val="left"/>
              <w:rPr>
                <w:rFonts w:ascii="宋体" w:hAnsi="宋体" w:cs="宋体"/>
                <w:color w:val="auto"/>
                <w:kern w:val="0"/>
                <w:sz w:val="21"/>
                <w:szCs w:val="21"/>
                <w:highlight w:val="none"/>
              </w:rPr>
            </w:pPr>
          </w:p>
        </w:tc>
        <w:tc>
          <w:tcPr>
            <w:tcW w:w="6668" w:type="dxa"/>
            <w:tcBorders>
              <w:top w:val="nil"/>
              <w:left w:val="single" w:color="auto" w:sz="4" w:space="0"/>
              <w:bottom w:val="nil"/>
              <w:right w:val="single" w:color="auto" w:sz="4" w:space="0"/>
            </w:tcBorders>
            <w:shd w:val="clear" w:color="auto" w:fill="auto"/>
            <w:vAlign w:val="center"/>
          </w:tcPr>
          <w:p w14:paraId="11CFF480">
            <w:pPr>
              <w:widowControl/>
              <w:spacing w:line="360" w:lineRule="auto"/>
              <w:jc w:val="left"/>
              <w:rPr>
                <w:rFonts w:ascii="宋体" w:hAnsi="宋体" w:cs="宋体"/>
                <w:color w:val="auto"/>
                <w:kern w:val="0"/>
                <w:sz w:val="21"/>
                <w:szCs w:val="21"/>
                <w:highlight w:val="none"/>
              </w:rPr>
            </w:pPr>
            <w:r>
              <w:rPr>
                <w:rFonts w:hint="eastAsia" w:ascii="宋体" w:hAnsi="宋体" w:cs="宋体"/>
                <w:b/>
                <w:bCs/>
                <w:color w:val="auto"/>
                <w:kern w:val="0"/>
                <w:sz w:val="21"/>
                <w:szCs w:val="21"/>
                <w:highlight w:val="none"/>
              </w:rPr>
              <w:t>4.2预警必劝AI呼叫</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4.2.1智能紧急劝阻：包含预警劝阻、劝阻策略以及数据看板。</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4.2.1.1预警劝阻，包括线索看板、劝阻任务以及我的任务功能，要求支持适配公安部平台表单模板，线索导入阶段可直接导入公安部平台下载数据模板，同时外呼劝阻完成后，支持直接导出公安部上报模板；</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4.2.1.2劝阻策略，包括策略模型以及策略执行，新建不同的策略，包括AI外呼策略，人工处理策略。人工处理策略支持通过Al结论、诈骗类型、客户标签、预警等级、通话状态等设置规则，命中后会按规则进行分发，包括分给上传部门、部门平均分配、处理单位分发等规则；</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4.2.1.3数据看板，包括劝阻数据查询、劝阻数据可视化展示以及劝阻数据导出。支持查看线索列表数据，通过未接线索数、拒接线索数、线索接通率、外呼线索数、空关停线索数和已接通线索数等进行查看，且支持导出；</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4.2.2智能日常宣防：包括智能宣防、宣防策略以及宣防数据。</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4.2.2.1智能宣防，包括智能外呼宣防、名单过滤拦截以及短信宣防能力。支持编辑拦截规则，指定一个或多个机器人进行规则配置，拦截策略支持通过拨打频次规则或通话状态新建拦截规则，支持配置生效范围。</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4.2.2.2宣防策略，支持通过输入宣防名称、设置宣防分类、选择启动方式、设置外呼时段、AI民警话术、自动重呼、优先级、拦截策略等信息设置，进行新建宣防任务。</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4.2.2.3宣防数据，包括外呼宣防报表以及宣防短信报表。外呼宣防报表可查看宣防整体数据以及不同的宣防类型数据，包括宣防任务数、计划宣防人次、已宣防人次和任务完成度等信息，并且支持整体数据的导出。</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4.2.3智能回访：包含劝阻回访、回访策略以及回访数据。</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4.2.3.1劝阻回访，包括智能外呼任务以及外呼拦截规则。支持通过外呼任务监控，查看外呼数据、意向客户、外呼状态等数据；支持查看进行中名单、已完成列表、任务详情以及操作日志。</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4.2.3.2回访策略，对于建立的外呼回访任务，实现外呼预警规则设置、外呼黑名单管理功能。黑名单规则支持按照请求意图分类、请求问答知识、对话标签、关键词等多种维度构建黑名单规则，当AI语音对话时，触发规则时，自动加入黑名单。</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4.2.3.3回访数据，包括数据概览、通话记录、通话统计以及通话状态的统计报表，支持智能外呼任务的整体数据查看，并实现可视化的数据展示。</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4.2.4</w:t>
            </w:r>
            <w:r>
              <w:rPr>
                <w:rFonts w:ascii="宋体" w:hAnsi="宋体" w:cs="宋体"/>
                <w:color w:val="auto"/>
                <w:kern w:val="0"/>
                <w:sz w:val="21"/>
                <w:szCs w:val="21"/>
                <w:highlight w:val="none"/>
              </w:rPr>
              <w:t xml:space="preserve"> </w:t>
            </w:r>
            <w:r>
              <w:rPr>
                <w:rFonts w:hint="eastAsia" w:ascii="宋体" w:hAnsi="宋体" w:cs="宋体"/>
                <w:color w:val="auto"/>
                <w:kern w:val="0"/>
                <w:sz w:val="21"/>
                <w:szCs w:val="21"/>
                <w:highlight w:val="none"/>
              </w:rPr>
              <w:t>96110反诈智能接警：包含96110反诈专线接警看板、96110反诈专线智能接警记录、96110反诈专线人工接警记录、96110反诈专线AI话务呼叫监控、96110反诈专线坐席接警桌面以及96110反诈专线IVR导航流程。</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4.2.4.1 96110反诈专线接警看板，包括接警综合数据查询、可视化查看智能接警趋势。支持按时间查询接警数据，可视化查看智能接警趋势，包含呼入总量与请求转人工量，趋势图支持每小时更新。</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4.2.4.2 96110反诈专线智能接警记录，包括智能接警数据查询、智能接警数据类别扩展、智能接警数据回看以及智能接警批量导出。</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4.2.4.3 96110反诈专线人工接警记录，包括人工接警数据查询、人工接警数据类别扩展、人工接警数据回看、人工接警数据回拨以及人工接警批量导出。</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4.2.4.4 96110反诈专线AI话务呼叫监控，支持通过技能组、坐席、账号状态、呼叫状态等字段搜索查看对应客服的工作状态，包括但不限于接听量、未接量、呼出量、接通量、通话总时长等信息；</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4.2.4.5 96110反诈专线坐席接警桌面，包括接警分配机制设置、人工接警记录类别扩展以及人工未接警记录类别扩展。支持接警分机配置和自动接听进行设置；支持从排队情况、坐席资源、话务情况等方面对坐席情况进行监控，支持每10秒自动刷新坐席情况与客服状态。</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4.2.4.6 96110反诈专线IVR导航流程，IVR的自定义流程，流程设计节点工具包含但不限于放音、放音收号、接口调用、读取排队人数、变量赋值、读写通道变量，同时，至少支持转接技能组、指定坐席、内线、外线、分机及智能语音。</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4.2.5智能外呼AI能力：包括语音机器人、机器人平台以及AI运营。</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4.2.5.1 语音机器人，包括机器人基本信息、语音识别、语音合成、智能打断、热词、转人工、引导语设置、录音管理、知识设置、机器人高级设置、对话短信、机器人对话黑名单规则以及语音机器人测试。</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4.2.5.2 机器人平台，包括模型训练、词库管理、对话任务、问答知识。模型训练功能要求具备机器人模型训练能力，支持显示待训练标准问、待训练语料等数量，支持查看训练历史，包括训练时间、版本、状态、准确率、操作人等信息，查看训练详情，包括整体评估情况以及详细数据；</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4.2.5.3 AI运营，包括知识发现、未知问题、沉寂问法、知识消歧、公共知识库、知识查找替换功能。要求支持创建聚类任务用于新知识发现，至少通过任务名称、问题来源、选择机器人、会话时间、聚类方法设置聚类任务。</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4.2.6智能外呼数据统计：包括智能外呼劝阻数据大屏展示、AI外呼宣防数据大屏展示。</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4.2.6.1 智能外呼劝阻数据大屏展示，包括今日数据展示、多时间维度查看。支持通过接收总量、处置中总量、已完成总量和完成率等字段查看线索整体数据，支持滚动展示实时的线索情况。</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4.2.6.2 AI外呼宣防数据大屏展示，包括今日数据展示、历史数据展示。支持查看宣防任务的可视化相关数据，包括今日宣防相关情况、历史宣防相关情况</w:t>
            </w:r>
            <w:r>
              <w:rPr>
                <w:rFonts w:hint="eastAsia" w:ascii="宋体" w:hAnsi="宋体" w:cs="宋体"/>
                <w:color w:val="auto"/>
                <w:kern w:val="0"/>
                <w:sz w:val="21"/>
                <w:szCs w:val="21"/>
                <w:highlight w:val="none"/>
                <w:lang w:eastAsia="zh-CN"/>
              </w:rPr>
              <w:t>，以及</w:t>
            </w:r>
            <w:r>
              <w:rPr>
                <w:rFonts w:hint="eastAsia" w:ascii="宋体" w:hAnsi="宋体" w:cs="宋体"/>
                <w:color w:val="auto"/>
                <w:kern w:val="0"/>
                <w:sz w:val="21"/>
                <w:szCs w:val="21"/>
                <w:highlight w:val="none"/>
              </w:rPr>
              <w:t>整体宣防数据情况。</w:t>
            </w:r>
          </w:p>
        </w:tc>
      </w:tr>
      <w:tr w14:paraId="4B415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46" w:type="dxa"/>
            <w:vMerge w:val="continue"/>
            <w:vAlign w:val="center"/>
          </w:tcPr>
          <w:p w14:paraId="251AF5D1">
            <w:pPr>
              <w:widowControl/>
              <w:spacing w:line="360" w:lineRule="auto"/>
              <w:jc w:val="left"/>
              <w:rPr>
                <w:rFonts w:ascii="宋体" w:hAnsi="宋体" w:cs="宋体"/>
                <w:color w:val="auto"/>
                <w:kern w:val="0"/>
                <w:sz w:val="21"/>
                <w:szCs w:val="21"/>
                <w:highlight w:val="none"/>
              </w:rPr>
            </w:pPr>
          </w:p>
        </w:tc>
        <w:tc>
          <w:tcPr>
            <w:tcW w:w="1612" w:type="dxa"/>
            <w:gridSpan w:val="2"/>
            <w:vMerge w:val="continue"/>
            <w:vAlign w:val="center"/>
          </w:tcPr>
          <w:p w14:paraId="13268958">
            <w:pPr>
              <w:widowControl/>
              <w:spacing w:line="360" w:lineRule="auto"/>
              <w:jc w:val="left"/>
              <w:rPr>
                <w:rFonts w:ascii="宋体" w:hAnsi="宋体" w:cs="宋体"/>
                <w:color w:val="auto"/>
                <w:kern w:val="0"/>
                <w:sz w:val="21"/>
                <w:szCs w:val="21"/>
                <w:highlight w:val="none"/>
              </w:rPr>
            </w:pPr>
          </w:p>
        </w:tc>
        <w:tc>
          <w:tcPr>
            <w:tcW w:w="1179" w:type="dxa"/>
            <w:vMerge w:val="continue"/>
            <w:tcBorders>
              <w:right w:val="single" w:color="auto" w:sz="4" w:space="0"/>
            </w:tcBorders>
            <w:vAlign w:val="center"/>
          </w:tcPr>
          <w:p w14:paraId="06DA150F">
            <w:pPr>
              <w:widowControl/>
              <w:spacing w:line="360" w:lineRule="auto"/>
              <w:jc w:val="left"/>
              <w:rPr>
                <w:rFonts w:ascii="宋体" w:hAnsi="宋体" w:cs="宋体"/>
                <w:color w:val="auto"/>
                <w:kern w:val="0"/>
                <w:sz w:val="21"/>
                <w:szCs w:val="21"/>
                <w:highlight w:val="none"/>
              </w:rPr>
            </w:pPr>
          </w:p>
        </w:tc>
        <w:tc>
          <w:tcPr>
            <w:tcW w:w="6668" w:type="dxa"/>
            <w:tcBorders>
              <w:top w:val="nil"/>
              <w:left w:val="single" w:color="auto" w:sz="4" w:space="0"/>
              <w:bottom w:val="nil"/>
              <w:right w:val="single" w:color="auto" w:sz="4" w:space="0"/>
            </w:tcBorders>
            <w:shd w:val="clear" w:color="auto" w:fill="auto"/>
            <w:vAlign w:val="center"/>
          </w:tcPr>
          <w:p w14:paraId="338457B7">
            <w:pPr>
              <w:widowControl/>
              <w:spacing w:line="360" w:lineRule="auto"/>
              <w:jc w:val="left"/>
              <w:rPr>
                <w:rFonts w:hint="eastAsia" w:ascii="宋体" w:hAnsi="宋体" w:cs="宋体"/>
                <w:color w:val="auto"/>
                <w:kern w:val="0"/>
                <w:sz w:val="21"/>
                <w:szCs w:val="21"/>
                <w:highlight w:val="none"/>
              </w:rPr>
            </w:pPr>
            <w:r>
              <w:rPr>
                <w:rFonts w:hint="eastAsia" w:ascii="宋体" w:hAnsi="宋体" w:cs="宋体"/>
                <w:b/>
                <w:bCs/>
                <w:color w:val="auto"/>
                <w:kern w:val="0"/>
                <w:sz w:val="21"/>
                <w:szCs w:val="21"/>
                <w:highlight w:val="none"/>
              </w:rPr>
              <w:t>5.反电诈综合类应用</w:t>
            </w:r>
            <w:r>
              <w:rPr>
                <w:rFonts w:hint="eastAsia" w:ascii="宋体" w:hAnsi="宋体" w:cs="宋体"/>
                <w:b/>
                <w:bCs/>
                <w:color w:val="auto"/>
                <w:kern w:val="0"/>
                <w:sz w:val="21"/>
                <w:szCs w:val="21"/>
                <w:highlight w:val="none"/>
              </w:rPr>
              <w:br w:type="textWrapping"/>
            </w:r>
            <w:r>
              <w:rPr>
                <w:rFonts w:hint="eastAsia" w:ascii="宋体" w:hAnsi="宋体" w:cs="宋体"/>
                <w:b/>
                <w:bCs/>
                <w:color w:val="auto"/>
                <w:kern w:val="0"/>
                <w:sz w:val="21"/>
                <w:szCs w:val="21"/>
                <w:highlight w:val="none"/>
              </w:rPr>
              <w:t>5.1笔录助手</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5.1.1笔录首页，支持笔录制作的快捷入口和数据概览。支持快捷新建空白笔录文书，进行笔录类型的选择以及制作。支持自定义询问笔录和讯问笔录模版。支持询问人、讯问人、被询问人、被讯问人等基础信息的灵活配置、自定义填写。支持已有笔录数据的pdf、word、jpg、jpeg格式上传，支持笔录数据的管理，支持按制作时间、笔录类型、笔录质量、常见错误等维度进行统计查询</w:t>
            </w:r>
          </w:p>
          <w:p w14:paraId="3281F453">
            <w:pPr>
              <w:widowControl/>
              <w:spacing w:line="360" w:lineRule="auto"/>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5.1.2笔录制作，实现多种笔录类型的制作，支持根据笔录类型生成对应基础信息表，支持文本输入、复制、粘贴、剪贴、保存等功能。支持最</w:t>
            </w:r>
            <w:r>
              <w:rPr>
                <w:rFonts w:hint="eastAsia" w:ascii="宋体" w:hAnsi="宋体" w:cs="宋体"/>
                <w:color w:val="auto"/>
                <w:kern w:val="0"/>
                <w:sz w:val="21"/>
                <w:szCs w:val="21"/>
                <w:highlight w:val="none"/>
                <w:lang w:val="en-US" w:eastAsia="zh-CN"/>
              </w:rPr>
              <w:t>优</w:t>
            </w:r>
            <w:r>
              <w:rPr>
                <w:rFonts w:hint="eastAsia" w:ascii="宋体" w:hAnsi="宋体" w:cs="宋体"/>
                <w:color w:val="auto"/>
                <w:kern w:val="0"/>
                <w:sz w:val="21"/>
                <w:szCs w:val="21"/>
                <w:highlight w:val="none"/>
              </w:rPr>
              <w:t>问话策略推送、对接警综平台等系统复用人、案基本信息。支持问、讯内容的前后内容相关性、前后逻辑矛盾提醒。支持问、讯中出现的手机号、证件号、车牌号的核查比对。支持与历史报案、审讯信息的串并，支持与同案其他人口供交叉分析。支持问/讯的违规行为、违规用语、要素完整性等规范性核查及提醒。支持附件导入，笔录导出功能。</w:t>
            </w:r>
          </w:p>
          <w:p w14:paraId="030ABC48">
            <w:pPr>
              <w:widowControl/>
              <w:spacing w:line="360" w:lineRule="auto"/>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5.1.3笔录管理，支持笔录文件的数据接口接入、笔录文件上传接入。支持按笔录名称、记录人、问/讯人、问/讯对象姓名、证件号、案件编号等条件进行笔录查询、查看、下载和删除等管理操作。</w:t>
            </w:r>
          </w:p>
          <w:p w14:paraId="468F21C1">
            <w:pPr>
              <w:widowControl/>
              <w:spacing w:line="360" w:lineRule="auto"/>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5.1.4笔录实体解析，内置实战、合理的命名实体属性、标签定义，支持人、车、移动终端、</w:t>
            </w:r>
            <w:r>
              <w:rPr>
                <w:rFonts w:hint="eastAsia" w:ascii="宋体" w:hAnsi="宋体" w:cs="宋体"/>
                <w:color w:val="auto"/>
                <w:kern w:val="0"/>
                <w:sz w:val="21"/>
                <w:szCs w:val="21"/>
                <w:highlight w:val="none"/>
                <w:lang w:eastAsia="zh-CN"/>
              </w:rPr>
              <w:t>网络</w:t>
            </w:r>
            <w:r>
              <w:rPr>
                <w:rFonts w:hint="eastAsia" w:ascii="宋体" w:hAnsi="宋体" w:cs="宋体"/>
                <w:color w:val="auto"/>
                <w:kern w:val="0"/>
                <w:sz w:val="21"/>
                <w:szCs w:val="21"/>
                <w:highlight w:val="none"/>
              </w:rPr>
              <w:t>、资金、房产、其他物品、地址、组织、案事件等命名实体的属性、标签的智能识别、抽取、存储。</w:t>
            </w:r>
          </w:p>
          <w:p w14:paraId="43BAE681">
            <w:pPr>
              <w:widowControl/>
              <w:spacing w:line="360" w:lineRule="auto"/>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5.1.5笔录关系图谱，内置实战、合理的命名实体关系定义，实现人员与人员、人员与车辆、人员与银行、人员与房产、人员与物、人员与网、人员与电、人员与地、人员与组织、人员与案事件、车与车、车与地、车与组织、车与案事件、银与银、银与网、银与电、银与地、银与组织、银与案事件、房产与电、房产与地、房产与组织、房产与案事件、物与网、物与组织、物与案事件、网与网、网与电、网与地、网与组织、网与案事件、电与电、电与地、电与组织、电与案事件、地与组织、地与案事件、组织与组织、组织与案事件、案事件与案事件等关系的智能解析、推理，智能生成笔录实体的关系图谱，以图数据库方式存储管理命名实体间关系，支持图谱画布功能。</w:t>
            </w:r>
          </w:p>
          <w:p w14:paraId="44ADD2FE">
            <w:pPr>
              <w:widowControl/>
              <w:spacing w:line="360" w:lineRule="auto"/>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5.1.6笔录分析，支持对笔录按主要要素进行检索。支持对已归档笔录文档进行可视化的笔录文档缩略图预览查看。支持笔录的即时解析，展示笔录中人员关系图谱。支持对指定笔录的关系图谱展示、查询、自动排版等操作，支持对笔录实体、关系的编辑、保存、删除等操作。支持笔录与案情信息关联查询，支持同案人员笔录、本人历史笔录的关联查询、展示。支持对指定笔录生成时间脉络描述。支持对笔录的质量核查和质量问题提醒。</w:t>
            </w:r>
          </w:p>
          <w:p w14:paraId="678CD1D0">
            <w:pPr>
              <w:widowControl/>
              <w:spacing w:line="360" w:lineRule="auto"/>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5.1.7智能助手，支持通过自然语言方式，对单一归档笔录、单一案件多份笔录、相似案件笔录进行提问，并根据笔录内容回答。</w:t>
            </w:r>
          </w:p>
          <w:p w14:paraId="3E92D20B">
            <w:pPr>
              <w:widowControl/>
              <w:spacing w:line="360" w:lineRule="auto"/>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5.1.8笔录要素核查，支持通过对接公安大数据平台，实现人员基本信息、真实身份、前科、在逃状态、吸毒情况等背景核查。支持对接公安大数据平台，对笔录中情报线索进行核查。</w:t>
            </w:r>
          </w:p>
          <w:p w14:paraId="53589DBF">
            <w:pPr>
              <w:widowControl/>
              <w:spacing w:line="360" w:lineRule="auto"/>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5.1.9系统管理，支持通过分值、文本和附件形式，对笔录解析、笔录问答、笔录问询策略推送、笔录质量核查等能力的模型效果反馈（文件上传、反馈意见填写），回收并管理模型使用体验问题。</w:t>
            </w:r>
          </w:p>
        </w:tc>
      </w:tr>
      <w:tr w14:paraId="519C2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46" w:type="dxa"/>
            <w:vMerge w:val="continue"/>
            <w:vAlign w:val="center"/>
          </w:tcPr>
          <w:p w14:paraId="25218105">
            <w:pPr>
              <w:widowControl/>
              <w:spacing w:line="360" w:lineRule="auto"/>
              <w:jc w:val="left"/>
              <w:rPr>
                <w:rFonts w:ascii="宋体" w:hAnsi="宋体" w:cs="宋体"/>
                <w:color w:val="auto"/>
                <w:kern w:val="0"/>
                <w:sz w:val="21"/>
                <w:szCs w:val="21"/>
                <w:highlight w:val="none"/>
              </w:rPr>
            </w:pPr>
          </w:p>
        </w:tc>
        <w:tc>
          <w:tcPr>
            <w:tcW w:w="1612" w:type="dxa"/>
            <w:gridSpan w:val="2"/>
            <w:vMerge w:val="continue"/>
            <w:vAlign w:val="center"/>
          </w:tcPr>
          <w:p w14:paraId="5D24DF98">
            <w:pPr>
              <w:widowControl/>
              <w:spacing w:line="360" w:lineRule="auto"/>
              <w:jc w:val="left"/>
              <w:rPr>
                <w:rFonts w:ascii="宋体" w:hAnsi="宋体" w:cs="宋体"/>
                <w:color w:val="auto"/>
                <w:kern w:val="0"/>
                <w:sz w:val="21"/>
                <w:szCs w:val="21"/>
                <w:highlight w:val="none"/>
              </w:rPr>
            </w:pPr>
          </w:p>
        </w:tc>
        <w:tc>
          <w:tcPr>
            <w:tcW w:w="1179" w:type="dxa"/>
            <w:vMerge w:val="continue"/>
            <w:tcBorders>
              <w:right w:val="single" w:color="auto" w:sz="4" w:space="0"/>
            </w:tcBorders>
            <w:vAlign w:val="center"/>
          </w:tcPr>
          <w:p w14:paraId="584AAA7C">
            <w:pPr>
              <w:widowControl/>
              <w:spacing w:line="360" w:lineRule="auto"/>
              <w:jc w:val="left"/>
              <w:rPr>
                <w:rFonts w:ascii="宋体" w:hAnsi="宋体" w:cs="宋体"/>
                <w:color w:val="auto"/>
                <w:kern w:val="0"/>
                <w:sz w:val="21"/>
                <w:szCs w:val="21"/>
                <w:highlight w:val="none"/>
              </w:rPr>
            </w:pPr>
          </w:p>
        </w:tc>
        <w:tc>
          <w:tcPr>
            <w:tcW w:w="6668" w:type="dxa"/>
            <w:tcBorders>
              <w:top w:val="nil"/>
              <w:left w:val="single" w:color="auto" w:sz="4" w:space="0"/>
              <w:bottom w:val="nil"/>
              <w:right w:val="single" w:color="auto" w:sz="4" w:space="0"/>
            </w:tcBorders>
            <w:shd w:val="clear" w:color="auto" w:fill="auto"/>
            <w:vAlign w:val="center"/>
          </w:tcPr>
          <w:p w14:paraId="4B6DC559">
            <w:pPr>
              <w:widowControl/>
              <w:spacing w:line="360" w:lineRule="auto"/>
              <w:jc w:val="left"/>
              <w:rPr>
                <w:rFonts w:hint="eastAsia" w:ascii="宋体" w:hAnsi="宋体" w:cs="宋体"/>
                <w:color w:val="auto"/>
                <w:kern w:val="0"/>
                <w:sz w:val="21"/>
                <w:szCs w:val="21"/>
                <w:highlight w:val="none"/>
              </w:rPr>
            </w:pPr>
            <w:r>
              <w:rPr>
                <w:rFonts w:hint="eastAsia" w:ascii="宋体" w:hAnsi="宋体" w:cs="宋体"/>
                <w:b/>
                <w:bCs/>
                <w:color w:val="auto"/>
                <w:kern w:val="0"/>
                <w:sz w:val="21"/>
                <w:szCs w:val="21"/>
                <w:highlight w:val="none"/>
              </w:rPr>
              <w:t>5.2涉诈人员手机设备情报数据汇聚</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5.2.1 数据治理工作内容</w:t>
            </w:r>
          </w:p>
          <w:p w14:paraId="232D2ED1">
            <w:pPr>
              <w:widowControl/>
              <w:spacing w:line="360" w:lineRule="auto"/>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根据需求开展数据资产管理、数据质量管理、数据分析挖掘等治理服务工作。</w:t>
            </w:r>
          </w:p>
          <w:p w14:paraId="2A663046">
            <w:pPr>
              <w:widowControl/>
              <w:spacing w:line="360" w:lineRule="auto"/>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5.2.2涉诈人员广西移动互联网大数据接入</w:t>
            </w:r>
          </w:p>
          <w:p w14:paraId="398E7735">
            <w:pPr>
              <w:widowControl/>
              <w:spacing w:line="360" w:lineRule="auto"/>
              <w:jc w:val="left"/>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rPr>
              <w:t>接入涉诈人员广西移动互联网大数据，数据包含涉广西籍的设备移动互联网数据，包含手机</w:t>
            </w:r>
            <w:r>
              <w:rPr>
                <w:rFonts w:hint="eastAsia" w:ascii="宋体" w:hAnsi="宋体" w:cs="宋体"/>
                <w:color w:val="auto"/>
                <w:kern w:val="0"/>
                <w:sz w:val="21"/>
                <w:szCs w:val="21"/>
                <w:highlight w:val="none"/>
                <w:lang w:val="en-US" w:eastAsia="zh-CN"/>
              </w:rPr>
              <w:t>四码</w:t>
            </w:r>
            <w:r>
              <w:rPr>
                <w:rFonts w:hint="eastAsia" w:ascii="宋体" w:hAnsi="宋体" w:cs="宋体"/>
                <w:color w:val="auto"/>
                <w:kern w:val="0"/>
                <w:sz w:val="21"/>
                <w:szCs w:val="21"/>
                <w:highlight w:val="none"/>
              </w:rPr>
              <w:t>数据、APP 列表数据、位置轨迹数据以及互联网设备标签。数据接入支持全球手机设备数据计算，包含本地业务3年数据服务，支撑整体数字化反电诈项目数据计算应用</w:t>
            </w:r>
            <w:r>
              <w:rPr>
                <w:rFonts w:hint="eastAsia" w:ascii="宋体" w:hAnsi="宋体" w:cs="宋体"/>
                <w:color w:val="auto"/>
                <w:kern w:val="0"/>
                <w:sz w:val="21"/>
                <w:szCs w:val="21"/>
                <w:highlight w:val="none"/>
                <w:lang w:eastAsia="zh-CN"/>
              </w:rPr>
              <w:t>。</w:t>
            </w:r>
          </w:p>
          <w:p w14:paraId="240C9D87">
            <w:pPr>
              <w:widowControl/>
              <w:spacing w:line="360" w:lineRule="auto"/>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（1）手机四码数据接入，不低于14类数据，包括PN、IMEI、IMSI和MAC码，不少于4700万条；</w:t>
            </w:r>
          </w:p>
          <w:p w14:paraId="258F8B59">
            <w:pPr>
              <w:widowControl/>
              <w:spacing w:line="360" w:lineRule="auto"/>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（2）手机APP数据接入，不低于11类数据，包括名称、包名、安装及卸载时间、历史安装等信息，不少于3.3亿条；</w:t>
            </w:r>
          </w:p>
          <w:p w14:paraId="5CC9420C">
            <w:pPr>
              <w:widowControl/>
              <w:spacing w:line="360" w:lineRule="auto"/>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（3）位置轨迹数据接入，包括GPS 点、WiFi连接点位、WiFi扫描点位、基站连接点位等信息，不少于1.9亿条；</w:t>
            </w:r>
          </w:p>
          <w:p w14:paraId="6118F319">
            <w:pPr>
              <w:widowControl/>
              <w:spacing w:line="360" w:lineRule="auto"/>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（4）互联网设备标签数据接入，围绕人物属性、行为属性、位置属性、APP安装等维度，接入不少于234类互联网标签。</w:t>
            </w:r>
          </w:p>
          <w:p w14:paraId="54928280">
            <w:pPr>
              <w:widowControl/>
              <w:spacing w:line="360" w:lineRule="auto"/>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5.2.3涉诈人员广西移动互联网数据融合</w:t>
            </w:r>
          </w:p>
          <w:p w14:paraId="60DCA115">
            <w:pPr>
              <w:widowControl/>
              <w:spacing w:line="360" w:lineRule="auto"/>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（1）数据融合：将身份证与手机号，设备ID与手机号、IMEI、IMSI、MAC、APP、IP、OAID、轨迹、身份证号等关联，并获取人员唯一ID。</w:t>
            </w:r>
          </w:p>
          <w:p w14:paraId="2B4B7669">
            <w:pPr>
              <w:widowControl/>
              <w:spacing w:line="360" w:lineRule="auto"/>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（2）数据抽取：需实现身份证号与手机号的关联，手机号与IMEI、IMSI、MAC、OAID的关联，IMSI与MAC、IMEI的关联，IMEI与APP列表、轨迹的关联。</w:t>
            </w:r>
          </w:p>
          <w:p w14:paraId="46EBC4BF">
            <w:pPr>
              <w:widowControl/>
              <w:spacing w:line="360" w:lineRule="auto"/>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（3）位置聚合分析：支持通过分析计算手机号、MAC、IMEI、IMSI、WIFI、身份证号等在某段时间内的位置并进行聚合。分析人员行为主题不低于100种特征信息并计算人员标签。</w:t>
            </w:r>
          </w:p>
          <w:p w14:paraId="79354531">
            <w:pPr>
              <w:widowControl/>
              <w:spacing w:line="360" w:lineRule="auto"/>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5.2.4涉诈人员广西移动互联网数据处理</w:t>
            </w:r>
          </w:p>
          <w:p w14:paraId="617C9B3E">
            <w:pPr>
              <w:widowControl/>
              <w:spacing w:line="360" w:lineRule="auto"/>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支持主要包括对设备相关数据进行格式标准化处理，进行公安数据清洗（探针、常口、人像数据清洗并与移动互联网数据关联），运用位置校准算法对探针采集的终端设备进行位置校准，以及支持辖区外点位的补充与聚合。</w:t>
            </w:r>
          </w:p>
        </w:tc>
      </w:tr>
      <w:tr w14:paraId="4D104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46" w:type="dxa"/>
            <w:vMerge w:val="continue"/>
            <w:vAlign w:val="center"/>
          </w:tcPr>
          <w:p w14:paraId="67EA66FE">
            <w:pPr>
              <w:widowControl/>
              <w:spacing w:line="360" w:lineRule="auto"/>
              <w:jc w:val="left"/>
              <w:rPr>
                <w:rFonts w:ascii="宋体" w:hAnsi="宋体" w:cs="宋体"/>
                <w:color w:val="auto"/>
                <w:kern w:val="0"/>
                <w:sz w:val="21"/>
                <w:szCs w:val="21"/>
                <w:highlight w:val="none"/>
              </w:rPr>
            </w:pPr>
          </w:p>
        </w:tc>
        <w:tc>
          <w:tcPr>
            <w:tcW w:w="1612" w:type="dxa"/>
            <w:gridSpan w:val="2"/>
            <w:vMerge w:val="continue"/>
            <w:vAlign w:val="center"/>
          </w:tcPr>
          <w:p w14:paraId="31A83C4F">
            <w:pPr>
              <w:widowControl/>
              <w:spacing w:line="360" w:lineRule="auto"/>
              <w:jc w:val="left"/>
              <w:rPr>
                <w:rFonts w:ascii="宋体" w:hAnsi="宋体" w:cs="宋体"/>
                <w:color w:val="auto"/>
                <w:kern w:val="0"/>
                <w:sz w:val="21"/>
                <w:szCs w:val="21"/>
                <w:highlight w:val="none"/>
              </w:rPr>
            </w:pPr>
          </w:p>
        </w:tc>
        <w:tc>
          <w:tcPr>
            <w:tcW w:w="1179" w:type="dxa"/>
            <w:vMerge w:val="continue"/>
            <w:tcBorders>
              <w:right w:val="single" w:color="auto" w:sz="4" w:space="0"/>
            </w:tcBorders>
            <w:vAlign w:val="center"/>
          </w:tcPr>
          <w:p w14:paraId="0E8A0EDD">
            <w:pPr>
              <w:widowControl/>
              <w:spacing w:line="360" w:lineRule="auto"/>
              <w:jc w:val="left"/>
              <w:rPr>
                <w:rFonts w:ascii="宋体" w:hAnsi="宋体" w:cs="宋体"/>
                <w:color w:val="auto"/>
                <w:kern w:val="0"/>
                <w:sz w:val="21"/>
                <w:szCs w:val="21"/>
                <w:highlight w:val="none"/>
              </w:rPr>
            </w:pPr>
          </w:p>
        </w:tc>
        <w:tc>
          <w:tcPr>
            <w:tcW w:w="6668" w:type="dxa"/>
            <w:tcBorders>
              <w:top w:val="nil"/>
              <w:left w:val="single" w:color="auto" w:sz="4" w:space="0"/>
              <w:bottom w:val="nil"/>
              <w:right w:val="single" w:color="auto" w:sz="4" w:space="0"/>
            </w:tcBorders>
            <w:shd w:val="clear" w:color="auto" w:fill="auto"/>
            <w:vAlign w:val="center"/>
          </w:tcPr>
          <w:p w14:paraId="22FA0B07">
            <w:pPr>
              <w:widowControl/>
              <w:spacing w:line="360" w:lineRule="auto"/>
              <w:jc w:val="left"/>
              <w:rPr>
                <w:rFonts w:hint="eastAsia" w:ascii="宋体" w:hAnsi="宋体" w:cs="宋体"/>
                <w:color w:val="auto"/>
                <w:kern w:val="0"/>
                <w:sz w:val="21"/>
                <w:szCs w:val="21"/>
                <w:highlight w:val="none"/>
              </w:rPr>
            </w:pPr>
            <w:r>
              <w:rPr>
                <w:rFonts w:hint="eastAsia" w:ascii="宋体" w:hAnsi="宋体" w:cs="宋体"/>
                <w:b/>
                <w:bCs/>
                <w:color w:val="auto"/>
                <w:kern w:val="0"/>
                <w:sz w:val="21"/>
                <w:szCs w:val="21"/>
                <w:highlight w:val="none"/>
              </w:rPr>
              <w:t>5.3驾驶舱</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5.3.1态势清</w:t>
            </w:r>
          </w:p>
          <w:p w14:paraId="7389E84A">
            <w:pPr>
              <w:widowControl/>
              <w:spacing w:line="360" w:lineRule="auto"/>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（一）警情分析，包含警情数统计、警情同比、今日警情。</w:t>
            </w:r>
          </w:p>
          <w:p w14:paraId="3B28C1AF">
            <w:pPr>
              <w:widowControl/>
              <w:spacing w:line="360" w:lineRule="auto"/>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（二）案件统计，包含电诈案件统计、电诈案件同比分析、今日电诈案件提醒。</w:t>
            </w:r>
          </w:p>
          <w:p w14:paraId="7599C6AB">
            <w:pPr>
              <w:widowControl/>
              <w:spacing w:line="360" w:lineRule="auto"/>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（三）涉案金额，包含涉案电诈案件金额统计、涉电诈案件同比分析、今日涉电诈案件金额统计、涉电诈案件金额提示。</w:t>
            </w:r>
          </w:p>
          <w:p w14:paraId="3F1FAC8A">
            <w:pPr>
              <w:widowControl/>
              <w:spacing w:line="360" w:lineRule="auto"/>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（四）破案数，包含破案数统计、破案数同比、今日破案数统计。</w:t>
            </w:r>
          </w:p>
          <w:p w14:paraId="2376BDAA">
            <w:pPr>
              <w:widowControl/>
              <w:spacing w:line="360" w:lineRule="auto"/>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（五）打击人数，包含打击人数统计、打击人数同比、今日打击人数。</w:t>
            </w:r>
          </w:p>
          <w:p w14:paraId="4EE363E0">
            <w:pPr>
              <w:widowControl/>
              <w:spacing w:line="360" w:lineRule="auto"/>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（六）综合反诈指数，包含反诈指数模型计算、指数地图分布、指数排名、反诈指数趋势、指数雷达图、指数权重配置管理。</w:t>
            </w:r>
          </w:p>
          <w:p w14:paraId="0D4007AC">
            <w:pPr>
              <w:widowControl/>
              <w:spacing w:line="360" w:lineRule="auto"/>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（七）涉案态势，包含警情态势统计分析、电诈案件勘查态势分析、万人预警数态势分析。</w:t>
            </w:r>
          </w:p>
          <w:p w14:paraId="2616985E">
            <w:pPr>
              <w:widowControl/>
              <w:spacing w:line="360" w:lineRule="auto"/>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5.3.2源头治</w:t>
            </w:r>
          </w:p>
          <w:p w14:paraId="3E31F297">
            <w:pPr>
              <w:widowControl/>
              <w:spacing w:line="360" w:lineRule="auto"/>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（一）通讯流治理，包含异常开电话卡发现、移动电话卡实名核查、涉诈发现号码封停。</w:t>
            </w:r>
          </w:p>
          <w:p w14:paraId="3A5F8F26">
            <w:pPr>
              <w:widowControl/>
              <w:spacing w:line="360" w:lineRule="auto"/>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（二）网络流治理，包含涉诈网址发现封堵、涉诈APP发现封堵、涉诈互联网账号发现封堵。</w:t>
            </w:r>
          </w:p>
          <w:p w14:paraId="46C1B330">
            <w:pPr>
              <w:widowControl/>
              <w:spacing w:line="360" w:lineRule="auto"/>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（三）资金流治理，包含银行卡实名管控、客户尽职调查、异常开户监测、交易信息准确、完整性。</w:t>
            </w:r>
          </w:p>
          <w:p w14:paraId="52D5BD40">
            <w:pPr>
              <w:widowControl/>
              <w:spacing w:line="360" w:lineRule="auto"/>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（四）人员流治理，包含重点人员管控、电诈受害人分析、日常宣防。</w:t>
            </w:r>
          </w:p>
          <w:p w14:paraId="47547583">
            <w:pPr>
              <w:widowControl/>
              <w:spacing w:line="360" w:lineRule="auto"/>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（五）治理情况，包含治理分析。</w:t>
            </w:r>
          </w:p>
          <w:p w14:paraId="77B38FF1">
            <w:pPr>
              <w:widowControl/>
              <w:spacing w:line="360" w:lineRule="auto"/>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（六）治理分布，包含治理分布分析。</w:t>
            </w:r>
          </w:p>
          <w:p w14:paraId="66FB99C7">
            <w:pPr>
              <w:widowControl/>
              <w:spacing w:line="360" w:lineRule="auto"/>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（七）治理趋势，包含治理趋势分析。</w:t>
            </w:r>
          </w:p>
          <w:p w14:paraId="1D4C2D6A">
            <w:pPr>
              <w:widowControl/>
              <w:spacing w:line="360" w:lineRule="auto"/>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5.3.3隐患除</w:t>
            </w:r>
          </w:p>
          <w:p w14:paraId="3219C8B8">
            <w:pPr>
              <w:widowControl/>
              <w:spacing w:line="360" w:lineRule="auto"/>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一）通讯流隐患除，包含涉诈电话预警劝阻-预警数、涉诈电话预警劝阻-预警数环比、涉诈电话预警劝阻-人工反馈数、涉诈电话预警劝阻-AI回访数、涉诈电话预警劝阻-人工反馈率、涉诈电话预警劝阻-见面劝阻数、涉诈电话预警劝阻-见面劝阻数环比、涉诈电话预警劝阻-预警后被骗人数、涉诈电话预警劝阻-预警后被骗人数环比、涉诈电话预警劝阻-处置态势时间分布、涉诈电话预警劝阻-处置率态势区域分布、涉诈通讯号码封停-发现号码数、涉诈通讯号码封停-发现号码数环比、涉诈通讯号码封停-封堵态势分布、涉诈通讯号码封停-区域封堵态势分布。</w:t>
            </w:r>
          </w:p>
          <w:p w14:paraId="2E6289C6">
            <w:pPr>
              <w:widowControl/>
              <w:spacing w:line="360" w:lineRule="auto"/>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二）网络流隐患除，包含涉诈APP/网站预警劝阻-预警数、涉诈APP/网站预警劝阻-预警数环比、涉诈APP/网站预警劝阻-人工反馈数、涉诈APP/网站预警劝阻-AI回访数、涉诈APP/网站预警劝阻-人工反馈率、涉诈APP/网站预警劝阻-见面劝阻数、涉诈APP/网站预警劝阻-见面劝阻数环比、涉诈APP/网站预警劝阻-预警后被骗人数、涉诈APP/网站预警劝阻-预警后被骗人数环比、涉诈APP/网站预警劝阻-处置态势时间分布、涉诈APP/网站预警劝阻-处置率态势区域分布、涉诈互联网账号封停-涉诈互联网账号数、涉诈互联网账号封停-涉诈互联网账号数环比、涉诈互联网账号封停-处置态势时间分布、涉诈互联网账号封停-处置率态势区域分布、涉诈网址封堵拦截-涉诈网址数、涉诈网址封堵拦截-处置态势时间分布、涉诈网址封堵拦截-处置率态势区域分布。</w:t>
            </w:r>
          </w:p>
          <w:p w14:paraId="3EB5A28B">
            <w:pPr>
              <w:widowControl/>
              <w:spacing w:line="360" w:lineRule="auto"/>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三）资金流隐患除，包含涉资金转账诈骗预警劝阻-预警数、涉资金转账诈骗预警劝阻-预警涉及人数、涉资金转账诈骗预警劝阻-预警人数环比、涉资金转账诈骗预警劝阻-预警后被骗人数、涉资金转账诈骗预警劝阻-预后被骗核减人数、涉资金转账诈骗预警劝阻-预后被骗率、涉资金转账诈骗预警劝阻-受害人账户所属银行分布、涉资金转账诈骗预警劝阻-处置态势时间分布、涉资金转账诈骗预警劝阻-被骗率态势区域分布、资金保护阻贷-劝阻金额、资金保护阻贷-劝导量、资金保护阻贷-劝阻量、资金保护阻贷-劝阻金额时间分布、资金保护阻贷-劝阻态势时间分布。</w:t>
            </w:r>
          </w:p>
          <w:p w14:paraId="6AD239DB">
            <w:pPr>
              <w:widowControl/>
              <w:spacing w:line="360" w:lineRule="auto"/>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四）人员流隐患除，包含重点人员风险隐患-风险预警数、重点人员风险隐患-风险预警环比、重点人员风险隐患-预警人员数、重点人员风险隐患-预警人员数环比、重点人员风险隐患-预警态势时间分布、重点人员风险隐患-预警态势区域分布、合规救济-合规救济申请数、合规救济-合规救济申请数环比、合规救济-待复审、合规救济-待复审环比、合规救济-完成审核数、合规救济-审核通过率、合规救济-申请态势时间分布、合规救济-申请态势区域分布。</w:t>
            </w:r>
          </w:p>
          <w:p w14:paraId="47B38457">
            <w:pPr>
              <w:widowControl/>
              <w:spacing w:line="360" w:lineRule="auto"/>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（五）隐患除情况，包含隐患总数、隐患处置率、隐患事项、今日隐患。</w:t>
            </w:r>
          </w:p>
          <w:p w14:paraId="6E86A3CE">
            <w:pPr>
              <w:widowControl/>
              <w:spacing w:line="360" w:lineRule="auto"/>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（六）隐患分布，包含四流隐患处置分布。</w:t>
            </w:r>
          </w:p>
          <w:p w14:paraId="6529EE99">
            <w:pPr>
              <w:widowControl/>
              <w:spacing w:line="360" w:lineRule="auto"/>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（七）风险隐患，包含风险隐患列表。</w:t>
            </w:r>
          </w:p>
          <w:p w14:paraId="7173E69C">
            <w:pPr>
              <w:widowControl/>
              <w:spacing w:line="360" w:lineRule="auto"/>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5.3.4全链打</w:t>
            </w:r>
          </w:p>
          <w:p w14:paraId="0496ECC2">
            <w:pPr>
              <w:widowControl/>
              <w:spacing w:line="360" w:lineRule="auto"/>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（一）线索研判打击，包含线索总数、研判情况、打击情况。</w:t>
            </w:r>
          </w:p>
          <w:p w14:paraId="2B85BE6C">
            <w:pPr>
              <w:widowControl/>
              <w:spacing w:line="360" w:lineRule="auto"/>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（二）态势分析，包含线索态势、研判态势、打击态势。</w:t>
            </w:r>
          </w:p>
          <w:p w14:paraId="6BBBEFFC">
            <w:pPr>
              <w:widowControl/>
              <w:spacing w:line="360" w:lineRule="auto"/>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（三）业务分析，包含接警/止付案件统计、案件/勘查统计、案件/线索统计。</w:t>
            </w:r>
          </w:p>
          <w:p w14:paraId="4FC6EF85">
            <w:pPr>
              <w:widowControl/>
              <w:spacing w:line="360" w:lineRule="auto"/>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（四）接警分析，包含综合接警、止付冻结、接警止付态势、各区域止付排名。</w:t>
            </w:r>
          </w:p>
          <w:p w14:paraId="6555EDFB">
            <w:pPr>
              <w:widowControl/>
              <w:spacing w:line="360" w:lineRule="auto"/>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（五）勘查分析，包含四流勘查要素研判。</w:t>
            </w:r>
          </w:p>
          <w:p w14:paraId="031AD854">
            <w:pPr>
              <w:widowControl/>
              <w:spacing w:line="360" w:lineRule="auto"/>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（六）研判分析，包含案件研判总体情况、涉诈APP/网站研判、资金追赃挽损、各区域资金追踪情况。</w:t>
            </w:r>
          </w:p>
          <w:p w14:paraId="1C825FBB">
            <w:pPr>
              <w:widowControl/>
              <w:spacing w:line="360" w:lineRule="auto"/>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（七）重点人员打击，包含涉诈重点人员侦办情况、涉诈重点人员侦办统计分析。</w:t>
            </w:r>
          </w:p>
          <w:p w14:paraId="53D12D0B">
            <w:pPr>
              <w:widowControl/>
              <w:spacing w:line="360" w:lineRule="auto"/>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（八）起诉审判，包含捕诉、审批。</w:t>
            </w:r>
          </w:p>
          <w:p w14:paraId="208A574A">
            <w:pPr>
              <w:widowControl/>
              <w:spacing w:line="360" w:lineRule="auto"/>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5.3.5履职督</w:t>
            </w:r>
          </w:p>
          <w:p w14:paraId="2F8B4465">
            <w:pPr>
              <w:widowControl/>
              <w:spacing w:line="360" w:lineRule="auto"/>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（一）履职督统计，包含履职数统计分析。</w:t>
            </w:r>
          </w:p>
          <w:p w14:paraId="749179E0">
            <w:pPr>
              <w:widowControl/>
              <w:spacing w:line="360" w:lineRule="auto"/>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（二）履职分布，包含通讯流履职督分析、网络流履职督分析、人员流履职督分析、资金流履职督分析。</w:t>
            </w:r>
          </w:p>
          <w:p w14:paraId="46AF9EBF">
            <w:pPr>
              <w:widowControl/>
              <w:spacing w:line="360" w:lineRule="auto"/>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（三）单位排行，包含通讯流单位履职数分析、网络流单位履职数分析、人员流单位履职数分析、资金流单位履职数分析。</w:t>
            </w:r>
          </w:p>
          <w:p w14:paraId="79713F8E">
            <w:pPr>
              <w:widowControl/>
              <w:spacing w:line="360" w:lineRule="auto"/>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5.3.6反诈日研判专题驾驶舱</w:t>
            </w:r>
          </w:p>
          <w:p w14:paraId="188D17EF">
            <w:pPr>
              <w:widowControl/>
              <w:spacing w:line="360" w:lineRule="auto"/>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（1）警案人专题态势需包含：涉电诈警情分析、涉电诈警情受立案分析、涉电诈案件分析、涉案金额数量分析、涉案金额分布分析、列表详情、涉电诈人员分析、地图风险预警。</w:t>
            </w:r>
          </w:p>
          <w:p w14:paraId="31FEEB55">
            <w:pPr>
              <w:widowControl/>
              <w:spacing w:line="360" w:lineRule="auto"/>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（2）警案流专题分析需包含：电诈警案流分析。</w:t>
            </w:r>
          </w:p>
          <w:p w14:paraId="572A9452">
            <w:pPr>
              <w:widowControl/>
              <w:spacing w:line="360" w:lineRule="auto"/>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（3）警案趋势分析需包含：警案趋势图。</w:t>
            </w:r>
          </w:p>
          <w:p w14:paraId="788B9AF4">
            <w:pPr>
              <w:widowControl/>
              <w:spacing w:line="360" w:lineRule="auto"/>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（4）基于反诈数据的可视化表单引擎需包含：涉诈数据表单管理、涉诈页面表单管理、涉诈数据表单配置、可视化模板管理、业务字典（警情、案情、资金等）管理、涉诈类字段检索。</w:t>
            </w:r>
          </w:p>
          <w:p w14:paraId="011C7A0C">
            <w:pPr>
              <w:widowControl/>
              <w:spacing w:line="360" w:lineRule="auto"/>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（5）基于警案业务的地图服务需包含：地图底图接入、基础操作、图层叠加、四色图服务。</w:t>
            </w:r>
          </w:p>
          <w:p w14:paraId="53D9E1AF">
            <w:pPr>
              <w:widowControl/>
              <w:spacing w:line="360" w:lineRule="auto"/>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（6）反电诈数源管理需包含：接入源管理、输入源管理。</w:t>
            </w:r>
          </w:p>
          <w:p w14:paraId="5CA6CFD6">
            <w:pPr>
              <w:widowControl/>
              <w:spacing w:line="360" w:lineRule="auto"/>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（7）反电诈任务管理需包含：任务中心、任务模板创建与编辑、使用模板创建任务。</w:t>
            </w:r>
          </w:p>
        </w:tc>
      </w:tr>
      <w:tr w14:paraId="7B463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46" w:type="dxa"/>
            <w:vMerge w:val="continue"/>
            <w:vAlign w:val="center"/>
          </w:tcPr>
          <w:p w14:paraId="6274243E">
            <w:pPr>
              <w:widowControl/>
              <w:spacing w:line="360" w:lineRule="auto"/>
              <w:jc w:val="left"/>
              <w:rPr>
                <w:rFonts w:ascii="宋体" w:hAnsi="宋体" w:cs="宋体"/>
                <w:color w:val="auto"/>
                <w:kern w:val="0"/>
                <w:sz w:val="21"/>
                <w:szCs w:val="21"/>
                <w:highlight w:val="none"/>
              </w:rPr>
            </w:pPr>
          </w:p>
        </w:tc>
        <w:tc>
          <w:tcPr>
            <w:tcW w:w="1612" w:type="dxa"/>
            <w:gridSpan w:val="2"/>
            <w:vMerge w:val="continue"/>
            <w:vAlign w:val="center"/>
          </w:tcPr>
          <w:p w14:paraId="797EAC7E">
            <w:pPr>
              <w:widowControl/>
              <w:spacing w:line="360" w:lineRule="auto"/>
              <w:jc w:val="left"/>
              <w:rPr>
                <w:rFonts w:ascii="宋体" w:hAnsi="宋体" w:cs="宋体"/>
                <w:color w:val="auto"/>
                <w:kern w:val="0"/>
                <w:sz w:val="21"/>
                <w:szCs w:val="21"/>
                <w:highlight w:val="none"/>
              </w:rPr>
            </w:pPr>
          </w:p>
        </w:tc>
        <w:tc>
          <w:tcPr>
            <w:tcW w:w="1179" w:type="dxa"/>
            <w:vMerge w:val="continue"/>
            <w:tcBorders>
              <w:right w:val="single" w:color="auto" w:sz="4" w:space="0"/>
            </w:tcBorders>
            <w:vAlign w:val="center"/>
          </w:tcPr>
          <w:p w14:paraId="4E368E97">
            <w:pPr>
              <w:widowControl/>
              <w:spacing w:line="360" w:lineRule="auto"/>
              <w:jc w:val="left"/>
              <w:rPr>
                <w:rFonts w:ascii="宋体" w:hAnsi="宋体" w:cs="宋体"/>
                <w:color w:val="auto"/>
                <w:kern w:val="0"/>
                <w:sz w:val="21"/>
                <w:szCs w:val="21"/>
                <w:highlight w:val="none"/>
              </w:rPr>
            </w:pPr>
          </w:p>
        </w:tc>
        <w:tc>
          <w:tcPr>
            <w:tcW w:w="6668" w:type="dxa"/>
            <w:tcBorders>
              <w:top w:val="nil"/>
              <w:left w:val="single" w:color="auto" w:sz="4" w:space="0"/>
              <w:bottom w:val="nil"/>
              <w:right w:val="single" w:color="auto" w:sz="4" w:space="0"/>
            </w:tcBorders>
            <w:shd w:val="clear" w:color="auto" w:fill="auto"/>
            <w:vAlign w:val="center"/>
          </w:tcPr>
          <w:p w14:paraId="1549DE4C">
            <w:pPr>
              <w:widowControl/>
              <w:spacing w:line="360" w:lineRule="auto"/>
              <w:jc w:val="left"/>
              <w:rPr>
                <w:rFonts w:hint="eastAsia" w:ascii="宋体" w:hAnsi="宋体" w:cs="宋体"/>
                <w:color w:val="auto"/>
                <w:kern w:val="0"/>
                <w:sz w:val="21"/>
                <w:szCs w:val="21"/>
                <w:highlight w:val="none"/>
              </w:rPr>
            </w:pPr>
            <w:r>
              <w:rPr>
                <w:rFonts w:hint="eastAsia" w:ascii="宋体" w:hAnsi="宋体" w:cs="宋体"/>
                <w:b/>
                <w:bCs/>
                <w:color w:val="auto"/>
                <w:kern w:val="0"/>
                <w:sz w:val="21"/>
                <w:szCs w:val="21"/>
                <w:highlight w:val="none"/>
              </w:rPr>
              <w:t>5.4反诈数据专题库</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5.4.1数据汇聚</w:t>
            </w:r>
          </w:p>
          <w:p w14:paraId="109527C7">
            <w:pPr>
              <w:widowControl/>
              <w:spacing w:line="360" w:lineRule="auto"/>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根据广西公安数字化反电诈应用系统建设的实际需要，汇聚涉诈受害人勘查数据、嫌疑人多维电子数据、互联网服务数据、调证数据、部平台下发数据、技网推送线索、通管局、银行等联席办提供的涉诈数据。整个项目周期预计需要汇聚200张业务表，大概10亿条业务数据。</w:t>
            </w:r>
          </w:p>
          <w:p w14:paraId="2268CFAB">
            <w:pPr>
              <w:widowControl/>
              <w:spacing w:line="360" w:lineRule="auto"/>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5.4.2数据标准化</w:t>
            </w:r>
          </w:p>
          <w:p w14:paraId="0038B907">
            <w:pPr>
              <w:widowControl/>
              <w:spacing w:line="360" w:lineRule="auto"/>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数据标准化就是对完成汇聚的数据进行清洗和质量管理，目的是提高数据的准确性和完整性，包括数据质量管理、数据清洗、数据关联、数据台账、数据安全管理、数据监控等内容。整个项目周期预计需要完成200张业务表标准化治理，大概需要处理10亿条业务数据。</w:t>
            </w:r>
          </w:p>
          <w:p w14:paraId="2DA77B48">
            <w:pPr>
              <w:widowControl/>
              <w:spacing w:line="360" w:lineRule="auto"/>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5.4.3专题库建设</w:t>
            </w:r>
          </w:p>
          <w:p w14:paraId="4E2BC278">
            <w:pPr>
              <w:widowControl/>
              <w:spacing w:line="360" w:lineRule="auto"/>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结合反电诈资金流、反电诈网络流、反电诈通讯流、反电诈人员流等子系统业务需求，组织整合标准化数据，建设通讯流、网络流、资金流、人员流专题库，支撑实战应用。整个项目周期，针对已完成标准化的数据，需要至少构建20个专题库模型，关联融合3亿条数据。</w:t>
            </w:r>
          </w:p>
          <w:p w14:paraId="1D682844">
            <w:pPr>
              <w:widowControl/>
              <w:spacing w:line="360" w:lineRule="auto"/>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5.4.4共享交换</w:t>
            </w:r>
          </w:p>
          <w:p w14:paraId="7AE582A2">
            <w:pPr>
              <w:widowControl/>
              <w:spacing w:line="360" w:lineRule="auto"/>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按照公安大数据数据服务标准和规范，将已完成标准化处理的数据推送到公安厅大数据平台，通过公安厅政务数据交换平台，为全区其他单位系统提供数据共享服务。整个项目周期预计需要对外共享200张表。</w:t>
            </w:r>
          </w:p>
          <w:p w14:paraId="274353B8">
            <w:pPr>
              <w:widowControl/>
              <w:spacing w:line="360" w:lineRule="auto"/>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5.4.5数据运维报表及其他</w:t>
            </w:r>
          </w:p>
          <w:p w14:paraId="652F5489">
            <w:pPr>
              <w:widowControl/>
              <w:spacing w:line="360" w:lineRule="auto"/>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对反诈专题库数据进行清洗、根据业务需要生成涉诈警情报表、临时性组合报表、数据资源报表、数据质量报告、数据对账报表、数据利用率报表，数据清洗以及报表归档管理。</w:t>
            </w:r>
          </w:p>
        </w:tc>
      </w:tr>
      <w:tr w14:paraId="2419E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46" w:type="dxa"/>
            <w:vMerge w:val="continue"/>
            <w:vAlign w:val="center"/>
          </w:tcPr>
          <w:p w14:paraId="06BA5E7A">
            <w:pPr>
              <w:widowControl/>
              <w:spacing w:line="360" w:lineRule="auto"/>
              <w:jc w:val="left"/>
              <w:rPr>
                <w:rFonts w:ascii="宋体" w:hAnsi="宋体" w:cs="宋体"/>
                <w:color w:val="auto"/>
                <w:kern w:val="0"/>
                <w:sz w:val="21"/>
                <w:szCs w:val="21"/>
                <w:highlight w:val="none"/>
              </w:rPr>
            </w:pPr>
          </w:p>
        </w:tc>
        <w:tc>
          <w:tcPr>
            <w:tcW w:w="1612" w:type="dxa"/>
            <w:gridSpan w:val="2"/>
            <w:vMerge w:val="continue"/>
            <w:vAlign w:val="center"/>
          </w:tcPr>
          <w:p w14:paraId="51D19BEC">
            <w:pPr>
              <w:widowControl/>
              <w:spacing w:line="360" w:lineRule="auto"/>
              <w:jc w:val="left"/>
              <w:rPr>
                <w:rFonts w:ascii="宋体" w:hAnsi="宋体" w:cs="宋体"/>
                <w:color w:val="auto"/>
                <w:kern w:val="0"/>
                <w:sz w:val="21"/>
                <w:szCs w:val="21"/>
                <w:highlight w:val="none"/>
              </w:rPr>
            </w:pPr>
          </w:p>
        </w:tc>
        <w:tc>
          <w:tcPr>
            <w:tcW w:w="1179" w:type="dxa"/>
            <w:vMerge w:val="continue"/>
            <w:tcBorders>
              <w:right w:val="single" w:color="auto" w:sz="4" w:space="0"/>
            </w:tcBorders>
            <w:vAlign w:val="center"/>
          </w:tcPr>
          <w:p w14:paraId="13AEEB34">
            <w:pPr>
              <w:widowControl/>
              <w:spacing w:line="360" w:lineRule="auto"/>
              <w:jc w:val="left"/>
              <w:rPr>
                <w:rFonts w:ascii="宋体" w:hAnsi="宋体" w:cs="宋体"/>
                <w:color w:val="auto"/>
                <w:kern w:val="0"/>
                <w:sz w:val="21"/>
                <w:szCs w:val="21"/>
                <w:highlight w:val="none"/>
              </w:rPr>
            </w:pPr>
          </w:p>
        </w:tc>
        <w:tc>
          <w:tcPr>
            <w:tcW w:w="6668" w:type="dxa"/>
            <w:tcBorders>
              <w:top w:val="nil"/>
              <w:left w:val="single" w:color="auto" w:sz="4" w:space="0"/>
              <w:bottom w:val="nil"/>
              <w:right w:val="single" w:color="auto" w:sz="4" w:space="0"/>
            </w:tcBorders>
            <w:shd w:val="clear" w:color="auto" w:fill="auto"/>
            <w:vAlign w:val="center"/>
          </w:tcPr>
          <w:p w14:paraId="0D88B680">
            <w:pPr>
              <w:widowControl/>
              <w:spacing w:line="360" w:lineRule="auto"/>
              <w:jc w:val="left"/>
              <w:rPr>
                <w:rFonts w:hint="eastAsia" w:ascii="宋体" w:hAnsi="宋体" w:cs="宋体"/>
                <w:color w:val="auto"/>
                <w:kern w:val="0"/>
                <w:sz w:val="21"/>
                <w:szCs w:val="21"/>
                <w:highlight w:val="none"/>
              </w:rPr>
            </w:pPr>
            <w:r>
              <w:rPr>
                <w:rFonts w:hint="eastAsia" w:ascii="宋体" w:hAnsi="宋体" w:cs="宋体"/>
                <w:b/>
                <w:bCs/>
                <w:color w:val="auto"/>
                <w:kern w:val="0"/>
                <w:sz w:val="21"/>
                <w:szCs w:val="21"/>
                <w:highlight w:val="none"/>
              </w:rPr>
              <w:t>5.5四流线索研判</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5.5.1研判工作台：包括案件列表、案件补采、案件分配、脑图分析、案档管理、案件研判报告、全案检索等功能。</w:t>
            </w:r>
          </w:p>
          <w:p w14:paraId="33826E9B">
            <w:pPr>
              <w:widowControl/>
              <w:spacing w:line="360" w:lineRule="auto"/>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案件列表：支持将案件信息以列表形式进行展示，支持定时从警综平台同步最新案件数据，支持定时从现勘平台同步最新的通讯流数据，支持定时从现勘平台同步最新的网络流数据，支持定时从现勘平台同步最新的资金流数据，支持通过电诈代码翻译电诈案件，对电诈案件进行打标。支持偷越国境案件分类、案件列表展示、案件信息查询。</w:t>
            </w:r>
          </w:p>
          <w:p w14:paraId="1EFA4F01">
            <w:pPr>
              <w:widowControl/>
              <w:spacing w:line="360" w:lineRule="auto"/>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2）案件补采：支持对案发区划、案发地点、案发时间、案件类别、案件小类、案件状态、立案单位、受理单位、受理时间、涉案金额、主侦单位、立案时间、简要案情等信息补采，支持对受害人、报案人、嫌疑人、可疑人、通讯流、网络流、资金流进行补采。</w:t>
            </w:r>
          </w:p>
          <w:p w14:paraId="32671A52">
            <w:pPr>
              <w:widowControl/>
              <w:spacing w:line="360" w:lineRule="auto"/>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（3）案件分配：支持案件指派、领取、协办民警分配，通过我关注、我参与、我主侦等案件快速访问入口分档显示，支持一键查看案件档案。</w:t>
            </w:r>
          </w:p>
          <w:p w14:paraId="47DC67C3">
            <w:pPr>
              <w:widowControl/>
              <w:spacing w:line="360" w:lineRule="auto"/>
              <w:jc w:val="left"/>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rPr>
              <w:t>（4）◆脑图分析：通过脑图分析，实现案件引导式侦办</w:t>
            </w:r>
            <w:r>
              <w:rPr>
                <w:rFonts w:hint="eastAsia" w:ascii="宋体" w:hAnsi="宋体" w:cs="宋体"/>
                <w:color w:val="auto"/>
                <w:kern w:val="0"/>
                <w:sz w:val="21"/>
                <w:szCs w:val="21"/>
                <w:highlight w:val="none"/>
                <w:lang w:eastAsia="zh-CN"/>
              </w:rPr>
              <w:t>。支持在脑图中对</w:t>
            </w:r>
            <w:r>
              <w:rPr>
                <w:rFonts w:hint="eastAsia" w:ascii="宋体" w:hAnsi="宋体" w:cs="宋体"/>
                <w:color w:val="auto"/>
                <w:kern w:val="0"/>
                <w:sz w:val="21"/>
                <w:szCs w:val="21"/>
                <w:highlight w:val="none"/>
              </w:rPr>
              <w:t>通讯流线索、网络流线索、资金流线索</w:t>
            </w:r>
            <w:r>
              <w:rPr>
                <w:rFonts w:hint="eastAsia" w:ascii="宋体" w:hAnsi="宋体" w:cs="宋体"/>
                <w:color w:val="auto"/>
                <w:kern w:val="0"/>
                <w:sz w:val="21"/>
                <w:szCs w:val="21"/>
                <w:highlight w:val="none"/>
                <w:lang w:eastAsia="zh-CN"/>
              </w:rPr>
              <w:t>信息编辑修改；</w:t>
            </w:r>
            <w:r>
              <w:rPr>
                <w:rFonts w:hint="eastAsia" w:ascii="宋体" w:hAnsi="宋体" w:cs="宋体"/>
                <w:color w:val="auto"/>
                <w:kern w:val="0"/>
                <w:sz w:val="21"/>
                <w:szCs w:val="21"/>
                <w:highlight w:val="none"/>
              </w:rPr>
              <w:t>支持脑图中添加的人员信息、三流线索信息及详情同步到案件档案中</w:t>
            </w: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lang w:val="en-US" w:eastAsia="zh-CN"/>
              </w:rPr>
              <w:t>案件时间轴支持以时间轴方式展示案件侦办过程信息，包含接警、止付、询问、勘察、冻结、返款、研判、打击、移诉、帮教管控。</w:t>
            </w:r>
          </w:p>
          <w:p w14:paraId="06C7EBA8">
            <w:pPr>
              <w:widowControl/>
              <w:spacing w:line="360" w:lineRule="auto"/>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（5）案档管理：支持人员串并、通讯流号码串并、网络流号码串并、资金流号码串并，支持在案件线索有调证结果返回的情况下对案件调证后的结果分类展现。</w:t>
            </w:r>
          </w:p>
          <w:p w14:paraId="5A57E478">
            <w:pPr>
              <w:widowControl/>
              <w:spacing w:line="360" w:lineRule="auto"/>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6）案件研判报告：支持一键查看研判报告，可快速浏览研判进度以及当前研判成果。依据记录的整个研判过程，自动生成研判报告，包含：办案简介、案情概要、研判全息导侦、线索研判报告-人员流研判报告、线索研判报告-通讯流研判、线索研判报告-网络流研判、线索研判报告-资金流研判、研判成果、研判报告下载、研判报告编辑等内容。</w:t>
            </w:r>
          </w:p>
          <w:p w14:paraId="2AC71235">
            <w:pPr>
              <w:widowControl/>
              <w:spacing w:line="360" w:lineRule="auto"/>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7）全案检索：支持案件信息模糊检索，检索维度不局限于案件编号、案件名称、简要案情等，支持匹配关键词高亮显示。支持案件建索引、案件全文检索、案件条件检索、喜好推荐、搜索记录、案件详情查看、快速检索。</w:t>
            </w:r>
          </w:p>
          <w:p w14:paraId="4CF6A9CC">
            <w:pPr>
              <w:widowControl/>
              <w:spacing w:line="360" w:lineRule="auto"/>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（8）线索协查：支持对任务协查任务进行流转任务的发起、审核、驳回、签收、处理、评价等操作。支持线索列表、线索侦办、线索脑图。</w:t>
            </w:r>
          </w:p>
          <w:p w14:paraId="56A43F41">
            <w:pPr>
              <w:widowControl/>
              <w:spacing w:line="360" w:lineRule="auto"/>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5.5.2任务协同中心：实现跨部门协同任务的发起、审批、处理、评价等操作。包括任务列表、案件流转任务、任务协查任务、JZ协查任务、WA协查任务、辅助调证任务、研判指令任务、专家会诊任务、侦查协作任务。</w:t>
            </w:r>
          </w:p>
          <w:p w14:paraId="0388F500">
            <w:pPr>
              <w:widowControl/>
              <w:spacing w:line="360" w:lineRule="auto"/>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5.5.3涉案线索库：包含涉案线索和涉案线索共享接口。</w:t>
            </w:r>
          </w:p>
          <w:p w14:paraId="701A283E">
            <w:pPr>
              <w:widowControl/>
              <w:spacing w:line="360" w:lineRule="auto"/>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（1）支持收集汇聚研判过程中出现的涉案线索数据，并将涉案线索数据存储记录，其中支持通讯流信息记录、网络流信息记录、资金流信息记录、嫌疑人、受害人、报案人信息记录。</w:t>
            </w:r>
          </w:p>
          <w:p w14:paraId="1BBB8871">
            <w:pPr>
              <w:widowControl/>
              <w:spacing w:line="360" w:lineRule="auto"/>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（2）涉案线索共享接口，支持对系统收集汇聚的涉案通讯流、网络流、资金流、涉案嫌疑人线索数据，以接口的形式对接给三方系统进行使用。</w:t>
            </w:r>
          </w:p>
          <w:p w14:paraId="3AA5F2F0">
            <w:pPr>
              <w:widowControl/>
              <w:spacing w:line="360" w:lineRule="auto"/>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5.5.4统计报表：包含案件侦查战果的统计、地区侦查战果统计和案件全流程统计。</w:t>
            </w:r>
          </w:p>
          <w:p w14:paraId="332C90E2">
            <w:pPr>
              <w:widowControl/>
              <w:spacing w:line="360" w:lineRule="auto"/>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案件侦查战果的统计：支持案件侦查战果页面以列表展示侦查战果统计数据，包括案件编号、案件名称、立案单位、立案时间、主侦人、涉案金额、挽损金额、挽损率%、藏匿国家、藏匿省市、明确涉案总人数等基础数据。</w:t>
            </w:r>
          </w:p>
          <w:p w14:paraId="7F1C204B">
            <w:pPr>
              <w:widowControl/>
              <w:spacing w:line="360" w:lineRule="auto"/>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（2）地区侦查战果统计：</w:t>
            </w:r>
            <w:r>
              <w:rPr>
                <w:rFonts w:hint="eastAsia"/>
                <w:color w:val="auto"/>
                <w:highlight w:val="none"/>
              </w:rPr>
              <w:t>地区战果统计表分全区和14地市进行统计，可对地市进行</w:t>
            </w:r>
            <w:r>
              <w:rPr>
                <w:rFonts w:hint="eastAsia"/>
                <w:color w:val="auto"/>
                <w:highlight w:val="none"/>
                <w:lang w:val="en-US" w:eastAsia="zh-CN"/>
              </w:rPr>
              <w:t>筛</w:t>
            </w:r>
            <w:r>
              <w:rPr>
                <w:rFonts w:hint="eastAsia"/>
                <w:color w:val="auto"/>
                <w:highlight w:val="none"/>
              </w:rPr>
              <w:t>选，战果统计表分以时间区间方式进行统计，默认统计本年度数据</w:t>
            </w:r>
            <w:r>
              <w:rPr>
                <w:rFonts w:hint="eastAsia" w:ascii="宋体" w:hAnsi="宋体" w:cs="宋体"/>
                <w:color w:val="auto"/>
                <w:kern w:val="0"/>
                <w:sz w:val="21"/>
                <w:szCs w:val="21"/>
                <w:highlight w:val="none"/>
              </w:rPr>
              <w:t>。</w:t>
            </w:r>
          </w:p>
          <w:p w14:paraId="37C7B7FD">
            <w:pPr>
              <w:widowControl/>
              <w:spacing w:line="360" w:lineRule="auto"/>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3）案件全流程统计：案件全流程以列表展示全流程统计结果，包括案件编号、案件名称、立案单位、涉案金额等基础信息，以及预警劝阻、接警、止付、冻结返还、其他警种支撑，资金研判、四流研判、窝点位置等统计数据。</w:t>
            </w:r>
          </w:p>
          <w:p w14:paraId="4E13166D">
            <w:pPr>
              <w:widowControl/>
              <w:spacing w:line="360" w:lineRule="auto"/>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5.5.5配置中心：包含涉案要素核验配置、研判指引配置。</w:t>
            </w:r>
          </w:p>
          <w:p w14:paraId="02EE1AAD">
            <w:pPr>
              <w:widowControl/>
              <w:spacing w:line="360" w:lineRule="auto"/>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5.5.6消息通知：建立消息数据表，支持我的消息、系统通知消息推送、工作待办消息推送、语音提醒和消息中心等功能。</w:t>
            </w:r>
          </w:p>
          <w:p w14:paraId="0CAB0E65">
            <w:pPr>
              <w:widowControl/>
              <w:spacing w:line="360" w:lineRule="auto"/>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5.5.7操作日志管理：包含日志列表和日志检索。</w:t>
            </w:r>
          </w:p>
          <w:p w14:paraId="115F885F">
            <w:pPr>
              <w:widowControl/>
              <w:spacing w:line="360" w:lineRule="auto"/>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5.5.8数据对接：包含警综数据对接、现勘数据对接和零信任对接。</w:t>
            </w:r>
          </w:p>
          <w:p w14:paraId="43905E65">
            <w:pPr>
              <w:widowControl/>
              <w:spacing w:line="360" w:lineRule="auto"/>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5.5.9勘查案件要素综合串并：包括依托全网勘查数据的联网数据服务进行跨区域的线索串并，实现全国串并（覆盖全国29个省级行政区）、全省串并，并支持将串并结果推送至本地进行分析研判。包括手机号串并分析、银行卡串并分析、APP/网站串并分析、即时通讯串并分析等。</w:t>
            </w:r>
          </w:p>
          <w:p w14:paraId="264A6438">
            <w:pPr>
              <w:widowControl/>
              <w:spacing w:line="360" w:lineRule="auto"/>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（1）手机号串并分析</w:t>
            </w:r>
          </w:p>
          <w:p w14:paraId="323749D7">
            <w:pPr>
              <w:widowControl/>
              <w:spacing w:line="360" w:lineRule="auto"/>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基于涉网案件勘查数据及补录线索信息，通过涉案手机号码、固话等号码标识数据进行案件的关联串并线索推送。</w:t>
            </w:r>
          </w:p>
          <w:p w14:paraId="2019F28B">
            <w:pPr>
              <w:widowControl/>
              <w:spacing w:line="360" w:lineRule="auto"/>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（2）银行卡串并分析</w:t>
            </w:r>
          </w:p>
          <w:p w14:paraId="4F7D5BAD">
            <w:pPr>
              <w:widowControl/>
              <w:spacing w:line="360" w:lineRule="auto"/>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基于涉网案件勘查数据及补录线索信息，通过涉案银行卡、支付宝账号等号码标识数据进行案件的关联串并线索推送。</w:t>
            </w:r>
          </w:p>
          <w:p w14:paraId="2FE4649C">
            <w:pPr>
              <w:widowControl/>
              <w:spacing w:line="360" w:lineRule="auto"/>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（3）APP/网站串并分析</w:t>
            </w:r>
          </w:p>
          <w:p w14:paraId="0D67919D">
            <w:pPr>
              <w:widowControl/>
              <w:spacing w:line="360" w:lineRule="auto"/>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基于涉网案件勘查数据及补录线索信息，通过APP包名、安装包MD5、APP签名信息、分发网址、打包工具信息、APP应用服务器IP/域名、APP客服系统、APP推送平台、涉诈网站等信息进行案件的关联串并线索推送。</w:t>
            </w:r>
          </w:p>
          <w:p w14:paraId="48181549">
            <w:pPr>
              <w:widowControl/>
              <w:spacing w:line="360" w:lineRule="auto"/>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（4）即时通讯串并分析</w:t>
            </w:r>
          </w:p>
          <w:p w14:paraId="00539AE4">
            <w:pPr>
              <w:widowControl/>
              <w:spacing w:line="360" w:lineRule="auto"/>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基于涉网案件勘查数据及补录线索信息，通过微信帐号、QQ帐号、QQ群号、微信群号等号码标识数据进行案件的关联串并线索推送。</w:t>
            </w:r>
          </w:p>
        </w:tc>
      </w:tr>
      <w:tr w14:paraId="1A65D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46" w:type="dxa"/>
            <w:vMerge w:val="continue"/>
            <w:vAlign w:val="center"/>
          </w:tcPr>
          <w:p w14:paraId="364CA307">
            <w:pPr>
              <w:widowControl/>
              <w:spacing w:line="360" w:lineRule="auto"/>
              <w:jc w:val="left"/>
              <w:rPr>
                <w:rFonts w:ascii="宋体" w:hAnsi="宋体" w:cs="宋体"/>
                <w:color w:val="auto"/>
                <w:kern w:val="0"/>
                <w:sz w:val="21"/>
                <w:szCs w:val="21"/>
                <w:highlight w:val="none"/>
              </w:rPr>
            </w:pPr>
          </w:p>
        </w:tc>
        <w:tc>
          <w:tcPr>
            <w:tcW w:w="1612" w:type="dxa"/>
            <w:gridSpan w:val="2"/>
            <w:vMerge w:val="continue"/>
            <w:vAlign w:val="center"/>
          </w:tcPr>
          <w:p w14:paraId="002A76DA">
            <w:pPr>
              <w:widowControl/>
              <w:spacing w:line="360" w:lineRule="auto"/>
              <w:jc w:val="left"/>
              <w:rPr>
                <w:rFonts w:ascii="宋体" w:hAnsi="宋体" w:cs="宋体"/>
                <w:color w:val="auto"/>
                <w:kern w:val="0"/>
                <w:sz w:val="21"/>
                <w:szCs w:val="21"/>
                <w:highlight w:val="none"/>
              </w:rPr>
            </w:pPr>
          </w:p>
        </w:tc>
        <w:tc>
          <w:tcPr>
            <w:tcW w:w="1179" w:type="dxa"/>
            <w:vMerge w:val="continue"/>
            <w:tcBorders>
              <w:right w:val="single" w:color="auto" w:sz="4" w:space="0"/>
            </w:tcBorders>
            <w:vAlign w:val="center"/>
          </w:tcPr>
          <w:p w14:paraId="3691D271">
            <w:pPr>
              <w:widowControl/>
              <w:spacing w:line="360" w:lineRule="auto"/>
              <w:jc w:val="left"/>
              <w:rPr>
                <w:rFonts w:ascii="宋体" w:hAnsi="宋体" w:cs="宋体"/>
                <w:color w:val="auto"/>
                <w:kern w:val="0"/>
                <w:sz w:val="21"/>
                <w:szCs w:val="21"/>
                <w:highlight w:val="none"/>
              </w:rPr>
            </w:pPr>
          </w:p>
        </w:tc>
        <w:tc>
          <w:tcPr>
            <w:tcW w:w="6668" w:type="dxa"/>
            <w:tcBorders>
              <w:top w:val="nil"/>
              <w:left w:val="single" w:color="auto" w:sz="4" w:space="0"/>
              <w:bottom w:val="nil"/>
              <w:right w:val="single" w:color="auto" w:sz="4" w:space="0"/>
            </w:tcBorders>
            <w:shd w:val="clear" w:color="auto" w:fill="auto"/>
            <w:vAlign w:val="center"/>
          </w:tcPr>
          <w:p w14:paraId="5D831450">
            <w:pPr>
              <w:widowControl/>
              <w:spacing w:line="360" w:lineRule="auto"/>
              <w:jc w:val="left"/>
              <w:rPr>
                <w:rFonts w:hint="eastAsia" w:ascii="宋体" w:hAnsi="宋体" w:cs="宋体"/>
                <w:color w:val="auto"/>
                <w:kern w:val="0"/>
                <w:sz w:val="21"/>
                <w:szCs w:val="21"/>
                <w:highlight w:val="none"/>
              </w:rPr>
            </w:pPr>
            <w:r>
              <w:rPr>
                <w:rFonts w:hint="eastAsia" w:ascii="宋体" w:hAnsi="宋体" w:cs="宋体"/>
                <w:b/>
                <w:bCs/>
                <w:color w:val="auto"/>
                <w:kern w:val="0"/>
                <w:sz w:val="21"/>
                <w:szCs w:val="21"/>
                <w:highlight w:val="none"/>
              </w:rPr>
              <w:t>5.6建设与通管系统对接</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支持实现公安与通信管理局数据进行高效协同、深度融合，生成准确、高效的研判成果，以情报导侦为手段，将研判成果最大程度地转化为打击成果。包含以下内容：</w:t>
            </w:r>
          </w:p>
          <w:p w14:paraId="26BE6CB7">
            <w:pPr>
              <w:widowControl/>
              <w:spacing w:line="360" w:lineRule="auto"/>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（1）建立专线通道：建立公安网到管局网单向传输通道、建立管局网到公安网单向传输通道。</w:t>
            </w:r>
          </w:p>
          <w:p w14:paraId="53C55C12">
            <w:pPr>
              <w:widowControl/>
              <w:spacing w:line="360" w:lineRule="auto"/>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（2）封堵推送接口：支持公安侧获得的涉诈封堵线索通过单向传输通道传送给管局侧，进入封堵处置名单，并接收管局处置反馈结果，提供封堵结果统计展示功能。</w:t>
            </w:r>
          </w:p>
          <w:p w14:paraId="3B233F08">
            <w:pPr>
              <w:widowControl/>
              <w:spacing w:line="360" w:lineRule="auto"/>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3）预警推送接口：支持公安侧获得的涉诈预警线索通过单向传输通道传送给管局侧，并接收通管处置反馈结果。同时，管局侧预警出的高危线索通过单向传输通道传送给公安侧进行处置。提供预警数据统计展示功能。</w:t>
            </w:r>
          </w:p>
          <w:p w14:paraId="286D3298">
            <w:pPr>
              <w:widowControl/>
              <w:spacing w:line="360" w:lineRule="auto"/>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（4）打击支撑接口：支持将公安侧传递过来的窝点线索，通过管局侧平台进行研判，将结果反馈给公安侧。提供窝点线索统计展示功能。</w:t>
            </w:r>
          </w:p>
          <w:p w14:paraId="723827F4">
            <w:pPr>
              <w:widowControl/>
              <w:spacing w:line="360" w:lineRule="auto"/>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（5）公安推送至通管局：支持公安侧推送数据到通管局反制、预警；支持公安推送线索到通管局，支持公安推送断卡信息到通管局。</w:t>
            </w:r>
          </w:p>
          <w:p w14:paraId="4E67854F">
            <w:pPr>
              <w:widowControl/>
              <w:spacing w:line="360" w:lineRule="auto"/>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（6）通管局推送至公安：支持通管局推送风险数据至公安、通管局反制数据推送至公安、通管局预警数据推送至公安、通管局推送线索数据至公安、通管局推送断卡数据至公安。</w:t>
            </w:r>
          </w:p>
          <w:p w14:paraId="2E71EC5B">
            <w:pPr>
              <w:widowControl/>
              <w:spacing w:line="360" w:lineRule="auto"/>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（7）与运营商对接：利用运营商已有能力资源，加强平台技术能力，实现与广西移动、广西联通、广西电信、广西广电对接。</w:t>
            </w:r>
          </w:p>
        </w:tc>
      </w:tr>
      <w:tr w14:paraId="148B2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46" w:type="dxa"/>
            <w:vMerge w:val="continue"/>
            <w:vAlign w:val="center"/>
          </w:tcPr>
          <w:p w14:paraId="193F502E">
            <w:pPr>
              <w:widowControl/>
              <w:spacing w:line="360" w:lineRule="auto"/>
              <w:jc w:val="left"/>
              <w:rPr>
                <w:rFonts w:ascii="宋体" w:hAnsi="宋体" w:cs="宋体"/>
                <w:color w:val="auto"/>
                <w:kern w:val="0"/>
                <w:sz w:val="21"/>
                <w:szCs w:val="21"/>
                <w:highlight w:val="none"/>
              </w:rPr>
            </w:pPr>
          </w:p>
        </w:tc>
        <w:tc>
          <w:tcPr>
            <w:tcW w:w="1612" w:type="dxa"/>
            <w:gridSpan w:val="2"/>
            <w:vMerge w:val="continue"/>
            <w:vAlign w:val="center"/>
          </w:tcPr>
          <w:p w14:paraId="685EE967">
            <w:pPr>
              <w:widowControl/>
              <w:spacing w:line="360" w:lineRule="auto"/>
              <w:jc w:val="left"/>
              <w:rPr>
                <w:rFonts w:ascii="宋体" w:hAnsi="宋体" w:cs="宋体"/>
                <w:color w:val="auto"/>
                <w:kern w:val="0"/>
                <w:sz w:val="21"/>
                <w:szCs w:val="21"/>
                <w:highlight w:val="none"/>
              </w:rPr>
            </w:pPr>
          </w:p>
        </w:tc>
        <w:tc>
          <w:tcPr>
            <w:tcW w:w="1179" w:type="dxa"/>
            <w:vMerge w:val="continue"/>
            <w:tcBorders>
              <w:right w:val="single" w:color="auto" w:sz="4" w:space="0"/>
            </w:tcBorders>
            <w:vAlign w:val="center"/>
          </w:tcPr>
          <w:p w14:paraId="678D09D2">
            <w:pPr>
              <w:widowControl/>
              <w:spacing w:line="360" w:lineRule="auto"/>
              <w:jc w:val="left"/>
              <w:rPr>
                <w:rFonts w:ascii="宋体" w:hAnsi="宋体" w:cs="宋体"/>
                <w:color w:val="auto"/>
                <w:kern w:val="0"/>
                <w:sz w:val="21"/>
                <w:szCs w:val="21"/>
                <w:highlight w:val="none"/>
              </w:rPr>
            </w:pPr>
          </w:p>
        </w:tc>
        <w:tc>
          <w:tcPr>
            <w:tcW w:w="6668" w:type="dxa"/>
            <w:tcBorders>
              <w:top w:val="nil"/>
              <w:left w:val="single" w:color="auto" w:sz="4" w:space="0"/>
              <w:bottom w:val="nil"/>
              <w:right w:val="single" w:color="auto" w:sz="4" w:space="0"/>
            </w:tcBorders>
            <w:shd w:val="clear" w:color="auto" w:fill="auto"/>
            <w:vAlign w:val="center"/>
          </w:tcPr>
          <w:p w14:paraId="36864C6F">
            <w:pPr>
              <w:widowControl/>
              <w:spacing w:line="360" w:lineRule="auto"/>
              <w:jc w:val="left"/>
              <w:rPr>
                <w:rFonts w:ascii="宋体" w:hAnsi="宋体" w:cs="宋体"/>
                <w:color w:val="auto"/>
                <w:kern w:val="0"/>
                <w:sz w:val="21"/>
                <w:szCs w:val="21"/>
                <w:highlight w:val="none"/>
              </w:rPr>
            </w:pPr>
            <w:r>
              <w:rPr>
                <w:rFonts w:hint="eastAsia" w:ascii="宋体" w:hAnsi="宋体" w:cs="宋体"/>
                <w:b/>
                <w:bCs/>
                <w:color w:val="auto"/>
                <w:kern w:val="0"/>
                <w:sz w:val="21"/>
                <w:szCs w:val="21"/>
                <w:highlight w:val="none"/>
              </w:rPr>
              <w:t>5.7AI算力池化</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支持基于GPU虚拟化技术建设反电诈算力资源池，实现反电诈AI算力（通常为GPU）的精细化管理，做到任务进程级隔离，提升反电诈GPU算力共享能力，丰富调度策略，缓解反电诈算力紧张情况，减少反电诈算力浪费，解耦反电诈应用与算力卡的硬件绑定，有效支撑反电诈工作对大规模算力的调度需求。完成反电诈算力虚拟化与算力纳管、反电诈算力调度、反电诈算力池化、反电诈算力池运维管理及接口服务四个功能开发实施。</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（1）反电诈算力虚拟化与算力纳管：纳管所有AI算力</w:t>
            </w: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rPr>
              <w:t>可以通过资源虚拟化进行管理，包括资源池、资源组、节点管理</w:t>
            </w: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rPr>
              <w:t>虚拟GPU</w:t>
            </w: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lang w:val="en-US" w:eastAsia="zh-CN"/>
              </w:rPr>
              <w:t>物理GPU切分、</w:t>
            </w:r>
            <w:r>
              <w:rPr>
                <w:rFonts w:hint="eastAsia" w:ascii="宋体" w:hAnsi="宋体" w:cs="宋体"/>
                <w:color w:val="auto"/>
                <w:kern w:val="0"/>
                <w:sz w:val="21"/>
                <w:szCs w:val="21"/>
                <w:highlight w:val="none"/>
              </w:rPr>
              <w:t>任务隔离</w:t>
            </w: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rPr>
              <w:t>自动回收（空闲算力回收）</w:t>
            </w: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rPr>
              <w:t>CUDA运行时模拟</w:t>
            </w: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rPr>
              <w:t>MPS与CUDA上层API兼容。</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（2）反电诈算力调度：算力调度功能，提供算力动态调节、配额管理（显存，算力）、动态挂载、资源预留（显存，算力）、节点标签，全局调度、指定卡型号、调度策略管理。</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3）反电诈算力池化：算力池化提供全局范围内的算力资源使用能力，Vgpu池化管理，易维护客户端，运行时自动注入，分布式部署，k8s平台集成，容器集成，框架支持，分布式框架支持，网络集成，操作系统集成。</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4）反电诈算力池运维管理及接口服务：提供全局摘要功能及接口，节点运维管理功能及接口，当前物理、虚拟GPU算力使用情况功能及接口，物理节点管理功能及接口（迁入、迁出、下线、上线），设备管理功能及接口（GPU卡管理、虚实转换），任务管理功能及接口，资源监控功能及接口，日志功能及接口，控制器CLI命令接口，告警管理。</w:t>
            </w:r>
          </w:p>
        </w:tc>
      </w:tr>
      <w:tr w14:paraId="1D081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46" w:type="dxa"/>
            <w:vMerge w:val="continue"/>
            <w:vAlign w:val="center"/>
          </w:tcPr>
          <w:p w14:paraId="337D651F">
            <w:pPr>
              <w:widowControl/>
              <w:spacing w:line="360" w:lineRule="auto"/>
              <w:jc w:val="left"/>
              <w:rPr>
                <w:rFonts w:ascii="宋体" w:hAnsi="宋体" w:cs="宋体"/>
                <w:color w:val="auto"/>
                <w:kern w:val="0"/>
                <w:sz w:val="21"/>
                <w:szCs w:val="21"/>
                <w:highlight w:val="none"/>
              </w:rPr>
            </w:pPr>
          </w:p>
        </w:tc>
        <w:tc>
          <w:tcPr>
            <w:tcW w:w="1612" w:type="dxa"/>
            <w:gridSpan w:val="2"/>
            <w:vMerge w:val="continue"/>
            <w:vAlign w:val="center"/>
          </w:tcPr>
          <w:p w14:paraId="4C14E408">
            <w:pPr>
              <w:widowControl/>
              <w:spacing w:line="360" w:lineRule="auto"/>
              <w:jc w:val="left"/>
              <w:rPr>
                <w:rFonts w:ascii="宋体" w:hAnsi="宋体" w:cs="宋体"/>
                <w:color w:val="auto"/>
                <w:kern w:val="0"/>
                <w:sz w:val="21"/>
                <w:szCs w:val="21"/>
                <w:highlight w:val="none"/>
              </w:rPr>
            </w:pPr>
          </w:p>
        </w:tc>
        <w:tc>
          <w:tcPr>
            <w:tcW w:w="1179" w:type="dxa"/>
            <w:vMerge w:val="continue"/>
            <w:tcBorders>
              <w:right w:val="single" w:color="auto" w:sz="4" w:space="0"/>
            </w:tcBorders>
            <w:vAlign w:val="center"/>
          </w:tcPr>
          <w:p w14:paraId="3BE7FFCA">
            <w:pPr>
              <w:widowControl/>
              <w:spacing w:line="360" w:lineRule="auto"/>
              <w:jc w:val="left"/>
              <w:rPr>
                <w:rFonts w:ascii="宋体" w:hAnsi="宋体" w:cs="宋体"/>
                <w:color w:val="auto"/>
                <w:kern w:val="0"/>
                <w:sz w:val="21"/>
                <w:szCs w:val="21"/>
                <w:highlight w:val="none"/>
              </w:rPr>
            </w:pPr>
          </w:p>
        </w:tc>
        <w:tc>
          <w:tcPr>
            <w:tcW w:w="6668" w:type="dxa"/>
            <w:tcBorders>
              <w:top w:val="nil"/>
              <w:left w:val="single" w:color="auto" w:sz="4" w:space="0"/>
              <w:bottom w:val="nil"/>
              <w:right w:val="single" w:color="auto" w:sz="4" w:space="0"/>
            </w:tcBorders>
            <w:shd w:val="clear" w:color="000000" w:fill="auto"/>
            <w:vAlign w:val="center"/>
          </w:tcPr>
          <w:p w14:paraId="47AABB70">
            <w:pPr>
              <w:widowControl/>
              <w:spacing w:line="360" w:lineRule="auto"/>
              <w:jc w:val="left"/>
              <w:rPr>
                <w:rFonts w:hint="eastAsia" w:ascii="宋体" w:hAnsi="宋体" w:cs="宋体"/>
                <w:color w:val="auto"/>
                <w:kern w:val="0"/>
                <w:sz w:val="21"/>
                <w:szCs w:val="21"/>
                <w:highlight w:val="none"/>
              </w:rPr>
            </w:pPr>
            <w:r>
              <w:rPr>
                <w:rFonts w:hint="eastAsia" w:ascii="宋体" w:hAnsi="宋体" w:cs="宋体"/>
                <w:b/>
                <w:bCs/>
                <w:color w:val="auto"/>
                <w:kern w:val="0"/>
                <w:sz w:val="21"/>
                <w:szCs w:val="21"/>
                <w:highlight w:val="none"/>
              </w:rPr>
              <w:t>5.8涉诈统一调证</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lang w:val="en-US" w:eastAsia="zh-CN"/>
              </w:rPr>
              <w:t xml:space="preserve">5.8.1 </w:t>
            </w:r>
            <w:r>
              <w:rPr>
                <w:rFonts w:hint="eastAsia" w:ascii="宋体" w:hAnsi="宋体" w:cs="宋体"/>
                <w:color w:val="auto"/>
                <w:kern w:val="0"/>
                <w:sz w:val="21"/>
                <w:szCs w:val="21"/>
                <w:highlight w:val="none"/>
              </w:rPr>
              <w:t>调证业务管理</w:t>
            </w:r>
          </w:p>
          <w:p w14:paraId="5FEACAEB">
            <w:pPr>
              <w:widowControl/>
              <w:spacing w:line="360" w:lineRule="auto"/>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支持通过平台的流程引擎，实现不同机构的各类线上调证业务闭环流程</w:t>
            </w:r>
            <w:r>
              <w:rPr>
                <w:rFonts w:hint="eastAsia" w:ascii="宋体" w:hAnsi="宋体" w:cs="宋体"/>
                <w:color w:val="auto"/>
                <w:kern w:val="0"/>
                <w:sz w:val="21"/>
                <w:szCs w:val="21"/>
                <w:highlight w:val="none"/>
                <w:lang w:eastAsia="zh-CN"/>
              </w:rPr>
              <w:t>，包括互联网公司调证业务管理、银行调证业务管理、运营商调证业务管理、非银行支付机构调证业务管理</w:t>
            </w:r>
            <w:r>
              <w:rPr>
                <w:rFonts w:hint="eastAsia" w:ascii="宋体" w:hAnsi="宋体" w:cs="宋体"/>
                <w:color w:val="auto"/>
                <w:kern w:val="0"/>
                <w:sz w:val="21"/>
                <w:szCs w:val="21"/>
                <w:highlight w:val="none"/>
              </w:rPr>
              <w:t>。系统提供</w:t>
            </w:r>
            <w:r>
              <w:rPr>
                <w:rFonts w:hint="eastAsia" w:ascii="宋体" w:hAnsi="宋体" w:cs="宋体"/>
                <w:color w:val="auto"/>
                <w:kern w:val="0"/>
                <w:sz w:val="21"/>
                <w:szCs w:val="21"/>
                <w:highlight w:val="none"/>
                <w:lang w:val="en-US" w:eastAsia="zh-CN"/>
              </w:rPr>
              <w:t>调证发起</w:t>
            </w:r>
            <w:r>
              <w:rPr>
                <w:rFonts w:hint="eastAsia" w:ascii="宋体" w:hAnsi="宋体" w:cs="宋体"/>
                <w:color w:val="auto"/>
                <w:kern w:val="0"/>
                <w:sz w:val="21"/>
                <w:szCs w:val="21"/>
                <w:highlight w:val="none"/>
              </w:rPr>
              <w:t>、</w:t>
            </w:r>
            <w:r>
              <w:rPr>
                <w:rFonts w:hint="eastAsia" w:ascii="宋体" w:hAnsi="宋体" w:cs="宋体"/>
                <w:color w:val="auto"/>
                <w:kern w:val="0"/>
                <w:sz w:val="21"/>
                <w:szCs w:val="21"/>
                <w:highlight w:val="none"/>
                <w:lang w:val="en-US" w:eastAsia="zh-CN"/>
              </w:rPr>
              <w:t>调证审批</w:t>
            </w:r>
            <w:r>
              <w:rPr>
                <w:rFonts w:hint="eastAsia" w:ascii="宋体" w:hAnsi="宋体" w:cs="宋体"/>
                <w:color w:val="auto"/>
                <w:kern w:val="0"/>
                <w:sz w:val="21"/>
                <w:szCs w:val="21"/>
                <w:highlight w:val="none"/>
              </w:rPr>
              <w:t>、调证</w:t>
            </w:r>
            <w:r>
              <w:rPr>
                <w:rFonts w:hint="eastAsia" w:ascii="宋体" w:hAnsi="宋体" w:cs="宋体"/>
                <w:color w:val="auto"/>
                <w:kern w:val="0"/>
                <w:sz w:val="21"/>
                <w:szCs w:val="21"/>
                <w:highlight w:val="none"/>
                <w:lang w:val="en-US" w:eastAsia="zh-CN"/>
              </w:rPr>
              <w:t>成效统计</w:t>
            </w:r>
            <w:r>
              <w:rPr>
                <w:rFonts w:hint="eastAsia" w:ascii="宋体" w:hAnsi="宋体" w:cs="宋体"/>
                <w:color w:val="auto"/>
                <w:kern w:val="0"/>
                <w:sz w:val="21"/>
                <w:szCs w:val="21"/>
                <w:highlight w:val="none"/>
              </w:rPr>
              <w:t>等业务功能。</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lang w:val="en-US" w:eastAsia="zh-CN"/>
              </w:rPr>
              <w:t>5.8.2 系统</w:t>
            </w:r>
            <w:r>
              <w:rPr>
                <w:rFonts w:hint="eastAsia" w:ascii="宋体" w:hAnsi="宋体" w:cs="宋体"/>
                <w:color w:val="auto"/>
                <w:kern w:val="0"/>
                <w:sz w:val="21"/>
                <w:szCs w:val="21"/>
                <w:highlight w:val="none"/>
              </w:rPr>
              <w:t>调证能力</w:t>
            </w:r>
            <w:r>
              <w:rPr>
                <w:rFonts w:hint="eastAsia" w:ascii="宋体" w:hAnsi="宋体" w:cs="宋体"/>
                <w:color w:val="auto"/>
                <w:kern w:val="0"/>
                <w:sz w:val="21"/>
                <w:szCs w:val="21"/>
                <w:highlight w:val="none"/>
                <w:lang w:val="en-US" w:eastAsia="zh-CN"/>
              </w:rPr>
              <w:t>对接关联</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对接区厅打击两卡系统，实现银行调证信息的接入，接入内容</w:t>
            </w:r>
            <w:r>
              <w:rPr>
                <w:rFonts w:hint="eastAsia" w:ascii="宋体" w:hAnsi="宋体" w:cs="宋体"/>
                <w:color w:val="auto"/>
                <w:kern w:val="0"/>
                <w:sz w:val="21"/>
                <w:szCs w:val="21"/>
                <w:highlight w:val="none"/>
                <w:lang w:val="en-US" w:eastAsia="zh-CN"/>
              </w:rPr>
              <w:t>包括</w:t>
            </w:r>
            <w:r>
              <w:rPr>
                <w:rFonts w:hint="eastAsia" w:ascii="宋体" w:hAnsi="宋体" w:cs="宋体"/>
                <w:color w:val="auto"/>
                <w:kern w:val="0"/>
                <w:sz w:val="21"/>
                <w:szCs w:val="21"/>
                <w:highlight w:val="none"/>
              </w:rPr>
              <w:t>银行资金流水信息、银行账户信息、账号关联身份信息、银行业务类型信息、业务办理时间信息等。根据审批通过的调证任务传参到两卡打击系统，同时通过接口获取调证手续材料，根据获取的调证基础信息通过接口上传调证结果进行反馈。</w:t>
            </w:r>
          </w:p>
        </w:tc>
      </w:tr>
      <w:tr w14:paraId="7304A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46" w:type="dxa"/>
            <w:vMerge w:val="continue"/>
            <w:vAlign w:val="center"/>
          </w:tcPr>
          <w:p w14:paraId="184AFDEA">
            <w:pPr>
              <w:widowControl/>
              <w:spacing w:line="360" w:lineRule="auto"/>
              <w:jc w:val="left"/>
              <w:rPr>
                <w:rFonts w:ascii="宋体" w:hAnsi="宋体" w:cs="宋体"/>
                <w:color w:val="auto"/>
                <w:kern w:val="0"/>
                <w:sz w:val="21"/>
                <w:szCs w:val="21"/>
                <w:highlight w:val="none"/>
              </w:rPr>
            </w:pPr>
          </w:p>
        </w:tc>
        <w:tc>
          <w:tcPr>
            <w:tcW w:w="1612" w:type="dxa"/>
            <w:gridSpan w:val="2"/>
            <w:vMerge w:val="continue"/>
            <w:vAlign w:val="center"/>
          </w:tcPr>
          <w:p w14:paraId="5DDDF19E">
            <w:pPr>
              <w:widowControl/>
              <w:spacing w:line="360" w:lineRule="auto"/>
              <w:jc w:val="left"/>
              <w:rPr>
                <w:rFonts w:ascii="宋体" w:hAnsi="宋体" w:cs="宋体"/>
                <w:color w:val="auto"/>
                <w:kern w:val="0"/>
                <w:sz w:val="21"/>
                <w:szCs w:val="21"/>
                <w:highlight w:val="none"/>
              </w:rPr>
            </w:pPr>
          </w:p>
        </w:tc>
        <w:tc>
          <w:tcPr>
            <w:tcW w:w="1179" w:type="dxa"/>
            <w:vMerge w:val="continue"/>
            <w:tcBorders>
              <w:right w:val="single" w:color="auto" w:sz="4" w:space="0"/>
            </w:tcBorders>
            <w:vAlign w:val="center"/>
          </w:tcPr>
          <w:p w14:paraId="0712DC5A">
            <w:pPr>
              <w:widowControl/>
              <w:spacing w:line="360" w:lineRule="auto"/>
              <w:jc w:val="left"/>
              <w:rPr>
                <w:rFonts w:ascii="宋体" w:hAnsi="宋体" w:cs="宋体"/>
                <w:color w:val="auto"/>
                <w:kern w:val="0"/>
                <w:sz w:val="21"/>
                <w:szCs w:val="21"/>
                <w:highlight w:val="none"/>
              </w:rPr>
            </w:pPr>
          </w:p>
        </w:tc>
        <w:tc>
          <w:tcPr>
            <w:tcW w:w="6668" w:type="dxa"/>
            <w:tcBorders>
              <w:top w:val="nil"/>
              <w:left w:val="single" w:color="auto" w:sz="4" w:space="0"/>
              <w:bottom w:val="single" w:color="auto" w:sz="4" w:space="0"/>
              <w:right w:val="single" w:color="auto" w:sz="4" w:space="0"/>
            </w:tcBorders>
            <w:shd w:val="clear" w:color="auto" w:fill="auto"/>
            <w:vAlign w:val="center"/>
          </w:tcPr>
          <w:p w14:paraId="48830DC1">
            <w:pPr>
              <w:widowControl/>
              <w:spacing w:line="360" w:lineRule="auto"/>
              <w:jc w:val="left"/>
              <w:rPr>
                <w:rFonts w:hint="eastAsia"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5.9接警止付</w:t>
            </w:r>
          </w:p>
          <w:p w14:paraId="4EAD44FF">
            <w:pPr>
              <w:widowControl/>
              <w:spacing w:line="360" w:lineRule="auto"/>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5.9.1 止付功能</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实现止付查询、止付结果展示、个人账户止付、对公账户止付、第三方账户止付、开户行字典维护、延伸止付、止付统计报表。</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5.9.2 解除止付功能</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实现解除止付查询、解除止付结果展示、个人账户解除止付、对公账户解除止付、第三方账户解除止付、延伸止付账户解除止付查询。</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5.9.3 外部数据接入</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实现全国人口数据、广西人口数据、保护性止付数据、110接</w:t>
            </w:r>
            <w:r>
              <w:rPr>
                <w:rFonts w:hint="eastAsia" w:ascii="宋体" w:hAnsi="宋体" w:cs="宋体"/>
                <w:color w:val="auto"/>
                <w:kern w:val="0"/>
                <w:sz w:val="21"/>
                <w:szCs w:val="21"/>
                <w:highlight w:val="none"/>
                <w:lang w:val="en-US" w:eastAsia="zh-CN"/>
              </w:rPr>
              <w:t>处</w:t>
            </w:r>
            <w:r>
              <w:rPr>
                <w:rFonts w:hint="eastAsia" w:ascii="宋体" w:hAnsi="宋体" w:cs="宋体"/>
                <w:color w:val="auto"/>
                <w:kern w:val="0"/>
                <w:sz w:val="21"/>
                <w:szCs w:val="21"/>
                <w:highlight w:val="none"/>
              </w:rPr>
              <w:t>警数据</w:t>
            </w: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lang w:val="en-US" w:eastAsia="zh-CN"/>
              </w:rPr>
              <w:t>警综平台数据</w:t>
            </w:r>
            <w:r>
              <w:rPr>
                <w:rFonts w:hint="eastAsia" w:ascii="宋体" w:hAnsi="宋体" w:cs="宋体"/>
                <w:color w:val="auto"/>
                <w:kern w:val="0"/>
                <w:sz w:val="21"/>
                <w:szCs w:val="21"/>
                <w:highlight w:val="none"/>
              </w:rPr>
              <w:t>接入。</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5.9.4 资金预警保护性止付</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实现预警账户止付信息查询</w:t>
            </w: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rPr>
              <w:t>预警账户滚动止付</w:t>
            </w:r>
            <w:r>
              <w:rPr>
                <w:rFonts w:hint="eastAsia" w:ascii="宋体" w:hAnsi="宋体" w:cs="宋体"/>
                <w:color w:val="auto"/>
                <w:kern w:val="0"/>
                <w:sz w:val="21"/>
                <w:szCs w:val="21"/>
                <w:highlight w:val="none"/>
                <w:lang w:val="en-US" w:eastAsia="zh-CN"/>
              </w:rPr>
              <w:t>和</w:t>
            </w:r>
            <w:r>
              <w:rPr>
                <w:rFonts w:hint="eastAsia" w:ascii="宋体" w:hAnsi="宋体" w:cs="宋体"/>
                <w:color w:val="auto"/>
                <w:kern w:val="0"/>
                <w:sz w:val="21"/>
                <w:szCs w:val="21"/>
                <w:highlight w:val="none"/>
              </w:rPr>
              <w:t xml:space="preserve">预警止付审批。 </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5.9.5 可视化大屏</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实现基本案件情况</w:t>
            </w:r>
            <w:r>
              <w:rPr>
                <w:rFonts w:hint="eastAsia" w:ascii="宋体" w:hAnsi="宋体" w:cs="宋体"/>
                <w:color w:val="auto"/>
                <w:kern w:val="0"/>
                <w:sz w:val="21"/>
                <w:szCs w:val="21"/>
                <w:highlight w:val="none"/>
                <w:lang w:val="en-US" w:eastAsia="zh-CN"/>
              </w:rPr>
              <w:t>展示，实现</w:t>
            </w:r>
            <w:r>
              <w:rPr>
                <w:rFonts w:hint="eastAsia" w:ascii="宋体" w:hAnsi="宋体" w:cs="宋体"/>
                <w:color w:val="auto"/>
                <w:kern w:val="0"/>
                <w:sz w:val="21"/>
                <w:szCs w:val="21"/>
                <w:highlight w:val="none"/>
              </w:rPr>
              <w:t>实时预警止付信息、地市案件数据、平台使用情况</w:t>
            </w:r>
            <w:r>
              <w:rPr>
                <w:rFonts w:hint="eastAsia" w:ascii="宋体" w:hAnsi="宋体" w:cs="宋体"/>
                <w:color w:val="auto"/>
                <w:kern w:val="0"/>
                <w:sz w:val="21"/>
                <w:szCs w:val="21"/>
                <w:highlight w:val="none"/>
                <w:lang w:val="en-US" w:eastAsia="zh-CN"/>
              </w:rPr>
              <w:t>可视化展示和</w:t>
            </w:r>
            <w:r>
              <w:rPr>
                <w:rFonts w:hint="eastAsia" w:ascii="宋体" w:hAnsi="宋体" w:cs="宋体"/>
                <w:color w:val="auto"/>
                <w:kern w:val="0"/>
                <w:sz w:val="21"/>
                <w:szCs w:val="21"/>
                <w:highlight w:val="none"/>
              </w:rPr>
              <w:t>预警止付流程图展示。</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5.9.6 短信推送服务</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实现接警止付短信通知、预警止付短信通知、案件超期短信推送八桂警信、其他系统推送。</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5.9.7 其他系统对接</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实现日志审计平台、刑专综合应用平台、广西人口指纹库对接。</w:t>
            </w:r>
          </w:p>
        </w:tc>
      </w:tr>
      <w:tr w14:paraId="27076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46" w:type="dxa"/>
            <w:shd w:val="clear" w:color="auto" w:fill="auto"/>
            <w:vAlign w:val="center"/>
          </w:tcPr>
          <w:p w14:paraId="3606ADD9">
            <w:pPr>
              <w:widowControl/>
              <w:spacing w:line="360" w:lineRule="auto"/>
              <w:jc w:val="center"/>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lang w:val="en-US" w:eastAsia="zh-CN"/>
              </w:rPr>
              <w:t>2</w:t>
            </w:r>
          </w:p>
        </w:tc>
        <w:tc>
          <w:tcPr>
            <w:tcW w:w="1612" w:type="dxa"/>
            <w:gridSpan w:val="2"/>
            <w:shd w:val="clear" w:color="auto" w:fill="auto"/>
            <w:vAlign w:val="center"/>
          </w:tcPr>
          <w:p w14:paraId="6BB1FD41">
            <w:pPr>
              <w:widowControl/>
              <w:spacing w:line="360" w:lineRule="auto"/>
              <w:jc w:val="left"/>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rPr>
              <w:t>第三方</w:t>
            </w:r>
            <w:r>
              <w:rPr>
                <w:rFonts w:hint="eastAsia" w:ascii="宋体" w:hAnsi="宋体" w:cs="宋体"/>
                <w:color w:val="auto"/>
                <w:kern w:val="0"/>
                <w:sz w:val="21"/>
                <w:szCs w:val="21"/>
                <w:highlight w:val="none"/>
                <w:lang w:val="en-US" w:eastAsia="zh-CN"/>
              </w:rPr>
              <w:t>软件测评</w:t>
            </w:r>
          </w:p>
        </w:tc>
        <w:tc>
          <w:tcPr>
            <w:tcW w:w="1179" w:type="dxa"/>
            <w:shd w:val="clear" w:color="auto" w:fill="auto"/>
            <w:vAlign w:val="center"/>
          </w:tcPr>
          <w:p w14:paraId="48F12958">
            <w:pPr>
              <w:widowControl/>
              <w:spacing w:line="360" w:lineRule="auto"/>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1项</w:t>
            </w:r>
          </w:p>
        </w:tc>
        <w:tc>
          <w:tcPr>
            <w:tcW w:w="6668" w:type="dxa"/>
            <w:tcBorders>
              <w:top w:val="single" w:color="auto" w:sz="4" w:space="0"/>
            </w:tcBorders>
            <w:shd w:val="clear" w:color="auto" w:fill="auto"/>
            <w:vAlign w:val="center"/>
          </w:tcPr>
          <w:p w14:paraId="7362E1BA">
            <w:pPr>
              <w:widowControl/>
              <w:spacing w:line="360" w:lineRule="auto"/>
              <w:jc w:val="left"/>
              <w:rPr>
                <w:rFonts w:hint="eastAsia" w:ascii="宋体" w:hAnsi="宋体" w:eastAsia="宋体" w:cs="宋体"/>
                <w:color w:val="auto"/>
                <w:kern w:val="0"/>
                <w:sz w:val="21"/>
                <w:szCs w:val="21"/>
                <w:highlight w:val="none"/>
                <w:lang w:eastAsia="zh-CN"/>
              </w:rPr>
            </w:pPr>
            <w:r>
              <w:rPr>
                <w:rFonts w:hint="eastAsia" w:ascii="宋体" w:hAnsi="宋体" w:cs="宋体"/>
                <w:color w:val="auto"/>
                <w:kern w:val="0"/>
                <w:szCs w:val="21"/>
                <w:highlight w:val="none"/>
              </w:rPr>
              <w:t>项目竣工验收前聘请第三方具备测评资质的单位对项目整体进行系统功能测评且需通过第三方测试并出具测评报告</w:t>
            </w:r>
            <w:r>
              <w:rPr>
                <w:rFonts w:hint="eastAsia" w:ascii="宋体" w:hAnsi="宋体" w:cs="宋体"/>
                <w:color w:val="auto"/>
                <w:kern w:val="0"/>
                <w:sz w:val="21"/>
                <w:szCs w:val="21"/>
                <w:highlight w:val="none"/>
                <w:lang w:eastAsia="zh-CN"/>
              </w:rPr>
              <w:t>。</w:t>
            </w:r>
          </w:p>
        </w:tc>
      </w:tr>
      <w:tr w14:paraId="5784B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46" w:type="dxa"/>
            <w:shd w:val="clear" w:color="auto" w:fill="auto"/>
            <w:vAlign w:val="center"/>
          </w:tcPr>
          <w:p w14:paraId="0F421FDE">
            <w:pPr>
              <w:widowControl/>
              <w:spacing w:line="360" w:lineRule="auto"/>
              <w:jc w:val="center"/>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lang w:val="en-US" w:eastAsia="zh-CN"/>
              </w:rPr>
              <w:t>3</w:t>
            </w:r>
          </w:p>
        </w:tc>
        <w:tc>
          <w:tcPr>
            <w:tcW w:w="1612" w:type="dxa"/>
            <w:gridSpan w:val="2"/>
            <w:shd w:val="clear" w:color="auto" w:fill="auto"/>
            <w:vAlign w:val="center"/>
          </w:tcPr>
          <w:p w14:paraId="013FEBE4">
            <w:pPr>
              <w:widowControl/>
              <w:spacing w:line="360" w:lineRule="auto"/>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网络安全等级保护测评</w:t>
            </w:r>
          </w:p>
        </w:tc>
        <w:tc>
          <w:tcPr>
            <w:tcW w:w="1179" w:type="dxa"/>
            <w:shd w:val="clear" w:color="auto" w:fill="auto"/>
            <w:vAlign w:val="center"/>
          </w:tcPr>
          <w:p w14:paraId="290CD3BF">
            <w:pPr>
              <w:widowControl/>
              <w:spacing w:line="360" w:lineRule="auto"/>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1项</w:t>
            </w:r>
          </w:p>
        </w:tc>
        <w:tc>
          <w:tcPr>
            <w:tcW w:w="6668" w:type="dxa"/>
            <w:shd w:val="clear" w:color="auto" w:fill="auto"/>
            <w:vAlign w:val="center"/>
          </w:tcPr>
          <w:p w14:paraId="3FB223BC">
            <w:pPr>
              <w:widowControl/>
              <w:spacing w:line="360" w:lineRule="auto"/>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Cs w:val="21"/>
                <w:highlight w:val="none"/>
                <w:lang w:val="en-US" w:eastAsia="zh-CN"/>
              </w:rPr>
              <w:t>项目竣工验收</w:t>
            </w:r>
            <w:r>
              <w:rPr>
                <w:rFonts w:hint="eastAsia" w:ascii="宋体" w:hAnsi="宋体" w:eastAsia="宋体" w:cs="宋体"/>
                <w:color w:val="auto"/>
                <w:kern w:val="0"/>
                <w:szCs w:val="21"/>
                <w:highlight w:val="none"/>
                <w:lang w:eastAsia="zh-CN"/>
              </w:rPr>
              <w:t>前聘请第三方具备测评资质的单位</w:t>
            </w:r>
            <w:r>
              <w:rPr>
                <w:rFonts w:hint="eastAsia" w:ascii="宋体" w:hAnsi="宋体" w:eastAsia="宋体" w:cs="宋体"/>
                <w:color w:val="auto"/>
                <w:kern w:val="0"/>
                <w:szCs w:val="21"/>
                <w:highlight w:val="none"/>
                <w:lang w:val="en-US" w:eastAsia="zh-CN"/>
              </w:rPr>
              <w:t>进行网络安全等级保护测评（三级），结论不为“差”</w:t>
            </w:r>
            <w:r>
              <w:rPr>
                <w:rFonts w:hint="eastAsia" w:ascii="宋体" w:hAnsi="宋体" w:cs="宋体"/>
                <w:color w:val="auto"/>
                <w:kern w:val="0"/>
                <w:sz w:val="21"/>
                <w:szCs w:val="21"/>
                <w:highlight w:val="none"/>
                <w:lang w:eastAsia="zh-CN"/>
              </w:rPr>
              <w:t>。</w:t>
            </w:r>
          </w:p>
        </w:tc>
      </w:tr>
      <w:tr w14:paraId="18FAA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46" w:type="dxa"/>
            <w:shd w:val="clear" w:color="auto" w:fill="auto"/>
            <w:vAlign w:val="center"/>
          </w:tcPr>
          <w:p w14:paraId="588D94E5">
            <w:pPr>
              <w:widowControl/>
              <w:spacing w:line="360" w:lineRule="auto"/>
              <w:jc w:val="center"/>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lang w:val="en-US" w:eastAsia="zh-CN"/>
              </w:rPr>
              <w:t>4</w:t>
            </w:r>
          </w:p>
        </w:tc>
        <w:tc>
          <w:tcPr>
            <w:tcW w:w="1612" w:type="dxa"/>
            <w:gridSpan w:val="2"/>
            <w:shd w:val="clear" w:color="auto" w:fill="auto"/>
            <w:vAlign w:val="center"/>
          </w:tcPr>
          <w:p w14:paraId="593E34C4">
            <w:pPr>
              <w:widowControl/>
              <w:spacing w:line="360" w:lineRule="auto"/>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商用密码应用系统安全性评估</w:t>
            </w:r>
          </w:p>
        </w:tc>
        <w:tc>
          <w:tcPr>
            <w:tcW w:w="1179" w:type="dxa"/>
            <w:shd w:val="clear" w:color="auto" w:fill="auto"/>
            <w:vAlign w:val="center"/>
          </w:tcPr>
          <w:p w14:paraId="56A81B46">
            <w:pPr>
              <w:widowControl/>
              <w:spacing w:line="360" w:lineRule="auto"/>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1项</w:t>
            </w:r>
          </w:p>
        </w:tc>
        <w:tc>
          <w:tcPr>
            <w:tcW w:w="6668" w:type="dxa"/>
            <w:shd w:val="clear" w:color="auto" w:fill="auto"/>
            <w:vAlign w:val="center"/>
          </w:tcPr>
          <w:p w14:paraId="7FC23649">
            <w:pPr>
              <w:widowControl/>
              <w:spacing w:line="360" w:lineRule="auto"/>
              <w:jc w:val="left"/>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rPr>
              <w:t>项目竣工验收前聘请第三方具备测评资质的单位</w:t>
            </w:r>
            <w:r>
              <w:rPr>
                <w:rFonts w:hint="eastAsia" w:ascii="宋体" w:hAnsi="宋体" w:cs="宋体"/>
                <w:color w:val="auto"/>
                <w:kern w:val="0"/>
                <w:sz w:val="21"/>
                <w:szCs w:val="21"/>
                <w:highlight w:val="none"/>
                <w:lang w:val="en-US" w:eastAsia="zh-CN"/>
              </w:rPr>
              <w:t>进行</w:t>
            </w:r>
            <w:r>
              <w:rPr>
                <w:rFonts w:hint="eastAsia" w:ascii="宋体" w:hAnsi="宋体" w:cs="宋体"/>
                <w:color w:val="auto"/>
                <w:kern w:val="0"/>
                <w:sz w:val="21"/>
                <w:szCs w:val="21"/>
                <w:highlight w:val="none"/>
              </w:rPr>
              <w:t>商用密码应</w:t>
            </w:r>
            <w:r>
              <w:rPr>
                <w:rFonts w:hint="eastAsia" w:ascii="宋体" w:hAnsi="宋体" w:cs="宋体"/>
                <w:color w:val="auto"/>
                <w:kern w:val="0"/>
                <w:sz w:val="21"/>
                <w:szCs w:val="21"/>
                <w:highlight w:val="none"/>
                <w:lang w:val="en-US" w:eastAsia="zh-CN"/>
              </w:rPr>
              <w:t>用</w:t>
            </w:r>
            <w:r>
              <w:rPr>
                <w:rFonts w:hint="eastAsia" w:ascii="宋体" w:hAnsi="宋体" w:cs="宋体"/>
                <w:color w:val="auto"/>
                <w:kern w:val="0"/>
                <w:sz w:val="21"/>
                <w:szCs w:val="21"/>
                <w:highlight w:val="none"/>
              </w:rPr>
              <w:t>安全性评估（三级），结论为“基本符合”或优于“基本符合”</w:t>
            </w:r>
            <w:r>
              <w:rPr>
                <w:rFonts w:hint="eastAsia" w:ascii="宋体" w:hAnsi="宋体" w:cs="宋体"/>
                <w:color w:val="auto"/>
                <w:kern w:val="0"/>
                <w:sz w:val="21"/>
                <w:szCs w:val="21"/>
                <w:highlight w:val="none"/>
                <w:lang w:eastAsia="zh-CN"/>
              </w:rPr>
              <w:t>。</w:t>
            </w:r>
          </w:p>
        </w:tc>
      </w:tr>
      <w:tr w14:paraId="2B6AB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205" w:type="dxa"/>
            <w:gridSpan w:val="5"/>
            <w:shd w:val="clear" w:color="000000" w:fill="D8D8D8"/>
            <w:vAlign w:val="center"/>
          </w:tcPr>
          <w:p w14:paraId="7382AFF9">
            <w:pPr>
              <w:widowControl/>
              <w:spacing w:line="360" w:lineRule="auto"/>
              <w:jc w:val="left"/>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▲二、商务条款</w:t>
            </w:r>
          </w:p>
        </w:tc>
      </w:tr>
      <w:tr w14:paraId="728D0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71" w:type="dxa"/>
            <w:gridSpan w:val="2"/>
            <w:tcBorders>
              <w:right w:val="single" w:color="auto" w:sz="4" w:space="0"/>
            </w:tcBorders>
            <w:shd w:val="clear" w:color="auto" w:fill="auto"/>
            <w:vAlign w:val="center"/>
          </w:tcPr>
          <w:p w14:paraId="17B36634">
            <w:pPr>
              <w:widowControl/>
              <w:spacing w:line="360" w:lineRule="auto"/>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合同签订期</w:t>
            </w:r>
          </w:p>
        </w:tc>
        <w:tc>
          <w:tcPr>
            <w:tcW w:w="873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2A037EF">
            <w:pPr>
              <w:widowControl/>
              <w:spacing w:line="360" w:lineRule="auto"/>
              <w:rPr>
                <w:rFonts w:ascii="宋体" w:hAnsi="宋体" w:cs="宋体"/>
                <w:color w:val="auto"/>
                <w:kern w:val="0"/>
                <w:sz w:val="21"/>
                <w:szCs w:val="21"/>
                <w:highlight w:val="none"/>
              </w:rPr>
            </w:pPr>
            <w:r>
              <w:rPr>
                <w:rFonts w:hint="eastAsia" w:ascii="宋体" w:hAnsi="宋体" w:cs="宋体"/>
                <w:color w:val="auto"/>
                <w:kern w:val="0"/>
                <w:sz w:val="21"/>
                <w:szCs w:val="21"/>
                <w:highlight w:val="none"/>
              </w:rPr>
              <w:t>自中标通知书发出之日起</w:t>
            </w:r>
            <w:r>
              <w:rPr>
                <w:rFonts w:hint="eastAsia" w:ascii="宋体" w:hAnsi="宋体" w:cs="宋体"/>
                <w:color w:val="auto"/>
                <w:kern w:val="0"/>
                <w:sz w:val="21"/>
                <w:szCs w:val="21"/>
                <w:highlight w:val="none"/>
                <w:u w:val="single"/>
              </w:rPr>
              <w:t>25</w:t>
            </w:r>
            <w:r>
              <w:rPr>
                <w:rFonts w:hint="eastAsia" w:ascii="宋体" w:hAnsi="宋体" w:cs="宋体"/>
                <w:color w:val="auto"/>
                <w:kern w:val="0"/>
                <w:sz w:val="21"/>
                <w:szCs w:val="21"/>
                <w:highlight w:val="none"/>
              </w:rPr>
              <w:t>日内。</w:t>
            </w:r>
          </w:p>
        </w:tc>
      </w:tr>
      <w:tr w14:paraId="62637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71" w:type="dxa"/>
            <w:gridSpan w:val="2"/>
            <w:vMerge w:val="restart"/>
            <w:tcBorders>
              <w:right w:val="single" w:color="auto" w:sz="4" w:space="0"/>
            </w:tcBorders>
            <w:shd w:val="clear" w:color="auto" w:fill="auto"/>
            <w:vAlign w:val="center"/>
          </w:tcPr>
          <w:p w14:paraId="03AB789C">
            <w:pPr>
              <w:widowControl/>
              <w:spacing w:line="360" w:lineRule="auto"/>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交付时间和地点</w:t>
            </w:r>
          </w:p>
        </w:tc>
        <w:tc>
          <w:tcPr>
            <w:tcW w:w="8734" w:type="dxa"/>
            <w:gridSpan w:val="3"/>
            <w:tcBorders>
              <w:top w:val="single" w:color="auto" w:sz="4" w:space="0"/>
              <w:left w:val="single" w:color="auto" w:sz="4" w:space="0"/>
              <w:bottom w:val="nil"/>
              <w:right w:val="single" w:color="auto" w:sz="4" w:space="0"/>
            </w:tcBorders>
            <w:shd w:val="clear" w:color="000000" w:fill="auto"/>
            <w:vAlign w:val="center"/>
          </w:tcPr>
          <w:p w14:paraId="0C011917">
            <w:pPr>
              <w:widowControl/>
              <w:spacing w:line="360" w:lineRule="auto"/>
              <w:rPr>
                <w:rFonts w:ascii="宋体" w:hAnsi="宋体" w:cs="宋体"/>
                <w:color w:val="auto"/>
                <w:kern w:val="0"/>
                <w:sz w:val="21"/>
                <w:szCs w:val="21"/>
                <w:highlight w:val="none"/>
              </w:rPr>
            </w:pPr>
            <w:r>
              <w:rPr>
                <w:rFonts w:hint="eastAsia" w:ascii="宋体" w:hAnsi="宋体" w:cs="宋体"/>
                <w:color w:val="auto"/>
                <w:kern w:val="0"/>
                <w:sz w:val="21"/>
                <w:szCs w:val="21"/>
                <w:highlight w:val="none"/>
              </w:rPr>
              <w:t>1.交付时间：自签订合同之日起6个月内完成广西公安数字化反电诈平台建设并部署上线。</w:t>
            </w:r>
          </w:p>
        </w:tc>
      </w:tr>
      <w:tr w14:paraId="46A91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71" w:type="dxa"/>
            <w:gridSpan w:val="2"/>
            <w:vMerge w:val="continue"/>
            <w:tcBorders>
              <w:right w:val="single" w:color="auto" w:sz="4" w:space="0"/>
            </w:tcBorders>
            <w:vAlign w:val="center"/>
          </w:tcPr>
          <w:p w14:paraId="120F5E39">
            <w:pPr>
              <w:widowControl/>
              <w:spacing w:line="360" w:lineRule="auto"/>
              <w:jc w:val="center"/>
              <w:rPr>
                <w:rFonts w:ascii="宋体" w:hAnsi="宋体" w:cs="宋体"/>
                <w:color w:val="auto"/>
                <w:kern w:val="0"/>
                <w:sz w:val="21"/>
                <w:szCs w:val="21"/>
                <w:highlight w:val="none"/>
              </w:rPr>
            </w:pPr>
          </w:p>
        </w:tc>
        <w:tc>
          <w:tcPr>
            <w:tcW w:w="8734" w:type="dxa"/>
            <w:gridSpan w:val="3"/>
            <w:tcBorders>
              <w:top w:val="nil"/>
              <w:left w:val="single" w:color="auto" w:sz="4" w:space="0"/>
              <w:bottom w:val="single" w:color="auto" w:sz="4" w:space="0"/>
              <w:right w:val="single" w:color="auto" w:sz="4" w:space="0"/>
            </w:tcBorders>
            <w:shd w:val="clear" w:color="auto" w:fill="auto"/>
            <w:vAlign w:val="center"/>
          </w:tcPr>
          <w:p w14:paraId="442707B9">
            <w:pPr>
              <w:widowControl/>
              <w:spacing w:line="360" w:lineRule="auto"/>
              <w:rPr>
                <w:rFonts w:ascii="宋体" w:hAnsi="宋体" w:cs="宋体"/>
                <w:color w:val="auto"/>
                <w:kern w:val="0"/>
                <w:sz w:val="21"/>
                <w:szCs w:val="21"/>
                <w:highlight w:val="none"/>
              </w:rPr>
            </w:pPr>
            <w:r>
              <w:rPr>
                <w:rFonts w:hint="eastAsia" w:ascii="宋体" w:hAnsi="宋体" w:cs="宋体"/>
                <w:color w:val="auto"/>
                <w:kern w:val="0"/>
                <w:sz w:val="21"/>
                <w:szCs w:val="21"/>
                <w:highlight w:val="none"/>
              </w:rPr>
              <w:t>2.地点：广西区内采购人指定地点。</w:t>
            </w:r>
          </w:p>
        </w:tc>
      </w:tr>
      <w:tr w14:paraId="5BEA8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71" w:type="dxa"/>
            <w:gridSpan w:val="2"/>
            <w:vMerge w:val="restart"/>
            <w:tcBorders>
              <w:right w:val="single" w:color="auto" w:sz="4" w:space="0"/>
            </w:tcBorders>
            <w:shd w:val="clear" w:color="auto" w:fill="auto"/>
            <w:vAlign w:val="center"/>
          </w:tcPr>
          <w:p w14:paraId="5B76A407">
            <w:pPr>
              <w:widowControl/>
              <w:spacing w:line="360" w:lineRule="auto"/>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验收标准、流程及要求</w:t>
            </w:r>
          </w:p>
        </w:tc>
        <w:tc>
          <w:tcPr>
            <w:tcW w:w="8734" w:type="dxa"/>
            <w:gridSpan w:val="3"/>
            <w:tcBorders>
              <w:top w:val="single" w:color="auto" w:sz="4" w:space="0"/>
              <w:left w:val="single" w:color="auto" w:sz="4" w:space="0"/>
              <w:bottom w:val="nil"/>
              <w:right w:val="single" w:color="auto" w:sz="4" w:space="0"/>
            </w:tcBorders>
            <w:shd w:val="clear" w:color="auto" w:fill="auto"/>
            <w:vAlign w:val="center"/>
          </w:tcPr>
          <w:p w14:paraId="67419860">
            <w:pPr>
              <w:widowControl/>
              <w:spacing w:line="360" w:lineRule="auto"/>
              <w:rPr>
                <w:rFonts w:ascii="宋体" w:hAnsi="宋体" w:cs="宋体"/>
                <w:color w:val="auto"/>
                <w:kern w:val="0"/>
                <w:sz w:val="21"/>
                <w:szCs w:val="21"/>
                <w:highlight w:val="none"/>
              </w:rPr>
            </w:pPr>
            <w:r>
              <w:rPr>
                <w:rFonts w:hint="eastAsia" w:ascii="宋体" w:hAnsi="宋体" w:cs="宋体"/>
                <w:color w:val="auto"/>
                <w:kern w:val="0"/>
                <w:sz w:val="21"/>
                <w:szCs w:val="21"/>
                <w:highlight w:val="none"/>
              </w:rPr>
              <w:t>1．验收标准：</w:t>
            </w:r>
            <w:r>
              <w:rPr>
                <w:rFonts w:hint="eastAsia" w:ascii="宋体" w:hAnsi="宋体" w:cs="宋体"/>
                <w:color w:val="auto"/>
                <w:kern w:val="0"/>
                <w:sz w:val="21"/>
                <w:szCs w:val="21"/>
                <w:highlight w:val="none"/>
                <w:lang w:val="en-US" w:eastAsia="zh-CN"/>
              </w:rPr>
              <w:t>根据国家、广西壮族自治区公安厅、广西壮族自治区大数据发展局等相关</w:t>
            </w:r>
            <w:r>
              <w:rPr>
                <w:rFonts w:hint="eastAsia" w:ascii="宋体" w:hAnsi="宋体" w:cs="宋体"/>
                <w:color w:val="auto"/>
                <w:kern w:val="0"/>
                <w:sz w:val="21"/>
                <w:szCs w:val="21"/>
                <w:highlight w:val="none"/>
              </w:rPr>
              <w:t>验收标准进行。</w:t>
            </w:r>
          </w:p>
        </w:tc>
      </w:tr>
      <w:tr w14:paraId="426BA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71" w:type="dxa"/>
            <w:gridSpan w:val="2"/>
            <w:vMerge w:val="continue"/>
            <w:tcBorders>
              <w:right w:val="single" w:color="auto" w:sz="4" w:space="0"/>
            </w:tcBorders>
            <w:vAlign w:val="center"/>
          </w:tcPr>
          <w:p w14:paraId="2290378F">
            <w:pPr>
              <w:widowControl/>
              <w:spacing w:line="360" w:lineRule="auto"/>
              <w:jc w:val="center"/>
              <w:rPr>
                <w:rFonts w:ascii="宋体" w:hAnsi="宋体" w:cs="宋体"/>
                <w:color w:val="auto"/>
                <w:kern w:val="0"/>
                <w:sz w:val="21"/>
                <w:szCs w:val="21"/>
                <w:highlight w:val="none"/>
              </w:rPr>
            </w:pPr>
          </w:p>
        </w:tc>
        <w:tc>
          <w:tcPr>
            <w:tcW w:w="8734" w:type="dxa"/>
            <w:gridSpan w:val="3"/>
            <w:tcBorders>
              <w:top w:val="nil"/>
              <w:left w:val="single" w:color="auto" w:sz="4" w:space="0"/>
              <w:bottom w:val="nil"/>
              <w:right w:val="single" w:color="auto" w:sz="4" w:space="0"/>
            </w:tcBorders>
            <w:shd w:val="clear" w:color="auto" w:fill="auto"/>
            <w:vAlign w:val="center"/>
          </w:tcPr>
          <w:p w14:paraId="45042A22">
            <w:pPr>
              <w:widowControl/>
              <w:spacing w:line="360" w:lineRule="auto"/>
              <w:rPr>
                <w:rFonts w:ascii="宋体" w:hAnsi="宋体" w:cs="宋体"/>
                <w:color w:val="auto"/>
                <w:kern w:val="0"/>
                <w:sz w:val="21"/>
                <w:szCs w:val="21"/>
                <w:highlight w:val="none"/>
              </w:rPr>
            </w:pPr>
            <w:r>
              <w:rPr>
                <w:rFonts w:hint="eastAsia" w:ascii="宋体" w:hAnsi="宋体" w:cs="宋体"/>
                <w:color w:val="auto"/>
                <w:kern w:val="0"/>
                <w:sz w:val="21"/>
                <w:szCs w:val="21"/>
                <w:highlight w:val="none"/>
              </w:rPr>
              <w:t>2．验收流程及要求：</w:t>
            </w:r>
          </w:p>
        </w:tc>
      </w:tr>
      <w:tr w14:paraId="14CCE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1471" w:type="dxa"/>
            <w:gridSpan w:val="2"/>
            <w:vMerge w:val="continue"/>
            <w:tcBorders>
              <w:right w:val="single" w:color="auto" w:sz="4" w:space="0"/>
            </w:tcBorders>
            <w:vAlign w:val="center"/>
          </w:tcPr>
          <w:p w14:paraId="06E43185">
            <w:pPr>
              <w:widowControl/>
              <w:spacing w:line="360" w:lineRule="auto"/>
              <w:jc w:val="center"/>
              <w:rPr>
                <w:rFonts w:ascii="宋体" w:hAnsi="宋体" w:cs="宋体"/>
                <w:color w:val="auto"/>
                <w:kern w:val="0"/>
                <w:sz w:val="21"/>
                <w:szCs w:val="21"/>
                <w:highlight w:val="none"/>
              </w:rPr>
            </w:pPr>
          </w:p>
        </w:tc>
        <w:tc>
          <w:tcPr>
            <w:tcW w:w="8734" w:type="dxa"/>
            <w:gridSpan w:val="3"/>
            <w:tcBorders>
              <w:top w:val="nil"/>
              <w:left w:val="single" w:color="auto" w:sz="4" w:space="0"/>
              <w:bottom w:val="nil"/>
              <w:right w:val="single" w:color="auto" w:sz="4" w:space="0"/>
            </w:tcBorders>
            <w:shd w:val="clear" w:color="auto" w:fill="auto"/>
            <w:vAlign w:val="center"/>
          </w:tcPr>
          <w:p w14:paraId="2FB9B072">
            <w:pPr>
              <w:widowControl/>
              <w:spacing w:line="360" w:lineRule="auto"/>
              <w:rPr>
                <w:rFonts w:ascii="宋体" w:hAnsi="宋体" w:cs="宋体"/>
                <w:color w:val="auto"/>
                <w:kern w:val="0"/>
                <w:sz w:val="21"/>
                <w:szCs w:val="21"/>
                <w:highlight w:val="none"/>
              </w:rPr>
            </w:pPr>
            <w:r>
              <w:rPr>
                <w:rFonts w:hint="eastAsia" w:ascii="宋体" w:hAnsi="宋体" w:cs="宋体"/>
                <w:color w:val="auto"/>
                <w:kern w:val="0"/>
                <w:sz w:val="21"/>
                <w:szCs w:val="21"/>
                <w:highlight w:val="none"/>
              </w:rPr>
              <w:t>（1）广西公安数字化反电诈平台</w:t>
            </w:r>
            <w:r>
              <w:rPr>
                <w:rFonts w:hint="eastAsia" w:ascii="宋体" w:hAnsi="宋体" w:cs="宋体"/>
                <w:color w:val="auto"/>
                <w:kern w:val="0"/>
                <w:sz w:val="21"/>
                <w:szCs w:val="21"/>
                <w:highlight w:val="none"/>
                <w:lang w:val="en-US" w:eastAsia="zh-CN"/>
              </w:rPr>
              <w:t>完成全部建设后提请广西壮族自治区公安厅科信办开展</w:t>
            </w:r>
            <w:r>
              <w:rPr>
                <w:rFonts w:hint="eastAsia" w:ascii="宋体" w:hAnsi="宋体" w:cs="宋体"/>
                <w:color w:val="auto"/>
                <w:kern w:val="0"/>
                <w:sz w:val="21"/>
                <w:szCs w:val="21"/>
                <w:highlight w:val="none"/>
                <w:lang w:eastAsia="zh-CN"/>
              </w:rPr>
              <w:t>初步验收</w:t>
            </w:r>
            <w:r>
              <w:rPr>
                <w:rFonts w:hint="eastAsia" w:ascii="宋体" w:hAnsi="宋体" w:cs="宋体"/>
                <w:color w:val="auto"/>
                <w:kern w:val="0"/>
                <w:sz w:val="21"/>
                <w:szCs w:val="21"/>
                <w:highlight w:val="none"/>
              </w:rPr>
              <w:t>，并形成初步验收意见。初步验收通过后进入试运行期。</w:t>
            </w:r>
          </w:p>
        </w:tc>
      </w:tr>
      <w:tr w14:paraId="255B0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71" w:type="dxa"/>
            <w:gridSpan w:val="2"/>
            <w:vMerge w:val="continue"/>
            <w:tcBorders>
              <w:right w:val="single" w:color="auto" w:sz="4" w:space="0"/>
            </w:tcBorders>
            <w:vAlign w:val="center"/>
          </w:tcPr>
          <w:p w14:paraId="6F4CD783">
            <w:pPr>
              <w:widowControl/>
              <w:spacing w:line="360" w:lineRule="auto"/>
              <w:jc w:val="center"/>
              <w:rPr>
                <w:rFonts w:ascii="宋体" w:hAnsi="宋体" w:cs="宋体"/>
                <w:color w:val="auto"/>
                <w:kern w:val="0"/>
                <w:sz w:val="21"/>
                <w:szCs w:val="21"/>
                <w:highlight w:val="none"/>
              </w:rPr>
            </w:pPr>
          </w:p>
        </w:tc>
        <w:tc>
          <w:tcPr>
            <w:tcW w:w="8734" w:type="dxa"/>
            <w:gridSpan w:val="3"/>
            <w:tcBorders>
              <w:top w:val="nil"/>
              <w:left w:val="single" w:color="auto" w:sz="4" w:space="0"/>
              <w:bottom w:val="nil"/>
              <w:right w:val="single" w:color="auto" w:sz="4" w:space="0"/>
            </w:tcBorders>
            <w:shd w:val="clear" w:color="auto" w:fill="auto"/>
            <w:vAlign w:val="center"/>
          </w:tcPr>
          <w:p w14:paraId="0FF22FC7">
            <w:pPr>
              <w:widowControl/>
              <w:spacing w:line="360" w:lineRule="auto"/>
              <w:rPr>
                <w:rFonts w:ascii="宋体" w:hAnsi="宋体" w:cs="宋体"/>
                <w:color w:val="auto"/>
                <w:kern w:val="0"/>
                <w:sz w:val="21"/>
                <w:szCs w:val="21"/>
                <w:highlight w:val="none"/>
              </w:rPr>
            </w:pPr>
            <w:r>
              <w:rPr>
                <w:rFonts w:hint="eastAsia" w:ascii="宋体" w:hAnsi="宋体" w:cs="宋体"/>
                <w:color w:val="auto"/>
                <w:kern w:val="0"/>
                <w:sz w:val="21"/>
                <w:szCs w:val="21"/>
                <w:highlight w:val="none"/>
              </w:rPr>
              <w:t>（2）广西公安数字化反电诈平台试运行期为一个月，试运行期间若发现系统与技术规范或业务需求不符的情况时，中标人应按要求进行调整，并视具体情况确定是否需要顺延试运行期</w:t>
            </w: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rPr>
              <w:t>试运行期满</w:t>
            </w:r>
            <w:r>
              <w:rPr>
                <w:rFonts w:hint="eastAsia" w:ascii="宋体" w:hAnsi="宋体" w:cs="宋体"/>
                <w:color w:val="auto"/>
                <w:kern w:val="0"/>
                <w:sz w:val="21"/>
                <w:szCs w:val="21"/>
                <w:highlight w:val="none"/>
                <w:lang w:val="en-US" w:eastAsia="zh-CN"/>
              </w:rPr>
              <w:t>后由广西壮族自治区公安厅科信办提请广西壮族自治区大数据发展局开展竣工验收（即最终验收）</w:t>
            </w:r>
            <w:r>
              <w:rPr>
                <w:rFonts w:hint="eastAsia" w:ascii="宋体" w:hAnsi="宋体" w:cs="宋体"/>
                <w:color w:val="auto"/>
                <w:kern w:val="0"/>
                <w:sz w:val="21"/>
                <w:szCs w:val="21"/>
                <w:highlight w:val="none"/>
              </w:rPr>
              <w:t>。</w:t>
            </w:r>
          </w:p>
        </w:tc>
      </w:tr>
      <w:tr w14:paraId="34B2A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71" w:type="dxa"/>
            <w:gridSpan w:val="2"/>
            <w:vMerge w:val="continue"/>
            <w:tcBorders>
              <w:right w:val="single" w:color="auto" w:sz="4" w:space="0"/>
            </w:tcBorders>
            <w:vAlign w:val="center"/>
          </w:tcPr>
          <w:p w14:paraId="4AB831E8">
            <w:pPr>
              <w:widowControl/>
              <w:spacing w:line="360" w:lineRule="auto"/>
              <w:jc w:val="center"/>
              <w:rPr>
                <w:rFonts w:ascii="宋体" w:hAnsi="宋体" w:cs="宋体"/>
                <w:color w:val="auto"/>
                <w:kern w:val="0"/>
                <w:sz w:val="21"/>
                <w:szCs w:val="21"/>
                <w:highlight w:val="none"/>
              </w:rPr>
            </w:pPr>
          </w:p>
        </w:tc>
        <w:tc>
          <w:tcPr>
            <w:tcW w:w="8734" w:type="dxa"/>
            <w:gridSpan w:val="3"/>
            <w:tcBorders>
              <w:top w:val="nil"/>
              <w:left w:val="single" w:color="auto" w:sz="4" w:space="0"/>
              <w:bottom w:val="nil"/>
              <w:right w:val="single" w:color="auto" w:sz="4" w:space="0"/>
            </w:tcBorders>
            <w:shd w:val="clear" w:color="auto" w:fill="auto"/>
            <w:vAlign w:val="center"/>
          </w:tcPr>
          <w:p w14:paraId="6EA7FDBF">
            <w:pPr>
              <w:widowControl/>
              <w:spacing w:line="360" w:lineRule="auto"/>
              <w:rPr>
                <w:rFonts w:ascii="宋体" w:hAnsi="宋体" w:cs="宋体"/>
                <w:color w:val="auto"/>
                <w:kern w:val="0"/>
                <w:sz w:val="21"/>
                <w:szCs w:val="21"/>
                <w:highlight w:val="none"/>
              </w:rPr>
            </w:pP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lang w:val="en-US" w:eastAsia="zh-CN"/>
              </w:rPr>
              <w:t>3</w:t>
            </w:r>
            <w:r>
              <w:rPr>
                <w:rFonts w:hint="eastAsia" w:ascii="宋体" w:hAnsi="宋体" w:cs="宋体"/>
                <w:color w:val="auto"/>
                <w:kern w:val="0"/>
                <w:sz w:val="21"/>
                <w:szCs w:val="21"/>
                <w:highlight w:val="none"/>
                <w:lang w:eastAsia="zh-CN"/>
              </w:rPr>
              <w:t>）</w:t>
            </w:r>
            <w:r>
              <w:rPr>
                <w:rFonts w:hint="eastAsia" w:ascii="宋体" w:hAnsi="宋体" w:cs="宋体"/>
                <w:color w:val="auto"/>
                <w:szCs w:val="21"/>
                <w:highlight w:val="none"/>
                <w:lang w:val="en-US" w:eastAsia="zh-CN"/>
              </w:rPr>
              <w:t>采购人及中标人</w:t>
            </w:r>
            <w:r>
              <w:rPr>
                <w:rFonts w:hint="eastAsia" w:ascii="宋体" w:hAnsi="宋体" w:cs="宋体"/>
                <w:color w:val="auto"/>
                <w:szCs w:val="21"/>
                <w:highlight w:val="none"/>
                <w:lang w:eastAsia="zh-Hans"/>
              </w:rPr>
              <w:t>双方应按照《广西壮族自治区政府采购项目履约验收管理办法》、双方合同、投标文件</w:t>
            </w:r>
            <w:r>
              <w:rPr>
                <w:rFonts w:hint="eastAsia" w:ascii="宋体" w:hAnsi="宋体" w:cs="宋体"/>
                <w:color w:val="auto"/>
                <w:szCs w:val="21"/>
                <w:highlight w:val="none"/>
              </w:rPr>
              <w:t>、</w:t>
            </w:r>
            <w:r>
              <w:rPr>
                <w:rFonts w:hint="eastAsia" w:ascii="宋体" w:hAnsi="宋体" w:cs="宋体"/>
                <w:color w:val="auto"/>
                <w:kern w:val="0"/>
                <w:szCs w:val="21"/>
                <w:highlight w:val="none"/>
              </w:rPr>
              <w:t>自治区公安厅验收标准</w:t>
            </w:r>
            <w:r>
              <w:rPr>
                <w:rFonts w:hint="eastAsia" w:ascii="宋体" w:hAnsi="宋体" w:cs="宋体"/>
                <w:color w:val="auto"/>
                <w:kern w:val="0"/>
                <w:szCs w:val="21"/>
                <w:highlight w:val="none"/>
                <w:lang w:val="en-US" w:eastAsia="zh-CN"/>
              </w:rPr>
              <w:t>对本项目各项建设内容及相关服务内容（含系统运维服务）</w:t>
            </w:r>
            <w:r>
              <w:rPr>
                <w:rFonts w:hint="eastAsia" w:ascii="宋体" w:hAnsi="宋体" w:cs="宋体"/>
                <w:color w:val="auto"/>
                <w:szCs w:val="21"/>
                <w:highlight w:val="none"/>
              </w:rPr>
              <w:t>进行</w:t>
            </w:r>
            <w:r>
              <w:rPr>
                <w:rFonts w:hint="eastAsia" w:ascii="宋体" w:hAnsi="宋体" w:cs="宋体"/>
                <w:color w:val="auto"/>
                <w:szCs w:val="21"/>
                <w:highlight w:val="none"/>
                <w:lang w:eastAsia="zh-Hans"/>
              </w:rPr>
              <w:t>验收</w:t>
            </w:r>
            <w:r>
              <w:rPr>
                <w:rFonts w:hint="eastAsia" w:ascii="宋体" w:hAnsi="宋体" w:cs="宋体"/>
                <w:color w:val="auto"/>
                <w:szCs w:val="21"/>
                <w:highlight w:val="none"/>
                <w:lang w:eastAsia="zh-CN"/>
              </w:rPr>
              <w:t>。</w:t>
            </w:r>
          </w:p>
        </w:tc>
      </w:tr>
      <w:tr w14:paraId="74C70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71" w:type="dxa"/>
            <w:gridSpan w:val="2"/>
            <w:vMerge w:val="continue"/>
            <w:tcBorders>
              <w:right w:val="single" w:color="auto" w:sz="4" w:space="0"/>
            </w:tcBorders>
            <w:vAlign w:val="center"/>
          </w:tcPr>
          <w:p w14:paraId="31C090EE">
            <w:pPr>
              <w:widowControl/>
              <w:spacing w:line="360" w:lineRule="auto"/>
              <w:jc w:val="center"/>
              <w:rPr>
                <w:rFonts w:ascii="宋体" w:hAnsi="宋体" w:cs="宋体"/>
                <w:color w:val="auto"/>
                <w:kern w:val="0"/>
                <w:sz w:val="21"/>
                <w:szCs w:val="21"/>
                <w:highlight w:val="none"/>
              </w:rPr>
            </w:pPr>
          </w:p>
        </w:tc>
        <w:tc>
          <w:tcPr>
            <w:tcW w:w="8734" w:type="dxa"/>
            <w:gridSpan w:val="3"/>
            <w:tcBorders>
              <w:top w:val="nil"/>
              <w:left w:val="single" w:color="auto" w:sz="4" w:space="0"/>
              <w:bottom w:val="nil"/>
              <w:right w:val="single" w:color="auto" w:sz="4" w:space="0"/>
            </w:tcBorders>
            <w:shd w:val="clear" w:color="auto" w:fill="auto"/>
            <w:vAlign w:val="center"/>
          </w:tcPr>
          <w:p w14:paraId="15D775A7">
            <w:pPr>
              <w:widowControl/>
              <w:spacing w:line="360" w:lineRule="auto"/>
              <w:rPr>
                <w:rFonts w:ascii="宋体" w:hAnsi="宋体" w:cs="宋体"/>
                <w:color w:val="auto"/>
                <w:kern w:val="0"/>
                <w:sz w:val="21"/>
                <w:szCs w:val="21"/>
                <w:highlight w:val="none"/>
              </w:rPr>
            </w:pPr>
            <w:r>
              <w:rPr>
                <w:rFonts w:hint="eastAsia" w:ascii="宋体" w:hAnsi="宋体" w:cs="宋体"/>
                <w:color w:val="auto"/>
                <w:kern w:val="0"/>
                <w:sz w:val="21"/>
                <w:szCs w:val="21"/>
                <w:highlight w:val="none"/>
              </w:rPr>
              <w:t>（</w:t>
            </w:r>
            <w:r>
              <w:rPr>
                <w:rFonts w:hint="default" w:ascii="宋体" w:hAnsi="宋体" w:cs="宋体"/>
                <w:color w:val="auto"/>
                <w:kern w:val="0"/>
                <w:sz w:val="21"/>
                <w:szCs w:val="21"/>
                <w:highlight w:val="none"/>
                <w:lang w:val="en-US"/>
              </w:rPr>
              <w:t>4</w:t>
            </w:r>
            <w:r>
              <w:rPr>
                <w:rFonts w:hint="eastAsia" w:ascii="宋体" w:hAnsi="宋体" w:cs="宋体"/>
                <w:color w:val="auto"/>
                <w:kern w:val="0"/>
                <w:sz w:val="21"/>
                <w:szCs w:val="21"/>
                <w:highlight w:val="none"/>
              </w:rPr>
              <w:t>）</w:t>
            </w:r>
            <w:r>
              <w:rPr>
                <w:rFonts w:hint="eastAsia" w:ascii="宋体" w:hAnsi="宋体" w:cs="宋体"/>
                <w:color w:val="auto"/>
                <w:kern w:val="0"/>
                <w:sz w:val="21"/>
                <w:szCs w:val="21"/>
                <w:highlight w:val="none"/>
                <w:lang w:val="en-US" w:eastAsia="zh-CN"/>
              </w:rPr>
              <w:t>本项目必须</w:t>
            </w:r>
            <w:r>
              <w:rPr>
                <w:rFonts w:hint="eastAsia" w:ascii="宋体" w:hAnsi="宋体" w:cs="宋体"/>
                <w:color w:val="auto"/>
                <w:kern w:val="0"/>
                <w:sz w:val="21"/>
                <w:szCs w:val="21"/>
                <w:highlight w:val="none"/>
              </w:rPr>
              <w:t>按照</w:t>
            </w:r>
            <w:r>
              <w:rPr>
                <w:rFonts w:hint="eastAsia" w:ascii="宋体" w:hAnsi="宋体" w:cs="宋体"/>
                <w:color w:val="auto"/>
                <w:kern w:val="0"/>
                <w:sz w:val="21"/>
                <w:szCs w:val="21"/>
                <w:highlight w:val="none"/>
                <w:lang w:val="en-US" w:eastAsia="zh-CN"/>
              </w:rPr>
              <w:t>国家、自治区及公安厅政务</w:t>
            </w:r>
            <w:r>
              <w:rPr>
                <w:rFonts w:hint="eastAsia" w:ascii="宋体" w:hAnsi="宋体" w:cs="宋体"/>
                <w:color w:val="auto"/>
                <w:kern w:val="0"/>
                <w:sz w:val="21"/>
                <w:szCs w:val="21"/>
                <w:highlight w:val="none"/>
              </w:rPr>
              <w:t>信息化项目管理有关规定开展</w:t>
            </w:r>
            <w:r>
              <w:rPr>
                <w:rFonts w:hint="eastAsia" w:ascii="宋体" w:hAnsi="宋体" w:cs="宋体"/>
                <w:color w:val="auto"/>
                <w:kern w:val="0"/>
                <w:sz w:val="21"/>
                <w:szCs w:val="21"/>
                <w:highlight w:val="none"/>
                <w:lang w:val="en-US" w:eastAsia="zh-CN"/>
              </w:rPr>
              <w:t>项目</w:t>
            </w:r>
            <w:r>
              <w:rPr>
                <w:rFonts w:hint="eastAsia" w:ascii="宋体" w:hAnsi="宋体" w:cs="宋体"/>
                <w:color w:val="auto"/>
                <w:kern w:val="0"/>
                <w:sz w:val="21"/>
                <w:szCs w:val="21"/>
                <w:highlight w:val="none"/>
              </w:rPr>
              <w:t>建设监理、功能测试、初验、试运行等工作。</w:t>
            </w:r>
          </w:p>
        </w:tc>
      </w:tr>
      <w:tr w14:paraId="222CC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1471" w:type="dxa"/>
            <w:gridSpan w:val="2"/>
            <w:vMerge w:val="continue"/>
            <w:tcBorders>
              <w:right w:val="single" w:color="auto" w:sz="4" w:space="0"/>
            </w:tcBorders>
            <w:vAlign w:val="center"/>
          </w:tcPr>
          <w:p w14:paraId="3584363A">
            <w:pPr>
              <w:widowControl/>
              <w:spacing w:line="360" w:lineRule="auto"/>
              <w:jc w:val="center"/>
              <w:rPr>
                <w:rFonts w:ascii="宋体" w:hAnsi="宋体" w:cs="宋体"/>
                <w:color w:val="auto"/>
                <w:kern w:val="0"/>
                <w:sz w:val="21"/>
                <w:szCs w:val="21"/>
                <w:highlight w:val="none"/>
              </w:rPr>
            </w:pPr>
          </w:p>
        </w:tc>
        <w:tc>
          <w:tcPr>
            <w:tcW w:w="8734" w:type="dxa"/>
            <w:gridSpan w:val="3"/>
            <w:tcBorders>
              <w:top w:val="nil"/>
              <w:left w:val="single" w:color="auto" w:sz="4" w:space="0"/>
              <w:bottom w:val="nil"/>
              <w:right w:val="single" w:color="auto" w:sz="4" w:space="0"/>
            </w:tcBorders>
            <w:shd w:val="clear" w:color="auto" w:fill="auto"/>
            <w:vAlign w:val="center"/>
          </w:tcPr>
          <w:p w14:paraId="3567C776">
            <w:pPr>
              <w:widowControl/>
              <w:spacing w:line="360" w:lineRule="auto"/>
              <w:rPr>
                <w:rFonts w:ascii="宋体" w:hAnsi="宋体" w:cs="宋体"/>
                <w:color w:val="auto"/>
                <w:kern w:val="0"/>
                <w:sz w:val="21"/>
                <w:szCs w:val="21"/>
                <w:highlight w:val="none"/>
              </w:rPr>
            </w:pPr>
            <w:r>
              <w:rPr>
                <w:rFonts w:hint="eastAsia" w:ascii="宋体" w:hAnsi="宋体" w:cs="宋体"/>
                <w:color w:val="auto"/>
                <w:kern w:val="0"/>
                <w:sz w:val="21"/>
                <w:szCs w:val="21"/>
                <w:highlight w:val="none"/>
              </w:rPr>
              <w:t>（</w:t>
            </w:r>
            <w:r>
              <w:rPr>
                <w:rFonts w:hint="default" w:ascii="宋体" w:hAnsi="宋体" w:cs="宋体"/>
                <w:color w:val="auto"/>
                <w:kern w:val="0"/>
                <w:sz w:val="21"/>
                <w:szCs w:val="21"/>
                <w:highlight w:val="none"/>
                <w:lang w:val="en-US"/>
              </w:rPr>
              <w:t>5</w:t>
            </w:r>
            <w:r>
              <w:rPr>
                <w:rFonts w:hint="eastAsia" w:ascii="宋体" w:hAnsi="宋体" w:cs="宋体"/>
                <w:color w:val="auto"/>
                <w:kern w:val="0"/>
                <w:sz w:val="21"/>
                <w:szCs w:val="21"/>
                <w:highlight w:val="none"/>
              </w:rPr>
              <w:t>）广西公安数字化反电诈平台验收时，中标人应向采购人提供关于整个项目建设的完整资料档案，包括但不限于项目建设内容方案、双方共同签署的各项文档及开发源代码等。</w:t>
            </w:r>
          </w:p>
        </w:tc>
      </w:tr>
      <w:tr w14:paraId="346F1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71" w:type="dxa"/>
            <w:gridSpan w:val="2"/>
            <w:vMerge w:val="restart"/>
            <w:tcBorders>
              <w:right w:val="single" w:color="auto" w:sz="4" w:space="0"/>
            </w:tcBorders>
            <w:shd w:val="clear" w:color="auto" w:fill="auto"/>
            <w:vAlign w:val="center"/>
          </w:tcPr>
          <w:p w14:paraId="386696E4">
            <w:pPr>
              <w:widowControl/>
              <w:spacing w:line="360" w:lineRule="auto"/>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采购人的其他要求</w:t>
            </w:r>
          </w:p>
        </w:tc>
        <w:tc>
          <w:tcPr>
            <w:tcW w:w="8734" w:type="dxa"/>
            <w:gridSpan w:val="3"/>
            <w:tcBorders>
              <w:top w:val="single" w:color="auto" w:sz="4" w:space="0"/>
              <w:left w:val="single" w:color="auto" w:sz="4" w:space="0"/>
              <w:bottom w:val="nil"/>
              <w:right w:val="single" w:color="auto" w:sz="4" w:space="0"/>
            </w:tcBorders>
            <w:shd w:val="clear" w:color="auto" w:fill="auto"/>
            <w:vAlign w:val="center"/>
          </w:tcPr>
          <w:p w14:paraId="3B66DDED">
            <w:pPr>
              <w:widowControl/>
              <w:numPr>
                <w:ilvl w:val="0"/>
                <w:numId w:val="5"/>
              </w:numPr>
              <w:spacing w:line="360" w:lineRule="auto"/>
              <w:ind w:left="5" w:leftChars="0" w:hanging="5" w:firstLineChars="0"/>
              <w:rPr>
                <w:rFonts w:ascii="宋体" w:hAnsi="宋体" w:cs="宋体"/>
                <w:color w:val="auto"/>
                <w:kern w:val="0"/>
                <w:sz w:val="21"/>
                <w:szCs w:val="21"/>
                <w:highlight w:val="none"/>
              </w:rPr>
            </w:pPr>
            <w:r>
              <w:rPr>
                <w:rFonts w:hint="eastAsia" w:ascii="宋体" w:hAnsi="宋体" w:cs="宋体"/>
                <w:b/>
                <w:bCs/>
                <w:color w:val="auto"/>
                <w:kern w:val="0"/>
                <w:sz w:val="21"/>
                <w:szCs w:val="21"/>
                <w:highlight w:val="none"/>
                <w:lang w:val="en-US" w:eastAsia="zh-CN"/>
              </w:rPr>
              <w:t>方案深化设计要求：</w:t>
            </w:r>
            <w:r>
              <w:rPr>
                <w:rFonts w:hint="eastAsia" w:ascii="宋体" w:hAnsi="宋体" w:cs="宋体"/>
                <w:b w:val="0"/>
                <w:bCs w:val="0"/>
                <w:color w:val="auto"/>
                <w:kern w:val="0"/>
                <w:sz w:val="21"/>
                <w:szCs w:val="21"/>
                <w:highlight w:val="none"/>
                <w:lang w:val="en-US" w:eastAsia="zh-CN"/>
              </w:rPr>
              <w:t>合同签订后、项目实施前，中标人需根据招标文件、批复初步设计方案及投评材料等进一步编制深化设计方案，方案经监理单位确认并报广西壮族自治区公安厅科信办备案后方可实施项目建设。</w:t>
            </w:r>
          </w:p>
        </w:tc>
      </w:tr>
      <w:tr w14:paraId="548FA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71" w:type="dxa"/>
            <w:gridSpan w:val="2"/>
            <w:vMerge w:val="continue"/>
            <w:tcBorders>
              <w:right w:val="single" w:color="auto" w:sz="4" w:space="0"/>
            </w:tcBorders>
            <w:shd w:val="clear" w:color="auto" w:fill="auto"/>
            <w:vAlign w:val="center"/>
          </w:tcPr>
          <w:p w14:paraId="1434E3BE">
            <w:pPr>
              <w:widowControl/>
              <w:spacing w:line="360" w:lineRule="auto"/>
              <w:jc w:val="center"/>
              <w:rPr>
                <w:rFonts w:hint="eastAsia" w:ascii="宋体" w:hAnsi="宋体" w:cs="宋体"/>
                <w:color w:val="auto"/>
                <w:kern w:val="0"/>
                <w:sz w:val="21"/>
                <w:szCs w:val="21"/>
                <w:highlight w:val="none"/>
              </w:rPr>
            </w:pPr>
          </w:p>
        </w:tc>
        <w:tc>
          <w:tcPr>
            <w:tcW w:w="8734" w:type="dxa"/>
            <w:gridSpan w:val="3"/>
            <w:tcBorders>
              <w:top w:val="single" w:color="auto" w:sz="4" w:space="0"/>
              <w:left w:val="single" w:color="auto" w:sz="4" w:space="0"/>
              <w:bottom w:val="nil"/>
              <w:right w:val="single" w:color="auto" w:sz="4" w:space="0"/>
            </w:tcBorders>
            <w:shd w:val="clear" w:color="auto" w:fill="auto"/>
            <w:vAlign w:val="center"/>
          </w:tcPr>
          <w:p w14:paraId="445D4A8D">
            <w:pPr>
              <w:widowControl/>
              <w:numPr>
                <w:ilvl w:val="0"/>
                <w:numId w:val="5"/>
              </w:numPr>
              <w:spacing w:line="360" w:lineRule="auto"/>
              <w:ind w:left="5" w:leftChars="0" w:hanging="5" w:firstLineChars="0"/>
              <w:rPr>
                <w:rFonts w:hint="eastAsia"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广西公安数字化反电诈平台系统部署：</w:t>
            </w:r>
            <w:r>
              <w:rPr>
                <w:rFonts w:hint="eastAsia" w:ascii="宋体" w:hAnsi="宋体" w:cs="宋体"/>
                <w:color w:val="auto"/>
                <w:kern w:val="0"/>
                <w:sz w:val="21"/>
                <w:szCs w:val="21"/>
                <w:highlight w:val="none"/>
              </w:rPr>
              <w:t>系统安装调试必须按照《公安信息系统应用开发管理规范》（GA/T715-2007）的要求进行。</w:t>
            </w:r>
          </w:p>
        </w:tc>
      </w:tr>
      <w:tr w14:paraId="3D271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71" w:type="dxa"/>
            <w:gridSpan w:val="2"/>
            <w:vMerge w:val="continue"/>
            <w:tcBorders>
              <w:right w:val="single" w:color="auto" w:sz="4" w:space="0"/>
            </w:tcBorders>
            <w:vAlign w:val="center"/>
          </w:tcPr>
          <w:p w14:paraId="303D159A">
            <w:pPr>
              <w:widowControl/>
              <w:spacing w:line="360" w:lineRule="auto"/>
              <w:jc w:val="center"/>
              <w:rPr>
                <w:rFonts w:ascii="宋体" w:hAnsi="宋体" w:cs="宋体"/>
                <w:color w:val="auto"/>
                <w:kern w:val="0"/>
                <w:sz w:val="21"/>
                <w:szCs w:val="21"/>
                <w:highlight w:val="none"/>
              </w:rPr>
            </w:pPr>
          </w:p>
        </w:tc>
        <w:tc>
          <w:tcPr>
            <w:tcW w:w="8734" w:type="dxa"/>
            <w:gridSpan w:val="3"/>
            <w:tcBorders>
              <w:top w:val="nil"/>
              <w:left w:val="single" w:color="auto" w:sz="4" w:space="0"/>
              <w:bottom w:val="nil"/>
              <w:right w:val="single" w:color="auto" w:sz="4" w:space="0"/>
            </w:tcBorders>
            <w:shd w:val="clear" w:color="auto" w:fill="auto"/>
            <w:vAlign w:val="center"/>
          </w:tcPr>
          <w:p w14:paraId="03B0CE29">
            <w:pPr>
              <w:widowControl/>
              <w:numPr>
                <w:ilvl w:val="0"/>
                <w:numId w:val="5"/>
              </w:numPr>
              <w:spacing w:line="360" w:lineRule="auto"/>
              <w:ind w:left="5" w:leftChars="0" w:hanging="5" w:firstLineChars="0"/>
              <w:rPr>
                <w:rFonts w:ascii="宋体" w:hAnsi="宋体" w:cs="宋体"/>
                <w:color w:val="auto"/>
                <w:kern w:val="0"/>
                <w:sz w:val="21"/>
                <w:szCs w:val="21"/>
                <w:highlight w:val="none"/>
              </w:rPr>
            </w:pPr>
            <w:r>
              <w:rPr>
                <w:rFonts w:hint="eastAsia" w:ascii="宋体" w:hAnsi="宋体" w:cs="宋体"/>
                <w:b/>
                <w:bCs/>
                <w:color w:val="auto"/>
                <w:kern w:val="0"/>
                <w:sz w:val="21"/>
                <w:szCs w:val="21"/>
                <w:highlight w:val="none"/>
              </w:rPr>
              <w:t>文档要求：</w:t>
            </w:r>
            <w:r>
              <w:rPr>
                <w:rFonts w:hint="eastAsia" w:ascii="宋体" w:hAnsi="宋体" w:cs="宋体"/>
                <w:color w:val="auto"/>
                <w:kern w:val="0"/>
                <w:sz w:val="21"/>
                <w:szCs w:val="21"/>
                <w:highlight w:val="none"/>
              </w:rPr>
              <w:t>在项目实施过程中根据开发方采用的软件开发过程，必须按照项目计划，分阶段提供（但不限于）下列文档：需求规格说明书，系统设计说明书，用户操作手册，测试报告。</w:t>
            </w:r>
          </w:p>
        </w:tc>
      </w:tr>
      <w:tr w14:paraId="6B189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71" w:type="dxa"/>
            <w:gridSpan w:val="2"/>
            <w:vMerge w:val="continue"/>
            <w:tcBorders>
              <w:right w:val="single" w:color="auto" w:sz="4" w:space="0"/>
            </w:tcBorders>
            <w:vAlign w:val="center"/>
          </w:tcPr>
          <w:p w14:paraId="668D9D12">
            <w:pPr>
              <w:widowControl/>
              <w:spacing w:line="360" w:lineRule="auto"/>
              <w:jc w:val="center"/>
              <w:rPr>
                <w:rFonts w:ascii="宋体" w:hAnsi="宋体" w:cs="宋体"/>
                <w:color w:val="auto"/>
                <w:kern w:val="0"/>
                <w:sz w:val="21"/>
                <w:szCs w:val="21"/>
                <w:highlight w:val="none"/>
              </w:rPr>
            </w:pPr>
          </w:p>
        </w:tc>
        <w:tc>
          <w:tcPr>
            <w:tcW w:w="8734" w:type="dxa"/>
            <w:gridSpan w:val="3"/>
            <w:tcBorders>
              <w:top w:val="nil"/>
              <w:left w:val="single" w:color="auto" w:sz="4" w:space="0"/>
              <w:bottom w:val="nil"/>
              <w:right w:val="single" w:color="auto" w:sz="4" w:space="0"/>
            </w:tcBorders>
            <w:shd w:val="clear" w:color="auto" w:fill="auto"/>
            <w:vAlign w:val="center"/>
          </w:tcPr>
          <w:p w14:paraId="0D51A926">
            <w:pPr>
              <w:widowControl/>
              <w:numPr>
                <w:ilvl w:val="0"/>
                <w:numId w:val="5"/>
              </w:numPr>
              <w:spacing w:line="360" w:lineRule="auto"/>
              <w:ind w:left="5" w:leftChars="0" w:hanging="5" w:firstLineChars="0"/>
              <w:rPr>
                <w:rFonts w:ascii="宋体" w:hAnsi="宋体" w:cs="宋体"/>
                <w:color w:val="auto"/>
                <w:kern w:val="0"/>
                <w:sz w:val="21"/>
                <w:szCs w:val="21"/>
                <w:highlight w:val="none"/>
              </w:rPr>
            </w:pPr>
            <w:r>
              <w:rPr>
                <w:rFonts w:hint="eastAsia" w:ascii="宋体" w:hAnsi="宋体" w:cs="宋体"/>
                <w:b/>
                <w:bCs/>
                <w:color w:val="auto"/>
                <w:kern w:val="0"/>
                <w:sz w:val="21"/>
                <w:szCs w:val="21"/>
                <w:highlight w:val="none"/>
              </w:rPr>
              <w:t>信息安全及保密要求：</w:t>
            </w:r>
          </w:p>
        </w:tc>
      </w:tr>
      <w:tr w14:paraId="2FE5C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71" w:type="dxa"/>
            <w:gridSpan w:val="2"/>
            <w:vMerge w:val="continue"/>
            <w:tcBorders>
              <w:right w:val="single" w:color="auto" w:sz="4" w:space="0"/>
            </w:tcBorders>
            <w:vAlign w:val="center"/>
          </w:tcPr>
          <w:p w14:paraId="4FEA3B95">
            <w:pPr>
              <w:widowControl/>
              <w:spacing w:line="360" w:lineRule="auto"/>
              <w:jc w:val="center"/>
              <w:rPr>
                <w:rFonts w:ascii="宋体" w:hAnsi="宋体" w:cs="宋体"/>
                <w:color w:val="auto"/>
                <w:kern w:val="0"/>
                <w:sz w:val="21"/>
                <w:szCs w:val="21"/>
                <w:highlight w:val="none"/>
              </w:rPr>
            </w:pPr>
          </w:p>
        </w:tc>
        <w:tc>
          <w:tcPr>
            <w:tcW w:w="8734" w:type="dxa"/>
            <w:gridSpan w:val="3"/>
            <w:tcBorders>
              <w:top w:val="nil"/>
              <w:left w:val="single" w:color="auto" w:sz="4" w:space="0"/>
              <w:bottom w:val="nil"/>
              <w:right w:val="single" w:color="auto" w:sz="4" w:space="0"/>
            </w:tcBorders>
            <w:shd w:val="clear" w:color="auto" w:fill="auto"/>
            <w:vAlign w:val="center"/>
          </w:tcPr>
          <w:p w14:paraId="64F30AA1">
            <w:pPr>
              <w:widowControl/>
              <w:numPr>
                <w:ilvl w:val="0"/>
                <w:numId w:val="0"/>
              </w:numPr>
              <w:spacing w:line="360" w:lineRule="auto"/>
              <w:ind w:leftChars="0"/>
              <w:rPr>
                <w:rFonts w:ascii="宋体" w:hAnsi="宋体" w:cs="宋体"/>
                <w:color w:val="auto"/>
                <w:kern w:val="0"/>
                <w:sz w:val="21"/>
                <w:szCs w:val="21"/>
                <w:highlight w:val="none"/>
              </w:rPr>
            </w:pPr>
            <w:r>
              <w:rPr>
                <w:rFonts w:hint="eastAsia" w:ascii="宋体" w:hAnsi="宋体" w:cs="宋体"/>
                <w:color w:val="auto"/>
                <w:kern w:val="0"/>
                <w:sz w:val="21"/>
                <w:szCs w:val="21"/>
                <w:highlight w:val="none"/>
              </w:rPr>
              <w:t>（1）中标人须与采购人签订《合作单位保密协议书》，</w:t>
            </w:r>
            <w:r>
              <w:rPr>
                <w:rFonts w:hint="eastAsia" w:ascii="宋体" w:hAnsi="宋体" w:cs="宋体"/>
                <w:color w:val="auto"/>
                <w:kern w:val="0"/>
                <w:sz w:val="21"/>
                <w:szCs w:val="21"/>
                <w:highlight w:val="none"/>
                <w:lang w:val="en-US" w:eastAsia="zh-CN"/>
              </w:rPr>
              <w:t>实施人员及</w:t>
            </w:r>
            <w:r>
              <w:rPr>
                <w:rFonts w:hint="eastAsia" w:ascii="宋体" w:hAnsi="宋体" w:cs="宋体"/>
                <w:color w:val="auto"/>
                <w:kern w:val="0"/>
                <w:sz w:val="21"/>
                <w:szCs w:val="21"/>
                <w:highlight w:val="none"/>
              </w:rPr>
              <w:t xml:space="preserve">运维人员须提交《保密承诺书》，遵守采购人信息安全管理规定，对非权限范围内设备不允许操作。非权限范围内信息不允许访问。未经允许，不可随意在工作环境内拍照、录音、录像等；合同签订后，中标人、建设单位签署项目建设的《廉政责任书》。  </w:t>
            </w:r>
          </w:p>
        </w:tc>
      </w:tr>
      <w:tr w14:paraId="3EA12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71" w:type="dxa"/>
            <w:gridSpan w:val="2"/>
            <w:vMerge w:val="continue"/>
            <w:tcBorders>
              <w:right w:val="single" w:color="auto" w:sz="4" w:space="0"/>
            </w:tcBorders>
            <w:vAlign w:val="center"/>
          </w:tcPr>
          <w:p w14:paraId="58EB6E99">
            <w:pPr>
              <w:widowControl/>
              <w:spacing w:line="360" w:lineRule="auto"/>
              <w:jc w:val="center"/>
              <w:rPr>
                <w:rFonts w:ascii="宋体" w:hAnsi="宋体" w:cs="宋体"/>
                <w:color w:val="auto"/>
                <w:kern w:val="0"/>
                <w:sz w:val="21"/>
                <w:szCs w:val="21"/>
                <w:highlight w:val="none"/>
              </w:rPr>
            </w:pPr>
          </w:p>
        </w:tc>
        <w:tc>
          <w:tcPr>
            <w:tcW w:w="8734" w:type="dxa"/>
            <w:gridSpan w:val="3"/>
            <w:tcBorders>
              <w:top w:val="nil"/>
              <w:left w:val="single" w:color="auto" w:sz="4" w:space="0"/>
              <w:bottom w:val="nil"/>
              <w:right w:val="single" w:color="auto" w:sz="4" w:space="0"/>
            </w:tcBorders>
            <w:shd w:val="clear" w:color="auto" w:fill="auto"/>
            <w:vAlign w:val="center"/>
          </w:tcPr>
          <w:p w14:paraId="2C9DAEED">
            <w:pPr>
              <w:widowControl/>
              <w:numPr>
                <w:ilvl w:val="0"/>
                <w:numId w:val="0"/>
              </w:numPr>
              <w:spacing w:line="360" w:lineRule="auto"/>
              <w:ind w:leftChars="0"/>
              <w:rPr>
                <w:rFonts w:ascii="宋体" w:hAnsi="宋体" w:cs="宋体"/>
                <w:color w:val="auto"/>
                <w:kern w:val="0"/>
                <w:sz w:val="21"/>
                <w:szCs w:val="21"/>
                <w:highlight w:val="none"/>
              </w:rPr>
            </w:pPr>
            <w:r>
              <w:rPr>
                <w:rFonts w:hint="eastAsia" w:ascii="宋体" w:hAnsi="宋体" w:cs="宋体"/>
                <w:color w:val="auto"/>
                <w:kern w:val="0"/>
                <w:sz w:val="21"/>
                <w:szCs w:val="21"/>
                <w:highlight w:val="none"/>
              </w:rPr>
              <w:t xml:space="preserve">（2）中标人要保证对所有系统资料和数据负有保密的责任和义务，未经采购人许可，不允许向第三方透露，且中标人的保密责任不因本项目合同的终止而终止。  </w:t>
            </w:r>
          </w:p>
        </w:tc>
      </w:tr>
      <w:tr w14:paraId="048AA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71" w:type="dxa"/>
            <w:gridSpan w:val="2"/>
            <w:vMerge w:val="continue"/>
            <w:tcBorders>
              <w:right w:val="single" w:color="auto" w:sz="4" w:space="0"/>
            </w:tcBorders>
            <w:vAlign w:val="center"/>
          </w:tcPr>
          <w:p w14:paraId="78A5872C">
            <w:pPr>
              <w:widowControl/>
              <w:spacing w:line="360" w:lineRule="auto"/>
              <w:jc w:val="center"/>
              <w:rPr>
                <w:rFonts w:ascii="宋体" w:hAnsi="宋体" w:cs="宋体"/>
                <w:color w:val="auto"/>
                <w:kern w:val="0"/>
                <w:sz w:val="21"/>
                <w:szCs w:val="21"/>
                <w:highlight w:val="none"/>
              </w:rPr>
            </w:pPr>
          </w:p>
        </w:tc>
        <w:tc>
          <w:tcPr>
            <w:tcW w:w="8734" w:type="dxa"/>
            <w:gridSpan w:val="3"/>
            <w:tcBorders>
              <w:top w:val="nil"/>
              <w:left w:val="single" w:color="auto" w:sz="4" w:space="0"/>
              <w:bottom w:val="nil"/>
              <w:right w:val="single" w:color="auto" w:sz="4" w:space="0"/>
            </w:tcBorders>
            <w:shd w:val="clear" w:color="auto" w:fill="auto"/>
            <w:vAlign w:val="center"/>
          </w:tcPr>
          <w:p w14:paraId="742DFE3A">
            <w:pPr>
              <w:widowControl/>
              <w:numPr>
                <w:ilvl w:val="0"/>
                <w:numId w:val="0"/>
              </w:numPr>
              <w:spacing w:line="360" w:lineRule="auto"/>
              <w:ind w:leftChars="0"/>
              <w:rPr>
                <w:rFonts w:ascii="宋体" w:hAnsi="宋体" w:cs="宋体"/>
                <w:color w:val="auto"/>
                <w:kern w:val="0"/>
                <w:sz w:val="21"/>
                <w:szCs w:val="21"/>
                <w:highlight w:val="none"/>
              </w:rPr>
            </w:pPr>
            <w:r>
              <w:rPr>
                <w:rFonts w:hint="eastAsia" w:ascii="宋体" w:hAnsi="宋体" w:cs="宋体"/>
                <w:color w:val="auto"/>
                <w:kern w:val="0"/>
                <w:sz w:val="21"/>
                <w:szCs w:val="21"/>
                <w:highlight w:val="none"/>
              </w:rPr>
              <w:t xml:space="preserve">（3）完成本项目工作后，涉及硬盘需拆除，切实做好脱密工作，确保系统建设后不储存、处理国家机密。  </w:t>
            </w:r>
          </w:p>
        </w:tc>
      </w:tr>
      <w:tr w14:paraId="36C75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71" w:type="dxa"/>
            <w:gridSpan w:val="2"/>
            <w:vMerge w:val="continue"/>
            <w:tcBorders>
              <w:right w:val="single" w:color="auto" w:sz="4" w:space="0"/>
            </w:tcBorders>
            <w:vAlign w:val="center"/>
          </w:tcPr>
          <w:p w14:paraId="5342F07C">
            <w:pPr>
              <w:widowControl/>
              <w:spacing w:line="360" w:lineRule="auto"/>
              <w:jc w:val="center"/>
              <w:rPr>
                <w:rFonts w:ascii="宋体" w:hAnsi="宋体" w:cs="宋体"/>
                <w:color w:val="auto"/>
                <w:kern w:val="0"/>
                <w:sz w:val="21"/>
                <w:szCs w:val="21"/>
                <w:highlight w:val="none"/>
              </w:rPr>
            </w:pPr>
          </w:p>
        </w:tc>
        <w:tc>
          <w:tcPr>
            <w:tcW w:w="8734" w:type="dxa"/>
            <w:gridSpan w:val="3"/>
            <w:tcBorders>
              <w:top w:val="nil"/>
              <w:left w:val="single" w:color="auto" w:sz="4" w:space="0"/>
              <w:bottom w:val="nil"/>
              <w:right w:val="single" w:color="auto" w:sz="4" w:space="0"/>
            </w:tcBorders>
            <w:shd w:val="clear" w:color="auto" w:fill="auto"/>
            <w:vAlign w:val="center"/>
          </w:tcPr>
          <w:p w14:paraId="3A004A4A">
            <w:pPr>
              <w:widowControl/>
              <w:numPr>
                <w:ilvl w:val="0"/>
                <w:numId w:val="0"/>
              </w:numPr>
              <w:spacing w:line="360" w:lineRule="auto"/>
              <w:ind w:leftChars="0"/>
              <w:rPr>
                <w:rFonts w:ascii="宋体" w:hAnsi="宋体" w:cs="宋体"/>
                <w:color w:val="auto"/>
                <w:kern w:val="0"/>
                <w:sz w:val="21"/>
                <w:szCs w:val="21"/>
                <w:highlight w:val="none"/>
              </w:rPr>
            </w:pPr>
            <w:r>
              <w:rPr>
                <w:rFonts w:hint="eastAsia" w:ascii="宋体" w:hAnsi="宋体" w:cs="宋体"/>
                <w:color w:val="auto"/>
                <w:kern w:val="0"/>
                <w:sz w:val="21"/>
                <w:szCs w:val="21"/>
                <w:highlight w:val="none"/>
              </w:rPr>
              <w:t xml:space="preserve">（4）投标人须随投标文件附上《廉洁承诺书》，承诺不向建设单位工作人员行贿，承诺不安排、组织或支付费用予项目建设单位工作人员参与宴请、旅游和娱乐活动，不向建设单位工作人员给予馈赠、报酬、礼品、现金、有价证券和支付凭证，不为建设单位工作人员本人及其亲友、特定关系人牟取利益。未在投标文件中附上《廉洁承诺书》的可视为投标无效。  </w:t>
            </w:r>
          </w:p>
        </w:tc>
      </w:tr>
      <w:tr w14:paraId="43DCD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71" w:type="dxa"/>
            <w:gridSpan w:val="2"/>
            <w:vMerge w:val="continue"/>
            <w:tcBorders>
              <w:right w:val="single" w:color="auto" w:sz="4" w:space="0"/>
            </w:tcBorders>
            <w:vAlign w:val="center"/>
          </w:tcPr>
          <w:p w14:paraId="1C3FC9FF">
            <w:pPr>
              <w:widowControl/>
              <w:spacing w:line="360" w:lineRule="auto"/>
              <w:jc w:val="center"/>
              <w:rPr>
                <w:rFonts w:ascii="宋体" w:hAnsi="宋体" w:cs="宋体"/>
                <w:color w:val="auto"/>
                <w:kern w:val="0"/>
                <w:sz w:val="21"/>
                <w:szCs w:val="21"/>
                <w:highlight w:val="none"/>
              </w:rPr>
            </w:pPr>
          </w:p>
        </w:tc>
        <w:tc>
          <w:tcPr>
            <w:tcW w:w="8734" w:type="dxa"/>
            <w:gridSpan w:val="3"/>
            <w:tcBorders>
              <w:top w:val="nil"/>
              <w:left w:val="single" w:color="auto" w:sz="4" w:space="0"/>
              <w:bottom w:val="nil"/>
              <w:right w:val="single" w:color="auto" w:sz="4" w:space="0"/>
            </w:tcBorders>
            <w:shd w:val="clear" w:color="auto" w:fill="auto"/>
            <w:vAlign w:val="center"/>
          </w:tcPr>
          <w:p w14:paraId="71F34DDB">
            <w:pPr>
              <w:widowControl/>
              <w:numPr>
                <w:ilvl w:val="0"/>
                <w:numId w:val="0"/>
              </w:numPr>
              <w:spacing w:line="360" w:lineRule="auto"/>
              <w:ind w:leftChars="0"/>
              <w:rPr>
                <w:rFonts w:ascii="宋体" w:hAnsi="宋体" w:cs="宋体"/>
                <w:color w:val="auto"/>
                <w:kern w:val="0"/>
                <w:sz w:val="21"/>
                <w:szCs w:val="21"/>
                <w:highlight w:val="none"/>
              </w:rPr>
            </w:pPr>
            <w:r>
              <w:rPr>
                <w:rFonts w:hint="eastAsia" w:ascii="宋体" w:hAnsi="宋体" w:cs="宋体"/>
                <w:color w:val="auto"/>
                <w:kern w:val="0"/>
                <w:sz w:val="21"/>
                <w:szCs w:val="21"/>
                <w:highlight w:val="none"/>
              </w:rPr>
              <w:t>（5）中标人须无条件配合开展</w:t>
            </w:r>
            <w:r>
              <w:rPr>
                <w:rFonts w:hint="eastAsia" w:ascii="宋体" w:hAnsi="宋体" w:cs="宋体"/>
                <w:color w:val="auto"/>
                <w:kern w:val="0"/>
                <w:sz w:val="21"/>
                <w:szCs w:val="21"/>
                <w:highlight w:val="none"/>
                <w:lang w:val="en-US" w:eastAsia="zh-CN"/>
              </w:rPr>
              <w:t>实施</w:t>
            </w:r>
            <w:r>
              <w:rPr>
                <w:rFonts w:hint="eastAsia" w:ascii="宋体" w:hAnsi="宋体" w:cs="宋体"/>
                <w:color w:val="auto"/>
                <w:kern w:val="0"/>
                <w:sz w:val="21"/>
                <w:szCs w:val="21"/>
                <w:highlight w:val="none"/>
              </w:rPr>
              <w:t>及</w:t>
            </w:r>
            <w:r>
              <w:rPr>
                <w:rFonts w:hint="eastAsia" w:ascii="宋体" w:hAnsi="宋体" w:cs="宋体"/>
                <w:color w:val="auto"/>
                <w:kern w:val="0"/>
                <w:sz w:val="21"/>
                <w:szCs w:val="21"/>
                <w:highlight w:val="none"/>
                <w:lang w:val="en-US" w:eastAsia="zh-CN"/>
              </w:rPr>
              <w:t>运维</w:t>
            </w:r>
            <w:r>
              <w:rPr>
                <w:rFonts w:hint="eastAsia" w:ascii="宋体" w:hAnsi="宋体" w:cs="宋体"/>
                <w:color w:val="auto"/>
                <w:kern w:val="0"/>
                <w:sz w:val="21"/>
                <w:szCs w:val="21"/>
                <w:highlight w:val="none"/>
              </w:rPr>
              <w:t>人员岗前审查、保密教育、保密检查工作， 必须对项目实施过程中获取的相关信息保密</w:t>
            </w: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rPr>
              <w:t>相关信息包括但不限于本项目</w:t>
            </w: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rPr>
              <w:t xml:space="preserve"> ，如发生泄密事件即终止合同， 且中标人不得参与后续公安厅项目投标活动。  </w:t>
            </w:r>
          </w:p>
        </w:tc>
      </w:tr>
      <w:tr w14:paraId="6BED0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71" w:type="dxa"/>
            <w:gridSpan w:val="2"/>
            <w:vMerge w:val="continue"/>
            <w:tcBorders>
              <w:right w:val="single" w:color="auto" w:sz="4" w:space="0"/>
            </w:tcBorders>
            <w:vAlign w:val="center"/>
          </w:tcPr>
          <w:p w14:paraId="4731004D">
            <w:pPr>
              <w:widowControl/>
              <w:spacing w:line="360" w:lineRule="auto"/>
              <w:jc w:val="center"/>
              <w:rPr>
                <w:rFonts w:ascii="宋体" w:hAnsi="宋体" w:cs="宋体"/>
                <w:color w:val="auto"/>
                <w:kern w:val="0"/>
                <w:sz w:val="21"/>
                <w:szCs w:val="21"/>
                <w:highlight w:val="none"/>
              </w:rPr>
            </w:pPr>
          </w:p>
        </w:tc>
        <w:tc>
          <w:tcPr>
            <w:tcW w:w="8734" w:type="dxa"/>
            <w:gridSpan w:val="3"/>
            <w:tcBorders>
              <w:top w:val="nil"/>
              <w:left w:val="single" w:color="auto" w:sz="4" w:space="0"/>
              <w:bottom w:val="nil"/>
              <w:right w:val="single" w:color="auto" w:sz="4" w:space="0"/>
            </w:tcBorders>
            <w:shd w:val="clear" w:color="auto" w:fill="auto"/>
            <w:vAlign w:val="center"/>
          </w:tcPr>
          <w:p w14:paraId="7BA54F9D">
            <w:pPr>
              <w:widowControl/>
              <w:numPr>
                <w:ilvl w:val="0"/>
                <w:numId w:val="0"/>
              </w:numPr>
              <w:spacing w:line="360" w:lineRule="auto"/>
              <w:ind w:leftChars="0"/>
              <w:rPr>
                <w:rFonts w:ascii="宋体" w:hAnsi="宋体" w:cs="宋体"/>
                <w:color w:val="auto"/>
                <w:kern w:val="0"/>
                <w:sz w:val="21"/>
                <w:szCs w:val="21"/>
                <w:highlight w:val="none"/>
              </w:rPr>
            </w:pPr>
            <w:r>
              <w:rPr>
                <w:rFonts w:hint="eastAsia" w:ascii="宋体" w:hAnsi="宋体" w:cs="宋体"/>
                <w:color w:val="auto"/>
                <w:kern w:val="0"/>
                <w:sz w:val="21"/>
                <w:szCs w:val="21"/>
                <w:highlight w:val="none"/>
              </w:rPr>
              <w:t>（6）中标人须严格履行采购人服务规范要求，包括但不限于以下规范：《公安厅机关安全保密管理十条规定》《广西壮族自治区公安厅办公室关于加强厅机关信息系统企业运维人员管理工作的通知》《广西公安信息WA全管理试行规定》《广西公安厅机关公安信息WA全管理实施细则》《厅机关信息系统企业运维人员“十严禁”》《广西公安厅信息系统运维人员行为规范》《运维安全管理要求》及采购人其他各项内部规定。</w:t>
            </w:r>
          </w:p>
        </w:tc>
      </w:tr>
      <w:tr w14:paraId="5C84A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71" w:type="dxa"/>
            <w:gridSpan w:val="2"/>
            <w:vMerge w:val="continue"/>
            <w:tcBorders>
              <w:right w:val="single" w:color="auto" w:sz="4" w:space="0"/>
            </w:tcBorders>
            <w:vAlign w:val="center"/>
          </w:tcPr>
          <w:p w14:paraId="3022ECEB">
            <w:pPr>
              <w:widowControl/>
              <w:spacing w:line="360" w:lineRule="auto"/>
              <w:jc w:val="center"/>
              <w:rPr>
                <w:rFonts w:ascii="宋体" w:hAnsi="宋体" w:cs="宋体"/>
                <w:color w:val="auto"/>
                <w:kern w:val="0"/>
                <w:sz w:val="21"/>
                <w:szCs w:val="21"/>
                <w:highlight w:val="none"/>
              </w:rPr>
            </w:pPr>
          </w:p>
        </w:tc>
        <w:tc>
          <w:tcPr>
            <w:tcW w:w="8734" w:type="dxa"/>
            <w:gridSpan w:val="3"/>
            <w:tcBorders>
              <w:top w:val="nil"/>
              <w:left w:val="single" w:color="auto" w:sz="4" w:space="0"/>
              <w:bottom w:val="nil"/>
              <w:right w:val="single" w:color="auto" w:sz="4" w:space="0"/>
            </w:tcBorders>
            <w:shd w:val="clear" w:color="auto" w:fill="auto"/>
            <w:vAlign w:val="center"/>
          </w:tcPr>
          <w:p w14:paraId="304DC40E">
            <w:pPr>
              <w:widowControl/>
              <w:numPr>
                <w:ilvl w:val="0"/>
                <w:numId w:val="5"/>
              </w:numPr>
              <w:spacing w:line="360" w:lineRule="auto"/>
              <w:ind w:left="5" w:leftChars="0" w:hanging="5" w:firstLineChars="0"/>
              <w:rPr>
                <w:rFonts w:hint="default" w:ascii="宋体" w:hAnsi="宋体" w:eastAsia="宋体" w:cs="宋体"/>
                <w:color w:val="auto"/>
                <w:kern w:val="0"/>
                <w:sz w:val="21"/>
                <w:szCs w:val="21"/>
                <w:highlight w:val="none"/>
                <w:lang w:val="en-US" w:eastAsia="zh-CN"/>
              </w:rPr>
            </w:pPr>
            <w:r>
              <w:rPr>
                <w:rFonts w:hint="eastAsia" w:ascii="宋体" w:hAnsi="宋体" w:eastAsia="宋体" w:cs="宋体"/>
                <w:b/>
                <w:bCs/>
                <w:color w:val="auto"/>
                <w:sz w:val="21"/>
                <w:szCs w:val="21"/>
                <w:highlight w:val="none"/>
                <w:lang w:eastAsia="zh-CN"/>
              </w:rPr>
              <w:t>知识产权归属：</w:t>
            </w:r>
            <w:r>
              <w:rPr>
                <w:rFonts w:hint="eastAsia" w:ascii="宋体" w:hAnsi="宋体" w:eastAsia="宋体" w:cs="宋体"/>
                <w:color w:val="auto"/>
                <w:sz w:val="21"/>
                <w:szCs w:val="21"/>
                <w:highlight w:val="none"/>
                <w:lang w:eastAsia="zh-CN"/>
              </w:rPr>
              <w:t>本次项目成果</w:t>
            </w:r>
            <w:r>
              <w:rPr>
                <w:rFonts w:hint="eastAsia" w:ascii="宋体" w:hAnsi="宋体" w:cs="宋体"/>
                <w:color w:val="auto"/>
                <w:sz w:val="21"/>
                <w:szCs w:val="21"/>
                <w:highlight w:val="none"/>
                <w:lang w:val="en-US" w:eastAsia="zh-CN"/>
              </w:rPr>
              <w:t>全部知识产权</w:t>
            </w:r>
            <w:r>
              <w:rPr>
                <w:rFonts w:hint="eastAsia" w:ascii="宋体" w:hAnsi="宋体" w:eastAsia="宋体" w:cs="宋体"/>
                <w:color w:val="auto"/>
                <w:sz w:val="21"/>
                <w:szCs w:val="21"/>
                <w:highlight w:val="none"/>
                <w:lang w:eastAsia="zh-CN"/>
              </w:rPr>
              <w:t>归采购人（或业主单位）所有，中标人不得擅自对外发表、出版。</w:t>
            </w:r>
          </w:p>
        </w:tc>
      </w:tr>
      <w:tr w14:paraId="44C1F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71" w:type="dxa"/>
            <w:gridSpan w:val="2"/>
            <w:vMerge w:val="continue"/>
            <w:tcBorders>
              <w:right w:val="single" w:color="auto" w:sz="4" w:space="0"/>
            </w:tcBorders>
            <w:vAlign w:val="center"/>
          </w:tcPr>
          <w:p w14:paraId="62E62BFE">
            <w:pPr>
              <w:widowControl/>
              <w:spacing w:line="360" w:lineRule="auto"/>
              <w:jc w:val="center"/>
              <w:rPr>
                <w:rFonts w:ascii="宋体" w:hAnsi="宋体" w:cs="宋体"/>
                <w:color w:val="auto"/>
                <w:kern w:val="0"/>
                <w:sz w:val="21"/>
                <w:szCs w:val="21"/>
                <w:highlight w:val="none"/>
              </w:rPr>
            </w:pPr>
          </w:p>
        </w:tc>
        <w:tc>
          <w:tcPr>
            <w:tcW w:w="8734" w:type="dxa"/>
            <w:gridSpan w:val="3"/>
            <w:tcBorders>
              <w:top w:val="nil"/>
              <w:left w:val="single" w:color="auto" w:sz="4" w:space="0"/>
              <w:bottom w:val="nil"/>
              <w:right w:val="single" w:color="auto" w:sz="4" w:space="0"/>
            </w:tcBorders>
            <w:shd w:val="clear" w:color="auto" w:fill="auto"/>
            <w:vAlign w:val="center"/>
          </w:tcPr>
          <w:p w14:paraId="0CEF594B">
            <w:pPr>
              <w:widowControl/>
              <w:numPr>
                <w:ilvl w:val="0"/>
                <w:numId w:val="5"/>
              </w:numPr>
              <w:spacing w:line="360" w:lineRule="auto"/>
              <w:ind w:left="5" w:leftChars="0" w:hanging="5" w:firstLineChars="0"/>
              <w:rPr>
                <w:rFonts w:hint="default" w:ascii="宋体" w:hAnsi="宋体" w:cs="宋体"/>
                <w:color w:val="auto"/>
                <w:kern w:val="0"/>
                <w:sz w:val="21"/>
                <w:szCs w:val="21"/>
                <w:highlight w:val="none"/>
                <w:lang w:val="en-US" w:eastAsia="zh-CN"/>
              </w:rPr>
            </w:pPr>
            <w:r>
              <w:rPr>
                <w:rFonts w:hint="eastAsia" w:ascii="宋体" w:hAnsi="宋体" w:cs="宋体"/>
                <w:b/>
                <w:bCs/>
                <w:color w:val="auto"/>
                <w:kern w:val="0"/>
                <w:sz w:val="21"/>
                <w:szCs w:val="21"/>
                <w:highlight w:val="none"/>
                <w:lang w:val="en-US" w:eastAsia="zh-CN"/>
              </w:rPr>
              <w:t>其他：</w:t>
            </w:r>
            <w:r>
              <w:rPr>
                <w:rFonts w:hint="eastAsia" w:ascii="宋体" w:hAnsi="宋体" w:cs="宋体"/>
                <w:color w:val="auto"/>
                <w:kern w:val="0"/>
                <w:sz w:val="21"/>
                <w:szCs w:val="21"/>
                <w:highlight w:val="none"/>
                <w:lang w:val="en-US" w:eastAsia="zh-CN"/>
              </w:rPr>
              <w:t>在签署最终验收文件后15日内，中标人必须以采购人指定的格式(如源码包、版本控制系统链接等)交付完整的源代码及相关文档，并明确源代码的所有权归属采购人。对于中标人使用自有知识产权的模块，采购人获得非独占、免版税的使用权。</w:t>
            </w:r>
          </w:p>
        </w:tc>
      </w:tr>
      <w:tr w14:paraId="7D36B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71" w:type="dxa"/>
            <w:gridSpan w:val="2"/>
            <w:vMerge w:val="continue"/>
            <w:tcBorders>
              <w:right w:val="single" w:color="auto" w:sz="4" w:space="0"/>
            </w:tcBorders>
            <w:vAlign w:val="center"/>
          </w:tcPr>
          <w:p w14:paraId="0020080C">
            <w:pPr>
              <w:widowControl/>
              <w:spacing w:line="360" w:lineRule="auto"/>
              <w:jc w:val="center"/>
              <w:rPr>
                <w:rFonts w:ascii="宋体" w:hAnsi="宋体" w:cs="宋体"/>
                <w:color w:val="auto"/>
                <w:kern w:val="0"/>
                <w:sz w:val="21"/>
                <w:szCs w:val="21"/>
                <w:highlight w:val="none"/>
              </w:rPr>
            </w:pPr>
          </w:p>
        </w:tc>
        <w:tc>
          <w:tcPr>
            <w:tcW w:w="8734" w:type="dxa"/>
            <w:gridSpan w:val="3"/>
            <w:tcBorders>
              <w:top w:val="nil"/>
              <w:left w:val="single" w:color="auto" w:sz="4" w:space="0"/>
              <w:bottom w:val="single" w:color="auto" w:sz="4" w:space="0"/>
              <w:right w:val="single" w:color="auto" w:sz="4" w:space="0"/>
            </w:tcBorders>
            <w:shd w:val="clear" w:color="auto" w:fill="auto"/>
            <w:vAlign w:val="center"/>
          </w:tcPr>
          <w:p w14:paraId="3CE52331">
            <w:pPr>
              <w:widowControl/>
              <w:numPr>
                <w:ilvl w:val="0"/>
                <w:numId w:val="5"/>
              </w:numPr>
              <w:spacing w:line="360" w:lineRule="auto"/>
              <w:ind w:left="5" w:leftChars="0" w:hanging="5" w:firstLineChars="0"/>
              <w:rPr>
                <w:rFonts w:hint="eastAsia" w:ascii="宋体" w:hAnsi="宋体" w:cs="宋体"/>
                <w:b/>
                <w:bCs/>
                <w:color w:val="auto"/>
                <w:kern w:val="0"/>
                <w:sz w:val="21"/>
                <w:szCs w:val="21"/>
                <w:highlight w:val="none"/>
                <w:lang w:val="en-US" w:eastAsia="zh-CN"/>
              </w:rPr>
            </w:pPr>
            <w:r>
              <w:rPr>
                <w:rFonts w:hint="eastAsia" w:ascii="宋体" w:hAnsi="宋体" w:cs="宋体"/>
                <w:b/>
                <w:bCs/>
                <w:color w:val="auto"/>
                <w:kern w:val="0"/>
                <w:sz w:val="21"/>
                <w:szCs w:val="21"/>
                <w:highlight w:val="none"/>
                <w:lang w:val="en-US" w:eastAsia="zh-CN"/>
              </w:rPr>
              <w:t>拟投入实施人员的要求：</w:t>
            </w:r>
            <w:r>
              <w:rPr>
                <w:rFonts w:hint="eastAsia" w:ascii="宋体" w:hAnsi="宋体" w:cs="宋体"/>
                <w:b w:val="0"/>
                <w:bCs w:val="0"/>
                <w:color w:val="auto"/>
                <w:kern w:val="0"/>
                <w:sz w:val="21"/>
                <w:szCs w:val="21"/>
                <w:highlight w:val="none"/>
                <w:lang w:val="en-US" w:eastAsia="zh-CN"/>
              </w:rPr>
              <w:t>投标人至少投入1名项目经理、9名项目技术人员完成</w:t>
            </w:r>
            <w:r>
              <w:rPr>
                <w:rFonts w:hint="eastAsia" w:ascii="宋体" w:hAnsi="宋体" w:cs="宋体"/>
                <w:color w:val="auto"/>
                <w:kern w:val="0"/>
                <w:sz w:val="21"/>
                <w:szCs w:val="21"/>
                <w:highlight w:val="none"/>
              </w:rPr>
              <w:t>广西公安数字化反电诈平台</w:t>
            </w:r>
            <w:r>
              <w:rPr>
                <w:rFonts w:hint="eastAsia" w:ascii="宋体" w:hAnsi="宋体" w:cs="宋体"/>
                <w:color w:val="auto"/>
                <w:kern w:val="0"/>
                <w:sz w:val="21"/>
                <w:szCs w:val="21"/>
                <w:highlight w:val="none"/>
                <w:lang w:val="en-US" w:eastAsia="zh-CN"/>
              </w:rPr>
              <w:t>建设</w:t>
            </w:r>
            <w:r>
              <w:rPr>
                <w:rFonts w:hint="eastAsia" w:ascii="宋体" w:hAnsi="宋体" w:cs="宋体"/>
                <w:b w:val="0"/>
                <w:bCs w:val="0"/>
                <w:color w:val="auto"/>
                <w:kern w:val="0"/>
                <w:sz w:val="21"/>
                <w:szCs w:val="21"/>
                <w:highlight w:val="none"/>
                <w:lang w:val="en-US" w:eastAsia="zh-CN"/>
              </w:rPr>
              <w:t>。中标人在项目建设期间不得随意更换实施人员，如需变更人员，必须经过采购人同意，否则视为投标人违约。</w:t>
            </w:r>
          </w:p>
        </w:tc>
      </w:tr>
      <w:tr w14:paraId="618FB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71" w:type="dxa"/>
            <w:gridSpan w:val="2"/>
            <w:vMerge w:val="continue"/>
            <w:tcBorders>
              <w:right w:val="single" w:color="auto" w:sz="4" w:space="0"/>
            </w:tcBorders>
            <w:vAlign w:val="center"/>
          </w:tcPr>
          <w:p w14:paraId="2A702353">
            <w:pPr>
              <w:widowControl/>
              <w:spacing w:line="360" w:lineRule="auto"/>
              <w:jc w:val="center"/>
              <w:rPr>
                <w:rFonts w:ascii="宋体" w:hAnsi="宋体" w:cs="宋体"/>
                <w:color w:val="auto"/>
                <w:kern w:val="0"/>
                <w:sz w:val="21"/>
                <w:szCs w:val="21"/>
                <w:highlight w:val="none"/>
              </w:rPr>
            </w:pPr>
          </w:p>
        </w:tc>
        <w:tc>
          <w:tcPr>
            <w:tcW w:w="8734" w:type="dxa"/>
            <w:gridSpan w:val="3"/>
            <w:tcBorders>
              <w:top w:val="nil"/>
              <w:left w:val="single" w:color="auto" w:sz="4" w:space="0"/>
              <w:bottom w:val="single" w:color="auto" w:sz="4" w:space="0"/>
              <w:right w:val="single" w:color="auto" w:sz="4" w:space="0"/>
            </w:tcBorders>
            <w:shd w:val="clear" w:color="auto" w:fill="auto"/>
            <w:vAlign w:val="center"/>
          </w:tcPr>
          <w:p w14:paraId="491686EB">
            <w:pPr>
              <w:spacing w:line="360" w:lineRule="auto"/>
              <w:rPr>
                <w:rFonts w:hint="default" w:eastAsia="宋体"/>
                <w:color w:val="auto"/>
                <w:highlight w:val="none"/>
                <w:lang w:val="en-US" w:eastAsia="zh-CN"/>
              </w:rPr>
            </w:pPr>
          </w:p>
          <w:p w14:paraId="5B4655B3">
            <w:pPr>
              <w:widowControl/>
              <w:numPr>
                <w:ilvl w:val="0"/>
                <w:numId w:val="5"/>
              </w:numPr>
              <w:spacing w:line="360" w:lineRule="auto"/>
              <w:ind w:left="5" w:leftChars="0" w:hanging="5"/>
              <w:rPr>
                <w:rFonts w:hint="eastAsia" w:ascii="宋体" w:hAnsi="宋体" w:cs="宋体"/>
                <w:color w:val="auto"/>
                <w:kern w:val="0"/>
                <w:szCs w:val="21"/>
                <w:highlight w:val="none"/>
              </w:rPr>
            </w:pPr>
            <w:r>
              <w:rPr>
                <w:rFonts w:hint="eastAsia" w:ascii="宋体" w:hAnsi="宋体" w:cs="宋体"/>
                <w:b/>
                <w:bCs/>
                <w:color w:val="auto"/>
                <w:kern w:val="0"/>
                <w:szCs w:val="21"/>
                <w:highlight w:val="none"/>
                <w:lang w:val="en-US" w:eastAsia="zh-CN"/>
              </w:rPr>
              <w:t>数据治理服务考核标准：</w:t>
            </w:r>
            <w:r>
              <w:rPr>
                <w:rFonts w:hint="eastAsia" w:ascii="宋体" w:hAnsi="宋体" w:cs="宋体"/>
                <w:color w:val="auto"/>
                <w:kern w:val="0"/>
                <w:sz w:val="21"/>
                <w:szCs w:val="21"/>
                <w:highlight w:val="none"/>
                <w:lang w:val="en-US" w:eastAsia="zh-CN"/>
              </w:rPr>
              <w:t>涉诈人员手机设备情报数据汇聚服务期自初步验收通过之日起算</w:t>
            </w:r>
            <w:r>
              <w:rPr>
                <w:rFonts w:hint="eastAsia" w:ascii="宋体" w:hAnsi="宋体" w:cs="宋体"/>
                <w:color w:val="auto"/>
                <w:kern w:val="0"/>
                <w:szCs w:val="21"/>
                <w:highlight w:val="none"/>
              </w:rPr>
              <w:t>，总期限三年，服务期满后</w:t>
            </w:r>
            <w:r>
              <w:rPr>
                <w:rFonts w:hint="eastAsia" w:ascii="宋体" w:hAnsi="宋体" w:cs="宋体"/>
                <w:color w:val="auto"/>
                <w:kern w:val="0"/>
                <w:szCs w:val="21"/>
                <w:highlight w:val="none"/>
                <w:lang w:val="en-US" w:eastAsia="zh-CN"/>
              </w:rPr>
              <w:t>需</w:t>
            </w:r>
            <w:r>
              <w:rPr>
                <w:rFonts w:hint="eastAsia" w:ascii="宋体" w:hAnsi="宋体" w:cs="宋体"/>
                <w:color w:val="auto"/>
                <w:kern w:val="0"/>
                <w:szCs w:val="21"/>
                <w:highlight w:val="none"/>
              </w:rPr>
              <w:t>进行</w:t>
            </w:r>
            <w:r>
              <w:rPr>
                <w:rFonts w:hint="eastAsia" w:ascii="宋体" w:hAnsi="宋体" w:cs="宋体"/>
                <w:color w:val="auto"/>
                <w:kern w:val="0"/>
                <w:szCs w:val="21"/>
                <w:highlight w:val="none"/>
                <w:lang w:val="en-US" w:eastAsia="zh-CN"/>
              </w:rPr>
              <w:t>考核</w:t>
            </w:r>
            <w:r>
              <w:rPr>
                <w:rFonts w:hint="eastAsia" w:ascii="宋体" w:hAnsi="宋体" w:cs="宋体"/>
                <w:color w:val="auto"/>
                <w:kern w:val="0"/>
                <w:szCs w:val="21"/>
                <w:highlight w:val="none"/>
              </w:rPr>
              <w:t>，考核结果可作为三年数据治理服务期满后的付款依据，考核方案如下：</w:t>
            </w:r>
          </w:p>
          <w:tbl>
            <w:tblPr>
              <w:tblStyle w:val="31"/>
              <w:tblW w:w="8518"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9"/>
              <w:gridCol w:w="694"/>
              <w:gridCol w:w="5865"/>
            </w:tblGrid>
            <w:tr w14:paraId="7A279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9" w:type="dxa"/>
                </w:tcPr>
                <w:p w14:paraId="680BB7EE">
                  <w:pPr>
                    <w:widowControl/>
                    <w:numPr>
                      <w:ilvl w:val="255"/>
                      <w:numId w:val="0"/>
                    </w:numPr>
                    <w:spacing w:line="360" w:lineRule="auto"/>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考核指标</w:t>
                  </w:r>
                </w:p>
              </w:tc>
              <w:tc>
                <w:tcPr>
                  <w:tcW w:w="694" w:type="dxa"/>
                </w:tcPr>
                <w:p w14:paraId="69DF38F3">
                  <w:pPr>
                    <w:widowControl/>
                    <w:numPr>
                      <w:ilvl w:val="255"/>
                      <w:numId w:val="0"/>
                    </w:numPr>
                    <w:spacing w:line="360" w:lineRule="auto"/>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分值</w:t>
                  </w:r>
                </w:p>
              </w:tc>
              <w:tc>
                <w:tcPr>
                  <w:tcW w:w="5865" w:type="dxa"/>
                </w:tcPr>
                <w:p w14:paraId="4536C048">
                  <w:pPr>
                    <w:widowControl/>
                    <w:numPr>
                      <w:ilvl w:val="255"/>
                      <w:numId w:val="0"/>
                    </w:numPr>
                    <w:spacing w:line="360" w:lineRule="auto"/>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指标和评分描述</w:t>
                  </w:r>
                </w:p>
              </w:tc>
            </w:tr>
            <w:tr w14:paraId="5BC31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9" w:type="dxa"/>
                  <w:vAlign w:val="center"/>
                </w:tcPr>
                <w:p w14:paraId="24D6CFFC">
                  <w:pPr>
                    <w:widowControl/>
                    <w:numPr>
                      <w:ilvl w:val="255"/>
                      <w:numId w:val="0"/>
                    </w:numPr>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手机四码数据</w:t>
                  </w:r>
                  <w:r>
                    <w:rPr>
                      <w:rFonts w:hint="eastAsia" w:ascii="宋体" w:hAnsi="宋体" w:cs="宋体"/>
                      <w:color w:val="auto"/>
                      <w:kern w:val="0"/>
                      <w:szCs w:val="21"/>
                      <w:highlight w:val="none"/>
                      <w:lang w:val="en-US" w:eastAsia="zh-CN"/>
                    </w:rPr>
                    <w:t>汇聚数量</w:t>
                  </w:r>
                </w:p>
              </w:tc>
              <w:tc>
                <w:tcPr>
                  <w:tcW w:w="694" w:type="dxa"/>
                  <w:vAlign w:val="center"/>
                </w:tcPr>
                <w:p w14:paraId="21FC860F">
                  <w:pPr>
                    <w:widowControl/>
                    <w:numPr>
                      <w:ilvl w:val="255"/>
                      <w:numId w:val="0"/>
                    </w:numPr>
                    <w:spacing w:line="360" w:lineRule="auto"/>
                    <w:rPr>
                      <w:rFonts w:hint="default" w:ascii="宋体" w:hAnsi="宋体" w:cs="宋体"/>
                      <w:color w:val="auto"/>
                      <w:kern w:val="0"/>
                      <w:szCs w:val="21"/>
                      <w:highlight w:val="none"/>
                      <w:lang w:val="en-US"/>
                    </w:rPr>
                  </w:pPr>
                  <w:r>
                    <w:rPr>
                      <w:rFonts w:hint="eastAsia" w:ascii="宋体" w:hAnsi="宋体" w:cs="宋体"/>
                      <w:color w:val="auto"/>
                      <w:kern w:val="0"/>
                      <w:szCs w:val="21"/>
                      <w:highlight w:val="none"/>
                      <w:lang w:val="en-US" w:eastAsia="zh-CN"/>
                    </w:rPr>
                    <w:t>30</w:t>
                  </w:r>
                </w:p>
              </w:tc>
              <w:tc>
                <w:tcPr>
                  <w:tcW w:w="5865" w:type="dxa"/>
                  <w:vAlign w:val="center"/>
                </w:tcPr>
                <w:p w14:paraId="6D8AAA92">
                  <w:pPr>
                    <w:widowControl/>
                    <w:numPr>
                      <w:ilvl w:val="0"/>
                      <w:numId w:val="6"/>
                    </w:numPr>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手机四码数据</w:t>
                  </w:r>
                  <w:r>
                    <w:rPr>
                      <w:rFonts w:hint="eastAsia" w:ascii="宋体" w:hAnsi="宋体" w:cs="宋体"/>
                      <w:color w:val="auto"/>
                      <w:kern w:val="0"/>
                      <w:sz w:val="21"/>
                      <w:szCs w:val="21"/>
                      <w:highlight w:val="none"/>
                      <w:lang w:val="en-US" w:eastAsia="zh-CN"/>
                    </w:rPr>
                    <w:t>汇聚</w:t>
                  </w:r>
                  <w:r>
                    <w:rPr>
                      <w:rFonts w:hint="eastAsia" w:ascii="宋体" w:hAnsi="宋体" w:cs="宋体"/>
                      <w:color w:val="auto"/>
                      <w:kern w:val="0"/>
                      <w:szCs w:val="21"/>
                      <w:highlight w:val="none"/>
                    </w:rPr>
                    <w:t>数量不低于</w:t>
                  </w:r>
                  <w:r>
                    <w:rPr>
                      <w:rFonts w:hint="eastAsia" w:ascii="宋体" w:hAnsi="宋体" w:cs="宋体"/>
                      <w:color w:val="auto"/>
                      <w:kern w:val="0"/>
                      <w:szCs w:val="21"/>
                      <w:highlight w:val="none"/>
                      <w:lang w:val="en-US" w:eastAsia="zh-CN"/>
                    </w:rPr>
                    <w:t>采购需求要求的数量（</w:t>
                  </w:r>
                  <w:r>
                    <w:rPr>
                      <w:rFonts w:hint="eastAsia" w:ascii="宋体" w:hAnsi="宋体" w:cs="宋体"/>
                      <w:color w:val="auto"/>
                      <w:kern w:val="0"/>
                      <w:szCs w:val="21"/>
                      <w:highlight w:val="none"/>
                    </w:rPr>
                    <w:t>4700万条</w:t>
                  </w:r>
                  <w:r>
                    <w:rPr>
                      <w:rFonts w:hint="eastAsia" w:ascii="宋体" w:hAnsi="宋体" w:cs="宋体"/>
                      <w:color w:val="auto"/>
                      <w:kern w:val="0"/>
                      <w:szCs w:val="21"/>
                      <w:highlight w:val="none"/>
                      <w:lang w:val="en-US" w:eastAsia="zh-CN"/>
                    </w:rPr>
                    <w:t>）</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得30分。</w:t>
                  </w:r>
                </w:p>
                <w:p w14:paraId="73672A71">
                  <w:pPr>
                    <w:widowControl/>
                    <w:numPr>
                      <w:ilvl w:val="0"/>
                      <w:numId w:val="6"/>
                    </w:numPr>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手机四码数据</w:t>
                  </w:r>
                  <w:r>
                    <w:rPr>
                      <w:rFonts w:hint="eastAsia" w:ascii="宋体" w:hAnsi="宋体" w:cs="宋体"/>
                      <w:color w:val="auto"/>
                      <w:kern w:val="0"/>
                      <w:szCs w:val="21"/>
                      <w:highlight w:val="none"/>
                      <w:lang w:val="en-US" w:eastAsia="zh-CN"/>
                    </w:rPr>
                    <w:t>汇聚数量</w:t>
                  </w:r>
                  <w:r>
                    <w:rPr>
                      <w:rFonts w:hint="eastAsia" w:ascii="宋体" w:hAnsi="宋体" w:cs="宋体"/>
                      <w:color w:val="auto"/>
                      <w:kern w:val="0"/>
                      <w:szCs w:val="21"/>
                      <w:highlight w:val="none"/>
                    </w:rPr>
                    <w:t>不低于</w:t>
                  </w:r>
                  <w:r>
                    <w:rPr>
                      <w:rFonts w:hint="eastAsia" w:ascii="宋体" w:hAnsi="宋体" w:cs="宋体"/>
                      <w:color w:val="auto"/>
                      <w:kern w:val="0"/>
                      <w:szCs w:val="21"/>
                      <w:highlight w:val="none"/>
                      <w:lang w:val="en-US" w:eastAsia="zh-CN"/>
                    </w:rPr>
                    <w:t>采购需求要求数量的90%（</w:t>
                  </w:r>
                  <w:r>
                    <w:rPr>
                      <w:rFonts w:hint="eastAsia" w:ascii="宋体" w:hAnsi="宋体" w:cs="宋体"/>
                      <w:color w:val="auto"/>
                      <w:kern w:val="0"/>
                      <w:szCs w:val="21"/>
                      <w:highlight w:val="none"/>
                    </w:rPr>
                    <w:t>4230万条</w:t>
                  </w:r>
                  <w:r>
                    <w:rPr>
                      <w:rFonts w:hint="eastAsia" w:ascii="宋体" w:hAnsi="宋体" w:cs="宋体"/>
                      <w:color w:val="auto"/>
                      <w:kern w:val="0"/>
                      <w:szCs w:val="21"/>
                      <w:highlight w:val="none"/>
                      <w:lang w:val="en-US" w:eastAsia="zh-CN"/>
                    </w:rPr>
                    <w:t>）</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得25分。</w:t>
                  </w:r>
                </w:p>
                <w:p w14:paraId="4D527469">
                  <w:pPr>
                    <w:widowControl/>
                    <w:numPr>
                      <w:ilvl w:val="0"/>
                      <w:numId w:val="6"/>
                    </w:numPr>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手机四码数据</w:t>
                  </w:r>
                  <w:r>
                    <w:rPr>
                      <w:rFonts w:hint="eastAsia" w:ascii="宋体" w:hAnsi="宋体" w:cs="宋体"/>
                      <w:color w:val="auto"/>
                      <w:kern w:val="0"/>
                      <w:szCs w:val="21"/>
                      <w:highlight w:val="none"/>
                      <w:lang w:val="en-US" w:eastAsia="zh-CN"/>
                    </w:rPr>
                    <w:t>汇聚数量</w:t>
                  </w:r>
                  <w:r>
                    <w:rPr>
                      <w:rFonts w:hint="eastAsia" w:ascii="宋体" w:hAnsi="宋体" w:cs="宋体"/>
                      <w:color w:val="auto"/>
                      <w:kern w:val="0"/>
                      <w:szCs w:val="21"/>
                      <w:highlight w:val="none"/>
                    </w:rPr>
                    <w:t>不低于</w:t>
                  </w:r>
                  <w:r>
                    <w:rPr>
                      <w:rFonts w:hint="eastAsia" w:ascii="宋体" w:hAnsi="宋体" w:cs="宋体"/>
                      <w:color w:val="auto"/>
                      <w:kern w:val="0"/>
                      <w:szCs w:val="21"/>
                      <w:highlight w:val="none"/>
                      <w:lang w:val="en-US" w:eastAsia="zh-CN"/>
                    </w:rPr>
                    <w:t>采购需求要求数量的80%（</w:t>
                  </w:r>
                  <w:r>
                    <w:rPr>
                      <w:rFonts w:hint="eastAsia" w:ascii="宋体" w:hAnsi="宋体" w:cs="宋体"/>
                      <w:color w:val="auto"/>
                      <w:kern w:val="0"/>
                      <w:szCs w:val="21"/>
                      <w:highlight w:val="none"/>
                    </w:rPr>
                    <w:t>3760万条</w:t>
                  </w:r>
                  <w:r>
                    <w:rPr>
                      <w:rFonts w:hint="eastAsia" w:ascii="宋体" w:hAnsi="宋体" w:cs="宋体"/>
                      <w:color w:val="auto"/>
                      <w:kern w:val="0"/>
                      <w:szCs w:val="21"/>
                      <w:highlight w:val="none"/>
                      <w:lang w:val="en-US" w:eastAsia="zh-CN"/>
                    </w:rPr>
                    <w:t>）</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得20分。</w:t>
                  </w:r>
                </w:p>
                <w:p w14:paraId="6B9B8F0E">
                  <w:pPr>
                    <w:widowControl/>
                    <w:numPr>
                      <w:ilvl w:val="0"/>
                      <w:numId w:val="6"/>
                    </w:numPr>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手机四码数据</w:t>
                  </w:r>
                  <w:r>
                    <w:rPr>
                      <w:rFonts w:hint="eastAsia" w:ascii="宋体" w:hAnsi="宋体" w:cs="宋体"/>
                      <w:color w:val="auto"/>
                      <w:kern w:val="0"/>
                      <w:szCs w:val="21"/>
                      <w:highlight w:val="none"/>
                      <w:lang w:val="en-US" w:eastAsia="zh-CN"/>
                    </w:rPr>
                    <w:t>汇聚数量</w:t>
                  </w:r>
                  <w:r>
                    <w:rPr>
                      <w:rFonts w:hint="eastAsia" w:ascii="宋体" w:hAnsi="宋体" w:cs="宋体"/>
                      <w:color w:val="auto"/>
                      <w:kern w:val="0"/>
                      <w:szCs w:val="21"/>
                      <w:highlight w:val="none"/>
                    </w:rPr>
                    <w:t>低于</w:t>
                  </w:r>
                  <w:r>
                    <w:rPr>
                      <w:rFonts w:hint="eastAsia" w:ascii="宋体" w:hAnsi="宋体" w:cs="宋体"/>
                      <w:color w:val="auto"/>
                      <w:kern w:val="0"/>
                      <w:szCs w:val="21"/>
                      <w:highlight w:val="none"/>
                      <w:lang w:val="en-US" w:eastAsia="zh-CN"/>
                    </w:rPr>
                    <w:t>采购需求要求数量的80%（</w:t>
                  </w:r>
                  <w:r>
                    <w:rPr>
                      <w:rFonts w:hint="eastAsia" w:ascii="宋体" w:hAnsi="宋体" w:cs="宋体"/>
                      <w:color w:val="auto"/>
                      <w:kern w:val="0"/>
                      <w:szCs w:val="21"/>
                      <w:highlight w:val="none"/>
                    </w:rPr>
                    <w:t>3760万条</w:t>
                  </w:r>
                  <w:r>
                    <w:rPr>
                      <w:rFonts w:hint="eastAsia" w:ascii="宋体" w:hAnsi="宋体" w:cs="宋体"/>
                      <w:color w:val="auto"/>
                      <w:kern w:val="0"/>
                      <w:szCs w:val="21"/>
                      <w:highlight w:val="none"/>
                      <w:lang w:val="en-US" w:eastAsia="zh-CN"/>
                    </w:rPr>
                    <w:t>）</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不得分。</w:t>
                  </w:r>
                </w:p>
              </w:tc>
            </w:tr>
            <w:tr w14:paraId="0A472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9" w:type="dxa"/>
                  <w:vAlign w:val="center"/>
                </w:tcPr>
                <w:p w14:paraId="46C64A3C">
                  <w:pPr>
                    <w:widowControl/>
                    <w:numPr>
                      <w:ilvl w:val="255"/>
                      <w:numId w:val="0"/>
                    </w:numPr>
                    <w:spacing w:line="360" w:lineRule="auto"/>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rPr>
                    <w:t>手机APP数据</w:t>
                  </w:r>
                  <w:r>
                    <w:rPr>
                      <w:rFonts w:hint="eastAsia" w:ascii="宋体" w:hAnsi="宋体" w:cs="宋体"/>
                      <w:color w:val="auto"/>
                      <w:kern w:val="0"/>
                      <w:szCs w:val="21"/>
                      <w:highlight w:val="none"/>
                      <w:lang w:val="en-US" w:eastAsia="zh-CN"/>
                    </w:rPr>
                    <w:t>汇聚数量</w:t>
                  </w:r>
                </w:p>
              </w:tc>
              <w:tc>
                <w:tcPr>
                  <w:tcW w:w="694" w:type="dxa"/>
                  <w:vAlign w:val="center"/>
                </w:tcPr>
                <w:p w14:paraId="23005C56">
                  <w:pPr>
                    <w:widowControl/>
                    <w:numPr>
                      <w:ilvl w:val="255"/>
                      <w:numId w:val="0"/>
                    </w:numPr>
                    <w:spacing w:line="360" w:lineRule="auto"/>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30</w:t>
                  </w:r>
                </w:p>
              </w:tc>
              <w:tc>
                <w:tcPr>
                  <w:tcW w:w="5865" w:type="dxa"/>
                  <w:vAlign w:val="center"/>
                </w:tcPr>
                <w:p w14:paraId="55A31605">
                  <w:pPr>
                    <w:widowControl/>
                    <w:numPr>
                      <w:ilvl w:val="0"/>
                      <w:numId w:val="7"/>
                    </w:numPr>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手机APP数据</w:t>
                  </w:r>
                  <w:r>
                    <w:rPr>
                      <w:rFonts w:hint="eastAsia" w:ascii="宋体" w:hAnsi="宋体" w:cs="宋体"/>
                      <w:color w:val="auto"/>
                      <w:kern w:val="0"/>
                      <w:szCs w:val="21"/>
                      <w:highlight w:val="none"/>
                      <w:lang w:eastAsia="zh-CN"/>
                    </w:rPr>
                    <w:t>汇聚数量</w:t>
                  </w:r>
                  <w:r>
                    <w:rPr>
                      <w:rFonts w:hint="eastAsia" w:ascii="宋体" w:hAnsi="宋体" w:cs="宋体"/>
                      <w:color w:val="auto"/>
                      <w:kern w:val="0"/>
                      <w:szCs w:val="21"/>
                      <w:highlight w:val="none"/>
                    </w:rPr>
                    <w:t>不低于</w:t>
                  </w:r>
                  <w:r>
                    <w:rPr>
                      <w:rFonts w:hint="eastAsia" w:ascii="宋体" w:hAnsi="宋体" w:cs="宋体"/>
                      <w:color w:val="auto"/>
                      <w:kern w:val="0"/>
                      <w:szCs w:val="21"/>
                      <w:highlight w:val="none"/>
                      <w:lang w:val="en-US" w:eastAsia="zh-CN"/>
                    </w:rPr>
                    <w:t>采购需求要求的数量（</w:t>
                  </w:r>
                  <w:r>
                    <w:rPr>
                      <w:rFonts w:hint="eastAsia" w:ascii="宋体" w:hAnsi="宋体" w:cs="宋体"/>
                      <w:color w:val="auto"/>
                      <w:kern w:val="0"/>
                      <w:szCs w:val="21"/>
                      <w:highlight w:val="none"/>
                    </w:rPr>
                    <w:t>3.3亿条</w:t>
                  </w:r>
                  <w:r>
                    <w:rPr>
                      <w:rFonts w:hint="eastAsia" w:ascii="宋体" w:hAnsi="宋体" w:cs="宋体"/>
                      <w:color w:val="auto"/>
                      <w:kern w:val="0"/>
                      <w:szCs w:val="21"/>
                      <w:highlight w:val="none"/>
                      <w:lang w:val="en-US" w:eastAsia="zh-CN"/>
                    </w:rPr>
                    <w:t>）</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得30分。</w:t>
                  </w:r>
                </w:p>
                <w:p w14:paraId="3C0457DF">
                  <w:pPr>
                    <w:widowControl/>
                    <w:numPr>
                      <w:ilvl w:val="0"/>
                      <w:numId w:val="7"/>
                    </w:numPr>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手机APP数据</w:t>
                  </w:r>
                  <w:r>
                    <w:rPr>
                      <w:rFonts w:hint="eastAsia" w:ascii="宋体" w:hAnsi="宋体" w:cs="宋体"/>
                      <w:color w:val="auto"/>
                      <w:kern w:val="0"/>
                      <w:szCs w:val="21"/>
                      <w:highlight w:val="none"/>
                      <w:lang w:eastAsia="zh-CN"/>
                    </w:rPr>
                    <w:t>汇聚数量</w:t>
                  </w:r>
                  <w:r>
                    <w:rPr>
                      <w:rFonts w:hint="eastAsia" w:ascii="宋体" w:hAnsi="宋体" w:cs="宋体"/>
                      <w:color w:val="auto"/>
                      <w:kern w:val="0"/>
                      <w:szCs w:val="21"/>
                      <w:highlight w:val="none"/>
                    </w:rPr>
                    <w:t>不低于</w:t>
                  </w:r>
                  <w:r>
                    <w:rPr>
                      <w:rFonts w:hint="eastAsia" w:ascii="宋体" w:hAnsi="宋体" w:cs="宋体"/>
                      <w:color w:val="auto"/>
                      <w:kern w:val="0"/>
                      <w:szCs w:val="21"/>
                      <w:highlight w:val="none"/>
                      <w:lang w:val="en-US" w:eastAsia="zh-CN"/>
                    </w:rPr>
                    <w:t>采购需求要求数量的90%（2.97</w:t>
                  </w:r>
                  <w:r>
                    <w:rPr>
                      <w:rFonts w:hint="eastAsia" w:ascii="宋体" w:hAnsi="宋体" w:cs="宋体"/>
                      <w:color w:val="auto"/>
                      <w:kern w:val="0"/>
                      <w:szCs w:val="21"/>
                      <w:highlight w:val="none"/>
                    </w:rPr>
                    <w:t>亿条</w:t>
                  </w:r>
                  <w:r>
                    <w:rPr>
                      <w:rFonts w:hint="eastAsia" w:ascii="宋体" w:hAnsi="宋体" w:cs="宋体"/>
                      <w:color w:val="auto"/>
                      <w:kern w:val="0"/>
                      <w:szCs w:val="21"/>
                      <w:highlight w:val="none"/>
                      <w:lang w:val="en-US" w:eastAsia="zh-CN"/>
                    </w:rPr>
                    <w:t>）</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得25分。</w:t>
                  </w:r>
                </w:p>
                <w:p w14:paraId="38C87BBA">
                  <w:pPr>
                    <w:widowControl/>
                    <w:numPr>
                      <w:ilvl w:val="0"/>
                      <w:numId w:val="7"/>
                    </w:numPr>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手机APP数据</w:t>
                  </w:r>
                  <w:r>
                    <w:rPr>
                      <w:rFonts w:hint="eastAsia" w:ascii="宋体" w:hAnsi="宋体" w:cs="宋体"/>
                      <w:color w:val="auto"/>
                      <w:kern w:val="0"/>
                      <w:szCs w:val="21"/>
                      <w:highlight w:val="none"/>
                      <w:lang w:eastAsia="zh-CN"/>
                    </w:rPr>
                    <w:t>汇聚数量</w:t>
                  </w:r>
                  <w:r>
                    <w:rPr>
                      <w:rFonts w:hint="eastAsia" w:ascii="宋体" w:hAnsi="宋体" w:cs="宋体"/>
                      <w:color w:val="auto"/>
                      <w:kern w:val="0"/>
                      <w:szCs w:val="21"/>
                      <w:highlight w:val="none"/>
                    </w:rPr>
                    <w:t>不低于</w:t>
                  </w:r>
                  <w:r>
                    <w:rPr>
                      <w:rFonts w:hint="eastAsia" w:ascii="宋体" w:hAnsi="宋体" w:cs="宋体"/>
                      <w:color w:val="auto"/>
                      <w:kern w:val="0"/>
                      <w:szCs w:val="21"/>
                      <w:highlight w:val="none"/>
                      <w:lang w:val="en-US" w:eastAsia="zh-CN"/>
                    </w:rPr>
                    <w:t>采购需求要求数量的80%（</w:t>
                  </w:r>
                  <w:r>
                    <w:rPr>
                      <w:rFonts w:hint="eastAsia" w:ascii="宋体" w:hAnsi="宋体" w:cs="宋体"/>
                      <w:color w:val="auto"/>
                      <w:kern w:val="0"/>
                      <w:szCs w:val="21"/>
                      <w:highlight w:val="none"/>
                    </w:rPr>
                    <w:t>2.64亿条</w:t>
                  </w:r>
                  <w:r>
                    <w:rPr>
                      <w:rFonts w:hint="eastAsia" w:ascii="宋体" w:hAnsi="宋体" w:cs="宋体"/>
                      <w:color w:val="auto"/>
                      <w:kern w:val="0"/>
                      <w:szCs w:val="21"/>
                      <w:highlight w:val="none"/>
                      <w:lang w:val="en-US" w:eastAsia="zh-CN"/>
                    </w:rPr>
                    <w:t>）</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得20分。</w:t>
                  </w:r>
                </w:p>
                <w:p w14:paraId="32E3C8ED">
                  <w:pPr>
                    <w:widowControl/>
                    <w:numPr>
                      <w:ilvl w:val="0"/>
                      <w:numId w:val="7"/>
                    </w:numPr>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手机APP数据</w:t>
                  </w:r>
                  <w:r>
                    <w:rPr>
                      <w:rFonts w:hint="eastAsia" w:ascii="宋体" w:hAnsi="宋体" w:cs="宋体"/>
                      <w:color w:val="auto"/>
                      <w:kern w:val="0"/>
                      <w:szCs w:val="21"/>
                      <w:highlight w:val="none"/>
                      <w:lang w:eastAsia="zh-CN"/>
                    </w:rPr>
                    <w:t>汇聚数量</w:t>
                  </w:r>
                  <w:r>
                    <w:rPr>
                      <w:rFonts w:hint="eastAsia" w:ascii="宋体" w:hAnsi="宋体" w:cs="宋体"/>
                      <w:color w:val="auto"/>
                      <w:kern w:val="0"/>
                      <w:szCs w:val="21"/>
                      <w:highlight w:val="none"/>
                    </w:rPr>
                    <w:t>低于</w:t>
                  </w:r>
                  <w:r>
                    <w:rPr>
                      <w:rFonts w:hint="eastAsia" w:ascii="宋体" w:hAnsi="宋体" w:cs="宋体"/>
                      <w:color w:val="auto"/>
                      <w:kern w:val="0"/>
                      <w:szCs w:val="21"/>
                      <w:highlight w:val="none"/>
                      <w:lang w:val="en-US" w:eastAsia="zh-CN"/>
                    </w:rPr>
                    <w:t>采购需求要求数量的80%（</w:t>
                  </w:r>
                  <w:r>
                    <w:rPr>
                      <w:rFonts w:hint="eastAsia" w:ascii="宋体" w:hAnsi="宋体" w:cs="宋体"/>
                      <w:color w:val="auto"/>
                      <w:kern w:val="0"/>
                      <w:szCs w:val="21"/>
                      <w:highlight w:val="none"/>
                    </w:rPr>
                    <w:t>2.64亿条</w:t>
                  </w:r>
                  <w:r>
                    <w:rPr>
                      <w:rFonts w:hint="eastAsia" w:ascii="宋体" w:hAnsi="宋体" w:cs="宋体"/>
                      <w:color w:val="auto"/>
                      <w:kern w:val="0"/>
                      <w:szCs w:val="21"/>
                      <w:highlight w:val="none"/>
                      <w:lang w:val="en-US" w:eastAsia="zh-CN"/>
                    </w:rPr>
                    <w:t>）</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不得分。</w:t>
                  </w:r>
                </w:p>
              </w:tc>
            </w:tr>
            <w:tr w14:paraId="16F25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9" w:type="dxa"/>
                  <w:vAlign w:val="center"/>
                </w:tcPr>
                <w:p w14:paraId="04293A8D">
                  <w:pPr>
                    <w:widowControl/>
                    <w:numPr>
                      <w:ilvl w:val="255"/>
                      <w:numId w:val="0"/>
                    </w:numPr>
                    <w:spacing w:line="360" w:lineRule="auto"/>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rPr>
                    <w:t>位置轨迹数据</w:t>
                  </w:r>
                  <w:r>
                    <w:rPr>
                      <w:rFonts w:hint="eastAsia" w:ascii="宋体" w:hAnsi="宋体" w:cs="宋体"/>
                      <w:color w:val="auto"/>
                      <w:kern w:val="0"/>
                      <w:szCs w:val="21"/>
                      <w:highlight w:val="none"/>
                      <w:lang w:val="en-US" w:eastAsia="zh-CN"/>
                    </w:rPr>
                    <w:t>汇聚数量</w:t>
                  </w:r>
                </w:p>
              </w:tc>
              <w:tc>
                <w:tcPr>
                  <w:tcW w:w="694" w:type="dxa"/>
                  <w:vAlign w:val="center"/>
                </w:tcPr>
                <w:p w14:paraId="199C89C7">
                  <w:pPr>
                    <w:widowControl/>
                    <w:numPr>
                      <w:ilvl w:val="255"/>
                      <w:numId w:val="0"/>
                    </w:numPr>
                    <w:spacing w:line="360" w:lineRule="auto"/>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40</w:t>
                  </w:r>
                </w:p>
              </w:tc>
              <w:tc>
                <w:tcPr>
                  <w:tcW w:w="5865" w:type="dxa"/>
                  <w:vAlign w:val="center"/>
                </w:tcPr>
                <w:p w14:paraId="0FFB44F8">
                  <w:pPr>
                    <w:widowControl/>
                    <w:numPr>
                      <w:ilvl w:val="0"/>
                      <w:numId w:val="8"/>
                    </w:numPr>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位置轨迹数据</w:t>
                  </w:r>
                  <w:r>
                    <w:rPr>
                      <w:rFonts w:hint="eastAsia" w:ascii="宋体" w:hAnsi="宋体" w:cs="宋体"/>
                      <w:color w:val="auto"/>
                      <w:kern w:val="0"/>
                      <w:szCs w:val="21"/>
                      <w:highlight w:val="none"/>
                      <w:lang w:val="en-US" w:eastAsia="zh-CN"/>
                    </w:rPr>
                    <w:t>汇聚数量</w:t>
                  </w:r>
                  <w:r>
                    <w:rPr>
                      <w:rFonts w:hint="eastAsia" w:ascii="宋体" w:hAnsi="宋体" w:cs="宋体"/>
                      <w:color w:val="auto"/>
                      <w:kern w:val="0"/>
                      <w:szCs w:val="21"/>
                      <w:highlight w:val="none"/>
                    </w:rPr>
                    <w:t>不低于</w:t>
                  </w:r>
                  <w:r>
                    <w:rPr>
                      <w:rFonts w:hint="eastAsia" w:ascii="宋体" w:hAnsi="宋体" w:cs="宋体"/>
                      <w:color w:val="auto"/>
                      <w:kern w:val="0"/>
                      <w:szCs w:val="21"/>
                      <w:highlight w:val="none"/>
                      <w:lang w:val="en-US" w:eastAsia="zh-CN"/>
                    </w:rPr>
                    <w:t>采购需求要求的数量（1.9</w:t>
                  </w:r>
                  <w:r>
                    <w:rPr>
                      <w:rFonts w:hint="eastAsia" w:ascii="宋体" w:hAnsi="宋体" w:cs="宋体"/>
                      <w:color w:val="auto"/>
                      <w:kern w:val="0"/>
                      <w:szCs w:val="21"/>
                      <w:highlight w:val="none"/>
                    </w:rPr>
                    <w:t>亿条</w:t>
                  </w:r>
                  <w:r>
                    <w:rPr>
                      <w:rFonts w:hint="eastAsia" w:ascii="宋体" w:hAnsi="宋体" w:cs="宋体"/>
                      <w:color w:val="auto"/>
                      <w:kern w:val="0"/>
                      <w:szCs w:val="21"/>
                      <w:highlight w:val="none"/>
                      <w:lang w:val="en-US" w:eastAsia="zh-CN"/>
                    </w:rPr>
                    <w:t>）</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得40分。</w:t>
                  </w:r>
                </w:p>
                <w:p w14:paraId="075CE8E1">
                  <w:pPr>
                    <w:widowControl/>
                    <w:numPr>
                      <w:ilvl w:val="0"/>
                      <w:numId w:val="8"/>
                    </w:numPr>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位置轨迹数据</w:t>
                  </w:r>
                  <w:r>
                    <w:rPr>
                      <w:rFonts w:hint="eastAsia" w:ascii="宋体" w:hAnsi="宋体" w:cs="宋体"/>
                      <w:color w:val="auto"/>
                      <w:kern w:val="0"/>
                      <w:szCs w:val="21"/>
                      <w:highlight w:val="none"/>
                      <w:lang w:val="en-US" w:eastAsia="zh-CN"/>
                    </w:rPr>
                    <w:t>汇聚数量</w:t>
                  </w:r>
                  <w:r>
                    <w:rPr>
                      <w:rFonts w:hint="eastAsia" w:ascii="宋体" w:hAnsi="宋体" w:cs="宋体"/>
                      <w:color w:val="auto"/>
                      <w:kern w:val="0"/>
                      <w:szCs w:val="21"/>
                      <w:highlight w:val="none"/>
                    </w:rPr>
                    <w:t>不低于</w:t>
                  </w:r>
                  <w:r>
                    <w:rPr>
                      <w:rFonts w:hint="eastAsia" w:ascii="宋体" w:hAnsi="宋体" w:cs="宋体"/>
                      <w:color w:val="auto"/>
                      <w:kern w:val="0"/>
                      <w:szCs w:val="21"/>
                      <w:highlight w:val="none"/>
                      <w:lang w:val="en-US" w:eastAsia="zh-CN"/>
                    </w:rPr>
                    <w:t>采购需求要求数量的90%（</w:t>
                  </w:r>
                  <w:r>
                    <w:rPr>
                      <w:rFonts w:hint="eastAsia" w:ascii="宋体" w:hAnsi="宋体" w:cs="宋体"/>
                      <w:color w:val="auto"/>
                      <w:kern w:val="0"/>
                      <w:szCs w:val="21"/>
                      <w:highlight w:val="none"/>
                    </w:rPr>
                    <w:t>1.71亿条</w:t>
                  </w:r>
                  <w:r>
                    <w:rPr>
                      <w:rFonts w:hint="eastAsia" w:ascii="宋体" w:hAnsi="宋体" w:cs="宋体"/>
                      <w:color w:val="auto"/>
                      <w:kern w:val="0"/>
                      <w:szCs w:val="21"/>
                      <w:highlight w:val="none"/>
                      <w:lang w:val="en-US" w:eastAsia="zh-CN"/>
                    </w:rPr>
                    <w:t>）</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得35分。</w:t>
                  </w:r>
                </w:p>
                <w:p w14:paraId="31FFF08B">
                  <w:pPr>
                    <w:widowControl/>
                    <w:numPr>
                      <w:ilvl w:val="0"/>
                      <w:numId w:val="8"/>
                    </w:numPr>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位置轨迹数据</w:t>
                  </w:r>
                  <w:r>
                    <w:rPr>
                      <w:rFonts w:hint="eastAsia" w:ascii="宋体" w:hAnsi="宋体" w:cs="宋体"/>
                      <w:color w:val="auto"/>
                      <w:kern w:val="0"/>
                      <w:szCs w:val="21"/>
                      <w:highlight w:val="none"/>
                      <w:lang w:val="en-US" w:eastAsia="zh-CN"/>
                    </w:rPr>
                    <w:t>汇聚数量</w:t>
                  </w:r>
                  <w:r>
                    <w:rPr>
                      <w:rFonts w:hint="eastAsia" w:ascii="宋体" w:hAnsi="宋体" w:cs="宋体"/>
                      <w:color w:val="auto"/>
                      <w:kern w:val="0"/>
                      <w:szCs w:val="21"/>
                      <w:highlight w:val="none"/>
                    </w:rPr>
                    <w:t>不低于</w:t>
                  </w:r>
                  <w:r>
                    <w:rPr>
                      <w:rFonts w:hint="eastAsia" w:ascii="宋体" w:hAnsi="宋体" w:cs="宋体"/>
                      <w:color w:val="auto"/>
                      <w:kern w:val="0"/>
                      <w:szCs w:val="21"/>
                      <w:highlight w:val="none"/>
                      <w:lang w:val="en-US" w:eastAsia="zh-CN"/>
                    </w:rPr>
                    <w:t>采购需求要求数量的80%（</w:t>
                  </w:r>
                  <w:r>
                    <w:rPr>
                      <w:rFonts w:hint="eastAsia" w:ascii="宋体" w:hAnsi="宋体" w:cs="宋体"/>
                      <w:color w:val="auto"/>
                      <w:kern w:val="0"/>
                      <w:szCs w:val="21"/>
                      <w:highlight w:val="none"/>
                    </w:rPr>
                    <w:t>1.52亿条</w:t>
                  </w:r>
                  <w:r>
                    <w:rPr>
                      <w:rFonts w:hint="eastAsia" w:ascii="宋体" w:hAnsi="宋体" w:cs="宋体"/>
                      <w:color w:val="auto"/>
                      <w:kern w:val="0"/>
                      <w:szCs w:val="21"/>
                      <w:highlight w:val="none"/>
                      <w:lang w:val="en-US" w:eastAsia="zh-CN"/>
                    </w:rPr>
                    <w:t>）</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得30分。</w:t>
                  </w:r>
                </w:p>
                <w:p w14:paraId="16231DB4">
                  <w:pPr>
                    <w:widowControl/>
                    <w:numPr>
                      <w:ilvl w:val="0"/>
                      <w:numId w:val="8"/>
                    </w:numPr>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位置轨迹数据</w:t>
                  </w:r>
                  <w:r>
                    <w:rPr>
                      <w:rFonts w:hint="eastAsia" w:ascii="宋体" w:hAnsi="宋体" w:cs="宋体"/>
                      <w:color w:val="auto"/>
                      <w:kern w:val="0"/>
                      <w:szCs w:val="21"/>
                      <w:highlight w:val="none"/>
                      <w:lang w:val="en-US" w:eastAsia="zh-CN"/>
                    </w:rPr>
                    <w:t>汇聚数量</w:t>
                  </w:r>
                  <w:r>
                    <w:rPr>
                      <w:rFonts w:hint="eastAsia" w:ascii="宋体" w:hAnsi="宋体" w:cs="宋体"/>
                      <w:color w:val="auto"/>
                      <w:kern w:val="0"/>
                      <w:szCs w:val="21"/>
                      <w:highlight w:val="none"/>
                    </w:rPr>
                    <w:t>低于</w:t>
                  </w:r>
                  <w:r>
                    <w:rPr>
                      <w:rFonts w:hint="eastAsia" w:ascii="宋体" w:hAnsi="宋体" w:cs="宋体"/>
                      <w:color w:val="auto"/>
                      <w:kern w:val="0"/>
                      <w:szCs w:val="21"/>
                      <w:highlight w:val="none"/>
                      <w:lang w:val="en-US" w:eastAsia="zh-CN"/>
                    </w:rPr>
                    <w:t>采购需求要求数量的80%（</w:t>
                  </w:r>
                  <w:r>
                    <w:rPr>
                      <w:rFonts w:hint="eastAsia" w:ascii="宋体" w:hAnsi="宋体" w:cs="宋体"/>
                      <w:color w:val="auto"/>
                      <w:kern w:val="0"/>
                      <w:szCs w:val="21"/>
                      <w:highlight w:val="none"/>
                    </w:rPr>
                    <w:t>1.52亿条</w:t>
                  </w:r>
                  <w:r>
                    <w:rPr>
                      <w:rFonts w:hint="eastAsia" w:ascii="宋体" w:hAnsi="宋体" w:cs="宋体"/>
                      <w:color w:val="auto"/>
                      <w:kern w:val="0"/>
                      <w:szCs w:val="21"/>
                      <w:highlight w:val="none"/>
                      <w:lang w:val="en-US" w:eastAsia="zh-CN"/>
                    </w:rPr>
                    <w:t>）</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不得分。</w:t>
                  </w:r>
                </w:p>
              </w:tc>
            </w:tr>
          </w:tbl>
          <w:p w14:paraId="77013360">
            <w:pPr>
              <w:widowControl/>
              <w:numPr>
                <w:ilvl w:val="0"/>
                <w:numId w:val="0"/>
              </w:numPr>
              <w:spacing w:line="360" w:lineRule="auto"/>
              <w:ind w:leftChars="0"/>
              <w:rPr>
                <w:rFonts w:hint="eastAsia" w:ascii="宋体" w:hAnsi="宋体" w:cs="宋体"/>
                <w:color w:val="auto"/>
                <w:kern w:val="0"/>
                <w:szCs w:val="21"/>
                <w:highlight w:val="none"/>
              </w:rPr>
            </w:pPr>
          </w:p>
          <w:p w14:paraId="68429C39">
            <w:pPr>
              <w:spacing w:line="360" w:lineRule="auto"/>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rPr>
              <w:t>考核机制要求如下</w:t>
            </w:r>
            <w:r>
              <w:rPr>
                <w:rFonts w:hint="eastAsia" w:ascii="宋体" w:hAnsi="宋体" w:cs="宋体"/>
                <w:color w:val="auto"/>
                <w:kern w:val="0"/>
                <w:szCs w:val="21"/>
                <w:highlight w:val="none"/>
                <w:lang w:eastAsia="zh-CN"/>
              </w:rPr>
              <w:t>：</w:t>
            </w:r>
          </w:p>
          <w:tbl>
            <w:tblPr>
              <w:tblStyle w:val="31"/>
              <w:tblW w:w="8518"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48"/>
              <w:gridCol w:w="1254"/>
              <w:gridCol w:w="4716"/>
            </w:tblGrid>
            <w:tr w14:paraId="0C9E1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8" w:type="dxa"/>
                </w:tcPr>
                <w:p w14:paraId="6F26829C">
                  <w:pPr>
                    <w:widowControl/>
                    <w:numPr>
                      <w:ilvl w:val="255"/>
                      <w:numId w:val="0"/>
                    </w:numPr>
                    <w:spacing w:line="360" w:lineRule="auto"/>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服务考核得分</w:t>
                  </w:r>
                </w:p>
              </w:tc>
              <w:tc>
                <w:tcPr>
                  <w:tcW w:w="1254" w:type="dxa"/>
                </w:tcPr>
                <w:p w14:paraId="6AAB5625">
                  <w:pPr>
                    <w:widowControl/>
                    <w:numPr>
                      <w:ilvl w:val="255"/>
                      <w:numId w:val="0"/>
                    </w:numPr>
                    <w:spacing w:line="360" w:lineRule="auto"/>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扣减比例</w:t>
                  </w:r>
                </w:p>
              </w:tc>
              <w:tc>
                <w:tcPr>
                  <w:tcW w:w="4716" w:type="dxa"/>
                </w:tcPr>
                <w:p w14:paraId="107046DA">
                  <w:pPr>
                    <w:widowControl/>
                    <w:numPr>
                      <w:ilvl w:val="255"/>
                      <w:numId w:val="0"/>
                    </w:numPr>
                    <w:spacing w:line="360" w:lineRule="auto"/>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扣减金额</w:t>
                  </w:r>
                </w:p>
              </w:tc>
            </w:tr>
            <w:tr w14:paraId="0EF07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8" w:type="dxa"/>
                </w:tcPr>
                <w:p w14:paraId="6E23875D">
                  <w:pPr>
                    <w:widowControl/>
                    <w:numPr>
                      <w:ilvl w:val="255"/>
                      <w:numId w:val="0"/>
                    </w:numPr>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大于等于90分</w:t>
                  </w:r>
                </w:p>
              </w:tc>
              <w:tc>
                <w:tcPr>
                  <w:tcW w:w="1254" w:type="dxa"/>
                </w:tcPr>
                <w:p w14:paraId="7DC5AC3E">
                  <w:pPr>
                    <w:widowControl/>
                    <w:numPr>
                      <w:ilvl w:val="255"/>
                      <w:numId w:val="0"/>
                    </w:numPr>
                    <w:spacing w:line="360" w:lineRule="auto"/>
                    <w:jc w:val="center"/>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rPr>
                    <w:t>0</w:t>
                  </w:r>
                </w:p>
              </w:tc>
              <w:tc>
                <w:tcPr>
                  <w:tcW w:w="4716" w:type="dxa"/>
                </w:tcPr>
                <w:p w14:paraId="7F3425AC">
                  <w:pPr>
                    <w:widowControl/>
                    <w:numPr>
                      <w:ilvl w:val="255"/>
                      <w:numId w:val="0"/>
                    </w:numPr>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0</w:t>
                  </w:r>
                </w:p>
              </w:tc>
            </w:tr>
            <w:tr w14:paraId="14C5E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8" w:type="dxa"/>
                </w:tcPr>
                <w:p w14:paraId="4F77472A">
                  <w:pPr>
                    <w:widowControl/>
                    <w:numPr>
                      <w:ilvl w:val="255"/>
                      <w:numId w:val="0"/>
                    </w:numPr>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大于等于80，小于90分</w:t>
                  </w:r>
                </w:p>
              </w:tc>
              <w:tc>
                <w:tcPr>
                  <w:tcW w:w="1254" w:type="dxa"/>
                </w:tcPr>
                <w:p w14:paraId="45DF1D74">
                  <w:pPr>
                    <w:widowControl/>
                    <w:numPr>
                      <w:ilvl w:val="255"/>
                      <w:numId w:val="0"/>
                    </w:numPr>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5%</w:t>
                  </w:r>
                </w:p>
              </w:tc>
              <w:tc>
                <w:tcPr>
                  <w:tcW w:w="4716" w:type="dxa"/>
                </w:tcPr>
                <w:p w14:paraId="0EFE9B01">
                  <w:pPr>
                    <w:widowControl/>
                    <w:numPr>
                      <w:ilvl w:val="255"/>
                      <w:numId w:val="0"/>
                    </w:numPr>
                    <w:spacing w:line="360" w:lineRule="auto"/>
                    <w:rPr>
                      <w:rFonts w:hint="eastAsia" w:ascii="宋体" w:hAnsi="宋体" w:cs="宋体"/>
                      <w:color w:val="auto"/>
                      <w:kern w:val="0"/>
                      <w:szCs w:val="21"/>
                      <w:highlight w:val="none"/>
                    </w:rPr>
                  </w:pPr>
                  <w:r>
                    <w:rPr>
                      <w:rFonts w:hint="eastAsia" w:ascii="宋体" w:hAnsi="宋体" w:cs="宋体"/>
                      <w:color w:val="auto"/>
                      <w:kern w:val="0"/>
                      <w:sz w:val="21"/>
                      <w:szCs w:val="21"/>
                      <w:highlight w:val="none"/>
                      <w:lang w:val="en-US" w:eastAsia="zh-CN"/>
                    </w:rPr>
                    <w:t>涉诈人员手机设备情报数据汇聚服务</w:t>
                  </w:r>
                  <w:r>
                    <w:rPr>
                      <w:rFonts w:hint="eastAsia" w:ascii="宋体" w:hAnsi="宋体" w:cs="宋体"/>
                      <w:color w:val="auto"/>
                      <w:kern w:val="0"/>
                      <w:szCs w:val="21"/>
                      <w:highlight w:val="none"/>
                    </w:rPr>
                    <w:t>金额*</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w:t>
                  </w:r>
                </w:p>
              </w:tc>
            </w:tr>
            <w:tr w14:paraId="6EA0F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8" w:type="dxa"/>
                </w:tcPr>
                <w:p w14:paraId="34C347C0">
                  <w:pPr>
                    <w:widowControl/>
                    <w:numPr>
                      <w:ilvl w:val="255"/>
                      <w:numId w:val="0"/>
                    </w:numPr>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大于等于70，小于80分</w:t>
                  </w:r>
                </w:p>
              </w:tc>
              <w:tc>
                <w:tcPr>
                  <w:tcW w:w="1254" w:type="dxa"/>
                </w:tcPr>
                <w:p w14:paraId="2663D8D5">
                  <w:pPr>
                    <w:widowControl/>
                    <w:numPr>
                      <w:ilvl w:val="255"/>
                      <w:numId w:val="0"/>
                    </w:numPr>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w:t>
                  </w:r>
                  <w:r>
                    <w:rPr>
                      <w:rFonts w:hint="eastAsia" w:ascii="宋体" w:hAnsi="宋体" w:cs="宋体"/>
                      <w:color w:val="auto"/>
                      <w:kern w:val="0"/>
                      <w:szCs w:val="21"/>
                      <w:highlight w:val="none"/>
                      <w:lang w:val="en-US" w:eastAsia="zh-CN"/>
                    </w:rPr>
                    <w:t>0</w:t>
                  </w:r>
                  <w:r>
                    <w:rPr>
                      <w:rFonts w:hint="eastAsia" w:ascii="宋体" w:hAnsi="宋体" w:cs="宋体"/>
                      <w:color w:val="auto"/>
                      <w:kern w:val="0"/>
                      <w:szCs w:val="21"/>
                      <w:highlight w:val="none"/>
                    </w:rPr>
                    <w:t>%</w:t>
                  </w:r>
                </w:p>
              </w:tc>
              <w:tc>
                <w:tcPr>
                  <w:tcW w:w="4716" w:type="dxa"/>
                </w:tcPr>
                <w:p w14:paraId="3DCAA2D5">
                  <w:pPr>
                    <w:widowControl/>
                    <w:numPr>
                      <w:ilvl w:val="255"/>
                      <w:numId w:val="0"/>
                    </w:numPr>
                    <w:spacing w:line="360" w:lineRule="auto"/>
                    <w:rPr>
                      <w:rFonts w:hint="eastAsia" w:ascii="宋体" w:hAnsi="宋体" w:cs="宋体"/>
                      <w:color w:val="auto"/>
                      <w:kern w:val="0"/>
                      <w:szCs w:val="21"/>
                      <w:highlight w:val="none"/>
                    </w:rPr>
                  </w:pPr>
                  <w:r>
                    <w:rPr>
                      <w:rFonts w:hint="eastAsia" w:ascii="宋体" w:hAnsi="宋体" w:cs="宋体"/>
                      <w:color w:val="auto"/>
                      <w:kern w:val="0"/>
                      <w:sz w:val="21"/>
                      <w:szCs w:val="21"/>
                      <w:highlight w:val="none"/>
                      <w:lang w:val="en-US" w:eastAsia="zh-CN"/>
                    </w:rPr>
                    <w:t>涉诈人员手机设备情报数据汇聚服务</w:t>
                  </w:r>
                  <w:r>
                    <w:rPr>
                      <w:rFonts w:hint="eastAsia" w:ascii="宋体" w:hAnsi="宋体" w:cs="宋体"/>
                      <w:color w:val="auto"/>
                      <w:kern w:val="0"/>
                      <w:szCs w:val="21"/>
                      <w:highlight w:val="none"/>
                    </w:rPr>
                    <w:t>金额*1</w:t>
                  </w:r>
                  <w:r>
                    <w:rPr>
                      <w:rFonts w:hint="eastAsia" w:ascii="宋体" w:hAnsi="宋体" w:cs="宋体"/>
                      <w:color w:val="auto"/>
                      <w:kern w:val="0"/>
                      <w:szCs w:val="21"/>
                      <w:highlight w:val="none"/>
                      <w:lang w:val="en-US" w:eastAsia="zh-CN"/>
                    </w:rPr>
                    <w:t>0</w:t>
                  </w:r>
                  <w:r>
                    <w:rPr>
                      <w:rFonts w:hint="eastAsia" w:ascii="宋体" w:hAnsi="宋体" w:cs="宋体"/>
                      <w:color w:val="auto"/>
                      <w:kern w:val="0"/>
                      <w:szCs w:val="21"/>
                      <w:highlight w:val="none"/>
                    </w:rPr>
                    <w:t>%</w:t>
                  </w:r>
                </w:p>
              </w:tc>
            </w:tr>
            <w:tr w14:paraId="0275C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8" w:type="dxa"/>
                </w:tcPr>
                <w:p w14:paraId="6849C6C4">
                  <w:pPr>
                    <w:widowControl/>
                    <w:numPr>
                      <w:ilvl w:val="255"/>
                      <w:numId w:val="0"/>
                    </w:numPr>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小于70分</w:t>
                  </w:r>
                </w:p>
              </w:tc>
              <w:tc>
                <w:tcPr>
                  <w:tcW w:w="1254" w:type="dxa"/>
                </w:tcPr>
                <w:p w14:paraId="10A89AA5">
                  <w:pPr>
                    <w:widowControl/>
                    <w:numPr>
                      <w:ilvl w:val="255"/>
                      <w:numId w:val="0"/>
                    </w:numPr>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15%</w:t>
                  </w:r>
                </w:p>
              </w:tc>
              <w:tc>
                <w:tcPr>
                  <w:tcW w:w="4716" w:type="dxa"/>
                </w:tcPr>
                <w:p w14:paraId="6A47BC14">
                  <w:pPr>
                    <w:widowControl/>
                    <w:numPr>
                      <w:ilvl w:val="255"/>
                      <w:numId w:val="0"/>
                    </w:numPr>
                    <w:spacing w:line="360" w:lineRule="auto"/>
                    <w:rPr>
                      <w:rFonts w:hint="eastAsia" w:ascii="宋体" w:hAnsi="宋体" w:cs="宋体"/>
                      <w:color w:val="auto"/>
                      <w:kern w:val="0"/>
                      <w:szCs w:val="21"/>
                      <w:highlight w:val="none"/>
                    </w:rPr>
                  </w:pPr>
                  <w:r>
                    <w:rPr>
                      <w:rFonts w:hint="eastAsia" w:ascii="宋体" w:hAnsi="宋体" w:cs="宋体"/>
                      <w:color w:val="auto"/>
                      <w:kern w:val="0"/>
                      <w:sz w:val="21"/>
                      <w:szCs w:val="21"/>
                      <w:highlight w:val="none"/>
                      <w:lang w:val="en-US" w:eastAsia="zh-CN"/>
                    </w:rPr>
                    <w:t>涉诈人员手机设备情报数据汇聚服务</w:t>
                  </w:r>
                  <w:r>
                    <w:rPr>
                      <w:rFonts w:hint="eastAsia" w:ascii="宋体" w:hAnsi="宋体" w:cs="宋体"/>
                      <w:color w:val="auto"/>
                      <w:kern w:val="0"/>
                      <w:szCs w:val="21"/>
                      <w:highlight w:val="none"/>
                    </w:rPr>
                    <w:t>金额*15%</w:t>
                  </w:r>
                </w:p>
              </w:tc>
            </w:tr>
          </w:tbl>
          <w:p w14:paraId="757E5049">
            <w:pPr>
              <w:widowControl/>
              <w:numPr>
                <w:ilvl w:val="-1"/>
                <w:numId w:val="0"/>
              </w:numPr>
              <w:spacing w:line="360" w:lineRule="auto"/>
              <w:ind w:left="0" w:leftChars="0" w:firstLine="0" w:firstLineChars="0"/>
              <w:rPr>
                <w:rFonts w:hint="default" w:ascii="宋体" w:hAnsi="宋体" w:cs="宋体"/>
                <w:color w:val="auto"/>
                <w:kern w:val="0"/>
                <w:sz w:val="21"/>
                <w:szCs w:val="21"/>
                <w:highlight w:val="none"/>
                <w:lang w:val="en-US" w:eastAsia="zh-CN"/>
              </w:rPr>
            </w:pPr>
            <w:r>
              <w:rPr>
                <w:rFonts w:hint="eastAsia"/>
                <w:color w:val="auto"/>
                <w:highlight w:val="none"/>
                <w:lang w:val="en-US" w:eastAsia="zh-CN"/>
              </w:rPr>
              <w:t>服务期满后结合服务考核结果支付项目合同尾款。</w:t>
            </w:r>
          </w:p>
        </w:tc>
      </w:tr>
      <w:tr w14:paraId="1C3A0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71" w:type="dxa"/>
            <w:gridSpan w:val="2"/>
            <w:vMerge w:val="restart"/>
            <w:tcBorders>
              <w:right w:val="single" w:color="auto" w:sz="4" w:space="0"/>
            </w:tcBorders>
            <w:shd w:val="clear" w:color="auto" w:fill="auto"/>
            <w:vAlign w:val="center"/>
          </w:tcPr>
          <w:p w14:paraId="340FD65C">
            <w:pPr>
              <w:widowControl/>
              <w:spacing w:line="360" w:lineRule="auto"/>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售后服务要求</w:t>
            </w:r>
          </w:p>
        </w:tc>
        <w:tc>
          <w:tcPr>
            <w:tcW w:w="8734" w:type="dxa"/>
            <w:gridSpan w:val="3"/>
            <w:tcBorders>
              <w:top w:val="single" w:color="auto" w:sz="4" w:space="0"/>
              <w:left w:val="single" w:color="auto" w:sz="4" w:space="0"/>
              <w:bottom w:val="nil"/>
              <w:right w:val="single" w:color="auto" w:sz="4" w:space="0"/>
            </w:tcBorders>
            <w:shd w:val="clear" w:color="auto" w:fill="auto"/>
            <w:vAlign w:val="center"/>
          </w:tcPr>
          <w:p w14:paraId="4142AE2F">
            <w:pPr>
              <w:widowControl/>
              <w:numPr>
                <w:ilvl w:val="0"/>
                <w:numId w:val="9"/>
              </w:numPr>
              <w:spacing w:line="360" w:lineRule="auto"/>
              <w:ind w:left="0" w:leftChars="0" w:firstLine="0" w:firstLineChars="0"/>
              <w:rPr>
                <w:rFonts w:ascii="宋体" w:hAnsi="宋体" w:cs="宋体"/>
                <w:color w:val="auto"/>
                <w:kern w:val="0"/>
                <w:sz w:val="21"/>
                <w:szCs w:val="21"/>
                <w:highlight w:val="none"/>
              </w:rPr>
            </w:pPr>
            <w:r>
              <w:rPr>
                <w:rFonts w:hint="eastAsia" w:ascii="宋体" w:hAnsi="宋体" w:cs="宋体"/>
                <w:color w:val="auto"/>
                <w:kern w:val="0"/>
                <w:sz w:val="21"/>
                <w:szCs w:val="21"/>
                <w:highlight w:val="none"/>
              </w:rPr>
              <w:t>广西公安数字化反电诈平台建设完成</w:t>
            </w:r>
            <w:r>
              <w:rPr>
                <w:rFonts w:hint="eastAsia" w:ascii="宋体" w:hAnsi="宋体" w:cs="宋体"/>
                <w:color w:val="auto"/>
                <w:kern w:val="0"/>
                <w:sz w:val="21"/>
                <w:szCs w:val="21"/>
                <w:highlight w:val="none"/>
                <w:lang w:val="en-US" w:eastAsia="zh-CN"/>
              </w:rPr>
              <w:t>且</w:t>
            </w:r>
            <w:r>
              <w:rPr>
                <w:rFonts w:hint="eastAsia" w:ascii="宋体" w:hAnsi="宋体" w:cs="宋体"/>
                <w:color w:val="auto"/>
                <w:kern w:val="0"/>
                <w:sz w:val="21"/>
                <w:szCs w:val="21"/>
                <w:highlight w:val="none"/>
              </w:rPr>
              <w:t>最终验收后</w:t>
            </w: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lang w:val="en-US" w:eastAsia="zh-CN"/>
              </w:rPr>
              <w:t>即以通过广西壮族自治区大数据发展局的竣工验收之日起计</w:t>
            </w: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rPr>
              <w:t>，</w:t>
            </w:r>
            <w:r>
              <w:rPr>
                <w:rFonts w:hint="eastAsia" w:ascii="宋体" w:hAnsi="宋体" w:cs="宋体"/>
                <w:color w:val="auto"/>
                <w:kern w:val="0"/>
                <w:sz w:val="21"/>
                <w:szCs w:val="21"/>
                <w:highlight w:val="none"/>
                <w:lang w:val="en-US" w:eastAsia="zh-CN"/>
              </w:rPr>
              <w:t>中标人</w:t>
            </w:r>
            <w:r>
              <w:rPr>
                <w:rFonts w:hint="eastAsia" w:ascii="宋体" w:hAnsi="宋体" w:cs="宋体"/>
                <w:color w:val="auto"/>
                <w:kern w:val="0"/>
                <w:sz w:val="21"/>
                <w:szCs w:val="21"/>
                <w:highlight w:val="none"/>
              </w:rPr>
              <w:t>提供一年</w:t>
            </w:r>
            <w:r>
              <w:rPr>
                <w:rFonts w:hint="eastAsia" w:ascii="宋体" w:hAnsi="宋体" w:cs="宋体"/>
                <w:color w:val="auto"/>
                <w:kern w:val="0"/>
                <w:sz w:val="21"/>
                <w:szCs w:val="21"/>
                <w:highlight w:val="none"/>
                <w:lang w:val="en-US" w:eastAsia="zh-CN"/>
              </w:rPr>
              <w:t>系统运维服务，</w:t>
            </w:r>
            <w:r>
              <w:rPr>
                <w:rFonts w:hint="eastAsia" w:ascii="宋体" w:hAnsi="宋体" w:cs="宋体"/>
                <w:color w:val="auto"/>
                <w:kern w:val="0"/>
                <w:sz w:val="21"/>
                <w:szCs w:val="21"/>
                <w:highlight w:val="none"/>
                <w:lang w:eastAsia="zh-CN"/>
              </w:rPr>
              <w:t>系统</w:t>
            </w:r>
            <w:r>
              <w:rPr>
                <w:rFonts w:hint="eastAsia" w:ascii="宋体" w:hAnsi="宋体" w:cs="宋体"/>
                <w:color w:val="auto"/>
                <w:kern w:val="0"/>
                <w:sz w:val="21"/>
                <w:szCs w:val="21"/>
                <w:highlight w:val="none"/>
              </w:rPr>
              <w:t>由中标人负责</w:t>
            </w:r>
            <w:r>
              <w:rPr>
                <w:rFonts w:hint="eastAsia" w:ascii="宋体" w:hAnsi="宋体" w:cs="宋体"/>
                <w:color w:val="auto"/>
                <w:kern w:val="0"/>
                <w:sz w:val="21"/>
                <w:szCs w:val="21"/>
                <w:highlight w:val="none"/>
                <w:lang w:val="en-US" w:eastAsia="zh-CN"/>
              </w:rPr>
              <w:t>运维</w:t>
            </w: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lang w:val="en-US" w:eastAsia="zh-CN"/>
              </w:rPr>
              <w:t>此费用包含在报价内，采购人不再支付任何费用</w:t>
            </w:r>
            <w:r>
              <w:rPr>
                <w:rFonts w:hint="eastAsia" w:ascii="宋体" w:hAnsi="宋体" w:cs="宋体"/>
                <w:color w:val="auto"/>
                <w:kern w:val="0"/>
                <w:sz w:val="21"/>
                <w:szCs w:val="21"/>
                <w:highlight w:val="none"/>
              </w:rPr>
              <w:t>；</w:t>
            </w:r>
            <w:r>
              <w:rPr>
                <w:rFonts w:hint="eastAsia" w:ascii="宋体" w:hAnsi="宋体" w:cs="宋体"/>
                <w:color w:val="auto"/>
                <w:kern w:val="0"/>
                <w:sz w:val="21"/>
                <w:szCs w:val="21"/>
                <w:highlight w:val="none"/>
                <w:lang w:val="en-US" w:eastAsia="zh-CN"/>
              </w:rPr>
              <w:t>系统运维服务期</w:t>
            </w:r>
            <w:r>
              <w:rPr>
                <w:rFonts w:hint="eastAsia" w:ascii="宋体" w:hAnsi="宋体" w:cs="宋体"/>
                <w:color w:val="auto"/>
                <w:kern w:val="0"/>
                <w:sz w:val="21"/>
                <w:szCs w:val="21"/>
                <w:highlight w:val="none"/>
              </w:rPr>
              <w:t>满后，由科技信息化总队、刑事侦查总队分别负责各自系统的日常维护和日常管理。</w:t>
            </w:r>
          </w:p>
        </w:tc>
      </w:tr>
      <w:tr w14:paraId="0386F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71" w:type="dxa"/>
            <w:gridSpan w:val="2"/>
            <w:vMerge w:val="continue"/>
            <w:tcBorders>
              <w:right w:val="single" w:color="auto" w:sz="4" w:space="0"/>
            </w:tcBorders>
            <w:shd w:val="clear" w:color="auto" w:fill="auto"/>
            <w:vAlign w:val="center"/>
          </w:tcPr>
          <w:p w14:paraId="0478CF51">
            <w:pPr>
              <w:widowControl/>
              <w:spacing w:line="360" w:lineRule="auto"/>
              <w:jc w:val="center"/>
              <w:rPr>
                <w:rFonts w:hint="eastAsia" w:ascii="宋体" w:hAnsi="宋体" w:cs="宋体"/>
                <w:color w:val="auto"/>
                <w:kern w:val="0"/>
                <w:sz w:val="21"/>
                <w:szCs w:val="21"/>
                <w:highlight w:val="none"/>
              </w:rPr>
            </w:pPr>
          </w:p>
        </w:tc>
        <w:tc>
          <w:tcPr>
            <w:tcW w:w="8734" w:type="dxa"/>
            <w:gridSpan w:val="3"/>
            <w:tcBorders>
              <w:top w:val="nil"/>
              <w:left w:val="single" w:color="auto" w:sz="4" w:space="0"/>
              <w:bottom w:val="nil"/>
              <w:right w:val="single" w:color="auto" w:sz="4" w:space="0"/>
            </w:tcBorders>
            <w:shd w:val="clear" w:color="auto" w:fill="auto"/>
            <w:vAlign w:val="center"/>
          </w:tcPr>
          <w:p w14:paraId="215AC34E">
            <w:pPr>
              <w:widowControl/>
              <w:numPr>
                <w:ilvl w:val="0"/>
                <w:numId w:val="9"/>
              </w:numPr>
              <w:spacing w:line="360" w:lineRule="auto"/>
              <w:ind w:left="0" w:leftChars="0" w:firstLine="0" w:firstLineChars="0"/>
              <w:rPr>
                <w:rFonts w:hint="default" w:ascii="宋体" w:hAnsi="宋体" w:eastAsia="宋体" w:cs="宋体"/>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拟投入驻场系统运维人员要求：本项目应至少投入1名驻场系统运维人员。中标人在系统运维服务期间不得随意更换运维人员，如需变更人员，必须经过采购人同意，否则视为投标人违约。</w:t>
            </w:r>
          </w:p>
        </w:tc>
      </w:tr>
      <w:tr w14:paraId="5EE5B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71" w:type="dxa"/>
            <w:gridSpan w:val="2"/>
            <w:vMerge w:val="continue"/>
            <w:tcBorders>
              <w:right w:val="single" w:color="auto" w:sz="4" w:space="0"/>
            </w:tcBorders>
            <w:vAlign w:val="center"/>
          </w:tcPr>
          <w:p w14:paraId="54D9905B">
            <w:pPr>
              <w:widowControl/>
              <w:spacing w:line="360" w:lineRule="auto"/>
              <w:jc w:val="center"/>
              <w:rPr>
                <w:rFonts w:ascii="宋体" w:hAnsi="宋体" w:cs="宋体"/>
                <w:color w:val="auto"/>
                <w:kern w:val="0"/>
                <w:sz w:val="21"/>
                <w:szCs w:val="21"/>
                <w:highlight w:val="none"/>
              </w:rPr>
            </w:pPr>
          </w:p>
        </w:tc>
        <w:tc>
          <w:tcPr>
            <w:tcW w:w="8734" w:type="dxa"/>
            <w:gridSpan w:val="3"/>
            <w:tcBorders>
              <w:top w:val="nil"/>
              <w:left w:val="single" w:color="auto" w:sz="4" w:space="0"/>
              <w:bottom w:val="nil"/>
              <w:right w:val="single" w:color="auto" w:sz="4" w:space="0"/>
            </w:tcBorders>
            <w:shd w:val="clear" w:color="auto" w:fill="auto"/>
            <w:vAlign w:val="center"/>
          </w:tcPr>
          <w:p w14:paraId="37FDF475">
            <w:pPr>
              <w:widowControl/>
              <w:numPr>
                <w:ilvl w:val="0"/>
                <w:numId w:val="9"/>
              </w:numPr>
              <w:spacing w:line="360" w:lineRule="auto"/>
              <w:ind w:left="0" w:leftChars="0" w:firstLine="0" w:firstLineChars="0"/>
              <w:rPr>
                <w:rFonts w:ascii="宋体" w:hAnsi="宋体" w:cs="宋体"/>
                <w:color w:val="auto"/>
                <w:kern w:val="0"/>
                <w:sz w:val="21"/>
                <w:szCs w:val="21"/>
                <w:highlight w:val="none"/>
              </w:rPr>
            </w:pPr>
            <w:r>
              <w:rPr>
                <w:rFonts w:hint="eastAsia" w:ascii="宋体" w:hAnsi="宋体" w:cs="宋体"/>
                <w:color w:val="auto"/>
                <w:kern w:val="0"/>
                <w:sz w:val="21"/>
                <w:szCs w:val="21"/>
                <w:highlight w:val="none"/>
              </w:rPr>
              <w:t>系统发生故障时，</w:t>
            </w:r>
            <w:r>
              <w:rPr>
                <w:rFonts w:hint="eastAsia" w:ascii="宋体" w:hAnsi="宋体" w:cs="宋体"/>
                <w:color w:val="auto"/>
                <w:kern w:val="0"/>
                <w:sz w:val="21"/>
                <w:szCs w:val="21"/>
                <w:highlight w:val="none"/>
                <w:lang w:eastAsia="zh-CN"/>
              </w:rPr>
              <w:t>运维人员</w:t>
            </w:r>
            <w:r>
              <w:rPr>
                <w:rFonts w:hint="eastAsia" w:ascii="宋体" w:hAnsi="宋体" w:cs="宋体"/>
                <w:color w:val="auto"/>
                <w:kern w:val="0"/>
                <w:sz w:val="21"/>
                <w:szCs w:val="21"/>
                <w:highlight w:val="none"/>
                <w:lang w:val="en-US" w:eastAsia="zh-CN"/>
              </w:rPr>
              <w:t>必须</w:t>
            </w:r>
            <w:r>
              <w:rPr>
                <w:rFonts w:hint="eastAsia" w:ascii="宋体" w:hAnsi="宋体" w:cs="宋体"/>
                <w:color w:val="auto"/>
                <w:kern w:val="0"/>
                <w:sz w:val="21"/>
                <w:szCs w:val="21"/>
                <w:highlight w:val="none"/>
              </w:rPr>
              <w:t>在30分钟之内作出响应，2小时内赶至现场，一般故障8小时内解决故障，复杂故障24小时解决，系统故障修复平均响应时间≤3小时。提供7*24小时的电话服务。</w:t>
            </w:r>
            <w:r>
              <w:rPr>
                <w:rFonts w:hint="eastAsia"/>
                <w:color w:val="auto"/>
                <w:highlight w:val="none"/>
                <w:lang w:val="en-US" w:eastAsia="zh-CN"/>
              </w:rPr>
              <w:t>若</w:t>
            </w:r>
            <w:r>
              <w:rPr>
                <w:rFonts w:hint="eastAsia" w:ascii="宋体" w:hAnsi="宋体" w:cs="宋体"/>
                <w:b w:val="0"/>
                <w:bCs w:val="0"/>
                <w:color w:val="auto"/>
                <w:kern w:val="0"/>
                <w:sz w:val="21"/>
                <w:szCs w:val="21"/>
                <w:highlight w:val="none"/>
                <w:lang w:val="en-US" w:eastAsia="zh-CN"/>
              </w:rPr>
              <w:t>驻场系统运维人员无法处理的，应及时上报中标人，中标人另委派技术人员在上文规定的时间内解决故障。</w:t>
            </w:r>
          </w:p>
        </w:tc>
      </w:tr>
      <w:tr w14:paraId="06BD4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71" w:type="dxa"/>
            <w:gridSpan w:val="2"/>
            <w:vMerge w:val="continue"/>
            <w:tcBorders>
              <w:right w:val="single" w:color="auto" w:sz="4" w:space="0"/>
            </w:tcBorders>
            <w:vAlign w:val="center"/>
          </w:tcPr>
          <w:p w14:paraId="0C7600C3">
            <w:pPr>
              <w:widowControl/>
              <w:spacing w:line="360" w:lineRule="auto"/>
              <w:jc w:val="center"/>
              <w:rPr>
                <w:rFonts w:ascii="宋体" w:hAnsi="宋体" w:cs="宋体"/>
                <w:color w:val="auto"/>
                <w:kern w:val="0"/>
                <w:sz w:val="21"/>
                <w:szCs w:val="21"/>
                <w:highlight w:val="none"/>
              </w:rPr>
            </w:pPr>
          </w:p>
        </w:tc>
        <w:tc>
          <w:tcPr>
            <w:tcW w:w="8734" w:type="dxa"/>
            <w:gridSpan w:val="3"/>
            <w:tcBorders>
              <w:top w:val="nil"/>
              <w:left w:val="single" w:color="auto" w:sz="4" w:space="0"/>
              <w:bottom w:val="nil"/>
              <w:right w:val="single" w:color="auto" w:sz="4" w:space="0"/>
            </w:tcBorders>
            <w:shd w:val="clear" w:color="auto" w:fill="auto"/>
            <w:vAlign w:val="center"/>
          </w:tcPr>
          <w:p w14:paraId="67A1F7A2">
            <w:pPr>
              <w:widowControl/>
              <w:numPr>
                <w:ilvl w:val="0"/>
                <w:numId w:val="9"/>
              </w:numPr>
              <w:spacing w:line="360" w:lineRule="auto"/>
              <w:ind w:left="0" w:leftChars="0" w:firstLine="0" w:firstLineChars="0"/>
              <w:rPr>
                <w:rFonts w:ascii="宋体" w:hAnsi="宋体" w:cs="宋体"/>
                <w:color w:val="auto"/>
                <w:kern w:val="0"/>
                <w:sz w:val="21"/>
                <w:szCs w:val="21"/>
                <w:highlight w:val="none"/>
              </w:rPr>
            </w:pPr>
            <w:r>
              <w:rPr>
                <w:rFonts w:hint="eastAsia" w:ascii="宋体" w:hAnsi="宋体" w:cs="宋体"/>
                <w:color w:val="auto"/>
                <w:kern w:val="0"/>
                <w:sz w:val="21"/>
                <w:szCs w:val="21"/>
                <w:highlight w:val="none"/>
              </w:rPr>
              <w:t>中标人</w:t>
            </w:r>
            <w:r>
              <w:rPr>
                <w:rFonts w:hint="eastAsia" w:ascii="宋体" w:hAnsi="宋体" w:cs="宋体"/>
                <w:color w:val="auto"/>
                <w:kern w:val="0"/>
                <w:sz w:val="21"/>
                <w:szCs w:val="21"/>
                <w:highlight w:val="none"/>
                <w:lang w:val="en-US" w:eastAsia="zh-CN"/>
              </w:rPr>
              <w:t>系统运维服务期</w:t>
            </w:r>
            <w:r>
              <w:rPr>
                <w:rFonts w:hint="eastAsia" w:ascii="宋体" w:hAnsi="宋体" w:cs="宋体"/>
                <w:color w:val="auto"/>
                <w:kern w:val="0"/>
                <w:sz w:val="21"/>
                <w:szCs w:val="21"/>
                <w:highlight w:val="none"/>
              </w:rPr>
              <w:t>内应至少开展一次系统数据备份恢复应急演练工作，确保系统数据备份恢复正常。</w:t>
            </w:r>
          </w:p>
        </w:tc>
      </w:tr>
      <w:tr w14:paraId="4CDF5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71" w:type="dxa"/>
            <w:gridSpan w:val="2"/>
            <w:vMerge w:val="continue"/>
            <w:tcBorders>
              <w:right w:val="single" w:color="auto" w:sz="4" w:space="0"/>
            </w:tcBorders>
            <w:vAlign w:val="center"/>
          </w:tcPr>
          <w:p w14:paraId="345A311A">
            <w:pPr>
              <w:widowControl/>
              <w:spacing w:line="360" w:lineRule="auto"/>
              <w:jc w:val="center"/>
              <w:rPr>
                <w:rFonts w:ascii="宋体" w:hAnsi="宋体" w:cs="宋体"/>
                <w:color w:val="auto"/>
                <w:kern w:val="0"/>
                <w:sz w:val="21"/>
                <w:szCs w:val="21"/>
                <w:highlight w:val="none"/>
              </w:rPr>
            </w:pPr>
          </w:p>
        </w:tc>
        <w:tc>
          <w:tcPr>
            <w:tcW w:w="8734" w:type="dxa"/>
            <w:gridSpan w:val="3"/>
            <w:tcBorders>
              <w:top w:val="nil"/>
              <w:left w:val="single" w:color="auto" w:sz="4" w:space="0"/>
              <w:bottom w:val="nil"/>
              <w:right w:val="single" w:color="auto" w:sz="4" w:space="0"/>
            </w:tcBorders>
            <w:shd w:val="clear" w:color="auto" w:fill="auto"/>
            <w:vAlign w:val="center"/>
          </w:tcPr>
          <w:p w14:paraId="23B3A157">
            <w:pPr>
              <w:widowControl/>
              <w:numPr>
                <w:ilvl w:val="0"/>
                <w:numId w:val="9"/>
              </w:numPr>
              <w:spacing w:line="360" w:lineRule="auto"/>
              <w:ind w:left="0" w:leftChars="0" w:firstLine="0" w:firstLineChars="0"/>
              <w:rPr>
                <w:rFonts w:ascii="宋体" w:hAnsi="宋体" w:cs="宋体"/>
                <w:color w:val="auto"/>
                <w:kern w:val="0"/>
                <w:sz w:val="21"/>
                <w:szCs w:val="21"/>
                <w:highlight w:val="none"/>
              </w:rPr>
            </w:pPr>
            <w:r>
              <w:rPr>
                <w:rFonts w:hint="eastAsia" w:ascii="宋体" w:hAnsi="宋体" w:cs="宋体"/>
                <w:color w:val="auto"/>
                <w:kern w:val="0"/>
                <w:sz w:val="21"/>
                <w:szCs w:val="21"/>
                <w:highlight w:val="none"/>
              </w:rPr>
              <w:t>中标人需保证对本系统在日常业务工作中与各公安业务系统的一般数据对接工作的正常开展，承担配合各方梳理数据对接需求的责任。需要提供数据输出的视工作量另行协商。</w:t>
            </w:r>
          </w:p>
        </w:tc>
      </w:tr>
      <w:tr w14:paraId="490CD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71" w:type="dxa"/>
            <w:gridSpan w:val="2"/>
            <w:vMerge w:val="continue"/>
            <w:tcBorders>
              <w:right w:val="single" w:color="auto" w:sz="4" w:space="0"/>
            </w:tcBorders>
            <w:vAlign w:val="center"/>
          </w:tcPr>
          <w:p w14:paraId="492540AC">
            <w:pPr>
              <w:widowControl/>
              <w:spacing w:line="360" w:lineRule="auto"/>
              <w:jc w:val="center"/>
              <w:rPr>
                <w:rFonts w:ascii="宋体" w:hAnsi="宋体" w:cs="宋体"/>
                <w:color w:val="auto"/>
                <w:kern w:val="0"/>
                <w:sz w:val="21"/>
                <w:szCs w:val="21"/>
                <w:highlight w:val="none"/>
              </w:rPr>
            </w:pPr>
          </w:p>
        </w:tc>
        <w:tc>
          <w:tcPr>
            <w:tcW w:w="8734" w:type="dxa"/>
            <w:gridSpan w:val="3"/>
            <w:tcBorders>
              <w:top w:val="nil"/>
              <w:left w:val="single" w:color="auto" w:sz="4" w:space="0"/>
              <w:bottom w:val="nil"/>
              <w:right w:val="single" w:color="auto" w:sz="4" w:space="0"/>
            </w:tcBorders>
            <w:shd w:val="clear" w:color="auto" w:fill="auto"/>
            <w:vAlign w:val="center"/>
          </w:tcPr>
          <w:p w14:paraId="7D88C38E">
            <w:pPr>
              <w:widowControl/>
              <w:numPr>
                <w:ilvl w:val="0"/>
                <w:numId w:val="9"/>
              </w:numPr>
              <w:spacing w:line="360" w:lineRule="auto"/>
              <w:ind w:left="0" w:leftChars="0" w:firstLine="0" w:firstLineChars="0"/>
              <w:rPr>
                <w:rFonts w:ascii="宋体" w:hAnsi="宋体" w:cs="宋体"/>
                <w:color w:val="auto"/>
                <w:kern w:val="0"/>
                <w:sz w:val="21"/>
                <w:szCs w:val="21"/>
                <w:highlight w:val="none"/>
              </w:rPr>
            </w:pPr>
            <w:r>
              <w:rPr>
                <w:rFonts w:hint="eastAsia" w:ascii="宋体" w:hAnsi="宋体" w:cs="宋体"/>
                <w:color w:val="auto"/>
                <w:kern w:val="0"/>
                <w:sz w:val="21"/>
                <w:szCs w:val="21"/>
                <w:highlight w:val="none"/>
                <w:lang w:val="en-US" w:eastAsia="zh-CN"/>
              </w:rPr>
              <w:t>系统运维服务期</w:t>
            </w:r>
            <w:r>
              <w:rPr>
                <w:rFonts w:hint="eastAsia" w:ascii="宋体" w:hAnsi="宋体" w:cs="宋体"/>
                <w:color w:val="auto"/>
                <w:kern w:val="0"/>
                <w:sz w:val="21"/>
                <w:szCs w:val="21"/>
                <w:highlight w:val="none"/>
              </w:rPr>
              <w:t>内，中标人除按本合同其他条款的约定提供运行维护服务外，还为采购人提供本项目所使用的信息系统功能修复、小版本升级等服务，中标人在当年度提供的该类服务工作量未超过合同总额的1%（含1%）的，中标人不得向采购人收取任何费用（计算依据以采购人造价标准为准）；当双方在工作量评估存在分歧的时候，可委托第三方进行评估，费用由中标人承担。</w:t>
            </w:r>
          </w:p>
        </w:tc>
      </w:tr>
      <w:tr w14:paraId="4F29F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71" w:type="dxa"/>
            <w:gridSpan w:val="2"/>
            <w:vMerge w:val="continue"/>
            <w:tcBorders>
              <w:right w:val="single" w:color="auto" w:sz="4" w:space="0"/>
            </w:tcBorders>
            <w:vAlign w:val="center"/>
          </w:tcPr>
          <w:p w14:paraId="143246C4">
            <w:pPr>
              <w:widowControl/>
              <w:spacing w:line="360" w:lineRule="auto"/>
              <w:jc w:val="center"/>
              <w:rPr>
                <w:rFonts w:ascii="宋体" w:hAnsi="宋体" w:cs="宋体"/>
                <w:color w:val="auto"/>
                <w:kern w:val="0"/>
                <w:sz w:val="21"/>
                <w:szCs w:val="21"/>
                <w:highlight w:val="none"/>
              </w:rPr>
            </w:pPr>
          </w:p>
        </w:tc>
        <w:tc>
          <w:tcPr>
            <w:tcW w:w="8734" w:type="dxa"/>
            <w:gridSpan w:val="3"/>
            <w:tcBorders>
              <w:top w:val="nil"/>
              <w:left w:val="single" w:color="auto" w:sz="4" w:space="0"/>
              <w:bottom w:val="single" w:color="auto" w:sz="4" w:space="0"/>
              <w:right w:val="single" w:color="auto" w:sz="4" w:space="0"/>
            </w:tcBorders>
            <w:shd w:val="clear" w:color="auto" w:fill="auto"/>
            <w:vAlign w:val="center"/>
          </w:tcPr>
          <w:p w14:paraId="13C7C8CF">
            <w:pPr>
              <w:widowControl/>
              <w:numPr>
                <w:ilvl w:val="0"/>
                <w:numId w:val="9"/>
              </w:numPr>
              <w:spacing w:line="360" w:lineRule="auto"/>
              <w:ind w:left="0" w:leftChars="0" w:firstLine="0" w:firstLineChars="0"/>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项目实施及</w:t>
            </w:r>
            <w:r>
              <w:rPr>
                <w:rFonts w:hint="eastAsia" w:ascii="宋体" w:hAnsi="宋体" w:cs="宋体"/>
                <w:color w:val="auto"/>
                <w:kern w:val="0"/>
                <w:sz w:val="21"/>
                <w:szCs w:val="21"/>
                <w:highlight w:val="none"/>
                <w:lang w:val="en-US" w:eastAsia="zh-CN"/>
              </w:rPr>
              <w:t>系统运维服务期</w:t>
            </w:r>
            <w:r>
              <w:rPr>
                <w:rFonts w:hint="eastAsia" w:ascii="宋体" w:hAnsi="宋体" w:cs="宋体"/>
                <w:color w:val="auto"/>
                <w:kern w:val="0"/>
                <w:sz w:val="21"/>
                <w:szCs w:val="21"/>
                <w:highlight w:val="none"/>
              </w:rPr>
              <w:t>间工作工具由中标人自备。</w:t>
            </w:r>
          </w:p>
        </w:tc>
      </w:tr>
      <w:tr w14:paraId="23ADA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71" w:type="dxa"/>
            <w:gridSpan w:val="2"/>
            <w:vMerge w:val="restart"/>
            <w:tcBorders>
              <w:right w:val="single" w:color="auto" w:sz="4" w:space="0"/>
            </w:tcBorders>
            <w:shd w:val="clear" w:color="auto" w:fill="auto"/>
            <w:vAlign w:val="center"/>
          </w:tcPr>
          <w:p w14:paraId="4F3902A1">
            <w:pPr>
              <w:widowControl/>
              <w:spacing w:line="360" w:lineRule="auto"/>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培训要求</w:t>
            </w:r>
          </w:p>
        </w:tc>
        <w:tc>
          <w:tcPr>
            <w:tcW w:w="8734" w:type="dxa"/>
            <w:gridSpan w:val="3"/>
            <w:tcBorders>
              <w:top w:val="single" w:color="auto" w:sz="4" w:space="0"/>
              <w:left w:val="single" w:color="auto" w:sz="4" w:space="0"/>
              <w:bottom w:val="nil"/>
              <w:right w:val="single" w:color="auto" w:sz="4" w:space="0"/>
            </w:tcBorders>
            <w:shd w:val="clear" w:color="auto" w:fill="auto"/>
            <w:vAlign w:val="center"/>
          </w:tcPr>
          <w:p w14:paraId="7C3574EF">
            <w:pPr>
              <w:widowControl/>
              <w:spacing w:line="360" w:lineRule="auto"/>
              <w:rPr>
                <w:rFonts w:ascii="宋体" w:hAnsi="宋体" w:cs="宋体"/>
                <w:color w:val="auto"/>
                <w:kern w:val="0"/>
                <w:sz w:val="21"/>
                <w:szCs w:val="21"/>
                <w:highlight w:val="none"/>
              </w:rPr>
            </w:pPr>
            <w:r>
              <w:rPr>
                <w:rFonts w:hint="eastAsia" w:ascii="宋体" w:hAnsi="宋体" w:cs="宋体"/>
                <w:color w:val="auto"/>
                <w:kern w:val="0"/>
                <w:sz w:val="21"/>
                <w:szCs w:val="21"/>
                <w:highlight w:val="none"/>
              </w:rPr>
              <w:t>1.中标人协助采购人完成广西公安数字化反电诈平台系统实施培训工作，中标人免费提供培训教师和电子版教材。</w:t>
            </w:r>
          </w:p>
        </w:tc>
      </w:tr>
      <w:tr w14:paraId="25ED9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71" w:type="dxa"/>
            <w:gridSpan w:val="2"/>
            <w:vMerge w:val="continue"/>
            <w:tcBorders>
              <w:right w:val="single" w:color="auto" w:sz="4" w:space="0"/>
            </w:tcBorders>
            <w:vAlign w:val="center"/>
          </w:tcPr>
          <w:p w14:paraId="3273CBCE">
            <w:pPr>
              <w:widowControl/>
              <w:spacing w:line="360" w:lineRule="auto"/>
              <w:jc w:val="center"/>
              <w:rPr>
                <w:rFonts w:ascii="宋体" w:hAnsi="宋体" w:cs="宋体"/>
                <w:color w:val="auto"/>
                <w:kern w:val="0"/>
                <w:sz w:val="21"/>
                <w:szCs w:val="21"/>
                <w:highlight w:val="none"/>
              </w:rPr>
            </w:pPr>
          </w:p>
        </w:tc>
        <w:tc>
          <w:tcPr>
            <w:tcW w:w="8734" w:type="dxa"/>
            <w:gridSpan w:val="3"/>
            <w:tcBorders>
              <w:top w:val="nil"/>
              <w:left w:val="single" w:color="auto" w:sz="4" w:space="0"/>
              <w:bottom w:val="nil"/>
              <w:right w:val="single" w:color="auto" w:sz="4" w:space="0"/>
            </w:tcBorders>
            <w:shd w:val="clear" w:color="auto" w:fill="auto"/>
            <w:vAlign w:val="center"/>
          </w:tcPr>
          <w:p w14:paraId="2AA85F1E">
            <w:pPr>
              <w:widowControl/>
              <w:spacing w:line="360" w:lineRule="auto"/>
              <w:rPr>
                <w:rFonts w:ascii="宋体" w:hAnsi="宋体" w:cs="宋体"/>
                <w:color w:val="auto"/>
                <w:kern w:val="0"/>
                <w:sz w:val="21"/>
                <w:szCs w:val="21"/>
                <w:highlight w:val="none"/>
              </w:rPr>
            </w:pPr>
            <w:r>
              <w:rPr>
                <w:rFonts w:hint="eastAsia" w:ascii="宋体" w:hAnsi="宋体" w:cs="宋体"/>
                <w:color w:val="auto"/>
                <w:kern w:val="0"/>
                <w:sz w:val="21"/>
                <w:szCs w:val="21"/>
                <w:highlight w:val="none"/>
              </w:rPr>
              <w:t>2.培训根据广西公安数字化反电诈平台各模块实施进度开展，培训工作以中标人制定培训计划并与采购人确认同意后开展。</w:t>
            </w:r>
          </w:p>
        </w:tc>
      </w:tr>
      <w:tr w14:paraId="6F0CA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71" w:type="dxa"/>
            <w:gridSpan w:val="2"/>
            <w:vMerge w:val="continue"/>
            <w:tcBorders>
              <w:right w:val="single" w:color="auto" w:sz="4" w:space="0"/>
            </w:tcBorders>
            <w:vAlign w:val="center"/>
          </w:tcPr>
          <w:p w14:paraId="0E139291">
            <w:pPr>
              <w:widowControl/>
              <w:spacing w:line="360" w:lineRule="auto"/>
              <w:jc w:val="center"/>
              <w:rPr>
                <w:rFonts w:ascii="宋体" w:hAnsi="宋体" w:cs="宋体"/>
                <w:color w:val="auto"/>
                <w:kern w:val="0"/>
                <w:sz w:val="21"/>
                <w:szCs w:val="21"/>
                <w:highlight w:val="none"/>
              </w:rPr>
            </w:pPr>
          </w:p>
        </w:tc>
        <w:tc>
          <w:tcPr>
            <w:tcW w:w="8734" w:type="dxa"/>
            <w:gridSpan w:val="3"/>
            <w:tcBorders>
              <w:top w:val="nil"/>
              <w:left w:val="single" w:color="auto" w:sz="4" w:space="0"/>
              <w:bottom w:val="nil"/>
              <w:right w:val="single" w:color="auto" w:sz="4" w:space="0"/>
            </w:tcBorders>
            <w:shd w:val="clear" w:color="auto" w:fill="auto"/>
            <w:vAlign w:val="center"/>
          </w:tcPr>
          <w:p w14:paraId="0F7B1CB3">
            <w:pPr>
              <w:widowControl/>
              <w:spacing w:line="360" w:lineRule="auto"/>
              <w:rPr>
                <w:rFonts w:ascii="宋体" w:hAnsi="宋体" w:cs="宋体"/>
                <w:color w:val="auto"/>
                <w:kern w:val="0"/>
                <w:sz w:val="21"/>
                <w:szCs w:val="21"/>
                <w:highlight w:val="none"/>
              </w:rPr>
            </w:pPr>
            <w:r>
              <w:rPr>
                <w:rFonts w:hint="eastAsia" w:ascii="宋体" w:hAnsi="宋体" w:cs="宋体"/>
                <w:color w:val="auto"/>
                <w:kern w:val="0"/>
                <w:sz w:val="21"/>
                <w:szCs w:val="21"/>
                <w:highlight w:val="none"/>
              </w:rPr>
              <w:t>3.培训内容包括广西公安数字化反电诈平台建设内容的使用操作、系统管理、故障处理及维护等。</w:t>
            </w:r>
          </w:p>
        </w:tc>
      </w:tr>
      <w:tr w14:paraId="7F09B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71" w:type="dxa"/>
            <w:gridSpan w:val="2"/>
            <w:vMerge w:val="continue"/>
            <w:tcBorders>
              <w:right w:val="single" w:color="auto" w:sz="4" w:space="0"/>
            </w:tcBorders>
            <w:vAlign w:val="center"/>
          </w:tcPr>
          <w:p w14:paraId="0FA975F9">
            <w:pPr>
              <w:widowControl/>
              <w:spacing w:line="360" w:lineRule="auto"/>
              <w:jc w:val="center"/>
              <w:rPr>
                <w:rFonts w:ascii="宋体" w:hAnsi="宋体" w:cs="宋体"/>
                <w:color w:val="auto"/>
                <w:kern w:val="0"/>
                <w:sz w:val="21"/>
                <w:szCs w:val="21"/>
                <w:highlight w:val="none"/>
              </w:rPr>
            </w:pPr>
          </w:p>
        </w:tc>
        <w:tc>
          <w:tcPr>
            <w:tcW w:w="8734" w:type="dxa"/>
            <w:gridSpan w:val="3"/>
            <w:tcBorders>
              <w:top w:val="nil"/>
              <w:left w:val="single" w:color="auto" w:sz="4" w:space="0"/>
              <w:bottom w:val="nil"/>
              <w:right w:val="single" w:color="auto" w:sz="4" w:space="0"/>
            </w:tcBorders>
            <w:shd w:val="clear" w:color="auto" w:fill="auto"/>
            <w:vAlign w:val="center"/>
          </w:tcPr>
          <w:p w14:paraId="26D14978">
            <w:pPr>
              <w:widowControl/>
              <w:spacing w:line="360" w:lineRule="auto"/>
              <w:rPr>
                <w:rFonts w:ascii="宋体" w:hAnsi="宋体" w:cs="宋体"/>
                <w:color w:val="auto"/>
                <w:kern w:val="0"/>
                <w:sz w:val="21"/>
                <w:szCs w:val="21"/>
                <w:highlight w:val="none"/>
              </w:rPr>
            </w:pPr>
            <w:r>
              <w:rPr>
                <w:rFonts w:hint="eastAsia" w:ascii="宋体" w:hAnsi="宋体" w:cs="宋体"/>
                <w:color w:val="auto"/>
                <w:kern w:val="0"/>
                <w:sz w:val="21"/>
                <w:szCs w:val="21"/>
                <w:highlight w:val="none"/>
              </w:rPr>
              <w:t>4.培训地点：采购人指定地点。</w:t>
            </w:r>
          </w:p>
        </w:tc>
      </w:tr>
      <w:tr w14:paraId="7A8A1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71" w:type="dxa"/>
            <w:gridSpan w:val="2"/>
            <w:vMerge w:val="continue"/>
            <w:tcBorders>
              <w:right w:val="single" w:color="auto" w:sz="4" w:space="0"/>
            </w:tcBorders>
            <w:vAlign w:val="center"/>
          </w:tcPr>
          <w:p w14:paraId="0A899386">
            <w:pPr>
              <w:widowControl/>
              <w:spacing w:line="360" w:lineRule="auto"/>
              <w:jc w:val="center"/>
              <w:rPr>
                <w:rFonts w:ascii="宋体" w:hAnsi="宋体" w:cs="宋体"/>
                <w:color w:val="auto"/>
                <w:kern w:val="0"/>
                <w:sz w:val="21"/>
                <w:szCs w:val="21"/>
                <w:highlight w:val="none"/>
              </w:rPr>
            </w:pPr>
          </w:p>
        </w:tc>
        <w:tc>
          <w:tcPr>
            <w:tcW w:w="8734" w:type="dxa"/>
            <w:gridSpan w:val="3"/>
            <w:tcBorders>
              <w:top w:val="nil"/>
              <w:left w:val="single" w:color="auto" w:sz="4" w:space="0"/>
              <w:bottom w:val="nil"/>
              <w:right w:val="single" w:color="auto" w:sz="4" w:space="0"/>
            </w:tcBorders>
            <w:shd w:val="clear" w:color="auto" w:fill="auto"/>
            <w:vAlign w:val="center"/>
          </w:tcPr>
          <w:p w14:paraId="4287A1AE">
            <w:pPr>
              <w:widowControl/>
              <w:spacing w:line="360" w:lineRule="auto"/>
              <w:rPr>
                <w:rFonts w:ascii="宋体" w:hAnsi="宋体" w:cs="宋体"/>
                <w:color w:val="auto"/>
                <w:kern w:val="0"/>
                <w:sz w:val="21"/>
                <w:szCs w:val="21"/>
                <w:highlight w:val="none"/>
              </w:rPr>
            </w:pPr>
            <w:r>
              <w:rPr>
                <w:rFonts w:hint="eastAsia" w:ascii="宋体" w:hAnsi="宋体" w:cs="宋体"/>
                <w:color w:val="auto"/>
                <w:kern w:val="0"/>
                <w:sz w:val="21"/>
                <w:szCs w:val="21"/>
                <w:highlight w:val="none"/>
              </w:rPr>
              <w:t>5.培训方式：培训采用在采购方单位内进行集中培训方式开展，边实施边培训，理论与实践相结合。中标人根据项目需要，制定培训计划，并与采购人确认同意后，作为系统培训的依据。培训次数不少于1次。</w:t>
            </w:r>
          </w:p>
        </w:tc>
      </w:tr>
      <w:tr w14:paraId="24EAD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71" w:type="dxa"/>
            <w:gridSpan w:val="2"/>
            <w:vMerge w:val="continue"/>
            <w:tcBorders>
              <w:right w:val="single" w:color="auto" w:sz="4" w:space="0"/>
            </w:tcBorders>
            <w:vAlign w:val="center"/>
          </w:tcPr>
          <w:p w14:paraId="410AF3BF">
            <w:pPr>
              <w:widowControl/>
              <w:spacing w:line="360" w:lineRule="auto"/>
              <w:jc w:val="center"/>
              <w:rPr>
                <w:rFonts w:ascii="宋体" w:hAnsi="宋体" w:cs="宋体"/>
                <w:color w:val="auto"/>
                <w:kern w:val="0"/>
                <w:sz w:val="21"/>
                <w:szCs w:val="21"/>
                <w:highlight w:val="none"/>
              </w:rPr>
            </w:pPr>
          </w:p>
        </w:tc>
        <w:tc>
          <w:tcPr>
            <w:tcW w:w="8734" w:type="dxa"/>
            <w:gridSpan w:val="3"/>
            <w:tcBorders>
              <w:top w:val="nil"/>
              <w:left w:val="single" w:color="auto" w:sz="4" w:space="0"/>
              <w:bottom w:val="single" w:color="auto" w:sz="4" w:space="0"/>
              <w:right w:val="single" w:color="auto" w:sz="4" w:space="0"/>
            </w:tcBorders>
            <w:shd w:val="clear" w:color="auto" w:fill="auto"/>
            <w:vAlign w:val="center"/>
          </w:tcPr>
          <w:p w14:paraId="6DFF4D08">
            <w:pPr>
              <w:widowControl/>
              <w:spacing w:line="360" w:lineRule="auto"/>
              <w:rPr>
                <w:rFonts w:ascii="宋体" w:hAnsi="宋体" w:cs="宋体"/>
                <w:color w:val="auto"/>
                <w:kern w:val="0"/>
                <w:sz w:val="21"/>
                <w:szCs w:val="21"/>
                <w:highlight w:val="none"/>
              </w:rPr>
            </w:pPr>
            <w:r>
              <w:rPr>
                <w:rFonts w:hint="eastAsia" w:ascii="宋体" w:hAnsi="宋体" w:cs="宋体"/>
                <w:color w:val="auto"/>
                <w:kern w:val="0"/>
                <w:sz w:val="21"/>
                <w:szCs w:val="21"/>
                <w:highlight w:val="none"/>
              </w:rPr>
              <w:t>6.培训人员：中标人负责对采购单位运维中心系统管理员及业务骨干，及其所管理的运维项目相关人员进行培训。</w:t>
            </w:r>
          </w:p>
        </w:tc>
      </w:tr>
      <w:tr w14:paraId="35D3A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71" w:type="dxa"/>
            <w:gridSpan w:val="2"/>
            <w:tcBorders>
              <w:right w:val="single" w:color="auto" w:sz="4" w:space="0"/>
            </w:tcBorders>
            <w:vAlign w:val="center"/>
          </w:tcPr>
          <w:p w14:paraId="0085D135">
            <w:pPr>
              <w:widowControl/>
              <w:spacing w:line="360" w:lineRule="auto"/>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测评和评估要求</w:t>
            </w:r>
          </w:p>
        </w:tc>
        <w:tc>
          <w:tcPr>
            <w:tcW w:w="8734" w:type="dxa"/>
            <w:gridSpan w:val="3"/>
            <w:tcBorders>
              <w:top w:val="nil"/>
              <w:left w:val="single" w:color="auto" w:sz="4" w:space="0"/>
              <w:bottom w:val="single" w:color="auto" w:sz="4" w:space="0"/>
              <w:right w:val="single" w:color="auto" w:sz="4" w:space="0"/>
            </w:tcBorders>
            <w:shd w:val="clear" w:color="auto" w:fill="auto"/>
            <w:vAlign w:val="center"/>
          </w:tcPr>
          <w:p w14:paraId="0760A90B">
            <w:pPr>
              <w:widowControl/>
              <w:spacing w:line="360" w:lineRule="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1.按照</w:t>
            </w:r>
            <w:r>
              <w:rPr>
                <w:rFonts w:hint="eastAsia" w:ascii="宋体" w:hAnsi="宋体" w:cs="宋体"/>
                <w:color w:val="auto"/>
                <w:kern w:val="0"/>
                <w:sz w:val="21"/>
                <w:szCs w:val="21"/>
                <w:highlight w:val="none"/>
                <w:lang w:val="en-US" w:eastAsia="zh-CN"/>
              </w:rPr>
              <w:t>以</w:t>
            </w:r>
            <w:r>
              <w:rPr>
                <w:rFonts w:hint="eastAsia" w:ascii="宋体" w:hAnsi="宋体" w:cs="宋体"/>
                <w:color w:val="auto"/>
                <w:kern w:val="0"/>
                <w:sz w:val="21"/>
                <w:szCs w:val="21"/>
                <w:highlight w:val="none"/>
              </w:rPr>
              <w:t>通过第三方软件测评、网络安全等级保护测评（第三级）、商用密码应用安全性评估（第三级）的标准进行项目建设；</w:t>
            </w:r>
          </w:p>
          <w:p w14:paraId="34D3E8CF">
            <w:pPr>
              <w:widowControl/>
              <w:spacing w:line="360" w:lineRule="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2.中标公司各推荐3家第三方测评机构（包含广西区内1家），经采购人研究确认1家第三方测评机构并报广西壮族自治区公安厅科信办备案后，由采购人委托已备案的第三方测评机构开展上述评测工作，测评工作中所产生的一切费用由中标人负责。</w:t>
            </w:r>
          </w:p>
        </w:tc>
      </w:tr>
      <w:tr w14:paraId="08BBC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71" w:type="dxa"/>
            <w:gridSpan w:val="2"/>
            <w:tcBorders>
              <w:right w:val="single" w:color="auto" w:sz="4" w:space="0"/>
            </w:tcBorders>
            <w:shd w:val="clear" w:color="auto" w:fill="auto"/>
            <w:vAlign w:val="center"/>
          </w:tcPr>
          <w:p w14:paraId="2FB076D2">
            <w:pPr>
              <w:widowControl/>
              <w:spacing w:line="360" w:lineRule="auto"/>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投标报价要求</w:t>
            </w:r>
          </w:p>
        </w:tc>
        <w:tc>
          <w:tcPr>
            <w:tcW w:w="873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567595A">
            <w:pPr>
              <w:widowControl/>
              <w:spacing w:line="360" w:lineRule="auto"/>
              <w:rPr>
                <w:rFonts w:ascii="宋体" w:hAnsi="宋体" w:cs="宋体"/>
                <w:color w:val="auto"/>
                <w:kern w:val="0"/>
                <w:sz w:val="21"/>
                <w:szCs w:val="21"/>
                <w:highlight w:val="none"/>
              </w:rPr>
            </w:pPr>
            <w:r>
              <w:rPr>
                <w:rFonts w:hint="eastAsia" w:ascii="宋体" w:hAnsi="宋体" w:cs="宋体"/>
                <w:color w:val="auto"/>
                <w:kern w:val="0"/>
                <w:sz w:val="21"/>
                <w:szCs w:val="21"/>
                <w:highlight w:val="none"/>
              </w:rPr>
              <w:t>本次报价须为人民币报价，报价应被视为已经包含了但并不限于本项目各项</w:t>
            </w:r>
            <w:r>
              <w:rPr>
                <w:rFonts w:hint="eastAsia" w:ascii="宋体" w:hAnsi="宋体" w:cs="宋体"/>
                <w:color w:val="auto"/>
                <w:kern w:val="0"/>
                <w:sz w:val="21"/>
                <w:szCs w:val="21"/>
                <w:highlight w:val="none"/>
                <w:lang w:val="en-US" w:eastAsia="zh-CN"/>
              </w:rPr>
              <w:t>建设内容</w:t>
            </w:r>
            <w:r>
              <w:rPr>
                <w:rFonts w:hint="eastAsia" w:ascii="宋体" w:hAnsi="宋体" w:cs="宋体"/>
                <w:color w:val="auto"/>
                <w:kern w:val="0"/>
                <w:sz w:val="21"/>
                <w:szCs w:val="21"/>
                <w:highlight w:val="none"/>
              </w:rPr>
              <w:t>及相关服务等的费用和所需缴纳的所有价格、税、费。在合同实施时，采购人将不予支付投标人没有列入的项目费用，并认为此项目的费用已包括在总报价中。</w:t>
            </w:r>
          </w:p>
        </w:tc>
      </w:tr>
      <w:tr w14:paraId="1E8E4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71" w:type="dxa"/>
            <w:gridSpan w:val="2"/>
            <w:tcBorders>
              <w:right w:val="single" w:color="auto" w:sz="4" w:space="0"/>
            </w:tcBorders>
            <w:shd w:val="clear" w:color="auto" w:fill="auto"/>
            <w:vAlign w:val="center"/>
          </w:tcPr>
          <w:p w14:paraId="345D0D00">
            <w:pPr>
              <w:widowControl/>
              <w:spacing w:line="360" w:lineRule="auto"/>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付款方式</w:t>
            </w:r>
          </w:p>
        </w:tc>
        <w:tc>
          <w:tcPr>
            <w:tcW w:w="873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0C6437D">
            <w:pPr>
              <w:widowControl/>
              <w:spacing w:line="360" w:lineRule="auto"/>
              <w:rPr>
                <w:rFonts w:ascii="宋体" w:hAnsi="宋体" w:cs="宋体"/>
                <w:color w:val="auto"/>
                <w:kern w:val="0"/>
                <w:sz w:val="21"/>
                <w:szCs w:val="21"/>
                <w:highlight w:val="none"/>
              </w:rPr>
            </w:pPr>
            <w:r>
              <w:rPr>
                <w:rFonts w:hint="eastAsia" w:ascii="宋体" w:hAnsi="宋体" w:cs="宋体"/>
                <w:color w:val="auto"/>
                <w:kern w:val="0"/>
                <w:sz w:val="21"/>
                <w:szCs w:val="21"/>
                <w:highlight w:val="none"/>
              </w:rPr>
              <w:t>合同签订后10</w:t>
            </w:r>
            <w:r>
              <w:rPr>
                <w:rFonts w:hint="eastAsia" w:ascii="宋体" w:hAnsi="宋体" w:cs="宋体"/>
                <w:color w:val="auto"/>
                <w:kern w:val="0"/>
                <w:sz w:val="21"/>
                <w:szCs w:val="21"/>
                <w:highlight w:val="none"/>
                <w:lang w:eastAsia="zh-CN"/>
              </w:rPr>
              <w:t>个</w:t>
            </w:r>
            <w:r>
              <w:rPr>
                <w:rFonts w:hint="eastAsia" w:ascii="宋体" w:hAnsi="宋体" w:cs="宋体"/>
                <w:color w:val="auto"/>
                <w:kern w:val="0"/>
                <w:sz w:val="21"/>
                <w:szCs w:val="21"/>
                <w:highlight w:val="none"/>
                <w:lang w:val="en-US" w:eastAsia="zh-CN"/>
              </w:rPr>
              <w:t>工作日</w:t>
            </w:r>
            <w:r>
              <w:rPr>
                <w:rFonts w:hint="eastAsia" w:ascii="宋体" w:hAnsi="宋体" w:cs="宋体"/>
                <w:color w:val="auto"/>
                <w:kern w:val="0"/>
                <w:sz w:val="21"/>
                <w:szCs w:val="21"/>
                <w:highlight w:val="none"/>
              </w:rPr>
              <w:t>内，采购人向中标人支付合同金额的</w:t>
            </w:r>
            <w:r>
              <w:rPr>
                <w:rFonts w:hint="eastAsia" w:ascii="宋体" w:hAnsi="宋体" w:cs="宋体"/>
                <w:color w:val="auto"/>
                <w:kern w:val="0"/>
                <w:sz w:val="21"/>
                <w:szCs w:val="21"/>
                <w:highlight w:val="none"/>
                <w:lang w:val="en-US" w:eastAsia="zh-CN"/>
              </w:rPr>
              <w:t>30%，通过广西公安数字化反电诈平台初步验收后10个工作日内支付合同金额的40%，通过广西公安数字化反电诈平台最终验收后10个工作日内支付合同金额的27%。涉诈人员手机设备情报数据汇聚服务期满后（自初步验收通过之日起算服务期三年）10个工作日内结合服务考核结果支付合同尾款。中标</w:t>
            </w:r>
            <w:r>
              <w:rPr>
                <w:rFonts w:hint="eastAsia" w:ascii="宋体" w:hAnsi="宋体" w:cs="宋体"/>
                <w:color w:val="auto"/>
                <w:kern w:val="0"/>
                <w:sz w:val="21"/>
                <w:szCs w:val="21"/>
                <w:highlight w:val="none"/>
              </w:rPr>
              <w:t>人应在采购人支付合同款之前提供与支付金额相符的有效发票，且收款方、出具发票方、合同乙方均必须与中标人名称一致。</w:t>
            </w:r>
          </w:p>
        </w:tc>
      </w:tr>
      <w:tr w14:paraId="40012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205" w:type="dxa"/>
            <w:gridSpan w:val="5"/>
            <w:shd w:val="clear" w:color="000000" w:fill="D7D7D7"/>
            <w:vAlign w:val="center"/>
          </w:tcPr>
          <w:p w14:paraId="288AC669">
            <w:pPr>
              <w:widowControl/>
              <w:spacing w:line="360" w:lineRule="auto"/>
              <w:jc w:val="both"/>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三、其他要求</w:t>
            </w:r>
          </w:p>
        </w:tc>
      </w:tr>
      <w:tr w14:paraId="47A55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71" w:type="dxa"/>
            <w:gridSpan w:val="2"/>
            <w:vMerge w:val="restart"/>
            <w:tcBorders>
              <w:right w:val="single" w:color="auto" w:sz="4" w:space="0"/>
            </w:tcBorders>
            <w:shd w:val="clear" w:color="auto" w:fill="auto"/>
            <w:vAlign w:val="center"/>
          </w:tcPr>
          <w:p w14:paraId="65AF8EFC">
            <w:pPr>
              <w:widowControl/>
              <w:spacing w:line="360" w:lineRule="auto"/>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现场踏勘</w:t>
            </w:r>
          </w:p>
        </w:tc>
        <w:tc>
          <w:tcPr>
            <w:tcW w:w="8734" w:type="dxa"/>
            <w:gridSpan w:val="3"/>
            <w:tcBorders>
              <w:top w:val="single" w:color="auto" w:sz="4" w:space="0"/>
              <w:left w:val="single" w:color="auto" w:sz="4" w:space="0"/>
              <w:bottom w:val="nil"/>
              <w:right w:val="single" w:color="auto" w:sz="4" w:space="0"/>
            </w:tcBorders>
            <w:shd w:val="clear" w:color="auto" w:fill="auto"/>
            <w:vAlign w:val="center"/>
          </w:tcPr>
          <w:p w14:paraId="6CB02403">
            <w:pPr>
              <w:widowControl/>
              <w:numPr>
                <w:ilvl w:val="0"/>
                <w:numId w:val="10"/>
              </w:numPr>
              <w:spacing w:line="360" w:lineRule="auto"/>
              <w:ind w:left="0" w:leftChars="0" w:firstLine="0" w:firstLineChars="0"/>
              <w:rPr>
                <w:rFonts w:ascii="宋体" w:hAnsi="宋体" w:cs="宋体"/>
                <w:color w:val="auto"/>
                <w:kern w:val="0"/>
                <w:sz w:val="21"/>
                <w:szCs w:val="21"/>
                <w:highlight w:val="none"/>
              </w:rPr>
            </w:pPr>
            <w:r>
              <w:rPr>
                <w:rFonts w:hint="eastAsia" w:ascii="宋体" w:hAnsi="宋体" w:cs="宋体"/>
                <w:color w:val="auto"/>
                <w:kern w:val="0"/>
                <w:sz w:val="21"/>
                <w:szCs w:val="21"/>
                <w:highlight w:val="none"/>
              </w:rPr>
              <w:t>现场勘察：不强制；</w:t>
            </w:r>
            <w:r>
              <w:rPr>
                <w:rFonts w:hint="eastAsia" w:ascii="宋体" w:hAnsi="宋体" w:cs="宋体"/>
                <w:color w:val="auto"/>
                <w:kern w:val="0"/>
                <w:sz w:val="21"/>
                <w:szCs w:val="21"/>
                <w:highlight w:val="none"/>
                <w:lang w:val="en-US" w:eastAsia="zh-CN"/>
              </w:rPr>
              <w:t>为方便投标人进一步了解项目情况</w:t>
            </w:r>
            <w:r>
              <w:rPr>
                <w:rFonts w:hint="eastAsia" w:ascii="宋体" w:hAnsi="宋体" w:cs="宋体"/>
                <w:color w:val="auto"/>
                <w:kern w:val="0"/>
                <w:sz w:val="21"/>
                <w:szCs w:val="21"/>
                <w:highlight w:val="none"/>
              </w:rPr>
              <w:t>，投标人可参与现场勘察，否则由于情况了解不透彻导致投标失误的后果由投标人自行承担。参与现场考察的投标人须签订保密协议，不得透露与采购人业务有关的包括但不限于本项目的任何信息，如有违规，自行承担一切法律后果。</w:t>
            </w:r>
          </w:p>
        </w:tc>
      </w:tr>
      <w:tr w14:paraId="3EADF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71" w:type="dxa"/>
            <w:gridSpan w:val="2"/>
            <w:vMerge w:val="continue"/>
            <w:tcBorders>
              <w:right w:val="single" w:color="auto" w:sz="4" w:space="0"/>
            </w:tcBorders>
            <w:vAlign w:val="center"/>
          </w:tcPr>
          <w:p w14:paraId="3D405825">
            <w:pPr>
              <w:widowControl/>
              <w:spacing w:line="360" w:lineRule="auto"/>
              <w:jc w:val="center"/>
              <w:rPr>
                <w:rFonts w:ascii="宋体" w:hAnsi="宋体" w:cs="宋体"/>
                <w:color w:val="auto"/>
                <w:kern w:val="0"/>
                <w:sz w:val="21"/>
                <w:szCs w:val="21"/>
                <w:highlight w:val="none"/>
              </w:rPr>
            </w:pPr>
          </w:p>
        </w:tc>
        <w:tc>
          <w:tcPr>
            <w:tcW w:w="8734" w:type="dxa"/>
            <w:gridSpan w:val="3"/>
            <w:tcBorders>
              <w:top w:val="nil"/>
              <w:left w:val="single" w:color="auto" w:sz="4" w:space="0"/>
              <w:bottom w:val="nil"/>
              <w:right w:val="single" w:color="auto" w:sz="4" w:space="0"/>
            </w:tcBorders>
            <w:shd w:val="clear" w:color="auto" w:fill="auto"/>
            <w:vAlign w:val="center"/>
          </w:tcPr>
          <w:p w14:paraId="3FD9978F">
            <w:pPr>
              <w:widowControl/>
              <w:numPr>
                <w:ilvl w:val="0"/>
                <w:numId w:val="10"/>
              </w:numPr>
              <w:spacing w:line="360" w:lineRule="auto"/>
              <w:ind w:left="0" w:leftChars="0" w:firstLine="0" w:firstLineChars="0"/>
              <w:rPr>
                <w:rFonts w:ascii="宋体" w:hAnsi="宋体" w:cs="宋体"/>
                <w:color w:val="auto"/>
                <w:kern w:val="0"/>
                <w:sz w:val="21"/>
                <w:szCs w:val="21"/>
                <w:highlight w:val="none"/>
              </w:rPr>
            </w:pPr>
            <w:r>
              <w:rPr>
                <w:rFonts w:hint="eastAsia" w:ascii="宋体" w:hAnsi="宋体" w:cs="宋体"/>
                <w:color w:val="auto"/>
                <w:kern w:val="0"/>
                <w:sz w:val="21"/>
                <w:szCs w:val="21"/>
                <w:highlight w:val="none"/>
              </w:rPr>
              <w:t xml:space="preserve">考察交通工具、费用由各投标人自行承担。 </w:t>
            </w:r>
          </w:p>
        </w:tc>
      </w:tr>
      <w:tr w14:paraId="667AA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71" w:type="dxa"/>
            <w:gridSpan w:val="2"/>
            <w:vMerge w:val="continue"/>
            <w:tcBorders>
              <w:right w:val="single" w:color="auto" w:sz="4" w:space="0"/>
            </w:tcBorders>
            <w:vAlign w:val="center"/>
          </w:tcPr>
          <w:p w14:paraId="3529F991">
            <w:pPr>
              <w:widowControl/>
              <w:spacing w:line="360" w:lineRule="auto"/>
              <w:jc w:val="center"/>
              <w:rPr>
                <w:rFonts w:ascii="宋体" w:hAnsi="宋体" w:cs="宋体"/>
                <w:color w:val="auto"/>
                <w:kern w:val="0"/>
                <w:sz w:val="21"/>
                <w:szCs w:val="21"/>
                <w:highlight w:val="none"/>
              </w:rPr>
            </w:pPr>
          </w:p>
        </w:tc>
        <w:tc>
          <w:tcPr>
            <w:tcW w:w="8734" w:type="dxa"/>
            <w:gridSpan w:val="3"/>
            <w:tcBorders>
              <w:top w:val="nil"/>
              <w:left w:val="single" w:color="auto" w:sz="4" w:space="0"/>
              <w:bottom w:val="nil"/>
              <w:right w:val="single" w:color="auto" w:sz="4" w:space="0"/>
            </w:tcBorders>
            <w:shd w:val="clear" w:color="auto" w:fill="auto"/>
            <w:vAlign w:val="center"/>
          </w:tcPr>
          <w:p w14:paraId="7EDC39EB">
            <w:pPr>
              <w:widowControl/>
              <w:numPr>
                <w:ilvl w:val="0"/>
                <w:numId w:val="10"/>
              </w:numPr>
              <w:spacing w:line="360" w:lineRule="auto"/>
              <w:ind w:left="0" w:leftChars="0" w:firstLine="0" w:firstLineChars="0"/>
              <w:rPr>
                <w:rFonts w:ascii="宋体" w:hAnsi="宋体" w:cs="宋体"/>
                <w:color w:val="auto"/>
                <w:kern w:val="0"/>
                <w:sz w:val="21"/>
                <w:szCs w:val="21"/>
                <w:highlight w:val="none"/>
              </w:rPr>
            </w:pPr>
            <w:r>
              <w:rPr>
                <w:rFonts w:hint="eastAsia" w:ascii="宋体" w:hAnsi="宋体" w:cs="宋体"/>
                <w:color w:val="auto"/>
                <w:kern w:val="0"/>
                <w:sz w:val="21"/>
                <w:szCs w:val="21"/>
                <w:highlight w:val="none"/>
              </w:rPr>
              <w:t>投标人委托代理人持针对本项目出具的法定代表人授权委托书或单位介绍信原件、代理人身份证原件前往。</w:t>
            </w:r>
          </w:p>
        </w:tc>
      </w:tr>
      <w:tr w14:paraId="683C9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71" w:type="dxa"/>
            <w:gridSpan w:val="2"/>
            <w:vMerge w:val="continue"/>
            <w:tcBorders>
              <w:right w:val="single" w:color="auto" w:sz="4" w:space="0"/>
            </w:tcBorders>
            <w:vAlign w:val="center"/>
          </w:tcPr>
          <w:p w14:paraId="1CB2EA13">
            <w:pPr>
              <w:widowControl/>
              <w:spacing w:line="360" w:lineRule="auto"/>
              <w:jc w:val="center"/>
              <w:rPr>
                <w:rFonts w:ascii="宋体" w:hAnsi="宋体" w:cs="宋体"/>
                <w:color w:val="auto"/>
                <w:kern w:val="0"/>
                <w:sz w:val="21"/>
                <w:szCs w:val="21"/>
                <w:highlight w:val="none"/>
              </w:rPr>
            </w:pPr>
          </w:p>
        </w:tc>
        <w:tc>
          <w:tcPr>
            <w:tcW w:w="8734" w:type="dxa"/>
            <w:gridSpan w:val="3"/>
            <w:tcBorders>
              <w:top w:val="nil"/>
              <w:left w:val="single" w:color="auto" w:sz="4" w:space="0"/>
              <w:bottom w:val="nil"/>
              <w:right w:val="single" w:color="auto" w:sz="4" w:space="0"/>
            </w:tcBorders>
            <w:shd w:val="clear" w:color="auto" w:fill="auto"/>
            <w:vAlign w:val="center"/>
          </w:tcPr>
          <w:p w14:paraId="21A02846">
            <w:pPr>
              <w:widowControl/>
              <w:numPr>
                <w:ilvl w:val="0"/>
                <w:numId w:val="10"/>
              </w:numPr>
              <w:spacing w:line="360" w:lineRule="auto"/>
              <w:ind w:left="0" w:leftChars="0" w:firstLine="0" w:firstLineChars="0"/>
              <w:rPr>
                <w:rFonts w:ascii="宋体" w:hAnsi="宋体" w:cs="宋体"/>
                <w:color w:val="auto"/>
                <w:kern w:val="0"/>
                <w:sz w:val="21"/>
                <w:szCs w:val="21"/>
                <w:highlight w:val="none"/>
              </w:rPr>
            </w:pPr>
            <w:r>
              <w:rPr>
                <w:rFonts w:hint="eastAsia" w:ascii="宋体" w:hAnsi="宋体" w:cs="宋体"/>
                <w:color w:val="auto"/>
                <w:kern w:val="0"/>
                <w:sz w:val="21"/>
                <w:szCs w:val="21"/>
                <w:highlight w:val="none"/>
              </w:rPr>
              <w:t>各投标人可于考察前一个工作日提前联系，如过后联系不上后果自负。</w:t>
            </w:r>
          </w:p>
        </w:tc>
      </w:tr>
      <w:tr w14:paraId="0BEEB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71" w:type="dxa"/>
            <w:gridSpan w:val="2"/>
            <w:vMerge w:val="continue"/>
            <w:tcBorders>
              <w:right w:val="single" w:color="auto" w:sz="4" w:space="0"/>
            </w:tcBorders>
            <w:vAlign w:val="center"/>
          </w:tcPr>
          <w:p w14:paraId="528F90BA">
            <w:pPr>
              <w:widowControl/>
              <w:spacing w:line="360" w:lineRule="auto"/>
              <w:jc w:val="center"/>
              <w:rPr>
                <w:rFonts w:ascii="宋体" w:hAnsi="宋体" w:cs="宋体"/>
                <w:color w:val="auto"/>
                <w:kern w:val="0"/>
                <w:sz w:val="21"/>
                <w:szCs w:val="21"/>
                <w:highlight w:val="none"/>
              </w:rPr>
            </w:pPr>
          </w:p>
        </w:tc>
        <w:tc>
          <w:tcPr>
            <w:tcW w:w="8734" w:type="dxa"/>
            <w:gridSpan w:val="3"/>
            <w:tcBorders>
              <w:top w:val="nil"/>
              <w:left w:val="single" w:color="auto" w:sz="4" w:space="0"/>
              <w:bottom w:val="nil"/>
              <w:right w:val="single" w:color="auto" w:sz="4" w:space="0"/>
            </w:tcBorders>
            <w:shd w:val="clear" w:color="auto" w:fill="auto"/>
            <w:vAlign w:val="center"/>
          </w:tcPr>
          <w:p w14:paraId="160104EF">
            <w:pPr>
              <w:widowControl/>
              <w:numPr>
                <w:ilvl w:val="0"/>
                <w:numId w:val="10"/>
              </w:numPr>
              <w:spacing w:line="360" w:lineRule="auto"/>
              <w:ind w:left="0" w:leftChars="0" w:firstLine="0" w:firstLineChars="0"/>
              <w:rPr>
                <w:rFonts w:ascii="宋体" w:hAnsi="宋体" w:cs="宋体"/>
                <w:color w:val="auto"/>
                <w:kern w:val="0"/>
                <w:sz w:val="21"/>
                <w:szCs w:val="21"/>
                <w:highlight w:val="none"/>
              </w:rPr>
            </w:pPr>
            <w:r>
              <w:rPr>
                <w:rFonts w:hint="eastAsia" w:ascii="宋体" w:hAnsi="宋体" w:cs="宋体"/>
                <w:color w:val="auto"/>
                <w:kern w:val="0"/>
                <w:sz w:val="21"/>
                <w:szCs w:val="21"/>
                <w:highlight w:val="none"/>
              </w:rPr>
              <w:t>考察时间：2024年</w:t>
            </w:r>
            <w:r>
              <w:rPr>
                <w:rFonts w:hint="eastAsia" w:ascii="宋体" w:hAnsi="宋体" w:cs="宋体"/>
                <w:color w:val="auto"/>
                <w:kern w:val="0"/>
                <w:sz w:val="21"/>
                <w:szCs w:val="21"/>
                <w:highlight w:val="none"/>
                <w:lang w:val="en-US" w:eastAsia="zh-CN"/>
              </w:rPr>
              <w:t>11</w:t>
            </w:r>
            <w:r>
              <w:rPr>
                <w:rFonts w:hint="eastAsia" w:ascii="宋体" w:hAnsi="宋体" w:cs="宋体"/>
                <w:color w:val="auto"/>
                <w:kern w:val="0"/>
                <w:sz w:val="21"/>
                <w:szCs w:val="21"/>
                <w:highlight w:val="none"/>
              </w:rPr>
              <w:t>月</w:t>
            </w:r>
            <w:r>
              <w:rPr>
                <w:rFonts w:hint="eastAsia" w:ascii="宋体" w:hAnsi="宋体" w:cs="宋体"/>
                <w:color w:val="auto"/>
                <w:kern w:val="0"/>
                <w:sz w:val="21"/>
                <w:szCs w:val="21"/>
                <w:highlight w:val="none"/>
                <w:lang w:val="en-US" w:eastAsia="zh-CN"/>
              </w:rPr>
              <w:t>25</w:t>
            </w:r>
            <w:r>
              <w:rPr>
                <w:rFonts w:hint="eastAsia" w:ascii="宋体" w:hAnsi="宋体" w:cs="宋体"/>
                <w:color w:val="auto"/>
                <w:kern w:val="0"/>
                <w:sz w:val="21"/>
                <w:szCs w:val="21"/>
                <w:highlight w:val="none"/>
              </w:rPr>
              <w:t>日</w:t>
            </w:r>
            <w:r>
              <w:rPr>
                <w:rFonts w:hint="eastAsia" w:ascii="宋体" w:hAnsi="宋体" w:cs="宋体"/>
                <w:color w:val="auto"/>
                <w:kern w:val="0"/>
                <w:sz w:val="21"/>
                <w:szCs w:val="21"/>
                <w:highlight w:val="none"/>
                <w:lang w:val="en-US" w:eastAsia="zh-CN"/>
              </w:rPr>
              <w:t>10</w:t>
            </w:r>
            <w:r>
              <w:rPr>
                <w:rFonts w:hint="eastAsia" w:ascii="宋体" w:hAnsi="宋体" w:cs="宋体"/>
                <w:color w:val="auto"/>
                <w:kern w:val="0"/>
                <w:sz w:val="21"/>
                <w:szCs w:val="21"/>
                <w:highlight w:val="none"/>
              </w:rPr>
              <w:t>时</w:t>
            </w:r>
            <w:r>
              <w:rPr>
                <w:rFonts w:hint="eastAsia" w:ascii="宋体" w:hAnsi="宋体" w:cs="宋体"/>
                <w:color w:val="auto"/>
                <w:kern w:val="0"/>
                <w:sz w:val="21"/>
                <w:szCs w:val="21"/>
                <w:highlight w:val="none"/>
                <w:lang w:val="en-US" w:eastAsia="zh-CN"/>
              </w:rPr>
              <w:t>00</w:t>
            </w:r>
            <w:r>
              <w:rPr>
                <w:rFonts w:hint="eastAsia" w:ascii="宋体" w:hAnsi="宋体" w:cs="宋体"/>
                <w:color w:val="auto"/>
                <w:kern w:val="0"/>
                <w:sz w:val="21"/>
                <w:szCs w:val="21"/>
                <w:highlight w:val="none"/>
              </w:rPr>
              <w:t>分，进行签到，逾时不予签到，</w:t>
            </w:r>
            <w:r>
              <w:rPr>
                <w:rFonts w:hint="eastAsia" w:ascii="宋体" w:hAnsi="宋体" w:cs="宋体"/>
                <w:color w:val="auto"/>
                <w:kern w:val="0"/>
                <w:sz w:val="21"/>
                <w:szCs w:val="21"/>
                <w:highlight w:val="none"/>
                <w:lang w:val="en-US" w:eastAsia="zh-CN"/>
              </w:rPr>
              <w:t>10</w:t>
            </w:r>
            <w:r>
              <w:rPr>
                <w:rFonts w:hint="eastAsia" w:ascii="宋体" w:hAnsi="宋体" w:cs="宋体"/>
                <w:color w:val="auto"/>
                <w:kern w:val="0"/>
                <w:sz w:val="21"/>
                <w:szCs w:val="21"/>
                <w:highlight w:val="none"/>
              </w:rPr>
              <w:t>时</w:t>
            </w:r>
            <w:r>
              <w:rPr>
                <w:rFonts w:hint="eastAsia" w:ascii="宋体" w:hAnsi="宋体" w:cs="宋体"/>
                <w:color w:val="auto"/>
                <w:kern w:val="0"/>
                <w:sz w:val="21"/>
                <w:szCs w:val="21"/>
                <w:highlight w:val="none"/>
                <w:lang w:val="en-US" w:eastAsia="zh-CN"/>
              </w:rPr>
              <w:t>00</w:t>
            </w:r>
            <w:r>
              <w:rPr>
                <w:rFonts w:hint="eastAsia" w:ascii="宋体" w:hAnsi="宋体" w:cs="宋体"/>
                <w:color w:val="auto"/>
                <w:kern w:val="0"/>
                <w:sz w:val="21"/>
                <w:szCs w:val="21"/>
                <w:highlight w:val="none"/>
              </w:rPr>
              <w:t>分后由采购人统一安排进行考察；</w:t>
            </w:r>
          </w:p>
        </w:tc>
      </w:tr>
      <w:tr w14:paraId="7E912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71" w:type="dxa"/>
            <w:gridSpan w:val="2"/>
            <w:vMerge w:val="continue"/>
            <w:tcBorders>
              <w:right w:val="single" w:color="auto" w:sz="4" w:space="0"/>
            </w:tcBorders>
            <w:vAlign w:val="center"/>
          </w:tcPr>
          <w:p w14:paraId="0CE96D22">
            <w:pPr>
              <w:widowControl/>
              <w:spacing w:line="360" w:lineRule="auto"/>
              <w:jc w:val="center"/>
              <w:rPr>
                <w:rFonts w:ascii="宋体" w:hAnsi="宋体" w:cs="宋体"/>
                <w:color w:val="auto"/>
                <w:kern w:val="0"/>
                <w:sz w:val="21"/>
                <w:szCs w:val="21"/>
                <w:highlight w:val="none"/>
              </w:rPr>
            </w:pPr>
          </w:p>
        </w:tc>
        <w:tc>
          <w:tcPr>
            <w:tcW w:w="8734" w:type="dxa"/>
            <w:gridSpan w:val="3"/>
            <w:tcBorders>
              <w:top w:val="nil"/>
              <w:left w:val="single" w:color="auto" w:sz="4" w:space="0"/>
              <w:bottom w:val="nil"/>
              <w:right w:val="single" w:color="auto" w:sz="4" w:space="0"/>
            </w:tcBorders>
            <w:shd w:val="clear" w:color="auto" w:fill="auto"/>
            <w:vAlign w:val="center"/>
          </w:tcPr>
          <w:p w14:paraId="58E072B4">
            <w:pPr>
              <w:widowControl/>
              <w:numPr>
                <w:ilvl w:val="0"/>
                <w:numId w:val="10"/>
              </w:numPr>
              <w:spacing w:line="360" w:lineRule="auto"/>
              <w:ind w:left="0" w:leftChars="0" w:firstLine="0" w:firstLineChars="0"/>
              <w:rPr>
                <w:rFonts w:ascii="宋体" w:hAnsi="宋体" w:cs="宋体"/>
                <w:color w:val="auto"/>
                <w:kern w:val="0"/>
                <w:sz w:val="21"/>
                <w:szCs w:val="21"/>
                <w:highlight w:val="none"/>
              </w:rPr>
            </w:pPr>
            <w:r>
              <w:rPr>
                <w:rFonts w:hint="eastAsia" w:ascii="宋体" w:hAnsi="宋体" w:cs="宋体"/>
                <w:color w:val="auto"/>
                <w:kern w:val="0"/>
                <w:sz w:val="21"/>
                <w:szCs w:val="21"/>
                <w:highlight w:val="none"/>
              </w:rPr>
              <w:t>集中地点：南宁市佛子岭路1号</w:t>
            </w:r>
          </w:p>
        </w:tc>
      </w:tr>
      <w:tr w14:paraId="18288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71" w:type="dxa"/>
            <w:gridSpan w:val="2"/>
            <w:vMerge w:val="continue"/>
            <w:tcBorders>
              <w:right w:val="single" w:color="auto" w:sz="4" w:space="0"/>
            </w:tcBorders>
            <w:vAlign w:val="center"/>
          </w:tcPr>
          <w:p w14:paraId="46621A60">
            <w:pPr>
              <w:widowControl/>
              <w:spacing w:line="360" w:lineRule="auto"/>
              <w:jc w:val="center"/>
              <w:rPr>
                <w:rFonts w:ascii="宋体" w:hAnsi="宋体" w:cs="宋体"/>
                <w:color w:val="auto"/>
                <w:kern w:val="0"/>
                <w:sz w:val="21"/>
                <w:szCs w:val="21"/>
                <w:highlight w:val="none"/>
              </w:rPr>
            </w:pPr>
          </w:p>
        </w:tc>
        <w:tc>
          <w:tcPr>
            <w:tcW w:w="8734" w:type="dxa"/>
            <w:gridSpan w:val="3"/>
            <w:tcBorders>
              <w:top w:val="nil"/>
              <w:left w:val="single" w:color="auto" w:sz="4" w:space="0"/>
              <w:bottom w:val="nil"/>
              <w:right w:val="single" w:color="auto" w:sz="4" w:space="0"/>
            </w:tcBorders>
            <w:shd w:val="clear" w:color="auto" w:fill="auto"/>
            <w:vAlign w:val="center"/>
          </w:tcPr>
          <w:p w14:paraId="54CD9E06">
            <w:pPr>
              <w:widowControl/>
              <w:numPr>
                <w:ilvl w:val="0"/>
                <w:numId w:val="10"/>
              </w:numPr>
              <w:spacing w:line="360" w:lineRule="auto"/>
              <w:ind w:left="0" w:leftChars="0" w:firstLine="0" w:firstLineChars="0"/>
              <w:rPr>
                <w:rFonts w:ascii="宋体" w:hAnsi="宋体" w:cs="宋体"/>
                <w:color w:val="auto"/>
                <w:kern w:val="0"/>
                <w:sz w:val="21"/>
                <w:szCs w:val="21"/>
                <w:highlight w:val="none"/>
              </w:rPr>
            </w:pPr>
            <w:r>
              <w:rPr>
                <w:rFonts w:hint="eastAsia" w:ascii="宋体" w:hAnsi="宋体" w:cs="宋体"/>
                <w:color w:val="auto"/>
                <w:kern w:val="0"/>
                <w:sz w:val="21"/>
                <w:szCs w:val="21"/>
                <w:highlight w:val="none"/>
              </w:rPr>
              <w:t>联系</w:t>
            </w:r>
            <w:r>
              <w:rPr>
                <w:rFonts w:hint="eastAsia" w:ascii="宋体" w:hAnsi="宋体" w:eastAsia="宋体" w:cs="宋体"/>
                <w:color w:val="auto"/>
                <w:kern w:val="0"/>
                <w:sz w:val="21"/>
                <w:szCs w:val="21"/>
                <w:highlight w:val="none"/>
              </w:rPr>
              <w:t>人：</w:t>
            </w:r>
            <w:r>
              <w:rPr>
                <w:rFonts w:hint="eastAsia" w:ascii="宋体" w:hAnsi="宋体" w:eastAsia="宋体" w:cs="宋体"/>
                <w:color w:val="auto"/>
                <w:kern w:val="0"/>
                <w:sz w:val="21"/>
                <w:szCs w:val="21"/>
                <w:highlight w:val="none"/>
                <w:u w:val="single"/>
              </w:rPr>
              <w:t>韦警官  0771-28</w:t>
            </w:r>
            <w:r>
              <w:rPr>
                <w:rFonts w:hint="eastAsia" w:ascii="宋体" w:hAnsi="宋体" w:cs="宋体"/>
                <w:color w:val="auto"/>
                <w:kern w:val="0"/>
                <w:sz w:val="21"/>
                <w:szCs w:val="21"/>
                <w:highlight w:val="none"/>
                <w:u w:val="single"/>
                <w:lang w:val="en-US" w:eastAsia="zh-CN"/>
              </w:rPr>
              <w:t>93278</w:t>
            </w:r>
            <w:r>
              <w:rPr>
                <w:rFonts w:hint="eastAsia" w:ascii="宋体" w:hAnsi="宋体" w:eastAsia="宋体" w:cs="宋体"/>
                <w:color w:val="auto"/>
                <w:kern w:val="0"/>
                <w:sz w:val="21"/>
                <w:szCs w:val="21"/>
                <w:highlight w:val="none"/>
                <w:u w:val="single"/>
              </w:rPr>
              <w:t xml:space="preserve">  </w:t>
            </w:r>
          </w:p>
        </w:tc>
      </w:tr>
      <w:tr w14:paraId="095BB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71" w:type="dxa"/>
            <w:gridSpan w:val="2"/>
            <w:vMerge w:val="continue"/>
            <w:tcBorders>
              <w:right w:val="single" w:color="auto" w:sz="4" w:space="0"/>
            </w:tcBorders>
            <w:vAlign w:val="center"/>
          </w:tcPr>
          <w:p w14:paraId="559828D4">
            <w:pPr>
              <w:widowControl/>
              <w:spacing w:line="360" w:lineRule="auto"/>
              <w:jc w:val="center"/>
              <w:rPr>
                <w:rFonts w:ascii="宋体" w:hAnsi="宋体" w:cs="宋体"/>
                <w:color w:val="auto"/>
                <w:kern w:val="0"/>
                <w:sz w:val="21"/>
                <w:szCs w:val="21"/>
                <w:highlight w:val="none"/>
              </w:rPr>
            </w:pPr>
          </w:p>
        </w:tc>
        <w:tc>
          <w:tcPr>
            <w:tcW w:w="8734" w:type="dxa"/>
            <w:gridSpan w:val="3"/>
            <w:tcBorders>
              <w:top w:val="nil"/>
              <w:left w:val="single" w:color="auto" w:sz="4" w:space="0"/>
              <w:bottom w:val="single" w:color="auto" w:sz="4" w:space="0"/>
              <w:right w:val="single" w:color="auto" w:sz="4" w:space="0"/>
            </w:tcBorders>
            <w:shd w:val="clear" w:color="auto" w:fill="auto"/>
            <w:vAlign w:val="center"/>
          </w:tcPr>
          <w:p w14:paraId="4965B3D9">
            <w:pPr>
              <w:widowControl/>
              <w:numPr>
                <w:ilvl w:val="0"/>
                <w:numId w:val="10"/>
              </w:numPr>
              <w:spacing w:line="360" w:lineRule="auto"/>
              <w:ind w:left="0" w:leftChars="0" w:firstLine="0" w:firstLineChars="0"/>
              <w:rPr>
                <w:rFonts w:ascii="宋体" w:hAnsi="宋体" w:cs="宋体"/>
                <w:color w:val="auto"/>
                <w:kern w:val="0"/>
                <w:sz w:val="21"/>
                <w:szCs w:val="21"/>
                <w:highlight w:val="none"/>
              </w:rPr>
            </w:pPr>
            <w:r>
              <w:rPr>
                <w:rFonts w:hint="eastAsia" w:ascii="宋体" w:hAnsi="宋体" w:cs="宋体"/>
                <w:color w:val="auto"/>
                <w:kern w:val="0"/>
                <w:sz w:val="21"/>
                <w:szCs w:val="21"/>
                <w:highlight w:val="none"/>
              </w:rPr>
              <w:t>现场考察结束后采购人为参加考察的投标人开具“现场考察证明”，投标人可将“现场考察证明”原件或复印件于投标文件中提供。</w:t>
            </w:r>
          </w:p>
        </w:tc>
      </w:tr>
      <w:tr w14:paraId="646E6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71" w:type="dxa"/>
            <w:gridSpan w:val="2"/>
            <w:vMerge w:val="restart"/>
            <w:tcBorders>
              <w:right w:val="single" w:color="auto" w:sz="4" w:space="0"/>
            </w:tcBorders>
            <w:shd w:val="clear" w:color="auto" w:fill="auto"/>
            <w:vAlign w:val="center"/>
          </w:tcPr>
          <w:p w14:paraId="4866B361">
            <w:pPr>
              <w:widowControl/>
              <w:spacing w:line="360" w:lineRule="auto"/>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演示要求</w:t>
            </w:r>
          </w:p>
        </w:tc>
        <w:tc>
          <w:tcPr>
            <w:tcW w:w="8734" w:type="dxa"/>
            <w:gridSpan w:val="3"/>
            <w:tcBorders>
              <w:top w:val="single" w:color="auto" w:sz="4" w:space="0"/>
              <w:left w:val="single" w:color="auto" w:sz="4" w:space="0"/>
              <w:bottom w:val="nil"/>
              <w:right w:val="single" w:color="auto" w:sz="4" w:space="0"/>
            </w:tcBorders>
            <w:shd w:val="clear" w:color="auto" w:fill="auto"/>
            <w:vAlign w:val="center"/>
          </w:tcPr>
          <w:p w14:paraId="60E61071">
            <w:pPr>
              <w:widowControl/>
              <w:spacing w:line="360" w:lineRule="auto"/>
              <w:rPr>
                <w:rFonts w:ascii="宋体" w:hAnsi="宋体" w:cs="宋体"/>
                <w:color w:val="auto"/>
                <w:kern w:val="0"/>
                <w:sz w:val="21"/>
                <w:szCs w:val="21"/>
                <w:highlight w:val="none"/>
              </w:rPr>
            </w:pPr>
            <w:r>
              <w:rPr>
                <w:rFonts w:hint="eastAsia" w:ascii="宋体" w:hAnsi="宋体" w:cs="宋体"/>
                <w:color w:val="auto"/>
                <w:kern w:val="0"/>
                <w:sz w:val="21"/>
                <w:szCs w:val="21"/>
                <w:highlight w:val="none"/>
              </w:rPr>
              <w:t>1．投标人可根据自身情况以自愿为原则进行“广西公安数字化反电诈平台”产品演示 ，不提供产品演示并不会导致投标人废标，若投标人提供产品演示的须遵循以下要求：</w:t>
            </w:r>
          </w:p>
        </w:tc>
      </w:tr>
      <w:tr w14:paraId="16B4B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71" w:type="dxa"/>
            <w:gridSpan w:val="2"/>
            <w:vMerge w:val="continue"/>
            <w:tcBorders>
              <w:right w:val="single" w:color="auto" w:sz="4" w:space="0"/>
            </w:tcBorders>
            <w:vAlign w:val="center"/>
          </w:tcPr>
          <w:p w14:paraId="0972EE8F">
            <w:pPr>
              <w:widowControl/>
              <w:spacing w:line="360" w:lineRule="auto"/>
              <w:jc w:val="left"/>
              <w:rPr>
                <w:rFonts w:ascii="宋体" w:hAnsi="宋体" w:cs="宋体"/>
                <w:color w:val="auto"/>
                <w:kern w:val="0"/>
                <w:sz w:val="21"/>
                <w:szCs w:val="21"/>
                <w:highlight w:val="none"/>
              </w:rPr>
            </w:pPr>
          </w:p>
        </w:tc>
        <w:tc>
          <w:tcPr>
            <w:tcW w:w="8734" w:type="dxa"/>
            <w:gridSpan w:val="3"/>
            <w:tcBorders>
              <w:top w:val="nil"/>
              <w:left w:val="single" w:color="auto" w:sz="4" w:space="0"/>
              <w:bottom w:val="nil"/>
              <w:right w:val="single" w:color="auto" w:sz="4" w:space="0"/>
            </w:tcBorders>
            <w:shd w:val="clear" w:color="auto" w:fill="auto"/>
            <w:vAlign w:val="center"/>
          </w:tcPr>
          <w:p w14:paraId="42E67A0A">
            <w:pPr>
              <w:widowControl/>
              <w:spacing w:line="360" w:lineRule="auto"/>
              <w:rPr>
                <w:rFonts w:ascii="宋体" w:hAnsi="宋体" w:cs="宋体"/>
                <w:color w:val="auto"/>
                <w:kern w:val="0"/>
                <w:sz w:val="21"/>
                <w:szCs w:val="21"/>
                <w:highlight w:val="none"/>
              </w:rPr>
            </w:pPr>
            <w:r>
              <w:rPr>
                <w:rFonts w:hint="eastAsia" w:ascii="宋体" w:hAnsi="宋体" w:cs="宋体"/>
                <w:color w:val="auto"/>
                <w:kern w:val="0"/>
                <w:sz w:val="21"/>
                <w:szCs w:val="21"/>
                <w:highlight w:val="none"/>
              </w:rPr>
              <w:t>(1)  演示方式为“政采云”平台在线演示或现场演示，具体演示时间及地点等待招标代理机构工作人员电话通知。</w:t>
            </w:r>
          </w:p>
        </w:tc>
      </w:tr>
      <w:tr w14:paraId="1890F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71" w:type="dxa"/>
            <w:gridSpan w:val="2"/>
            <w:vMerge w:val="continue"/>
            <w:tcBorders>
              <w:right w:val="single" w:color="auto" w:sz="4" w:space="0"/>
            </w:tcBorders>
            <w:vAlign w:val="center"/>
          </w:tcPr>
          <w:p w14:paraId="404AEB82">
            <w:pPr>
              <w:widowControl/>
              <w:spacing w:line="360" w:lineRule="auto"/>
              <w:jc w:val="left"/>
              <w:rPr>
                <w:rFonts w:ascii="宋体" w:hAnsi="宋体" w:cs="宋体"/>
                <w:color w:val="auto"/>
                <w:kern w:val="0"/>
                <w:sz w:val="21"/>
                <w:szCs w:val="21"/>
                <w:highlight w:val="none"/>
              </w:rPr>
            </w:pPr>
          </w:p>
        </w:tc>
        <w:tc>
          <w:tcPr>
            <w:tcW w:w="8734" w:type="dxa"/>
            <w:gridSpan w:val="3"/>
            <w:tcBorders>
              <w:top w:val="nil"/>
              <w:left w:val="single" w:color="auto" w:sz="4" w:space="0"/>
              <w:bottom w:val="nil"/>
              <w:right w:val="single" w:color="auto" w:sz="4" w:space="0"/>
            </w:tcBorders>
            <w:shd w:val="clear" w:color="auto" w:fill="auto"/>
            <w:vAlign w:val="center"/>
          </w:tcPr>
          <w:p w14:paraId="3B7B9BA7">
            <w:pPr>
              <w:widowControl/>
              <w:spacing w:line="360" w:lineRule="auto"/>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rPr>
              <w:t>(2)  投标人应提前调试好演示所需设备（如摄像头、电脑等）、展示内容等，投标人应在接到电话通知15分钟内连线并进行线上演示，因投标人原因导致连线超时则后果自负。</w:t>
            </w:r>
            <w:r>
              <w:rPr>
                <w:rFonts w:hint="eastAsia" w:ascii="宋体" w:hAnsi="宋体" w:cs="宋体"/>
                <w:color w:val="auto"/>
                <w:kern w:val="0"/>
                <w:sz w:val="21"/>
                <w:szCs w:val="21"/>
                <w:highlight w:val="none"/>
                <w:lang w:val="en-US" w:eastAsia="zh-CN"/>
              </w:rPr>
              <w:t>若为现场演示，请投标人自备演示工具。</w:t>
            </w:r>
          </w:p>
        </w:tc>
      </w:tr>
      <w:tr w14:paraId="07496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71" w:type="dxa"/>
            <w:gridSpan w:val="2"/>
            <w:vMerge w:val="continue"/>
            <w:tcBorders>
              <w:right w:val="single" w:color="auto" w:sz="4" w:space="0"/>
            </w:tcBorders>
            <w:vAlign w:val="center"/>
          </w:tcPr>
          <w:p w14:paraId="1BE0DDE4">
            <w:pPr>
              <w:widowControl/>
              <w:spacing w:line="360" w:lineRule="auto"/>
              <w:jc w:val="left"/>
              <w:rPr>
                <w:rFonts w:ascii="宋体" w:hAnsi="宋体" w:cs="宋体"/>
                <w:color w:val="auto"/>
                <w:kern w:val="0"/>
                <w:sz w:val="21"/>
                <w:szCs w:val="21"/>
                <w:highlight w:val="none"/>
              </w:rPr>
            </w:pPr>
          </w:p>
        </w:tc>
        <w:tc>
          <w:tcPr>
            <w:tcW w:w="8734" w:type="dxa"/>
            <w:gridSpan w:val="3"/>
            <w:tcBorders>
              <w:top w:val="nil"/>
              <w:left w:val="single" w:color="auto" w:sz="4" w:space="0"/>
              <w:bottom w:val="nil"/>
              <w:right w:val="single" w:color="auto" w:sz="4" w:space="0"/>
            </w:tcBorders>
            <w:shd w:val="clear" w:color="auto" w:fill="auto"/>
            <w:vAlign w:val="center"/>
          </w:tcPr>
          <w:p w14:paraId="7DAFF671">
            <w:pPr>
              <w:widowControl/>
              <w:spacing w:line="360" w:lineRule="auto"/>
              <w:rPr>
                <w:rFonts w:ascii="宋体" w:hAnsi="宋体" w:cs="宋体"/>
                <w:color w:val="auto"/>
                <w:kern w:val="0"/>
                <w:sz w:val="21"/>
                <w:szCs w:val="21"/>
                <w:highlight w:val="none"/>
              </w:rPr>
            </w:pPr>
            <w:r>
              <w:rPr>
                <w:rFonts w:hint="eastAsia" w:ascii="宋体" w:hAnsi="宋体" w:cs="宋体"/>
                <w:color w:val="auto"/>
                <w:kern w:val="0"/>
                <w:sz w:val="21"/>
                <w:szCs w:val="21"/>
                <w:highlight w:val="none"/>
              </w:rPr>
              <w:t>(3)  演示开始后每个投标人的演示时间不超过 45分钟，超时的须立即停止。</w:t>
            </w:r>
          </w:p>
        </w:tc>
      </w:tr>
      <w:tr w14:paraId="7F863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71" w:type="dxa"/>
            <w:gridSpan w:val="2"/>
            <w:vMerge w:val="continue"/>
            <w:tcBorders>
              <w:right w:val="single" w:color="auto" w:sz="4" w:space="0"/>
            </w:tcBorders>
            <w:vAlign w:val="center"/>
          </w:tcPr>
          <w:p w14:paraId="324C2981">
            <w:pPr>
              <w:widowControl/>
              <w:spacing w:line="360" w:lineRule="auto"/>
              <w:jc w:val="left"/>
              <w:rPr>
                <w:rFonts w:ascii="宋体" w:hAnsi="宋体" w:cs="宋体"/>
                <w:color w:val="auto"/>
                <w:kern w:val="0"/>
                <w:sz w:val="21"/>
                <w:szCs w:val="21"/>
                <w:highlight w:val="none"/>
              </w:rPr>
            </w:pPr>
          </w:p>
        </w:tc>
        <w:tc>
          <w:tcPr>
            <w:tcW w:w="8734" w:type="dxa"/>
            <w:gridSpan w:val="3"/>
            <w:tcBorders>
              <w:top w:val="nil"/>
              <w:left w:val="single" w:color="auto" w:sz="4" w:space="0"/>
              <w:bottom w:val="nil"/>
              <w:right w:val="single" w:color="auto" w:sz="4" w:space="0"/>
            </w:tcBorders>
            <w:shd w:val="clear" w:color="auto" w:fill="auto"/>
            <w:vAlign w:val="center"/>
          </w:tcPr>
          <w:p w14:paraId="017105DC">
            <w:pPr>
              <w:widowControl/>
              <w:spacing w:line="360" w:lineRule="auto"/>
              <w:rPr>
                <w:rFonts w:ascii="宋体" w:hAnsi="宋体" w:cs="宋体"/>
                <w:color w:val="auto"/>
                <w:kern w:val="0"/>
                <w:sz w:val="21"/>
                <w:szCs w:val="21"/>
                <w:highlight w:val="none"/>
              </w:rPr>
            </w:pPr>
            <w:r>
              <w:rPr>
                <w:rFonts w:hint="eastAsia" w:ascii="宋体" w:hAnsi="宋体" w:cs="宋体"/>
                <w:color w:val="auto"/>
                <w:kern w:val="0"/>
                <w:sz w:val="21"/>
                <w:szCs w:val="21"/>
                <w:highlight w:val="none"/>
              </w:rPr>
              <w:t>(4)  投标人须使用所投真实产品进行演示，采用PPT</w:t>
            </w:r>
            <w:r>
              <w:rPr>
                <w:rFonts w:hint="eastAsia" w:ascii="宋体" w:hAnsi="宋体" w:cs="宋体"/>
                <w:color w:val="auto"/>
                <w:kern w:val="0"/>
                <w:sz w:val="21"/>
                <w:szCs w:val="21"/>
                <w:highlight w:val="none"/>
                <w:lang w:eastAsia="zh-CN"/>
              </w:rPr>
              <w:t>或</w:t>
            </w:r>
            <w:r>
              <w:rPr>
                <w:rFonts w:hint="eastAsia" w:ascii="宋体" w:hAnsi="宋体" w:cs="宋体"/>
                <w:color w:val="auto"/>
                <w:kern w:val="0"/>
                <w:sz w:val="21"/>
                <w:szCs w:val="21"/>
                <w:highlight w:val="none"/>
                <w:lang w:val="en-US" w:eastAsia="zh-CN"/>
              </w:rPr>
              <w:t>word</w:t>
            </w:r>
            <w:r>
              <w:rPr>
                <w:rFonts w:hint="eastAsia" w:ascii="宋体" w:hAnsi="宋体" w:cs="宋体"/>
                <w:color w:val="auto"/>
                <w:kern w:val="0"/>
                <w:sz w:val="21"/>
                <w:szCs w:val="21"/>
                <w:highlight w:val="none"/>
                <w:lang w:eastAsia="zh-CN"/>
              </w:rPr>
              <w:t>或</w:t>
            </w:r>
            <w:r>
              <w:rPr>
                <w:rFonts w:hint="eastAsia" w:ascii="宋体" w:hAnsi="宋体" w:cs="宋体"/>
                <w:color w:val="auto"/>
                <w:kern w:val="0"/>
                <w:sz w:val="21"/>
                <w:szCs w:val="21"/>
                <w:highlight w:val="none"/>
              </w:rPr>
              <w:t>截图</w:t>
            </w:r>
            <w:r>
              <w:rPr>
                <w:rFonts w:hint="eastAsia" w:ascii="宋体" w:hAnsi="宋体" w:cs="宋体"/>
                <w:color w:val="auto"/>
                <w:kern w:val="0"/>
                <w:sz w:val="21"/>
                <w:szCs w:val="21"/>
                <w:highlight w:val="none"/>
                <w:lang w:eastAsia="zh-CN"/>
              </w:rPr>
              <w:t>等静态方式进行</w:t>
            </w:r>
            <w:r>
              <w:rPr>
                <w:rFonts w:hint="eastAsia" w:ascii="宋体" w:hAnsi="宋体" w:cs="宋体"/>
                <w:color w:val="auto"/>
                <w:kern w:val="0"/>
                <w:sz w:val="21"/>
                <w:szCs w:val="21"/>
                <w:highlight w:val="none"/>
                <w:lang w:val="en-US" w:eastAsia="zh-CN"/>
              </w:rPr>
              <w:t>演示，</w:t>
            </w:r>
            <w:r>
              <w:rPr>
                <w:rFonts w:hint="eastAsia" w:ascii="宋体" w:hAnsi="宋体" w:cs="宋体"/>
                <w:color w:val="auto"/>
                <w:kern w:val="0"/>
                <w:sz w:val="21"/>
                <w:szCs w:val="21"/>
                <w:highlight w:val="none"/>
                <w:lang w:eastAsia="zh-CN"/>
              </w:rPr>
              <w:t>或</w:t>
            </w:r>
            <w:r>
              <w:rPr>
                <w:rFonts w:hint="eastAsia" w:ascii="宋体" w:hAnsi="宋体" w:cs="宋体"/>
                <w:color w:val="auto"/>
                <w:kern w:val="0"/>
                <w:sz w:val="21"/>
                <w:szCs w:val="21"/>
                <w:highlight w:val="none"/>
              </w:rPr>
              <w:t>视频</w:t>
            </w:r>
            <w:r>
              <w:rPr>
                <w:rFonts w:hint="eastAsia" w:ascii="宋体" w:hAnsi="宋体" w:cs="宋体"/>
                <w:color w:val="auto"/>
                <w:kern w:val="0"/>
                <w:sz w:val="21"/>
                <w:szCs w:val="21"/>
                <w:highlight w:val="none"/>
                <w:lang w:eastAsia="zh-CN"/>
              </w:rPr>
              <w:t>录播均</w:t>
            </w:r>
            <w:r>
              <w:rPr>
                <w:rFonts w:hint="eastAsia" w:ascii="宋体" w:hAnsi="宋体" w:cs="宋体"/>
                <w:color w:val="auto"/>
                <w:kern w:val="0"/>
                <w:sz w:val="21"/>
                <w:szCs w:val="21"/>
                <w:highlight w:val="none"/>
              </w:rPr>
              <w:t>视为不提供演示； </w:t>
            </w:r>
          </w:p>
        </w:tc>
      </w:tr>
      <w:tr w14:paraId="122FD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71" w:type="dxa"/>
            <w:gridSpan w:val="2"/>
            <w:vMerge w:val="continue"/>
            <w:tcBorders>
              <w:right w:val="single" w:color="auto" w:sz="4" w:space="0"/>
            </w:tcBorders>
            <w:vAlign w:val="center"/>
          </w:tcPr>
          <w:p w14:paraId="585F6AFA">
            <w:pPr>
              <w:widowControl/>
              <w:spacing w:line="360" w:lineRule="auto"/>
              <w:jc w:val="left"/>
              <w:rPr>
                <w:rFonts w:ascii="宋体" w:hAnsi="宋体" w:cs="宋体"/>
                <w:color w:val="auto"/>
                <w:kern w:val="0"/>
                <w:sz w:val="21"/>
                <w:szCs w:val="21"/>
                <w:highlight w:val="none"/>
              </w:rPr>
            </w:pPr>
          </w:p>
        </w:tc>
        <w:tc>
          <w:tcPr>
            <w:tcW w:w="8734" w:type="dxa"/>
            <w:gridSpan w:val="3"/>
            <w:tcBorders>
              <w:top w:val="nil"/>
              <w:left w:val="single" w:color="auto" w:sz="4" w:space="0"/>
              <w:bottom w:val="single" w:color="auto" w:sz="4" w:space="0"/>
              <w:right w:val="single" w:color="auto" w:sz="4" w:space="0"/>
            </w:tcBorders>
            <w:shd w:val="clear" w:color="auto" w:fill="auto"/>
            <w:vAlign w:val="center"/>
          </w:tcPr>
          <w:p w14:paraId="0083E820">
            <w:pPr>
              <w:widowControl/>
              <w:spacing w:line="360" w:lineRule="auto"/>
              <w:rPr>
                <w:rFonts w:ascii="宋体" w:hAnsi="宋体" w:cs="宋体"/>
                <w:color w:val="auto"/>
                <w:kern w:val="0"/>
                <w:sz w:val="21"/>
                <w:szCs w:val="21"/>
                <w:highlight w:val="none"/>
              </w:rPr>
            </w:pPr>
            <w:r>
              <w:rPr>
                <w:rFonts w:hint="eastAsia" w:ascii="宋体" w:hAnsi="宋体" w:cs="宋体"/>
                <w:color w:val="auto"/>
                <w:kern w:val="0"/>
                <w:sz w:val="21"/>
                <w:szCs w:val="21"/>
                <w:highlight w:val="none"/>
              </w:rPr>
              <w:t>(5)  具体演示内容详见《第四章 评标方法及评分标准》“演示分”。</w:t>
            </w:r>
          </w:p>
        </w:tc>
      </w:tr>
    </w:tbl>
    <w:p w14:paraId="23921320">
      <w:pPr>
        <w:pStyle w:val="25"/>
        <w:keepNext/>
        <w:keepLines/>
        <w:widowControl w:val="0"/>
        <w:spacing w:before="0" w:beforeAutospacing="0" w:after="0" w:afterAutospacing="0" w:line="360" w:lineRule="auto"/>
        <w:rPr>
          <w:rFonts w:cs="宋体"/>
          <w:b/>
          <w:color w:val="auto"/>
          <w:sz w:val="21"/>
          <w:szCs w:val="21"/>
          <w:highlight w:val="none"/>
          <w:lang w:bidi="ar"/>
        </w:rPr>
      </w:pPr>
    </w:p>
    <w:p w14:paraId="39BB5086">
      <w:pPr>
        <w:pStyle w:val="25"/>
        <w:keepNext/>
        <w:keepLines/>
        <w:widowControl w:val="0"/>
        <w:spacing w:before="0" w:beforeAutospacing="0" w:after="0" w:afterAutospacing="0" w:line="360" w:lineRule="auto"/>
        <w:rPr>
          <w:rFonts w:cs="宋体"/>
          <w:b/>
          <w:color w:val="auto"/>
          <w:sz w:val="21"/>
          <w:szCs w:val="21"/>
          <w:highlight w:val="none"/>
          <w:lang w:bidi="ar"/>
        </w:rPr>
      </w:pPr>
      <w:r>
        <w:rPr>
          <w:rFonts w:hint="eastAsia" w:cs="宋体"/>
          <w:b/>
          <w:color w:val="auto"/>
          <w:sz w:val="21"/>
          <w:szCs w:val="21"/>
          <w:highlight w:val="none"/>
          <w:lang w:bidi="ar"/>
        </w:rPr>
        <w:t>附件一：《中小微企业划型标准》</w:t>
      </w:r>
    </w:p>
    <w:p w14:paraId="154D7794">
      <w:pPr>
        <w:keepNext/>
        <w:keepLines/>
        <w:snapToGrid w:val="0"/>
        <w:spacing w:before="120" w:beforeLines="50" w:after="120" w:afterLines="50" w:line="360" w:lineRule="auto"/>
        <w:ind w:firstLine="482" w:firstLineChars="200"/>
        <w:jc w:val="center"/>
        <w:textAlignment w:val="top"/>
        <w:rPr>
          <w:rFonts w:cs="宋体"/>
          <w:b/>
          <w:color w:val="auto"/>
          <w:sz w:val="24"/>
          <w:highlight w:val="none"/>
          <w:lang w:bidi="ar"/>
        </w:rPr>
      </w:pPr>
      <w:bookmarkStart w:id="18" w:name="_Toc8193"/>
      <w:bookmarkStart w:id="19" w:name="_Toc5463"/>
      <w:bookmarkStart w:id="20" w:name="_Toc16661"/>
      <w:r>
        <w:rPr>
          <w:rFonts w:hint="eastAsia" w:cs="宋体"/>
          <w:b/>
          <w:color w:val="auto"/>
          <w:sz w:val="24"/>
          <w:highlight w:val="none"/>
          <w:lang w:bidi="ar"/>
        </w:rPr>
        <w:t>中小微企业划型标准</w:t>
      </w:r>
      <w:bookmarkEnd w:id="18"/>
      <w:bookmarkEnd w:id="19"/>
      <w:bookmarkEnd w:id="20"/>
    </w:p>
    <w:tbl>
      <w:tblPr>
        <w:tblStyle w:val="30"/>
        <w:tblW w:w="9475" w:type="dxa"/>
        <w:jc w:val="center"/>
        <w:tblLayout w:type="fixed"/>
        <w:tblCellMar>
          <w:top w:w="0" w:type="dxa"/>
          <w:left w:w="108" w:type="dxa"/>
          <w:bottom w:w="0" w:type="dxa"/>
          <w:right w:w="108" w:type="dxa"/>
        </w:tblCellMar>
      </w:tblPr>
      <w:tblGrid>
        <w:gridCol w:w="2035"/>
        <w:gridCol w:w="1712"/>
        <w:gridCol w:w="740"/>
        <w:gridCol w:w="2066"/>
        <w:gridCol w:w="1956"/>
        <w:gridCol w:w="966"/>
      </w:tblGrid>
      <w:tr w14:paraId="5971490C">
        <w:tblPrEx>
          <w:tblCellMar>
            <w:top w:w="0" w:type="dxa"/>
            <w:left w:w="108" w:type="dxa"/>
            <w:bottom w:w="0" w:type="dxa"/>
            <w:right w:w="108" w:type="dxa"/>
          </w:tblCellMar>
        </w:tblPrEx>
        <w:trPr>
          <w:trHeight w:val="285" w:hRule="atLeast"/>
          <w:jc w:val="center"/>
        </w:trPr>
        <w:tc>
          <w:tcPr>
            <w:tcW w:w="2035" w:type="dxa"/>
            <w:tcBorders>
              <w:top w:val="single" w:color="auto" w:sz="4" w:space="0"/>
              <w:left w:val="single" w:color="auto" w:sz="4" w:space="0"/>
              <w:bottom w:val="single" w:color="auto" w:sz="4" w:space="0"/>
              <w:right w:val="single" w:color="auto" w:sz="4" w:space="0"/>
            </w:tcBorders>
            <w:vAlign w:val="center"/>
          </w:tcPr>
          <w:p w14:paraId="739FAB28">
            <w:pPr>
              <w:keepNext/>
              <w:keepLines/>
              <w:widowControl/>
              <w:jc w:val="center"/>
              <w:rPr>
                <w:rFonts w:ascii="宋体" w:hAnsi="宋体" w:cs="宋体"/>
                <w:b/>
                <w:color w:val="auto"/>
                <w:kern w:val="0"/>
                <w:szCs w:val="21"/>
                <w:highlight w:val="none"/>
              </w:rPr>
            </w:pPr>
            <w:r>
              <w:rPr>
                <w:rFonts w:hint="eastAsia" w:ascii="宋体" w:hAnsi="宋体" w:cs="宋体"/>
                <w:b/>
                <w:color w:val="auto"/>
                <w:kern w:val="0"/>
                <w:szCs w:val="21"/>
                <w:highlight w:val="none"/>
              </w:rPr>
              <w:t>行业名称</w:t>
            </w:r>
          </w:p>
        </w:tc>
        <w:tc>
          <w:tcPr>
            <w:tcW w:w="1712" w:type="dxa"/>
            <w:tcBorders>
              <w:top w:val="single" w:color="auto" w:sz="4" w:space="0"/>
              <w:left w:val="nil"/>
              <w:bottom w:val="single" w:color="auto" w:sz="4" w:space="0"/>
              <w:right w:val="single" w:color="auto" w:sz="4" w:space="0"/>
            </w:tcBorders>
            <w:vAlign w:val="center"/>
          </w:tcPr>
          <w:p w14:paraId="5878ADE2">
            <w:pPr>
              <w:keepNext/>
              <w:keepLines/>
              <w:widowControl/>
              <w:jc w:val="center"/>
              <w:rPr>
                <w:rFonts w:ascii="宋体" w:hAnsi="宋体" w:cs="宋体"/>
                <w:b/>
                <w:color w:val="auto"/>
                <w:kern w:val="0"/>
                <w:szCs w:val="21"/>
                <w:highlight w:val="none"/>
              </w:rPr>
            </w:pPr>
            <w:r>
              <w:rPr>
                <w:rFonts w:hint="eastAsia" w:ascii="宋体" w:hAnsi="宋体" w:cs="宋体"/>
                <w:b/>
                <w:color w:val="auto"/>
                <w:kern w:val="0"/>
                <w:szCs w:val="21"/>
                <w:highlight w:val="none"/>
              </w:rPr>
              <w:t>指标名称</w:t>
            </w:r>
          </w:p>
        </w:tc>
        <w:tc>
          <w:tcPr>
            <w:tcW w:w="740" w:type="dxa"/>
            <w:tcBorders>
              <w:top w:val="single" w:color="auto" w:sz="4" w:space="0"/>
              <w:left w:val="nil"/>
              <w:bottom w:val="single" w:color="auto" w:sz="4" w:space="0"/>
              <w:right w:val="single" w:color="auto" w:sz="4" w:space="0"/>
            </w:tcBorders>
            <w:vAlign w:val="center"/>
          </w:tcPr>
          <w:p w14:paraId="4477B8AA">
            <w:pPr>
              <w:keepNext/>
              <w:keepLines/>
              <w:widowControl/>
              <w:jc w:val="center"/>
              <w:rPr>
                <w:rFonts w:ascii="宋体" w:hAnsi="宋体" w:cs="宋体"/>
                <w:b/>
                <w:color w:val="auto"/>
                <w:kern w:val="0"/>
                <w:szCs w:val="21"/>
                <w:highlight w:val="none"/>
              </w:rPr>
            </w:pPr>
            <w:r>
              <w:rPr>
                <w:rFonts w:hint="eastAsia" w:ascii="宋体" w:hAnsi="宋体" w:cs="宋体"/>
                <w:b/>
                <w:color w:val="auto"/>
                <w:kern w:val="0"/>
                <w:szCs w:val="21"/>
                <w:highlight w:val="none"/>
              </w:rPr>
              <w:t>计量单位</w:t>
            </w:r>
          </w:p>
        </w:tc>
        <w:tc>
          <w:tcPr>
            <w:tcW w:w="2066" w:type="dxa"/>
            <w:tcBorders>
              <w:top w:val="single" w:color="auto" w:sz="4" w:space="0"/>
              <w:left w:val="nil"/>
              <w:bottom w:val="single" w:color="auto" w:sz="4" w:space="0"/>
              <w:right w:val="single" w:color="auto" w:sz="4" w:space="0"/>
            </w:tcBorders>
            <w:vAlign w:val="center"/>
          </w:tcPr>
          <w:p w14:paraId="259DD8B0">
            <w:pPr>
              <w:keepNext/>
              <w:keepLines/>
              <w:widowControl/>
              <w:jc w:val="center"/>
              <w:rPr>
                <w:rFonts w:ascii="宋体" w:hAnsi="宋体" w:cs="宋体"/>
                <w:b/>
                <w:color w:val="auto"/>
                <w:kern w:val="0"/>
                <w:szCs w:val="21"/>
                <w:highlight w:val="none"/>
              </w:rPr>
            </w:pPr>
            <w:r>
              <w:rPr>
                <w:rFonts w:hint="eastAsia" w:ascii="宋体" w:hAnsi="宋体" w:cs="宋体"/>
                <w:b/>
                <w:color w:val="auto"/>
                <w:kern w:val="0"/>
                <w:szCs w:val="21"/>
                <w:highlight w:val="none"/>
              </w:rPr>
              <w:t>中型</w:t>
            </w:r>
          </w:p>
        </w:tc>
        <w:tc>
          <w:tcPr>
            <w:tcW w:w="1956" w:type="dxa"/>
            <w:tcBorders>
              <w:top w:val="single" w:color="auto" w:sz="4" w:space="0"/>
              <w:left w:val="nil"/>
              <w:bottom w:val="single" w:color="auto" w:sz="4" w:space="0"/>
              <w:right w:val="single" w:color="auto" w:sz="4" w:space="0"/>
            </w:tcBorders>
            <w:vAlign w:val="center"/>
          </w:tcPr>
          <w:p w14:paraId="6CC3FC5D">
            <w:pPr>
              <w:keepNext/>
              <w:keepLines/>
              <w:widowControl/>
              <w:jc w:val="center"/>
              <w:rPr>
                <w:rFonts w:ascii="宋体" w:hAnsi="宋体" w:cs="宋体"/>
                <w:b/>
                <w:color w:val="auto"/>
                <w:kern w:val="0"/>
                <w:szCs w:val="21"/>
                <w:highlight w:val="none"/>
              </w:rPr>
            </w:pPr>
            <w:r>
              <w:rPr>
                <w:rFonts w:hint="eastAsia" w:ascii="宋体" w:hAnsi="宋体" w:cs="宋体"/>
                <w:b/>
                <w:color w:val="auto"/>
                <w:kern w:val="0"/>
                <w:szCs w:val="21"/>
                <w:highlight w:val="none"/>
              </w:rPr>
              <w:t>小型</w:t>
            </w:r>
          </w:p>
        </w:tc>
        <w:tc>
          <w:tcPr>
            <w:tcW w:w="966" w:type="dxa"/>
            <w:tcBorders>
              <w:top w:val="single" w:color="auto" w:sz="4" w:space="0"/>
              <w:left w:val="nil"/>
              <w:bottom w:val="single" w:color="auto" w:sz="4" w:space="0"/>
              <w:right w:val="single" w:color="auto" w:sz="4" w:space="0"/>
            </w:tcBorders>
            <w:vAlign w:val="center"/>
          </w:tcPr>
          <w:p w14:paraId="5E56754B">
            <w:pPr>
              <w:keepNext/>
              <w:keepLines/>
              <w:widowControl/>
              <w:jc w:val="center"/>
              <w:rPr>
                <w:rFonts w:ascii="宋体" w:hAnsi="宋体" w:cs="宋体"/>
                <w:b/>
                <w:color w:val="auto"/>
                <w:kern w:val="0"/>
                <w:szCs w:val="21"/>
                <w:highlight w:val="none"/>
              </w:rPr>
            </w:pPr>
            <w:r>
              <w:rPr>
                <w:rFonts w:hint="eastAsia" w:ascii="宋体" w:hAnsi="宋体" w:cs="宋体"/>
                <w:b/>
                <w:color w:val="auto"/>
                <w:kern w:val="0"/>
                <w:szCs w:val="21"/>
                <w:highlight w:val="none"/>
              </w:rPr>
              <w:t>微型</w:t>
            </w:r>
          </w:p>
        </w:tc>
      </w:tr>
      <w:tr w14:paraId="37D7C2C7">
        <w:tblPrEx>
          <w:tblCellMar>
            <w:top w:w="0" w:type="dxa"/>
            <w:left w:w="108" w:type="dxa"/>
            <w:bottom w:w="0" w:type="dxa"/>
            <w:right w:w="108" w:type="dxa"/>
          </w:tblCellMar>
        </w:tblPrEx>
        <w:trPr>
          <w:trHeight w:val="340" w:hRule="atLeast"/>
          <w:jc w:val="center"/>
        </w:trPr>
        <w:tc>
          <w:tcPr>
            <w:tcW w:w="2035" w:type="dxa"/>
            <w:tcBorders>
              <w:top w:val="nil"/>
              <w:left w:val="single" w:color="auto" w:sz="4" w:space="0"/>
              <w:bottom w:val="single" w:color="auto" w:sz="4" w:space="0"/>
              <w:right w:val="single" w:color="auto" w:sz="4" w:space="0"/>
            </w:tcBorders>
            <w:vAlign w:val="center"/>
          </w:tcPr>
          <w:p w14:paraId="1A4EEF36">
            <w:pPr>
              <w:keepNext/>
              <w:keepLines/>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农、林、牧、渔</w:t>
            </w:r>
          </w:p>
        </w:tc>
        <w:tc>
          <w:tcPr>
            <w:tcW w:w="1712" w:type="dxa"/>
            <w:tcBorders>
              <w:top w:val="nil"/>
              <w:left w:val="nil"/>
              <w:bottom w:val="single" w:color="auto" w:sz="4" w:space="0"/>
              <w:right w:val="single" w:color="auto" w:sz="4" w:space="0"/>
            </w:tcBorders>
            <w:vAlign w:val="center"/>
          </w:tcPr>
          <w:p w14:paraId="4B30E540">
            <w:pPr>
              <w:keepNext/>
              <w:keepLines/>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740" w:type="dxa"/>
            <w:tcBorders>
              <w:top w:val="nil"/>
              <w:left w:val="nil"/>
              <w:bottom w:val="single" w:color="auto" w:sz="4" w:space="0"/>
              <w:right w:val="single" w:color="auto" w:sz="4" w:space="0"/>
            </w:tcBorders>
            <w:vAlign w:val="center"/>
          </w:tcPr>
          <w:p w14:paraId="564050A3">
            <w:pPr>
              <w:keepNext/>
              <w:keepLines/>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2066" w:type="dxa"/>
            <w:tcBorders>
              <w:top w:val="nil"/>
              <w:left w:val="nil"/>
              <w:bottom w:val="single" w:color="auto" w:sz="4" w:space="0"/>
              <w:right w:val="single" w:color="auto" w:sz="4" w:space="0"/>
            </w:tcBorders>
            <w:vAlign w:val="center"/>
          </w:tcPr>
          <w:p w14:paraId="18BBB084">
            <w:pPr>
              <w:keepNext/>
              <w:keepLines/>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500≤Y＜20000</w:t>
            </w:r>
          </w:p>
        </w:tc>
        <w:tc>
          <w:tcPr>
            <w:tcW w:w="1956" w:type="dxa"/>
            <w:tcBorders>
              <w:top w:val="nil"/>
              <w:left w:val="nil"/>
              <w:bottom w:val="single" w:color="auto" w:sz="4" w:space="0"/>
              <w:right w:val="single" w:color="auto" w:sz="4" w:space="0"/>
            </w:tcBorders>
            <w:vAlign w:val="center"/>
          </w:tcPr>
          <w:p w14:paraId="3B09B493">
            <w:pPr>
              <w:keepNext/>
              <w:keepLines/>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50≤Y＜500</w:t>
            </w:r>
          </w:p>
        </w:tc>
        <w:tc>
          <w:tcPr>
            <w:tcW w:w="966" w:type="dxa"/>
            <w:tcBorders>
              <w:top w:val="nil"/>
              <w:left w:val="nil"/>
              <w:bottom w:val="single" w:color="auto" w:sz="4" w:space="0"/>
              <w:right w:val="single" w:color="auto" w:sz="4" w:space="0"/>
            </w:tcBorders>
            <w:vAlign w:val="center"/>
          </w:tcPr>
          <w:p w14:paraId="3326AC49">
            <w:pPr>
              <w:keepNext/>
              <w:keepLines/>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Y＜50</w:t>
            </w:r>
          </w:p>
        </w:tc>
      </w:tr>
      <w:tr w14:paraId="57BC4455">
        <w:tblPrEx>
          <w:tblCellMar>
            <w:top w:w="0" w:type="dxa"/>
            <w:left w:w="108" w:type="dxa"/>
            <w:bottom w:w="0" w:type="dxa"/>
            <w:right w:w="108" w:type="dxa"/>
          </w:tblCellMar>
        </w:tblPrEx>
        <w:trPr>
          <w:trHeight w:val="340" w:hRule="atLeast"/>
          <w:jc w:val="center"/>
        </w:trPr>
        <w:tc>
          <w:tcPr>
            <w:tcW w:w="2035" w:type="dxa"/>
            <w:vMerge w:val="restart"/>
            <w:tcBorders>
              <w:top w:val="nil"/>
              <w:left w:val="single" w:color="auto" w:sz="4" w:space="0"/>
              <w:bottom w:val="single" w:color="auto" w:sz="4" w:space="0"/>
              <w:right w:val="single" w:color="auto" w:sz="4" w:space="0"/>
            </w:tcBorders>
            <w:vAlign w:val="center"/>
          </w:tcPr>
          <w:p w14:paraId="65DFCF20">
            <w:pPr>
              <w:keepNext/>
              <w:keepLines/>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工业</w:t>
            </w:r>
          </w:p>
        </w:tc>
        <w:tc>
          <w:tcPr>
            <w:tcW w:w="1712" w:type="dxa"/>
            <w:tcBorders>
              <w:top w:val="nil"/>
              <w:left w:val="nil"/>
              <w:bottom w:val="single" w:color="auto" w:sz="4" w:space="0"/>
              <w:right w:val="single" w:color="auto" w:sz="4" w:space="0"/>
            </w:tcBorders>
            <w:vAlign w:val="center"/>
          </w:tcPr>
          <w:p w14:paraId="14962729">
            <w:pPr>
              <w:keepNext/>
              <w:keepLines/>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740" w:type="dxa"/>
            <w:tcBorders>
              <w:top w:val="nil"/>
              <w:left w:val="nil"/>
              <w:bottom w:val="single" w:color="auto" w:sz="4" w:space="0"/>
              <w:right w:val="single" w:color="auto" w:sz="4" w:space="0"/>
            </w:tcBorders>
            <w:vAlign w:val="center"/>
          </w:tcPr>
          <w:p w14:paraId="7CE5D3FA">
            <w:pPr>
              <w:keepNext/>
              <w:keepLines/>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人</w:t>
            </w:r>
          </w:p>
        </w:tc>
        <w:tc>
          <w:tcPr>
            <w:tcW w:w="2066" w:type="dxa"/>
            <w:tcBorders>
              <w:top w:val="nil"/>
              <w:left w:val="nil"/>
              <w:bottom w:val="single" w:color="auto" w:sz="4" w:space="0"/>
              <w:right w:val="single" w:color="auto" w:sz="4" w:space="0"/>
            </w:tcBorders>
            <w:vAlign w:val="center"/>
          </w:tcPr>
          <w:p w14:paraId="0EE37DBA">
            <w:pPr>
              <w:keepNext/>
              <w:keepLines/>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300≤X＜1000</w:t>
            </w:r>
          </w:p>
        </w:tc>
        <w:tc>
          <w:tcPr>
            <w:tcW w:w="1956" w:type="dxa"/>
            <w:tcBorders>
              <w:top w:val="nil"/>
              <w:left w:val="nil"/>
              <w:bottom w:val="single" w:color="auto" w:sz="4" w:space="0"/>
              <w:right w:val="single" w:color="auto" w:sz="4" w:space="0"/>
            </w:tcBorders>
            <w:vAlign w:val="center"/>
          </w:tcPr>
          <w:p w14:paraId="68FC170F">
            <w:pPr>
              <w:keepNext/>
              <w:keepLines/>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20≤X＜300</w:t>
            </w:r>
          </w:p>
        </w:tc>
        <w:tc>
          <w:tcPr>
            <w:tcW w:w="966" w:type="dxa"/>
            <w:tcBorders>
              <w:top w:val="nil"/>
              <w:left w:val="nil"/>
              <w:bottom w:val="single" w:color="auto" w:sz="4" w:space="0"/>
              <w:right w:val="single" w:color="auto" w:sz="4" w:space="0"/>
            </w:tcBorders>
            <w:vAlign w:val="center"/>
          </w:tcPr>
          <w:p w14:paraId="6B85E7FE">
            <w:pPr>
              <w:keepNext/>
              <w:keepLines/>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X＜20</w:t>
            </w:r>
          </w:p>
        </w:tc>
      </w:tr>
      <w:tr w14:paraId="798B854D">
        <w:tblPrEx>
          <w:tblCellMar>
            <w:top w:w="0" w:type="dxa"/>
            <w:left w:w="108" w:type="dxa"/>
            <w:bottom w:w="0" w:type="dxa"/>
            <w:right w:w="108" w:type="dxa"/>
          </w:tblCellMar>
        </w:tblPrEx>
        <w:trPr>
          <w:trHeight w:val="340" w:hRule="atLeast"/>
          <w:jc w:val="center"/>
        </w:trPr>
        <w:tc>
          <w:tcPr>
            <w:tcW w:w="2035" w:type="dxa"/>
            <w:vMerge w:val="continue"/>
            <w:tcBorders>
              <w:top w:val="nil"/>
              <w:left w:val="single" w:color="auto" w:sz="4" w:space="0"/>
              <w:bottom w:val="single" w:color="auto" w:sz="4" w:space="0"/>
              <w:right w:val="single" w:color="auto" w:sz="4" w:space="0"/>
            </w:tcBorders>
            <w:vAlign w:val="center"/>
          </w:tcPr>
          <w:p w14:paraId="30359C0D">
            <w:pPr>
              <w:keepNext/>
              <w:keepLines/>
              <w:widowControl/>
              <w:jc w:val="center"/>
              <w:rPr>
                <w:rFonts w:ascii="宋体" w:hAnsi="宋体" w:cs="宋体"/>
                <w:b/>
                <w:bCs/>
                <w:color w:val="auto"/>
                <w:kern w:val="0"/>
                <w:szCs w:val="21"/>
                <w:highlight w:val="none"/>
              </w:rPr>
            </w:pPr>
          </w:p>
        </w:tc>
        <w:tc>
          <w:tcPr>
            <w:tcW w:w="1712" w:type="dxa"/>
            <w:tcBorders>
              <w:top w:val="nil"/>
              <w:left w:val="nil"/>
              <w:bottom w:val="single" w:color="auto" w:sz="4" w:space="0"/>
              <w:right w:val="single" w:color="auto" w:sz="4" w:space="0"/>
            </w:tcBorders>
            <w:vAlign w:val="center"/>
          </w:tcPr>
          <w:p w14:paraId="16B56C91">
            <w:pPr>
              <w:keepNext/>
              <w:keepLines/>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740" w:type="dxa"/>
            <w:tcBorders>
              <w:top w:val="nil"/>
              <w:left w:val="nil"/>
              <w:bottom w:val="single" w:color="auto" w:sz="4" w:space="0"/>
              <w:right w:val="single" w:color="auto" w:sz="4" w:space="0"/>
            </w:tcBorders>
            <w:vAlign w:val="center"/>
          </w:tcPr>
          <w:p w14:paraId="01E526F1">
            <w:pPr>
              <w:keepNext/>
              <w:keepLines/>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2066" w:type="dxa"/>
            <w:tcBorders>
              <w:top w:val="nil"/>
              <w:left w:val="nil"/>
              <w:bottom w:val="single" w:color="auto" w:sz="4" w:space="0"/>
              <w:right w:val="single" w:color="auto" w:sz="4" w:space="0"/>
            </w:tcBorders>
            <w:vAlign w:val="center"/>
          </w:tcPr>
          <w:p w14:paraId="215E4ACF">
            <w:pPr>
              <w:keepNext/>
              <w:keepLines/>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2000≤Y＜40000</w:t>
            </w:r>
          </w:p>
        </w:tc>
        <w:tc>
          <w:tcPr>
            <w:tcW w:w="1956" w:type="dxa"/>
            <w:tcBorders>
              <w:top w:val="nil"/>
              <w:left w:val="nil"/>
              <w:bottom w:val="single" w:color="auto" w:sz="4" w:space="0"/>
              <w:right w:val="single" w:color="auto" w:sz="4" w:space="0"/>
            </w:tcBorders>
            <w:vAlign w:val="center"/>
          </w:tcPr>
          <w:p w14:paraId="13551FA7">
            <w:pPr>
              <w:keepNext/>
              <w:keepLines/>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300≤Y＜2000</w:t>
            </w:r>
          </w:p>
        </w:tc>
        <w:tc>
          <w:tcPr>
            <w:tcW w:w="966" w:type="dxa"/>
            <w:tcBorders>
              <w:top w:val="nil"/>
              <w:left w:val="nil"/>
              <w:bottom w:val="single" w:color="auto" w:sz="4" w:space="0"/>
              <w:right w:val="single" w:color="auto" w:sz="4" w:space="0"/>
            </w:tcBorders>
            <w:vAlign w:val="center"/>
          </w:tcPr>
          <w:p w14:paraId="0F2806CE">
            <w:pPr>
              <w:keepNext/>
              <w:keepLines/>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Y＜300</w:t>
            </w:r>
          </w:p>
        </w:tc>
      </w:tr>
      <w:tr w14:paraId="44787300">
        <w:tblPrEx>
          <w:tblCellMar>
            <w:top w:w="0" w:type="dxa"/>
            <w:left w:w="108" w:type="dxa"/>
            <w:bottom w:w="0" w:type="dxa"/>
            <w:right w:w="108" w:type="dxa"/>
          </w:tblCellMar>
        </w:tblPrEx>
        <w:trPr>
          <w:trHeight w:val="340" w:hRule="atLeast"/>
          <w:jc w:val="center"/>
        </w:trPr>
        <w:tc>
          <w:tcPr>
            <w:tcW w:w="2035" w:type="dxa"/>
            <w:vMerge w:val="restart"/>
            <w:tcBorders>
              <w:top w:val="nil"/>
              <w:left w:val="single" w:color="auto" w:sz="4" w:space="0"/>
              <w:bottom w:val="single" w:color="auto" w:sz="4" w:space="0"/>
              <w:right w:val="single" w:color="auto" w:sz="4" w:space="0"/>
            </w:tcBorders>
            <w:vAlign w:val="center"/>
          </w:tcPr>
          <w:p w14:paraId="5AD08F48">
            <w:pPr>
              <w:keepNext/>
              <w:keepLines/>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建筑业</w:t>
            </w:r>
          </w:p>
        </w:tc>
        <w:tc>
          <w:tcPr>
            <w:tcW w:w="1712" w:type="dxa"/>
            <w:tcBorders>
              <w:top w:val="nil"/>
              <w:left w:val="nil"/>
              <w:bottom w:val="single" w:color="auto" w:sz="4" w:space="0"/>
              <w:right w:val="single" w:color="auto" w:sz="4" w:space="0"/>
            </w:tcBorders>
            <w:vAlign w:val="center"/>
          </w:tcPr>
          <w:p w14:paraId="66732005">
            <w:pPr>
              <w:keepNext/>
              <w:keepLines/>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740" w:type="dxa"/>
            <w:tcBorders>
              <w:top w:val="nil"/>
              <w:left w:val="nil"/>
              <w:bottom w:val="single" w:color="auto" w:sz="4" w:space="0"/>
              <w:right w:val="single" w:color="auto" w:sz="4" w:space="0"/>
            </w:tcBorders>
            <w:vAlign w:val="center"/>
          </w:tcPr>
          <w:p w14:paraId="50407538">
            <w:pPr>
              <w:keepNext/>
              <w:keepLines/>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2066" w:type="dxa"/>
            <w:tcBorders>
              <w:top w:val="nil"/>
              <w:left w:val="nil"/>
              <w:bottom w:val="single" w:color="auto" w:sz="4" w:space="0"/>
              <w:right w:val="single" w:color="auto" w:sz="4" w:space="0"/>
            </w:tcBorders>
            <w:vAlign w:val="center"/>
          </w:tcPr>
          <w:p w14:paraId="4D566DF2">
            <w:pPr>
              <w:keepNext/>
              <w:keepLines/>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6000≤Y＜80000</w:t>
            </w:r>
          </w:p>
        </w:tc>
        <w:tc>
          <w:tcPr>
            <w:tcW w:w="1956" w:type="dxa"/>
            <w:tcBorders>
              <w:top w:val="nil"/>
              <w:left w:val="nil"/>
              <w:bottom w:val="single" w:color="auto" w:sz="4" w:space="0"/>
              <w:right w:val="single" w:color="auto" w:sz="4" w:space="0"/>
            </w:tcBorders>
            <w:vAlign w:val="center"/>
          </w:tcPr>
          <w:p w14:paraId="3FD51B5F">
            <w:pPr>
              <w:keepNext/>
              <w:keepLines/>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300≤Y＜6000</w:t>
            </w:r>
          </w:p>
        </w:tc>
        <w:tc>
          <w:tcPr>
            <w:tcW w:w="966" w:type="dxa"/>
            <w:tcBorders>
              <w:top w:val="nil"/>
              <w:left w:val="nil"/>
              <w:bottom w:val="single" w:color="auto" w:sz="4" w:space="0"/>
              <w:right w:val="single" w:color="auto" w:sz="4" w:space="0"/>
            </w:tcBorders>
            <w:vAlign w:val="center"/>
          </w:tcPr>
          <w:p w14:paraId="4B8156AE">
            <w:pPr>
              <w:keepNext/>
              <w:keepLines/>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Y＜300</w:t>
            </w:r>
          </w:p>
        </w:tc>
      </w:tr>
      <w:tr w14:paraId="37125DBE">
        <w:tblPrEx>
          <w:tblCellMar>
            <w:top w:w="0" w:type="dxa"/>
            <w:left w:w="108" w:type="dxa"/>
            <w:bottom w:w="0" w:type="dxa"/>
            <w:right w:w="108" w:type="dxa"/>
          </w:tblCellMar>
        </w:tblPrEx>
        <w:trPr>
          <w:trHeight w:val="340" w:hRule="atLeast"/>
          <w:jc w:val="center"/>
        </w:trPr>
        <w:tc>
          <w:tcPr>
            <w:tcW w:w="2035" w:type="dxa"/>
            <w:vMerge w:val="continue"/>
            <w:tcBorders>
              <w:top w:val="nil"/>
              <w:left w:val="single" w:color="auto" w:sz="4" w:space="0"/>
              <w:bottom w:val="single" w:color="auto" w:sz="4" w:space="0"/>
              <w:right w:val="single" w:color="auto" w:sz="4" w:space="0"/>
            </w:tcBorders>
            <w:vAlign w:val="center"/>
          </w:tcPr>
          <w:p w14:paraId="7E777B19">
            <w:pPr>
              <w:keepNext/>
              <w:keepLines/>
              <w:widowControl/>
              <w:jc w:val="center"/>
              <w:rPr>
                <w:rFonts w:ascii="宋体" w:hAnsi="宋体" w:cs="宋体"/>
                <w:b/>
                <w:bCs/>
                <w:color w:val="auto"/>
                <w:kern w:val="0"/>
                <w:szCs w:val="21"/>
                <w:highlight w:val="none"/>
              </w:rPr>
            </w:pPr>
          </w:p>
        </w:tc>
        <w:tc>
          <w:tcPr>
            <w:tcW w:w="1712" w:type="dxa"/>
            <w:tcBorders>
              <w:top w:val="nil"/>
              <w:left w:val="nil"/>
              <w:bottom w:val="single" w:color="auto" w:sz="4" w:space="0"/>
              <w:right w:val="single" w:color="auto" w:sz="4" w:space="0"/>
            </w:tcBorders>
            <w:vAlign w:val="center"/>
          </w:tcPr>
          <w:p w14:paraId="114356C7">
            <w:pPr>
              <w:keepNext/>
              <w:keepLines/>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资产总额（Z）</w:t>
            </w:r>
          </w:p>
        </w:tc>
        <w:tc>
          <w:tcPr>
            <w:tcW w:w="740" w:type="dxa"/>
            <w:tcBorders>
              <w:top w:val="nil"/>
              <w:left w:val="nil"/>
              <w:bottom w:val="single" w:color="auto" w:sz="4" w:space="0"/>
              <w:right w:val="single" w:color="auto" w:sz="4" w:space="0"/>
            </w:tcBorders>
            <w:vAlign w:val="center"/>
          </w:tcPr>
          <w:p w14:paraId="4507B9EF">
            <w:pPr>
              <w:keepNext/>
              <w:keepLines/>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2066" w:type="dxa"/>
            <w:tcBorders>
              <w:top w:val="nil"/>
              <w:left w:val="nil"/>
              <w:bottom w:val="single" w:color="auto" w:sz="4" w:space="0"/>
              <w:right w:val="single" w:color="auto" w:sz="4" w:space="0"/>
            </w:tcBorders>
            <w:vAlign w:val="center"/>
          </w:tcPr>
          <w:p w14:paraId="77FF3AB6">
            <w:pPr>
              <w:keepNext/>
              <w:keepLines/>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5000≤Z＜80000</w:t>
            </w:r>
          </w:p>
        </w:tc>
        <w:tc>
          <w:tcPr>
            <w:tcW w:w="1956" w:type="dxa"/>
            <w:tcBorders>
              <w:top w:val="nil"/>
              <w:left w:val="nil"/>
              <w:bottom w:val="single" w:color="auto" w:sz="4" w:space="0"/>
              <w:right w:val="single" w:color="auto" w:sz="4" w:space="0"/>
            </w:tcBorders>
            <w:vAlign w:val="center"/>
          </w:tcPr>
          <w:p w14:paraId="25287348">
            <w:pPr>
              <w:keepNext/>
              <w:keepLines/>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300≤Z＜5000</w:t>
            </w:r>
          </w:p>
        </w:tc>
        <w:tc>
          <w:tcPr>
            <w:tcW w:w="966" w:type="dxa"/>
            <w:tcBorders>
              <w:top w:val="nil"/>
              <w:left w:val="nil"/>
              <w:bottom w:val="single" w:color="auto" w:sz="4" w:space="0"/>
              <w:right w:val="single" w:color="auto" w:sz="4" w:space="0"/>
            </w:tcBorders>
            <w:vAlign w:val="center"/>
          </w:tcPr>
          <w:p w14:paraId="0621E832">
            <w:pPr>
              <w:keepNext/>
              <w:keepLines/>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Z＜300</w:t>
            </w:r>
          </w:p>
        </w:tc>
      </w:tr>
      <w:tr w14:paraId="4FA30203">
        <w:tblPrEx>
          <w:tblCellMar>
            <w:top w:w="0" w:type="dxa"/>
            <w:left w:w="108" w:type="dxa"/>
            <w:bottom w:w="0" w:type="dxa"/>
            <w:right w:w="108" w:type="dxa"/>
          </w:tblCellMar>
        </w:tblPrEx>
        <w:trPr>
          <w:trHeight w:val="340" w:hRule="atLeast"/>
          <w:jc w:val="center"/>
        </w:trPr>
        <w:tc>
          <w:tcPr>
            <w:tcW w:w="2035" w:type="dxa"/>
            <w:vMerge w:val="restart"/>
            <w:tcBorders>
              <w:top w:val="nil"/>
              <w:left w:val="single" w:color="auto" w:sz="4" w:space="0"/>
              <w:bottom w:val="single" w:color="auto" w:sz="4" w:space="0"/>
              <w:right w:val="single" w:color="auto" w:sz="4" w:space="0"/>
            </w:tcBorders>
            <w:vAlign w:val="center"/>
          </w:tcPr>
          <w:p w14:paraId="4410C47B">
            <w:pPr>
              <w:keepNext/>
              <w:keepLines/>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批发业</w:t>
            </w:r>
          </w:p>
        </w:tc>
        <w:tc>
          <w:tcPr>
            <w:tcW w:w="1712" w:type="dxa"/>
            <w:tcBorders>
              <w:top w:val="nil"/>
              <w:left w:val="nil"/>
              <w:bottom w:val="single" w:color="auto" w:sz="4" w:space="0"/>
              <w:right w:val="single" w:color="auto" w:sz="4" w:space="0"/>
            </w:tcBorders>
            <w:vAlign w:val="center"/>
          </w:tcPr>
          <w:p w14:paraId="794E0418">
            <w:pPr>
              <w:keepNext/>
              <w:keepLines/>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740" w:type="dxa"/>
            <w:tcBorders>
              <w:top w:val="nil"/>
              <w:left w:val="nil"/>
              <w:bottom w:val="single" w:color="auto" w:sz="4" w:space="0"/>
              <w:right w:val="single" w:color="auto" w:sz="4" w:space="0"/>
            </w:tcBorders>
            <w:vAlign w:val="center"/>
          </w:tcPr>
          <w:p w14:paraId="4230B565">
            <w:pPr>
              <w:keepNext/>
              <w:keepLines/>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人</w:t>
            </w:r>
          </w:p>
        </w:tc>
        <w:tc>
          <w:tcPr>
            <w:tcW w:w="2066" w:type="dxa"/>
            <w:tcBorders>
              <w:top w:val="nil"/>
              <w:left w:val="nil"/>
              <w:bottom w:val="single" w:color="auto" w:sz="4" w:space="0"/>
              <w:right w:val="single" w:color="auto" w:sz="4" w:space="0"/>
            </w:tcBorders>
            <w:vAlign w:val="center"/>
          </w:tcPr>
          <w:p w14:paraId="102660DA">
            <w:pPr>
              <w:keepNext/>
              <w:keepLines/>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20≤X＜200</w:t>
            </w:r>
          </w:p>
        </w:tc>
        <w:tc>
          <w:tcPr>
            <w:tcW w:w="1956" w:type="dxa"/>
            <w:tcBorders>
              <w:top w:val="nil"/>
              <w:left w:val="nil"/>
              <w:bottom w:val="single" w:color="auto" w:sz="4" w:space="0"/>
              <w:right w:val="single" w:color="auto" w:sz="4" w:space="0"/>
            </w:tcBorders>
            <w:vAlign w:val="center"/>
          </w:tcPr>
          <w:p w14:paraId="6CD99FDB">
            <w:pPr>
              <w:keepNext/>
              <w:keepLines/>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5≤X＜20</w:t>
            </w:r>
          </w:p>
        </w:tc>
        <w:tc>
          <w:tcPr>
            <w:tcW w:w="966" w:type="dxa"/>
            <w:tcBorders>
              <w:top w:val="nil"/>
              <w:left w:val="nil"/>
              <w:bottom w:val="single" w:color="auto" w:sz="4" w:space="0"/>
              <w:right w:val="single" w:color="auto" w:sz="4" w:space="0"/>
            </w:tcBorders>
            <w:vAlign w:val="center"/>
          </w:tcPr>
          <w:p w14:paraId="1F477499">
            <w:pPr>
              <w:keepNext/>
              <w:keepLines/>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X＜5</w:t>
            </w:r>
          </w:p>
        </w:tc>
      </w:tr>
      <w:tr w14:paraId="5F6BA266">
        <w:tblPrEx>
          <w:tblCellMar>
            <w:top w:w="0" w:type="dxa"/>
            <w:left w:w="108" w:type="dxa"/>
            <w:bottom w:w="0" w:type="dxa"/>
            <w:right w:w="108" w:type="dxa"/>
          </w:tblCellMar>
        </w:tblPrEx>
        <w:trPr>
          <w:trHeight w:val="340" w:hRule="atLeast"/>
          <w:jc w:val="center"/>
        </w:trPr>
        <w:tc>
          <w:tcPr>
            <w:tcW w:w="2035" w:type="dxa"/>
            <w:vMerge w:val="continue"/>
            <w:tcBorders>
              <w:top w:val="nil"/>
              <w:left w:val="single" w:color="auto" w:sz="4" w:space="0"/>
              <w:bottom w:val="single" w:color="auto" w:sz="4" w:space="0"/>
              <w:right w:val="single" w:color="auto" w:sz="4" w:space="0"/>
            </w:tcBorders>
            <w:vAlign w:val="center"/>
          </w:tcPr>
          <w:p w14:paraId="3664C1E0">
            <w:pPr>
              <w:keepNext/>
              <w:keepLines/>
              <w:widowControl/>
              <w:jc w:val="center"/>
              <w:rPr>
                <w:rFonts w:ascii="宋体" w:hAnsi="宋体" w:cs="宋体"/>
                <w:b/>
                <w:bCs/>
                <w:color w:val="auto"/>
                <w:kern w:val="0"/>
                <w:szCs w:val="21"/>
                <w:highlight w:val="none"/>
              </w:rPr>
            </w:pPr>
          </w:p>
        </w:tc>
        <w:tc>
          <w:tcPr>
            <w:tcW w:w="1712" w:type="dxa"/>
            <w:tcBorders>
              <w:top w:val="nil"/>
              <w:left w:val="nil"/>
              <w:bottom w:val="single" w:color="auto" w:sz="4" w:space="0"/>
              <w:right w:val="single" w:color="auto" w:sz="4" w:space="0"/>
            </w:tcBorders>
            <w:vAlign w:val="center"/>
          </w:tcPr>
          <w:p w14:paraId="7561C3F0">
            <w:pPr>
              <w:keepNext/>
              <w:keepLines/>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740" w:type="dxa"/>
            <w:tcBorders>
              <w:top w:val="nil"/>
              <w:left w:val="nil"/>
              <w:bottom w:val="single" w:color="auto" w:sz="4" w:space="0"/>
              <w:right w:val="single" w:color="auto" w:sz="4" w:space="0"/>
            </w:tcBorders>
            <w:vAlign w:val="center"/>
          </w:tcPr>
          <w:p w14:paraId="1128E8DF">
            <w:pPr>
              <w:keepNext/>
              <w:keepLines/>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2066" w:type="dxa"/>
            <w:tcBorders>
              <w:top w:val="nil"/>
              <w:left w:val="nil"/>
              <w:bottom w:val="single" w:color="auto" w:sz="4" w:space="0"/>
              <w:right w:val="single" w:color="auto" w:sz="4" w:space="0"/>
            </w:tcBorders>
            <w:vAlign w:val="center"/>
          </w:tcPr>
          <w:p w14:paraId="087FFC6B">
            <w:pPr>
              <w:keepNext/>
              <w:keepLines/>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5000≤Y＜40000</w:t>
            </w:r>
          </w:p>
        </w:tc>
        <w:tc>
          <w:tcPr>
            <w:tcW w:w="1956" w:type="dxa"/>
            <w:tcBorders>
              <w:top w:val="nil"/>
              <w:left w:val="nil"/>
              <w:bottom w:val="single" w:color="auto" w:sz="4" w:space="0"/>
              <w:right w:val="single" w:color="auto" w:sz="4" w:space="0"/>
            </w:tcBorders>
            <w:vAlign w:val="center"/>
          </w:tcPr>
          <w:p w14:paraId="79F58ACB">
            <w:pPr>
              <w:keepNext/>
              <w:keepLines/>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1000≤Y＜5000</w:t>
            </w:r>
          </w:p>
        </w:tc>
        <w:tc>
          <w:tcPr>
            <w:tcW w:w="966" w:type="dxa"/>
            <w:tcBorders>
              <w:top w:val="nil"/>
              <w:left w:val="nil"/>
              <w:bottom w:val="single" w:color="auto" w:sz="4" w:space="0"/>
              <w:right w:val="single" w:color="auto" w:sz="4" w:space="0"/>
            </w:tcBorders>
            <w:vAlign w:val="center"/>
          </w:tcPr>
          <w:p w14:paraId="7EA807EE">
            <w:pPr>
              <w:keepNext/>
              <w:keepLines/>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Y＜1000</w:t>
            </w:r>
          </w:p>
        </w:tc>
      </w:tr>
      <w:tr w14:paraId="07856AC4">
        <w:tblPrEx>
          <w:tblCellMar>
            <w:top w:w="0" w:type="dxa"/>
            <w:left w:w="108" w:type="dxa"/>
            <w:bottom w:w="0" w:type="dxa"/>
            <w:right w:w="108" w:type="dxa"/>
          </w:tblCellMar>
        </w:tblPrEx>
        <w:trPr>
          <w:trHeight w:val="340" w:hRule="atLeast"/>
          <w:jc w:val="center"/>
        </w:trPr>
        <w:tc>
          <w:tcPr>
            <w:tcW w:w="2035" w:type="dxa"/>
            <w:vMerge w:val="restart"/>
            <w:tcBorders>
              <w:top w:val="nil"/>
              <w:left w:val="single" w:color="auto" w:sz="4" w:space="0"/>
              <w:bottom w:val="single" w:color="auto" w:sz="4" w:space="0"/>
              <w:right w:val="single" w:color="auto" w:sz="4" w:space="0"/>
            </w:tcBorders>
            <w:vAlign w:val="center"/>
          </w:tcPr>
          <w:p w14:paraId="7F4E93C0">
            <w:pPr>
              <w:keepNext/>
              <w:keepLines/>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零售业</w:t>
            </w:r>
          </w:p>
        </w:tc>
        <w:tc>
          <w:tcPr>
            <w:tcW w:w="1712" w:type="dxa"/>
            <w:tcBorders>
              <w:top w:val="nil"/>
              <w:left w:val="nil"/>
              <w:bottom w:val="single" w:color="auto" w:sz="4" w:space="0"/>
              <w:right w:val="single" w:color="auto" w:sz="4" w:space="0"/>
            </w:tcBorders>
            <w:vAlign w:val="center"/>
          </w:tcPr>
          <w:p w14:paraId="0D503E94">
            <w:pPr>
              <w:keepNext/>
              <w:keepLines/>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740" w:type="dxa"/>
            <w:tcBorders>
              <w:top w:val="nil"/>
              <w:left w:val="nil"/>
              <w:bottom w:val="single" w:color="auto" w:sz="4" w:space="0"/>
              <w:right w:val="single" w:color="auto" w:sz="4" w:space="0"/>
            </w:tcBorders>
            <w:vAlign w:val="center"/>
          </w:tcPr>
          <w:p w14:paraId="0EB8A491">
            <w:pPr>
              <w:keepNext/>
              <w:keepLines/>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人</w:t>
            </w:r>
          </w:p>
        </w:tc>
        <w:tc>
          <w:tcPr>
            <w:tcW w:w="2066" w:type="dxa"/>
            <w:tcBorders>
              <w:top w:val="nil"/>
              <w:left w:val="nil"/>
              <w:bottom w:val="single" w:color="auto" w:sz="4" w:space="0"/>
              <w:right w:val="single" w:color="auto" w:sz="4" w:space="0"/>
            </w:tcBorders>
            <w:vAlign w:val="center"/>
          </w:tcPr>
          <w:p w14:paraId="551C2E6E">
            <w:pPr>
              <w:keepNext/>
              <w:keepLines/>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50≤X＜300</w:t>
            </w:r>
          </w:p>
        </w:tc>
        <w:tc>
          <w:tcPr>
            <w:tcW w:w="1956" w:type="dxa"/>
            <w:tcBorders>
              <w:top w:val="nil"/>
              <w:left w:val="nil"/>
              <w:bottom w:val="single" w:color="auto" w:sz="4" w:space="0"/>
              <w:right w:val="single" w:color="auto" w:sz="4" w:space="0"/>
            </w:tcBorders>
            <w:vAlign w:val="center"/>
          </w:tcPr>
          <w:p w14:paraId="0C61FC60">
            <w:pPr>
              <w:keepNext/>
              <w:keepLines/>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10≤X＜50</w:t>
            </w:r>
          </w:p>
        </w:tc>
        <w:tc>
          <w:tcPr>
            <w:tcW w:w="966" w:type="dxa"/>
            <w:tcBorders>
              <w:top w:val="nil"/>
              <w:left w:val="nil"/>
              <w:bottom w:val="single" w:color="auto" w:sz="4" w:space="0"/>
              <w:right w:val="single" w:color="auto" w:sz="4" w:space="0"/>
            </w:tcBorders>
            <w:vAlign w:val="center"/>
          </w:tcPr>
          <w:p w14:paraId="1433F178">
            <w:pPr>
              <w:keepNext/>
              <w:keepLines/>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X＜10</w:t>
            </w:r>
          </w:p>
        </w:tc>
      </w:tr>
      <w:tr w14:paraId="403CB445">
        <w:tblPrEx>
          <w:tblCellMar>
            <w:top w:w="0" w:type="dxa"/>
            <w:left w:w="108" w:type="dxa"/>
            <w:bottom w:w="0" w:type="dxa"/>
            <w:right w:w="108" w:type="dxa"/>
          </w:tblCellMar>
        </w:tblPrEx>
        <w:trPr>
          <w:trHeight w:val="340" w:hRule="atLeast"/>
          <w:jc w:val="center"/>
        </w:trPr>
        <w:tc>
          <w:tcPr>
            <w:tcW w:w="2035" w:type="dxa"/>
            <w:vMerge w:val="continue"/>
            <w:tcBorders>
              <w:top w:val="nil"/>
              <w:left w:val="single" w:color="auto" w:sz="4" w:space="0"/>
              <w:bottom w:val="single" w:color="auto" w:sz="4" w:space="0"/>
              <w:right w:val="single" w:color="auto" w:sz="4" w:space="0"/>
            </w:tcBorders>
            <w:vAlign w:val="center"/>
          </w:tcPr>
          <w:p w14:paraId="423CD709">
            <w:pPr>
              <w:keepNext/>
              <w:keepLines/>
              <w:widowControl/>
              <w:jc w:val="center"/>
              <w:rPr>
                <w:rFonts w:ascii="宋体" w:hAnsi="宋体" w:cs="宋体"/>
                <w:b/>
                <w:bCs/>
                <w:color w:val="auto"/>
                <w:kern w:val="0"/>
                <w:szCs w:val="21"/>
                <w:highlight w:val="none"/>
              </w:rPr>
            </w:pPr>
          </w:p>
        </w:tc>
        <w:tc>
          <w:tcPr>
            <w:tcW w:w="1712" w:type="dxa"/>
            <w:tcBorders>
              <w:top w:val="nil"/>
              <w:left w:val="nil"/>
              <w:bottom w:val="single" w:color="auto" w:sz="4" w:space="0"/>
              <w:right w:val="single" w:color="auto" w:sz="4" w:space="0"/>
            </w:tcBorders>
            <w:vAlign w:val="center"/>
          </w:tcPr>
          <w:p w14:paraId="10E21A02">
            <w:pPr>
              <w:keepNext/>
              <w:keepLines/>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740" w:type="dxa"/>
            <w:tcBorders>
              <w:top w:val="nil"/>
              <w:left w:val="nil"/>
              <w:bottom w:val="single" w:color="auto" w:sz="4" w:space="0"/>
              <w:right w:val="single" w:color="auto" w:sz="4" w:space="0"/>
            </w:tcBorders>
            <w:vAlign w:val="center"/>
          </w:tcPr>
          <w:p w14:paraId="27D3444D">
            <w:pPr>
              <w:keepNext/>
              <w:keepLines/>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2066" w:type="dxa"/>
            <w:tcBorders>
              <w:top w:val="nil"/>
              <w:left w:val="nil"/>
              <w:bottom w:val="single" w:color="auto" w:sz="4" w:space="0"/>
              <w:right w:val="single" w:color="auto" w:sz="4" w:space="0"/>
            </w:tcBorders>
            <w:vAlign w:val="center"/>
          </w:tcPr>
          <w:p w14:paraId="4676A881">
            <w:pPr>
              <w:keepNext/>
              <w:keepLines/>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500≤Y＜20000</w:t>
            </w:r>
          </w:p>
        </w:tc>
        <w:tc>
          <w:tcPr>
            <w:tcW w:w="1956" w:type="dxa"/>
            <w:tcBorders>
              <w:top w:val="nil"/>
              <w:left w:val="nil"/>
              <w:bottom w:val="single" w:color="auto" w:sz="4" w:space="0"/>
              <w:right w:val="single" w:color="auto" w:sz="4" w:space="0"/>
            </w:tcBorders>
            <w:vAlign w:val="center"/>
          </w:tcPr>
          <w:p w14:paraId="79C95E94">
            <w:pPr>
              <w:keepNext/>
              <w:keepLines/>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100≤Y＜500</w:t>
            </w:r>
          </w:p>
        </w:tc>
        <w:tc>
          <w:tcPr>
            <w:tcW w:w="966" w:type="dxa"/>
            <w:tcBorders>
              <w:top w:val="nil"/>
              <w:left w:val="nil"/>
              <w:bottom w:val="single" w:color="auto" w:sz="4" w:space="0"/>
              <w:right w:val="single" w:color="auto" w:sz="4" w:space="0"/>
            </w:tcBorders>
            <w:vAlign w:val="center"/>
          </w:tcPr>
          <w:p w14:paraId="05E24158">
            <w:pPr>
              <w:keepNext/>
              <w:keepLines/>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Y＜100</w:t>
            </w:r>
          </w:p>
        </w:tc>
      </w:tr>
      <w:tr w14:paraId="1D1D7A9A">
        <w:tblPrEx>
          <w:tblCellMar>
            <w:top w:w="0" w:type="dxa"/>
            <w:left w:w="108" w:type="dxa"/>
            <w:bottom w:w="0" w:type="dxa"/>
            <w:right w:w="108" w:type="dxa"/>
          </w:tblCellMar>
        </w:tblPrEx>
        <w:trPr>
          <w:trHeight w:val="340" w:hRule="atLeast"/>
          <w:jc w:val="center"/>
        </w:trPr>
        <w:tc>
          <w:tcPr>
            <w:tcW w:w="2035" w:type="dxa"/>
            <w:vMerge w:val="restart"/>
            <w:tcBorders>
              <w:top w:val="nil"/>
              <w:left w:val="single" w:color="auto" w:sz="4" w:space="0"/>
              <w:bottom w:val="single" w:color="auto" w:sz="4" w:space="0"/>
              <w:right w:val="single" w:color="auto" w:sz="4" w:space="0"/>
            </w:tcBorders>
            <w:vAlign w:val="center"/>
          </w:tcPr>
          <w:p w14:paraId="6B1B6D21">
            <w:pPr>
              <w:keepNext/>
              <w:keepLines/>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交通运输业</w:t>
            </w:r>
          </w:p>
        </w:tc>
        <w:tc>
          <w:tcPr>
            <w:tcW w:w="1712" w:type="dxa"/>
            <w:tcBorders>
              <w:top w:val="nil"/>
              <w:left w:val="nil"/>
              <w:bottom w:val="single" w:color="auto" w:sz="4" w:space="0"/>
              <w:right w:val="single" w:color="auto" w:sz="4" w:space="0"/>
            </w:tcBorders>
            <w:vAlign w:val="center"/>
          </w:tcPr>
          <w:p w14:paraId="1EDE6777">
            <w:pPr>
              <w:keepNext/>
              <w:keepLines/>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740" w:type="dxa"/>
            <w:tcBorders>
              <w:top w:val="nil"/>
              <w:left w:val="nil"/>
              <w:bottom w:val="single" w:color="auto" w:sz="4" w:space="0"/>
              <w:right w:val="single" w:color="auto" w:sz="4" w:space="0"/>
            </w:tcBorders>
            <w:vAlign w:val="center"/>
          </w:tcPr>
          <w:p w14:paraId="481D2339">
            <w:pPr>
              <w:keepNext/>
              <w:keepLines/>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人</w:t>
            </w:r>
          </w:p>
        </w:tc>
        <w:tc>
          <w:tcPr>
            <w:tcW w:w="2066" w:type="dxa"/>
            <w:tcBorders>
              <w:top w:val="nil"/>
              <w:left w:val="nil"/>
              <w:bottom w:val="single" w:color="auto" w:sz="4" w:space="0"/>
              <w:right w:val="single" w:color="auto" w:sz="4" w:space="0"/>
            </w:tcBorders>
            <w:vAlign w:val="center"/>
          </w:tcPr>
          <w:p w14:paraId="6DED96FF">
            <w:pPr>
              <w:keepNext/>
              <w:keepLines/>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300≤X＜1000</w:t>
            </w:r>
          </w:p>
        </w:tc>
        <w:tc>
          <w:tcPr>
            <w:tcW w:w="1956" w:type="dxa"/>
            <w:tcBorders>
              <w:top w:val="nil"/>
              <w:left w:val="nil"/>
              <w:bottom w:val="single" w:color="auto" w:sz="4" w:space="0"/>
              <w:right w:val="single" w:color="auto" w:sz="4" w:space="0"/>
            </w:tcBorders>
            <w:vAlign w:val="center"/>
          </w:tcPr>
          <w:p w14:paraId="709C9CA1">
            <w:pPr>
              <w:keepNext/>
              <w:keepLines/>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20≤X＜300</w:t>
            </w:r>
          </w:p>
        </w:tc>
        <w:tc>
          <w:tcPr>
            <w:tcW w:w="966" w:type="dxa"/>
            <w:tcBorders>
              <w:top w:val="nil"/>
              <w:left w:val="nil"/>
              <w:bottom w:val="single" w:color="auto" w:sz="4" w:space="0"/>
              <w:right w:val="single" w:color="auto" w:sz="4" w:space="0"/>
            </w:tcBorders>
            <w:vAlign w:val="center"/>
          </w:tcPr>
          <w:p w14:paraId="3B7F2D37">
            <w:pPr>
              <w:keepNext/>
              <w:keepLines/>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X＜20</w:t>
            </w:r>
          </w:p>
        </w:tc>
      </w:tr>
      <w:tr w14:paraId="40A37289">
        <w:tblPrEx>
          <w:tblCellMar>
            <w:top w:w="0" w:type="dxa"/>
            <w:left w:w="108" w:type="dxa"/>
            <w:bottom w:w="0" w:type="dxa"/>
            <w:right w:w="108" w:type="dxa"/>
          </w:tblCellMar>
        </w:tblPrEx>
        <w:trPr>
          <w:trHeight w:val="340" w:hRule="atLeast"/>
          <w:jc w:val="center"/>
        </w:trPr>
        <w:tc>
          <w:tcPr>
            <w:tcW w:w="2035" w:type="dxa"/>
            <w:vMerge w:val="continue"/>
            <w:tcBorders>
              <w:top w:val="nil"/>
              <w:left w:val="single" w:color="auto" w:sz="4" w:space="0"/>
              <w:bottom w:val="single" w:color="auto" w:sz="4" w:space="0"/>
              <w:right w:val="single" w:color="auto" w:sz="4" w:space="0"/>
            </w:tcBorders>
            <w:vAlign w:val="center"/>
          </w:tcPr>
          <w:p w14:paraId="2AB1B654">
            <w:pPr>
              <w:keepNext/>
              <w:keepLines/>
              <w:widowControl/>
              <w:jc w:val="center"/>
              <w:rPr>
                <w:rFonts w:ascii="宋体" w:hAnsi="宋体" w:cs="宋体"/>
                <w:b/>
                <w:bCs/>
                <w:color w:val="auto"/>
                <w:kern w:val="0"/>
                <w:szCs w:val="21"/>
                <w:highlight w:val="none"/>
              </w:rPr>
            </w:pPr>
          </w:p>
        </w:tc>
        <w:tc>
          <w:tcPr>
            <w:tcW w:w="1712" w:type="dxa"/>
            <w:tcBorders>
              <w:top w:val="nil"/>
              <w:left w:val="nil"/>
              <w:bottom w:val="single" w:color="auto" w:sz="4" w:space="0"/>
              <w:right w:val="single" w:color="auto" w:sz="4" w:space="0"/>
            </w:tcBorders>
            <w:vAlign w:val="center"/>
          </w:tcPr>
          <w:p w14:paraId="396525EE">
            <w:pPr>
              <w:keepNext/>
              <w:keepLines/>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740" w:type="dxa"/>
            <w:tcBorders>
              <w:top w:val="nil"/>
              <w:left w:val="nil"/>
              <w:bottom w:val="single" w:color="auto" w:sz="4" w:space="0"/>
              <w:right w:val="single" w:color="auto" w:sz="4" w:space="0"/>
            </w:tcBorders>
            <w:vAlign w:val="center"/>
          </w:tcPr>
          <w:p w14:paraId="77D67F9D">
            <w:pPr>
              <w:keepNext/>
              <w:keepLines/>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2066" w:type="dxa"/>
            <w:tcBorders>
              <w:top w:val="nil"/>
              <w:left w:val="nil"/>
              <w:bottom w:val="single" w:color="auto" w:sz="4" w:space="0"/>
              <w:right w:val="single" w:color="auto" w:sz="4" w:space="0"/>
            </w:tcBorders>
            <w:vAlign w:val="center"/>
          </w:tcPr>
          <w:p w14:paraId="71861F7E">
            <w:pPr>
              <w:keepNext/>
              <w:keepLines/>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3000≤Y＜30000</w:t>
            </w:r>
          </w:p>
        </w:tc>
        <w:tc>
          <w:tcPr>
            <w:tcW w:w="1956" w:type="dxa"/>
            <w:tcBorders>
              <w:top w:val="nil"/>
              <w:left w:val="nil"/>
              <w:bottom w:val="single" w:color="auto" w:sz="4" w:space="0"/>
              <w:right w:val="single" w:color="auto" w:sz="4" w:space="0"/>
            </w:tcBorders>
            <w:vAlign w:val="center"/>
          </w:tcPr>
          <w:p w14:paraId="57892247">
            <w:pPr>
              <w:keepNext/>
              <w:keepLines/>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200≤Y＜3000</w:t>
            </w:r>
          </w:p>
        </w:tc>
        <w:tc>
          <w:tcPr>
            <w:tcW w:w="966" w:type="dxa"/>
            <w:tcBorders>
              <w:top w:val="nil"/>
              <w:left w:val="nil"/>
              <w:bottom w:val="single" w:color="auto" w:sz="4" w:space="0"/>
              <w:right w:val="single" w:color="auto" w:sz="4" w:space="0"/>
            </w:tcBorders>
            <w:vAlign w:val="center"/>
          </w:tcPr>
          <w:p w14:paraId="6A8F066C">
            <w:pPr>
              <w:keepNext/>
              <w:keepLines/>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Y＜200</w:t>
            </w:r>
          </w:p>
        </w:tc>
      </w:tr>
      <w:tr w14:paraId="18D08393">
        <w:tblPrEx>
          <w:tblCellMar>
            <w:top w:w="0" w:type="dxa"/>
            <w:left w:w="108" w:type="dxa"/>
            <w:bottom w:w="0" w:type="dxa"/>
            <w:right w:w="108" w:type="dxa"/>
          </w:tblCellMar>
        </w:tblPrEx>
        <w:trPr>
          <w:trHeight w:val="340" w:hRule="atLeast"/>
          <w:jc w:val="center"/>
        </w:trPr>
        <w:tc>
          <w:tcPr>
            <w:tcW w:w="2035" w:type="dxa"/>
            <w:vMerge w:val="restart"/>
            <w:tcBorders>
              <w:top w:val="nil"/>
              <w:left w:val="single" w:color="auto" w:sz="4" w:space="0"/>
              <w:bottom w:val="single" w:color="auto" w:sz="4" w:space="0"/>
              <w:right w:val="single" w:color="auto" w:sz="4" w:space="0"/>
            </w:tcBorders>
            <w:vAlign w:val="center"/>
          </w:tcPr>
          <w:p w14:paraId="2D9238ED">
            <w:pPr>
              <w:keepNext/>
              <w:keepLines/>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仓储业</w:t>
            </w:r>
          </w:p>
        </w:tc>
        <w:tc>
          <w:tcPr>
            <w:tcW w:w="1712" w:type="dxa"/>
            <w:tcBorders>
              <w:top w:val="nil"/>
              <w:left w:val="nil"/>
              <w:bottom w:val="single" w:color="auto" w:sz="4" w:space="0"/>
              <w:right w:val="single" w:color="auto" w:sz="4" w:space="0"/>
            </w:tcBorders>
            <w:vAlign w:val="center"/>
          </w:tcPr>
          <w:p w14:paraId="2D824B29">
            <w:pPr>
              <w:keepNext/>
              <w:keepLines/>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740" w:type="dxa"/>
            <w:tcBorders>
              <w:top w:val="nil"/>
              <w:left w:val="nil"/>
              <w:bottom w:val="single" w:color="auto" w:sz="4" w:space="0"/>
              <w:right w:val="single" w:color="auto" w:sz="4" w:space="0"/>
            </w:tcBorders>
            <w:vAlign w:val="center"/>
          </w:tcPr>
          <w:p w14:paraId="2C7B20A4">
            <w:pPr>
              <w:keepNext/>
              <w:keepLines/>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人</w:t>
            </w:r>
          </w:p>
        </w:tc>
        <w:tc>
          <w:tcPr>
            <w:tcW w:w="2066" w:type="dxa"/>
            <w:tcBorders>
              <w:top w:val="nil"/>
              <w:left w:val="nil"/>
              <w:bottom w:val="single" w:color="auto" w:sz="4" w:space="0"/>
              <w:right w:val="single" w:color="auto" w:sz="4" w:space="0"/>
            </w:tcBorders>
            <w:vAlign w:val="center"/>
          </w:tcPr>
          <w:p w14:paraId="2DC42E67">
            <w:pPr>
              <w:keepNext/>
              <w:keepLines/>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100≤X＜200</w:t>
            </w:r>
          </w:p>
        </w:tc>
        <w:tc>
          <w:tcPr>
            <w:tcW w:w="1956" w:type="dxa"/>
            <w:tcBorders>
              <w:top w:val="nil"/>
              <w:left w:val="nil"/>
              <w:bottom w:val="single" w:color="auto" w:sz="4" w:space="0"/>
              <w:right w:val="single" w:color="auto" w:sz="4" w:space="0"/>
            </w:tcBorders>
            <w:vAlign w:val="center"/>
          </w:tcPr>
          <w:p w14:paraId="7F2786CE">
            <w:pPr>
              <w:keepNext/>
              <w:keepLines/>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20≤X＜100</w:t>
            </w:r>
          </w:p>
        </w:tc>
        <w:tc>
          <w:tcPr>
            <w:tcW w:w="966" w:type="dxa"/>
            <w:tcBorders>
              <w:top w:val="nil"/>
              <w:left w:val="nil"/>
              <w:bottom w:val="single" w:color="auto" w:sz="4" w:space="0"/>
              <w:right w:val="single" w:color="auto" w:sz="4" w:space="0"/>
            </w:tcBorders>
            <w:vAlign w:val="center"/>
          </w:tcPr>
          <w:p w14:paraId="504EF211">
            <w:pPr>
              <w:keepNext/>
              <w:keepLines/>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X＜20</w:t>
            </w:r>
          </w:p>
        </w:tc>
      </w:tr>
      <w:tr w14:paraId="5021E5DE">
        <w:tblPrEx>
          <w:tblCellMar>
            <w:top w:w="0" w:type="dxa"/>
            <w:left w:w="108" w:type="dxa"/>
            <w:bottom w:w="0" w:type="dxa"/>
            <w:right w:w="108" w:type="dxa"/>
          </w:tblCellMar>
        </w:tblPrEx>
        <w:trPr>
          <w:trHeight w:val="340" w:hRule="atLeast"/>
          <w:jc w:val="center"/>
        </w:trPr>
        <w:tc>
          <w:tcPr>
            <w:tcW w:w="2035" w:type="dxa"/>
            <w:vMerge w:val="continue"/>
            <w:tcBorders>
              <w:top w:val="nil"/>
              <w:left w:val="single" w:color="auto" w:sz="4" w:space="0"/>
              <w:bottom w:val="single" w:color="auto" w:sz="4" w:space="0"/>
              <w:right w:val="single" w:color="auto" w:sz="4" w:space="0"/>
            </w:tcBorders>
            <w:vAlign w:val="center"/>
          </w:tcPr>
          <w:p w14:paraId="0628F857">
            <w:pPr>
              <w:keepNext/>
              <w:keepLines/>
              <w:widowControl/>
              <w:jc w:val="center"/>
              <w:rPr>
                <w:rFonts w:ascii="宋体" w:hAnsi="宋体" w:cs="宋体"/>
                <w:b/>
                <w:bCs/>
                <w:color w:val="auto"/>
                <w:kern w:val="0"/>
                <w:szCs w:val="21"/>
                <w:highlight w:val="none"/>
              </w:rPr>
            </w:pPr>
          </w:p>
        </w:tc>
        <w:tc>
          <w:tcPr>
            <w:tcW w:w="1712" w:type="dxa"/>
            <w:tcBorders>
              <w:top w:val="nil"/>
              <w:left w:val="nil"/>
              <w:bottom w:val="single" w:color="auto" w:sz="4" w:space="0"/>
              <w:right w:val="single" w:color="auto" w:sz="4" w:space="0"/>
            </w:tcBorders>
            <w:vAlign w:val="center"/>
          </w:tcPr>
          <w:p w14:paraId="0958B85D">
            <w:pPr>
              <w:keepNext/>
              <w:keepLines/>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740" w:type="dxa"/>
            <w:tcBorders>
              <w:top w:val="nil"/>
              <w:left w:val="nil"/>
              <w:bottom w:val="single" w:color="auto" w:sz="4" w:space="0"/>
              <w:right w:val="single" w:color="auto" w:sz="4" w:space="0"/>
            </w:tcBorders>
            <w:vAlign w:val="center"/>
          </w:tcPr>
          <w:p w14:paraId="69F49AF2">
            <w:pPr>
              <w:keepNext/>
              <w:keepLines/>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2066" w:type="dxa"/>
            <w:tcBorders>
              <w:top w:val="nil"/>
              <w:left w:val="nil"/>
              <w:bottom w:val="single" w:color="auto" w:sz="4" w:space="0"/>
              <w:right w:val="single" w:color="auto" w:sz="4" w:space="0"/>
            </w:tcBorders>
            <w:vAlign w:val="center"/>
          </w:tcPr>
          <w:p w14:paraId="3E0D41FD">
            <w:pPr>
              <w:keepNext/>
              <w:keepLines/>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1000≤Y＜30000</w:t>
            </w:r>
          </w:p>
        </w:tc>
        <w:tc>
          <w:tcPr>
            <w:tcW w:w="1956" w:type="dxa"/>
            <w:tcBorders>
              <w:top w:val="nil"/>
              <w:left w:val="nil"/>
              <w:bottom w:val="single" w:color="auto" w:sz="4" w:space="0"/>
              <w:right w:val="single" w:color="auto" w:sz="4" w:space="0"/>
            </w:tcBorders>
            <w:vAlign w:val="center"/>
          </w:tcPr>
          <w:p w14:paraId="306F7ECE">
            <w:pPr>
              <w:keepNext/>
              <w:keepLines/>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100≤Y＜1000</w:t>
            </w:r>
          </w:p>
        </w:tc>
        <w:tc>
          <w:tcPr>
            <w:tcW w:w="966" w:type="dxa"/>
            <w:tcBorders>
              <w:top w:val="nil"/>
              <w:left w:val="nil"/>
              <w:bottom w:val="single" w:color="auto" w:sz="4" w:space="0"/>
              <w:right w:val="single" w:color="auto" w:sz="4" w:space="0"/>
            </w:tcBorders>
            <w:vAlign w:val="center"/>
          </w:tcPr>
          <w:p w14:paraId="37102082">
            <w:pPr>
              <w:keepNext/>
              <w:keepLines/>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Y＜100</w:t>
            </w:r>
          </w:p>
        </w:tc>
      </w:tr>
      <w:tr w14:paraId="0E4175B2">
        <w:tblPrEx>
          <w:tblCellMar>
            <w:top w:w="0" w:type="dxa"/>
            <w:left w:w="108" w:type="dxa"/>
            <w:bottom w:w="0" w:type="dxa"/>
            <w:right w:w="108" w:type="dxa"/>
          </w:tblCellMar>
        </w:tblPrEx>
        <w:trPr>
          <w:trHeight w:val="340" w:hRule="atLeast"/>
          <w:jc w:val="center"/>
        </w:trPr>
        <w:tc>
          <w:tcPr>
            <w:tcW w:w="2035" w:type="dxa"/>
            <w:vMerge w:val="restart"/>
            <w:tcBorders>
              <w:top w:val="nil"/>
              <w:left w:val="single" w:color="auto" w:sz="4" w:space="0"/>
              <w:bottom w:val="single" w:color="auto" w:sz="4" w:space="0"/>
              <w:right w:val="single" w:color="auto" w:sz="4" w:space="0"/>
            </w:tcBorders>
            <w:vAlign w:val="center"/>
          </w:tcPr>
          <w:p w14:paraId="751C2C0C">
            <w:pPr>
              <w:keepNext/>
              <w:keepLines/>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邮政业</w:t>
            </w:r>
          </w:p>
        </w:tc>
        <w:tc>
          <w:tcPr>
            <w:tcW w:w="1712" w:type="dxa"/>
            <w:tcBorders>
              <w:top w:val="nil"/>
              <w:left w:val="nil"/>
              <w:bottom w:val="single" w:color="auto" w:sz="4" w:space="0"/>
              <w:right w:val="single" w:color="auto" w:sz="4" w:space="0"/>
            </w:tcBorders>
            <w:vAlign w:val="center"/>
          </w:tcPr>
          <w:p w14:paraId="44B7BE4D">
            <w:pPr>
              <w:keepNext/>
              <w:keepLines/>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740" w:type="dxa"/>
            <w:tcBorders>
              <w:top w:val="nil"/>
              <w:left w:val="nil"/>
              <w:bottom w:val="single" w:color="auto" w:sz="4" w:space="0"/>
              <w:right w:val="single" w:color="auto" w:sz="4" w:space="0"/>
            </w:tcBorders>
            <w:vAlign w:val="center"/>
          </w:tcPr>
          <w:p w14:paraId="56A2CD89">
            <w:pPr>
              <w:keepNext/>
              <w:keepLines/>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人</w:t>
            </w:r>
          </w:p>
        </w:tc>
        <w:tc>
          <w:tcPr>
            <w:tcW w:w="2066" w:type="dxa"/>
            <w:tcBorders>
              <w:top w:val="nil"/>
              <w:left w:val="nil"/>
              <w:bottom w:val="single" w:color="auto" w:sz="4" w:space="0"/>
              <w:right w:val="single" w:color="auto" w:sz="4" w:space="0"/>
            </w:tcBorders>
            <w:vAlign w:val="center"/>
          </w:tcPr>
          <w:p w14:paraId="5A38D898">
            <w:pPr>
              <w:keepNext/>
              <w:keepLines/>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300≤X＜1000</w:t>
            </w:r>
          </w:p>
        </w:tc>
        <w:tc>
          <w:tcPr>
            <w:tcW w:w="1956" w:type="dxa"/>
            <w:tcBorders>
              <w:top w:val="nil"/>
              <w:left w:val="nil"/>
              <w:bottom w:val="single" w:color="auto" w:sz="4" w:space="0"/>
              <w:right w:val="single" w:color="auto" w:sz="4" w:space="0"/>
            </w:tcBorders>
            <w:vAlign w:val="center"/>
          </w:tcPr>
          <w:p w14:paraId="26CAEAFB">
            <w:pPr>
              <w:keepNext/>
              <w:keepLines/>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20≤X＜300</w:t>
            </w:r>
          </w:p>
        </w:tc>
        <w:tc>
          <w:tcPr>
            <w:tcW w:w="966" w:type="dxa"/>
            <w:tcBorders>
              <w:top w:val="nil"/>
              <w:left w:val="nil"/>
              <w:bottom w:val="single" w:color="auto" w:sz="4" w:space="0"/>
              <w:right w:val="single" w:color="auto" w:sz="4" w:space="0"/>
            </w:tcBorders>
            <w:vAlign w:val="center"/>
          </w:tcPr>
          <w:p w14:paraId="049297F4">
            <w:pPr>
              <w:keepNext/>
              <w:keepLines/>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X＜20</w:t>
            </w:r>
          </w:p>
        </w:tc>
      </w:tr>
      <w:tr w14:paraId="2850F22A">
        <w:tblPrEx>
          <w:tblCellMar>
            <w:top w:w="0" w:type="dxa"/>
            <w:left w:w="108" w:type="dxa"/>
            <w:bottom w:w="0" w:type="dxa"/>
            <w:right w:w="108" w:type="dxa"/>
          </w:tblCellMar>
        </w:tblPrEx>
        <w:trPr>
          <w:trHeight w:val="340" w:hRule="atLeast"/>
          <w:jc w:val="center"/>
        </w:trPr>
        <w:tc>
          <w:tcPr>
            <w:tcW w:w="2035" w:type="dxa"/>
            <w:vMerge w:val="continue"/>
            <w:tcBorders>
              <w:top w:val="nil"/>
              <w:left w:val="single" w:color="auto" w:sz="4" w:space="0"/>
              <w:bottom w:val="single" w:color="auto" w:sz="4" w:space="0"/>
              <w:right w:val="single" w:color="auto" w:sz="4" w:space="0"/>
            </w:tcBorders>
            <w:vAlign w:val="center"/>
          </w:tcPr>
          <w:p w14:paraId="7329B02E">
            <w:pPr>
              <w:keepNext/>
              <w:keepLines/>
              <w:widowControl/>
              <w:jc w:val="center"/>
              <w:rPr>
                <w:rFonts w:ascii="宋体" w:hAnsi="宋体" w:cs="宋体"/>
                <w:b/>
                <w:bCs/>
                <w:color w:val="auto"/>
                <w:kern w:val="0"/>
                <w:szCs w:val="21"/>
                <w:highlight w:val="none"/>
              </w:rPr>
            </w:pPr>
          </w:p>
        </w:tc>
        <w:tc>
          <w:tcPr>
            <w:tcW w:w="1712" w:type="dxa"/>
            <w:tcBorders>
              <w:top w:val="nil"/>
              <w:left w:val="nil"/>
              <w:bottom w:val="single" w:color="auto" w:sz="4" w:space="0"/>
              <w:right w:val="single" w:color="auto" w:sz="4" w:space="0"/>
            </w:tcBorders>
            <w:vAlign w:val="center"/>
          </w:tcPr>
          <w:p w14:paraId="4AAC6E63">
            <w:pPr>
              <w:keepNext/>
              <w:keepLines/>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740" w:type="dxa"/>
            <w:tcBorders>
              <w:top w:val="nil"/>
              <w:left w:val="nil"/>
              <w:bottom w:val="single" w:color="auto" w:sz="4" w:space="0"/>
              <w:right w:val="single" w:color="auto" w:sz="4" w:space="0"/>
            </w:tcBorders>
            <w:vAlign w:val="center"/>
          </w:tcPr>
          <w:p w14:paraId="77BFFE24">
            <w:pPr>
              <w:keepNext/>
              <w:keepLines/>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2066" w:type="dxa"/>
            <w:tcBorders>
              <w:top w:val="nil"/>
              <w:left w:val="nil"/>
              <w:bottom w:val="single" w:color="auto" w:sz="4" w:space="0"/>
              <w:right w:val="single" w:color="auto" w:sz="4" w:space="0"/>
            </w:tcBorders>
            <w:vAlign w:val="center"/>
          </w:tcPr>
          <w:p w14:paraId="30034C95">
            <w:pPr>
              <w:keepNext/>
              <w:keepLines/>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2000≤Y＜30000</w:t>
            </w:r>
          </w:p>
        </w:tc>
        <w:tc>
          <w:tcPr>
            <w:tcW w:w="1956" w:type="dxa"/>
            <w:tcBorders>
              <w:top w:val="nil"/>
              <w:left w:val="nil"/>
              <w:bottom w:val="single" w:color="auto" w:sz="4" w:space="0"/>
              <w:right w:val="single" w:color="auto" w:sz="4" w:space="0"/>
            </w:tcBorders>
            <w:vAlign w:val="center"/>
          </w:tcPr>
          <w:p w14:paraId="449B35F5">
            <w:pPr>
              <w:keepNext/>
              <w:keepLines/>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100≤Y＜2000</w:t>
            </w:r>
          </w:p>
        </w:tc>
        <w:tc>
          <w:tcPr>
            <w:tcW w:w="966" w:type="dxa"/>
            <w:tcBorders>
              <w:top w:val="nil"/>
              <w:left w:val="nil"/>
              <w:bottom w:val="single" w:color="auto" w:sz="4" w:space="0"/>
              <w:right w:val="single" w:color="auto" w:sz="4" w:space="0"/>
            </w:tcBorders>
            <w:vAlign w:val="center"/>
          </w:tcPr>
          <w:p w14:paraId="1113D7C9">
            <w:pPr>
              <w:keepNext/>
              <w:keepLines/>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Y＜100</w:t>
            </w:r>
          </w:p>
        </w:tc>
      </w:tr>
      <w:tr w14:paraId="1C4FC73D">
        <w:tblPrEx>
          <w:tblCellMar>
            <w:top w:w="0" w:type="dxa"/>
            <w:left w:w="108" w:type="dxa"/>
            <w:bottom w:w="0" w:type="dxa"/>
            <w:right w:w="108" w:type="dxa"/>
          </w:tblCellMar>
        </w:tblPrEx>
        <w:trPr>
          <w:trHeight w:val="340" w:hRule="atLeast"/>
          <w:jc w:val="center"/>
        </w:trPr>
        <w:tc>
          <w:tcPr>
            <w:tcW w:w="2035" w:type="dxa"/>
            <w:vMerge w:val="restart"/>
            <w:tcBorders>
              <w:top w:val="nil"/>
              <w:left w:val="single" w:color="auto" w:sz="4" w:space="0"/>
              <w:bottom w:val="single" w:color="auto" w:sz="4" w:space="0"/>
              <w:right w:val="single" w:color="auto" w:sz="4" w:space="0"/>
            </w:tcBorders>
            <w:vAlign w:val="center"/>
          </w:tcPr>
          <w:p w14:paraId="61A3D3D7">
            <w:pPr>
              <w:keepNext/>
              <w:keepLines/>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住宿业</w:t>
            </w:r>
          </w:p>
        </w:tc>
        <w:tc>
          <w:tcPr>
            <w:tcW w:w="1712" w:type="dxa"/>
            <w:tcBorders>
              <w:top w:val="nil"/>
              <w:left w:val="nil"/>
              <w:bottom w:val="single" w:color="auto" w:sz="4" w:space="0"/>
              <w:right w:val="single" w:color="auto" w:sz="4" w:space="0"/>
            </w:tcBorders>
            <w:vAlign w:val="center"/>
          </w:tcPr>
          <w:p w14:paraId="35074F06">
            <w:pPr>
              <w:keepNext/>
              <w:keepLines/>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740" w:type="dxa"/>
            <w:tcBorders>
              <w:top w:val="nil"/>
              <w:left w:val="nil"/>
              <w:bottom w:val="single" w:color="auto" w:sz="4" w:space="0"/>
              <w:right w:val="single" w:color="auto" w:sz="4" w:space="0"/>
            </w:tcBorders>
            <w:vAlign w:val="center"/>
          </w:tcPr>
          <w:p w14:paraId="5D9CAEB5">
            <w:pPr>
              <w:keepNext/>
              <w:keepLines/>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人</w:t>
            </w:r>
          </w:p>
        </w:tc>
        <w:tc>
          <w:tcPr>
            <w:tcW w:w="2066" w:type="dxa"/>
            <w:tcBorders>
              <w:top w:val="nil"/>
              <w:left w:val="nil"/>
              <w:bottom w:val="single" w:color="auto" w:sz="4" w:space="0"/>
              <w:right w:val="single" w:color="auto" w:sz="4" w:space="0"/>
            </w:tcBorders>
            <w:vAlign w:val="center"/>
          </w:tcPr>
          <w:p w14:paraId="21AF4783">
            <w:pPr>
              <w:keepNext/>
              <w:keepLines/>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100≤X＜300</w:t>
            </w:r>
          </w:p>
        </w:tc>
        <w:tc>
          <w:tcPr>
            <w:tcW w:w="1956" w:type="dxa"/>
            <w:tcBorders>
              <w:top w:val="nil"/>
              <w:left w:val="nil"/>
              <w:bottom w:val="single" w:color="auto" w:sz="4" w:space="0"/>
              <w:right w:val="single" w:color="auto" w:sz="4" w:space="0"/>
            </w:tcBorders>
            <w:vAlign w:val="center"/>
          </w:tcPr>
          <w:p w14:paraId="112D3532">
            <w:pPr>
              <w:keepNext/>
              <w:keepLines/>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10≤X＜100</w:t>
            </w:r>
          </w:p>
        </w:tc>
        <w:tc>
          <w:tcPr>
            <w:tcW w:w="966" w:type="dxa"/>
            <w:tcBorders>
              <w:top w:val="nil"/>
              <w:left w:val="nil"/>
              <w:bottom w:val="single" w:color="auto" w:sz="4" w:space="0"/>
              <w:right w:val="single" w:color="auto" w:sz="4" w:space="0"/>
            </w:tcBorders>
            <w:vAlign w:val="center"/>
          </w:tcPr>
          <w:p w14:paraId="397E7E89">
            <w:pPr>
              <w:keepNext/>
              <w:keepLines/>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X＜10</w:t>
            </w:r>
          </w:p>
        </w:tc>
      </w:tr>
      <w:tr w14:paraId="5CBC7246">
        <w:tblPrEx>
          <w:tblCellMar>
            <w:top w:w="0" w:type="dxa"/>
            <w:left w:w="108" w:type="dxa"/>
            <w:bottom w:w="0" w:type="dxa"/>
            <w:right w:w="108" w:type="dxa"/>
          </w:tblCellMar>
        </w:tblPrEx>
        <w:trPr>
          <w:trHeight w:val="340" w:hRule="atLeast"/>
          <w:jc w:val="center"/>
        </w:trPr>
        <w:tc>
          <w:tcPr>
            <w:tcW w:w="2035" w:type="dxa"/>
            <w:vMerge w:val="continue"/>
            <w:tcBorders>
              <w:top w:val="nil"/>
              <w:left w:val="single" w:color="auto" w:sz="4" w:space="0"/>
              <w:bottom w:val="single" w:color="auto" w:sz="4" w:space="0"/>
              <w:right w:val="single" w:color="auto" w:sz="4" w:space="0"/>
            </w:tcBorders>
            <w:vAlign w:val="center"/>
          </w:tcPr>
          <w:p w14:paraId="3FCE2736">
            <w:pPr>
              <w:keepNext/>
              <w:keepLines/>
              <w:widowControl/>
              <w:jc w:val="center"/>
              <w:rPr>
                <w:rFonts w:ascii="宋体" w:hAnsi="宋体" w:cs="宋体"/>
                <w:b/>
                <w:bCs/>
                <w:color w:val="auto"/>
                <w:kern w:val="0"/>
                <w:szCs w:val="21"/>
                <w:highlight w:val="none"/>
              </w:rPr>
            </w:pPr>
          </w:p>
        </w:tc>
        <w:tc>
          <w:tcPr>
            <w:tcW w:w="1712" w:type="dxa"/>
            <w:tcBorders>
              <w:top w:val="nil"/>
              <w:left w:val="nil"/>
              <w:bottom w:val="single" w:color="auto" w:sz="4" w:space="0"/>
              <w:right w:val="single" w:color="auto" w:sz="4" w:space="0"/>
            </w:tcBorders>
            <w:vAlign w:val="center"/>
          </w:tcPr>
          <w:p w14:paraId="0DB4F274">
            <w:pPr>
              <w:keepNext/>
              <w:keepLines/>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740" w:type="dxa"/>
            <w:tcBorders>
              <w:top w:val="nil"/>
              <w:left w:val="nil"/>
              <w:bottom w:val="single" w:color="auto" w:sz="4" w:space="0"/>
              <w:right w:val="single" w:color="auto" w:sz="4" w:space="0"/>
            </w:tcBorders>
            <w:vAlign w:val="center"/>
          </w:tcPr>
          <w:p w14:paraId="02A9630D">
            <w:pPr>
              <w:keepNext/>
              <w:keepLines/>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2066" w:type="dxa"/>
            <w:tcBorders>
              <w:top w:val="nil"/>
              <w:left w:val="nil"/>
              <w:bottom w:val="single" w:color="auto" w:sz="4" w:space="0"/>
              <w:right w:val="single" w:color="auto" w:sz="4" w:space="0"/>
            </w:tcBorders>
            <w:vAlign w:val="center"/>
          </w:tcPr>
          <w:p w14:paraId="0E09B996">
            <w:pPr>
              <w:keepNext/>
              <w:keepLines/>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2000≤Y＜10000</w:t>
            </w:r>
          </w:p>
        </w:tc>
        <w:tc>
          <w:tcPr>
            <w:tcW w:w="1956" w:type="dxa"/>
            <w:tcBorders>
              <w:top w:val="nil"/>
              <w:left w:val="nil"/>
              <w:bottom w:val="single" w:color="auto" w:sz="4" w:space="0"/>
              <w:right w:val="single" w:color="auto" w:sz="4" w:space="0"/>
            </w:tcBorders>
            <w:vAlign w:val="center"/>
          </w:tcPr>
          <w:p w14:paraId="10E6347B">
            <w:pPr>
              <w:keepNext/>
              <w:keepLines/>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100≤Y＜2000</w:t>
            </w:r>
          </w:p>
        </w:tc>
        <w:tc>
          <w:tcPr>
            <w:tcW w:w="966" w:type="dxa"/>
            <w:tcBorders>
              <w:top w:val="nil"/>
              <w:left w:val="nil"/>
              <w:bottom w:val="single" w:color="auto" w:sz="4" w:space="0"/>
              <w:right w:val="single" w:color="auto" w:sz="4" w:space="0"/>
            </w:tcBorders>
            <w:vAlign w:val="center"/>
          </w:tcPr>
          <w:p w14:paraId="36288D5D">
            <w:pPr>
              <w:keepNext/>
              <w:keepLines/>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Y＜100</w:t>
            </w:r>
          </w:p>
        </w:tc>
      </w:tr>
      <w:tr w14:paraId="2DB1FE7A">
        <w:tblPrEx>
          <w:tblCellMar>
            <w:top w:w="0" w:type="dxa"/>
            <w:left w:w="108" w:type="dxa"/>
            <w:bottom w:w="0" w:type="dxa"/>
            <w:right w:w="108" w:type="dxa"/>
          </w:tblCellMar>
        </w:tblPrEx>
        <w:trPr>
          <w:trHeight w:val="340" w:hRule="atLeast"/>
          <w:jc w:val="center"/>
        </w:trPr>
        <w:tc>
          <w:tcPr>
            <w:tcW w:w="2035" w:type="dxa"/>
            <w:vMerge w:val="restart"/>
            <w:tcBorders>
              <w:top w:val="nil"/>
              <w:left w:val="single" w:color="auto" w:sz="4" w:space="0"/>
              <w:bottom w:val="single" w:color="auto" w:sz="4" w:space="0"/>
              <w:right w:val="single" w:color="auto" w:sz="4" w:space="0"/>
            </w:tcBorders>
            <w:vAlign w:val="center"/>
          </w:tcPr>
          <w:p w14:paraId="528A1ABE">
            <w:pPr>
              <w:keepNext/>
              <w:keepLines/>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餐饮业</w:t>
            </w:r>
          </w:p>
        </w:tc>
        <w:tc>
          <w:tcPr>
            <w:tcW w:w="1712" w:type="dxa"/>
            <w:tcBorders>
              <w:top w:val="nil"/>
              <w:left w:val="nil"/>
              <w:bottom w:val="single" w:color="auto" w:sz="4" w:space="0"/>
              <w:right w:val="single" w:color="auto" w:sz="4" w:space="0"/>
            </w:tcBorders>
            <w:vAlign w:val="center"/>
          </w:tcPr>
          <w:p w14:paraId="101D4F6D">
            <w:pPr>
              <w:keepNext/>
              <w:keepLines/>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740" w:type="dxa"/>
            <w:tcBorders>
              <w:top w:val="nil"/>
              <w:left w:val="nil"/>
              <w:bottom w:val="single" w:color="auto" w:sz="4" w:space="0"/>
              <w:right w:val="single" w:color="auto" w:sz="4" w:space="0"/>
            </w:tcBorders>
            <w:vAlign w:val="center"/>
          </w:tcPr>
          <w:p w14:paraId="2A6F718D">
            <w:pPr>
              <w:keepNext/>
              <w:keepLines/>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人</w:t>
            </w:r>
          </w:p>
        </w:tc>
        <w:tc>
          <w:tcPr>
            <w:tcW w:w="2066" w:type="dxa"/>
            <w:tcBorders>
              <w:top w:val="nil"/>
              <w:left w:val="nil"/>
              <w:bottom w:val="single" w:color="auto" w:sz="4" w:space="0"/>
              <w:right w:val="single" w:color="auto" w:sz="4" w:space="0"/>
            </w:tcBorders>
            <w:vAlign w:val="center"/>
          </w:tcPr>
          <w:p w14:paraId="6AADB55E">
            <w:pPr>
              <w:keepNext/>
              <w:keepLines/>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100≤X＜300</w:t>
            </w:r>
          </w:p>
        </w:tc>
        <w:tc>
          <w:tcPr>
            <w:tcW w:w="1956" w:type="dxa"/>
            <w:tcBorders>
              <w:top w:val="nil"/>
              <w:left w:val="nil"/>
              <w:bottom w:val="single" w:color="auto" w:sz="4" w:space="0"/>
              <w:right w:val="single" w:color="auto" w:sz="4" w:space="0"/>
            </w:tcBorders>
            <w:vAlign w:val="center"/>
          </w:tcPr>
          <w:p w14:paraId="27F4C360">
            <w:pPr>
              <w:keepNext/>
              <w:keepLines/>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10≤X＜100</w:t>
            </w:r>
          </w:p>
        </w:tc>
        <w:tc>
          <w:tcPr>
            <w:tcW w:w="966" w:type="dxa"/>
            <w:tcBorders>
              <w:top w:val="nil"/>
              <w:left w:val="nil"/>
              <w:bottom w:val="single" w:color="auto" w:sz="4" w:space="0"/>
              <w:right w:val="single" w:color="auto" w:sz="4" w:space="0"/>
            </w:tcBorders>
            <w:vAlign w:val="center"/>
          </w:tcPr>
          <w:p w14:paraId="74F660D1">
            <w:pPr>
              <w:keepNext/>
              <w:keepLines/>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X＜10</w:t>
            </w:r>
          </w:p>
        </w:tc>
      </w:tr>
      <w:tr w14:paraId="2ECDE1D2">
        <w:tblPrEx>
          <w:tblCellMar>
            <w:top w:w="0" w:type="dxa"/>
            <w:left w:w="108" w:type="dxa"/>
            <w:bottom w:w="0" w:type="dxa"/>
            <w:right w:w="108" w:type="dxa"/>
          </w:tblCellMar>
        </w:tblPrEx>
        <w:trPr>
          <w:trHeight w:val="340" w:hRule="atLeast"/>
          <w:jc w:val="center"/>
        </w:trPr>
        <w:tc>
          <w:tcPr>
            <w:tcW w:w="2035" w:type="dxa"/>
            <w:vMerge w:val="continue"/>
            <w:tcBorders>
              <w:top w:val="nil"/>
              <w:left w:val="single" w:color="auto" w:sz="4" w:space="0"/>
              <w:bottom w:val="single" w:color="auto" w:sz="4" w:space="0"/>
              <w:right w:val="single" w:color="auto" w:sz="4" w:space="0"/>
            </w:tcBorders>
            <w:vAlign w:val="center"/>
          </w:tcPr>
          <w:p w14:paraId="1798E6E2">
            <w:pPr>
              <w:keepNext/>
              <w:keepLines/>
              <w:widowControl/>
              <w:jc w:val="center"/>
              <w:rPr>
                <w:rFonts w:ascii="宋体" w:hAnsi="宋体" w:cs="宋体"/>
                <w:b/>
                <w:bCs/>
                <w:color w:val="auto"/>
                <w:kern w:val="0"/>
                <w:szCs w:val="21"/>
                <w:highlight w:val="none"/>
              </w:rPr>
            </w:pPr>
          </w:p>
        </w:tc>
        <w:tc>
          <w:tcPr>
            <w:tcW w:w="1712" w:type="dxa"/>
            <w:tcBorders>
              <w:top w:val="nil"/>
              <w:left w:val="nil"/>
              <w:bottom w:val="single" w:color="auto" w:sz="4" w:space="0"/>
              <w:right w:val="single" w:color="auto" w:sz="4" w:space="0"/>
            </w:tcBorders>
            <w:vAlign w:val="center"/>
          </w:tcPr>
          <w:p w14:paraId="07DC2CA1">
            <w:pPr>
              <w:keepNext/>
              <w:keepLines/>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740" w:type="dxa"/>
            <w:tcBorders>
              <w:top w:val="nil"/>
              <w:left w:val="nil"/>
              <w:bottom w:val="single" w:color="auto" w:sz="4" w:space="0"/>
              <w:right w:val="single" w:color="auto" w:sz="4" w:space="0"/>
            </w:tcBorders>
            <w:vAlign w:val="center"/>
          </w:tcPr>
          <w:p w14:paraId="16F80137">
            <w:pPr>
              <w:keepNext/>
              <w:keepLines/>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2066" w:type="dxa"/>
            <w:tcBorders>
              <w:top w:val="nil"/>
              <w:left w:val="nil"/>
              <w:bottom w:val="single" w:color="auto" w:sz="4" w:space="0"/>
              <w:right w:val="single" w:color="auto" w:sz="4" w:space="0"/>
            </w:tcBorders>
            <w:vAlign w:val="center"/>
          </w:tcPr>
          <w:p w14:paraId="36555652">
            <w:pPr>
              <w:keepNext/>
              <w:keepLines/>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2000≤Y＜10000</w:t>
            </w:r>
          </w:p>
        </w:tc>
        <w:tc>
          <w:tcPr>
            <w:tcW w:w="1956" w:type="dxa"/>
            <w:tcBorders>
              <w:top w:val="nil"/>
              <w:left w:val="nil"/>
              <w:bottom w:val="single" w:color="auto" w:sz="4" w:space="0"/>
              <w:right w:val="single" w:color="auto" w:sz="4" w:space="0"/>
            </w:tcBorders>
            <w:vAlign w:val="center"/>
          </w:tcPr>
          <w:p w14:paraId="63E7527E">
            <w:pPr>
              <w:keepNext/>
              <w:keepLines/>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100≤Y＜2000</w:t>
            </w:r>
          </w:p>
        </w:tc>
        <w:tc>
          <w:tcPr>
            <w:tcW w:w="966" w:type="dxa"/>
            <w:tcBorders>
              <w:top w:val="nil"/>
              <w:left w:val="nil"/>
              <w:bottom w:val="single" w:color="auto" w:sz="4" w:space="0"/>
              <w:right w:val="single" w:color="auto" w:sz="4" w:space="0"/>
            </w:tcBorders>
            <w:vAlign w:val="center"/>
          </w:tcPr>
          <w:p w14:paraId="62CE6CA6">
            <w:pPr>
              <w:keepNext/>
              <w:keepLines/>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Y＜100</w:t>
            </w:r>
          </w:p>
        </w:tc>
      </w:tr>
      <w:tr w14:paraId="362558F8">
        <w:tblPrEx>
          <w:tblCellMar>
            <w:top w:w="0" w:type="dxa"/>
            <w:left w:w="108" w:type="dxa"/>
            <w:bottom w:w="0" w:type="dxa"/>
            <w:right w:w="108" w:type="dxa"/>
          </w:tblCellMar>
        </w:tblPrEx>
        <w:trPr>
          <w:trHeight w:val="340" w:hRule="atLeast"/>
          <w:jc w:val="center"/>
        </w:trPr>
        <w:tc>
          <w:tcPr>
            <w:tcW w:w="2035" w:type="dxa"/>
            <w:vMerge w:val="restart"/>
            <w:tcBorders>
              <w:top w:val="nil"/>
              <w:left w:val="single" w:color="auto" w:sz="4" w:space="0"/>
              <w:bottom w:val="single" w:color="auto" w:sz="4" w:space="0"/>
              <w:right w:val="single" w:color="auto" w:sz="4" w:space="0"/>
            </w:tcBorders>
            <w:vAlign w:val="center"/>
          </w:tcPr>
          <w:p w14:paraId="578B3E64">
            <w:pPr>
              <w:keepNext/>
              <w:keepLines/>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信息传输业</w:t>
            </w:r>
          </w:p>
        </w:tc>
        <w:tc>
          <w:tcPr>
            <w:tcW w:w="1712" w:type="dxa"/>
            <w:tcBorders>
              <w:top w:val="nil"/>
              <w:left w:val="nil"/>
              <w:bottom w:val="single" w:color="auto" w:sz="4" w:space="0"/>
              <w:right w:val="single" w:color="auto" w:sz="4" w:space="0"/>
            </w:tcBorders>
            <w:vAlign w:val="center"/>
          </w:tcPr>
          <w:p w14:paraId="5F0B45C8">
            <w:pPr>
              <w:keepNext/>
              <w:keepLines/>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740" w:type="dxa"/>
            <w:tcBorders>
              <w:top w:val="nil"/>
              <w:left w:val="nil"/>
              <w:bottom w:val="single" w:color="auto" w:sz="4" w:space="0"/>
              <w:right w:val="single" w:color="auto" w:sz="4" w:space="0"/>
            </w:tcBorders>
            <w:vAlign w:val="center"/>
          </w:tcPr>
          <w:p w14:paraId="5E433B63">
            <w:pPr>
              <w:keepNext/>
              <w:keepLines/>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人</w:t>
            </w:r>
          </w:p>
        </w:tc>
        <w:tc>
          <w:tcPr>
            <w:tcW w:w="2066" w:type="dxa"/>
            <w:tcBorders>
              <w:top w:val="nil"/>
              <w:left w:val="nil"/>
              <w:bottom w:val="single" w:color="auto" w:sz="4" w:space="0"/>
              <w:right w:val="single" w:color="auto" w:sz="4" w:space="0"/>
            </w:tcBorders>
            <w:vAlign w:val="center"/>
          </w:tcPr>
          <w:p w14:paraId="67129DF5">
            <w:pPr>
              <w:keepNext/>
              <w:keepLines/>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100≤X＜2000</w:t>
            </w:r>
          </w:p>
        </w:tc>
        <w:tc>
          <w:tcPr>
            <w:tcW w:w="1956" w:type="dxa"/>
            <w:tcBorders>
              <w:top w:val="nil"/>
              <w:left w:val="nil"/>
              <w:bottom w:val="single" w:color="auto" w:sz="4" w:space="0"/>
              <w:right w:val="single" w:color="auto" w:sz="4" w:space="0"/>
            </w:tcBorders>
            <w:vAlign w:val="center"/>
          </w:tcPr>
          <w:p w14:paraId="4CD130C7">
            <w:pPr>
              <w:keepNext/>
              <w:keepLines/>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10≤X＜100</w:t>
            </w:r>
          </w:p>
        </w:tc>
        <w:tc>
          <w:tcPr>
            <w:tcW w:w="966" w:type="dxa"/>
            <w:tcBorders>
              <w:top w:val="nil"/>
              <w:left w:val="nil"/>
              <w:bottom w:val="single" w:color="auto" w:sz="4" w:space="0"/>
              <w:right w:val="single" w:color="auto" w:sz="4" w:space="0"/>
            </w:tcBorders>
            <w:vAlign w:val="center"/>
          </w:tcPr>
          <w:p w14:paraId="27FF1ABA">
            <w:pPr>
              <w:keepNext/>
              <w:keepLines/>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X＜10</w:t>
            </w:r>
          </w:p>
        </w:tc>
      </w:tr>
      <w:tr w14:paraId="0D0CCD06">
        <w:tblPrEx>
          <w:tblCellMar>
            <w:top w:w="0" w:type="dxa"/>
            <w:left w:w="108" w:type="dxa"/>
            <w:bottom w:w="0" w:type="dxa"/>
            <w:right w:w="108" w:type="dxa"/>
          </w:tblCellMar>
        </w:tblPrEx>
        <w:trPr>
          <w:trHeight w:val="340" w:hRule="atLeast"/>
          <w:jc w:val="center"/>
        </w:trPr>
        <w:tc>
          <w:tcPr>
            <w:tcW w:w="2035" w:type="dxa"/>
            <w:vMerge w:val="continue"/>
            <w:tcBorders>
              <w:top w:val="nil"/>
              <w:left w:val="single" w:color="auto" w:sz="4" w:space="0"/>
              <w:bottom w:val="single" w:color="auto" w:sz="4" w:space="0"/>
              <w:right w:val="single" w:color="auto" w:sz="4" w:space="0"/>
            </w:tcBorders>
            <w:vAlign w:val="center"/>
          </w:tcPr>
          <w:p w14:paraId="00A9D824">
            <w:pPr>
              <w:keepNext/>
              <w:keepLines/>
              <w:widowControl/>
              <w:jc w:val="center"/>
              <w:rPr>
                <w:rFonts w:ascii="宋体" w:hAnsi="宋体" w:cs="宋体"/>
                <w:b/>
                <w:bCs/>
                <w:color w:val="auto"/>
                <w:kern w:val="0"/>
                <w:szCs w:val="21"/>
                <w:highlight w:val="none"/>
              </w:rPr>
            </w:pPr>
          </w:p>
        </w:tc>
        <w:tc>
          <w:tcPr>
            <w:tcW w:w="1712" w:type="dxa"/>
            <w:tcBorders>
              <w:top w:val="nil"/>
              <w:left w:val="nil"/>
              <w:bottom w:val="single" w:color="auto" w:sz="4" w:space="0"/>
              <w:right w:val="single" w:color="auto" w:sz="4" w:space="0"/>
            </w:tcBorders>
            <w:vAlign w:val="center"/>
          </w:tcPr>
          <w:p w14:paraId="1D695CF6">
            <w:pPr>
              <w:keepNext/>
              <w:keepLines/>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740" w:type="dxa"/>
            <w:tcBorders>
              <w:top w:val="nil"/>
              <w:left w:val="nil"/>
              <w:bottom w:val="single" w:color="auto" w:sz="4" w:space="0"/>
              <w:right w:val="single" w:color="auto" w:sz="4" w:space="0"/>
            </w:tcBorders>
            <w:vAlign w:val="center"/>
          </w:tcPr>
          <w:p w14:paraId="6463F07A">
            <w:pPr>
              <w:keepNext/>
              <w:keepLines/>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2066" w:type="dxa"/>
            <w:tcBorders>
              <w:top w:val="nil"/>
              <w:left w:val="nil"/>
              <w:bottom w:val="single" w:color="auto" w:sz="4" w:space="0"/>
              <w:right w:val="single" w:color="auto" w:sz="4" w:space="0"/>
            </w:tcBorders>
            <w:vAlign w:val="center"/>
          </w:tcPr>
          <w:p w14:paraId="34B354DA">
            <w:pPr>
              <w:keepNext/>
              <w:keepLines/>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1000≤Y＜100000</w:t>
            </w:r>
          </w:p>
        </w:tc>
        <w:tc>
          <w:tcPr>
            <w:tcW w:w="1956" w:type="dxa"/>
            <w:tcBorders>
              <w:top w:val="nil"/>
              <w:left w:val="nil"/>
              <w:bottom w:val="single" w:color="auto" w:sz="4" w:space="0"/>
              <w:right w:val="single" w:color="auto" w:sz="4" w:space="0"/>
            </w:tcBorders>
            <w:vAlign w:val="center"/>
          </w:tcPr>
          <w:p w14:paraId="73E65538">
            <w:pPr>
              <w:keepNext/>
              <w:keepLines/>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100≤Y＜1000</w:t>
            </w:r>
          </w:p>
        </w:tc>
        <w:tc>
          <w:tcPr>
            <w:tcW w:w="966" w:type="dxa"/>
            <w:tcBorders>
              <w:top w:val="nil"/>
              <w:left w:val="nil"/>
              <w:bottom w:val="single" w:color="auto" w:sz="4" w:space="0"/>
              <w:right w:val="single" w:color="auto" w:sz="4" w:space="0"/>
            </w:tcBorders>
            <w:vAlign w:val="center"/>
          </w:tcPr>
          <w:p w14:paraId="7BCB104C">
            <w:pPr>
              <w:keepNext/>
              <w:keepLines/>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Y＜100</w:t>
            </w:r>
          </w:p>
        </w:tc>
      </w:tr>
      <w:tr w14:paraId="2D294803">
        <w:tblPrEx>
          <w:tblCellMar>
            <w:top w:w="0" w:type="dxa"/>
            <w:left w:w="108" w:type="dxa"/>
            <w:bottom w:w="0" w:type="dxa"/>
            <w:right w:w="108" w:type="dxa"/>
          </w:tblCellMar>
        </w:tblPrEx>
        <w:trPr>
          <w:trHeight w:val="340" w:hRule="atLeast"/>
          <w:jc w:val="center"/>
        </w:trPr>
        <w:tc>
          <w:tcPr>
            <w:tcW w:w="2035" w:type="dxa"/>
            <w:vMerge w:val="restart"/>
            <w:tcBorders>
              <w:top w:val="nil"/>
              <w:left w:val="single" w:color="auto" w:sz="4" w:space="0"/>
              <w:bottom w:val="single" w:color="auto" w:sz="4" w:space="0"/>
              <w:right w:val="single" w:color="auto" w:sz="4" w:space="0"/>
            </w:tcBorders>
            <w:vAlign w:val="center"/>
          </w:tcPr>
          <w:p w14:paraId="7D8091C7">
            <w:pPr>
              <w:keepNext/>
              <w:keepLines/>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软件和信息技术服务业</w:t>
            </w:r>
          </w:p>
        </w:tc>
        <w:tc>
          <w:tcPr>
            <w:tcW w:w="1712" w:type="dxa"/>
            <w:tcBorders>
              <w:top w:val="nil"/>
              <w:left w:val="nil"/>
              <w:bottom w:val="single" w:color="auto" w:sz="4" w:space="0"/>
              <w:right w:val="single" w:color="auto" w:sz="4" w:space="0"/>
            </w:tcBorders>
            <w:vAlign w:val="center"/>
          </w:tcPr>
          <w:p w14:paraId="66803004">
            <w:pPr>
              <w:keepNext/>
              <w:keepLines/>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740" w:type="dxa"/>
            <w:tcBorders>
              <w:top w:val="nil"/>
              <w:left w:val="nil"/>
              <w:bottom w:val="single" w:color="auto" w:sz="4" w:space="0"/>
              <w:right w:val="single" w:color="auto" w:sz="4" w:space="0"/>
            </w:tcBorders>
            <w:vAlign w:val="center"/>
          </w:tcPr>
          <w:p w14:paraId="602332C0">
            <w:pPr>
              <w:keepNext/>
              <w:keepLines/>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人</w:t>
            </w:r>
          </w:p>
        </w:tc>
        <w:tc>
          <w:tcPr>
            <w:tcW w:w="2066" w:type="dxa"/>
            <w:tcBorders>
              <w:top w:val="nil"/>
              <w:left w:val="nil"/>
              <w:bottom w:val="single" w:color="auto" w:sz="4" w:space="0"/>
              <w:right w:val="single" w:color="auto" w:sz="4" w:space="0"/>
            </w:tcBorders>
            <w:vAlign w:val="center"/>
          </w:tcPr>
          <w:p w14:paraId="7024A355">
            <w:pPr>
              <w:keepNext/>
              <w:keepLines/>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100≤X＜300</w:t>
            </w:r>
          </w:p>
        </w:tc>
        <w:tc>
          <w:tcPr>
            <w:tcW w:w="1956" w:type="dxa"/>
            <w:tcBorders>
              <w:top w:val="nil"/>
              <w:left w:val="nil"/>
              <w:bottom w:val="single" w:color="auto" w:sz="4" w:space="0"/>
              <w:right w:val="single" w:color="auto" w:sz="4" w:space="0"/>
            </w:tcBorders>
            <w:vAlign w:val="center"/>
          </w:tcPr>
          <w:p w14:paraId="290CC228">
            <w:pPr>
              <w:keepNext/>
              <w:keepLines/>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10≤X＜100</w:t>
            </w:r>
          </w:p>
        </w:tc>
        <w:tc>
          <w:tcPr>
            <w:tcW w:w="966" w:type="dxa"/>
            <w:tcBorders>
              <w:top w:val="nil"/>
              <w:left w:val="nil"/>
              <w:bottom w:val="single" w:color="auto" w:sz="4" w:space="0"/>
              <w:right w:val="single" w:color="auto" w:sz="4" w:space="0"/>
            </w:tcBorders>
            <w:vAlign w:val="center"/>
          </w:tcPr>
          <w:p w14:paraId="7081A280">
            <w:pPr>
              <w:keepNext/>
              <w:keepLines/>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X＜10</w:t>
            </w:r>
          </w:p>
        </w:tc>
      </w:tr>
      <w:tr w14:paraId="2CB47DDB">
        <w:tblPrEx>
          <w:tblCellMar>
            <w:top w:w="0" w:type="dxa"/>
            <w:left w:w="108" w:type="dxa"/>
            <w:bottom w:w="0" w:type="dxa"/>
            <w:right w:w="108" w:type="dxa"/>
          </w:tblCellMar>
        </w:tblPrEx>
        <w:trPr>
          <w:trHeight w:val="340" w:hRule="atLeast"/>
          <w:jc w:val="center"/>
        </w:trPr>
        <w:tc>
          <w:tcPr>
            <w:tcW w:w="2035" w:type="dxa"/>
            <w:vMerge w:val="continue"/>
            <w:tcBorders>
              <w:top w:val="nil"/>
              <w:left w:val="single" w:color="auto" w:sz="4" w:space="0"/>
              <w:bottom w:val="single" w:color="auto" w:sz="4" w:space="0"/>
              <w:right w:val="single" w:color="auto" w:sz="4" w:space="0"/>
            </w:tcBorders>
            <w:vAlign w:val="center"/>
          </w:tcPr>
          <w:p w14:paraId="490581B7">
            <w:pPr>
              <w:keepNext/>
              <w:keepLines/>
              <w:widowControl/>
              <w:jc w:val="center"/>
              <w:rPr>
                <w:rFonts w:ascii="宋体" w:hAnsi="宋体" w:cs="宋体"/>
                <w:b/>
                <w:bCs/>
                <w:color w:val="auto"/>
                <w:kern w:val="0"/>
                <w:szCs w:val="21"/>
                <w:highlight w:val="none"/>
              </w:rPr>
            </w:pPr>
          </w:p>
        </w:tc>
        <w:tc>
          <w:tcPr>
            <w:tcW w:w="1712" w:type="dxa"/>
            <w:tcBorders>
              <w:top w:val="nil"/>
              <w:left w:val="nil"/>
              <w:bottom w:val="single" w:color="auto" w:sz="4" w:space="0"/>
              <w:right w:val="single" w:color="auto" w:sz="4" w:space="0"/>
            </w:tcBorders>
            <w:vAlign w:val="center"/>
          </w:tcPr>
          <w:p w14:paraId="4077498B">
            <w:pPr>
              <w:keepNext/>
              <w:keepLines/>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740" w:type="dxa"/>
            <w:tcBorders>
              <w:top w:val="nil"/>
              <w:left w:val="nil"/>
              <w:bottom w:val="single" w:color="auto" w:sz="4" w:space="0"/>
              <w:right w:val="single" w:color="auto" w:sz="4" w:space="0"/>
            </w:tcBorders>
            <w:vAlign w:val="center"/>
          </w:tcPr>
          <w:p w14:paraId="0F52BB01">
            <w:pPr>
              <w:keepNext/>
              <w:keepLines/>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2066" w:type="dxa"/>
            <w:tcBorders>
              <w:top w:val="nil"/>
              <w:left w:val="nil"/>
              <w:bottom w:val="single" w:color="auto" w:sz="4" w:space="0"/>
              <w:right w:val="single" w:color="auto" w:sz="4" w:space="0"/>
            </w:tcBorders>
            <w:vAlign w:val="center"/>
          </w:tcPr>
          <w:p w14:paraId="6DEDD693">
            <w:pPr>
              <w:keepNext/>
              <w:keepLines/>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1000≤Y＜10000</w:t>
            </w:r>
          </w:p>
        </w:tc>
        <w:tc>
          <w:tcPr>
            <w:tcW w:w="1956" w:type="dxa"/>
            <w:tcBorders>
              <w:top w:val="nil"/>
              <w:left w:val="nil"/>
              <w:bottom w:val="single" w:color="auto" w:sz="4" w:space="0"/>
              <w:right w:val="single" w:color="auto" w:sz="4" w:space="0"/>
            </w:tcBorders>
            <w:vAlign w:val="center"/>
          </w:tcPr>
          <w:p w14:paraId="2141F8D0">
            <w:pPr>
              <w:keepNext/>
              <w:keepLines/>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50≤Y＜1000</w:t>
            </w:r>
          </w:p>
        </w:tc>
        <w:tc>
          <w:tcPr>
            <w:tcW w:w="966" w:type="dxa"/>
            <w:tcBorders>
              <w:top w:val="nil"/>
              <w:left w:val="nil"/>
              <w:bottom w:val="single" w:color="auto" w:sz="4" w:space="0"/>
              <w:right w:val="single" w:color="auto" w:sz="4" w:space="0"/>
            </w:tcBorders>
            <w:vAlign w:val="center"/>
          </w:tcPr>
          <w:p w14:paraId="02772357">
            <w:pPr>
              <w:keepNext/>
              <w:keepLines/>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Y＜50</w:t>
            </w:r>
          </w:p>
        </w:tc>
      </w:tr>
      <w:tr w14:paraId="771208D4">
        <w:tblPrEx>
          <w:tblCellMar>
            <w:top w:w="0" w:type="dxa"/>
            <w:left w:w="108" w:type="dxa"/>
            <w:bottom w:w="0" w:type="dxa"/>
            <w:right w:w="108" w:type="dxa"/>
          </w:tblCellMar>
        </w:tblPrEx>
        <w:trPr>
          <w:trHeight w:val="340" w:hRule="atLeast"/>
          <w:jc w:val="center"/>
        </w:trPr>
        <w:tc>
          <w:tcPr>
            <w:tcW w:w="2035" w:type="dxa"/>
            <w:vMerge w:val="restart"/>
            <w:tcBorders>
              <w:top w:val="nil"/>
              <w:left w:val="single" w:color="auto" w:sz="4" w:space="0"/>
              <w:bottom w:val="single" w:color="auto" w:sz="4" w:space="0"/>
              <w:right w:val="single" w:color="auto" w:sz="4" w:space="0"/>
            </w:tcBorders>
            <w:vAlign w:val="center"/>
          </w:tcPr>
          <w:p w14:paraId="44C0933E">
            <w:pPr>
              <w:keepNext/>
              <w:keepLines/>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房地产开发经营</w:t>
            </w:r>
          </w:p>
        </w:tc>
        <w:tc>
          <w:tcPr>
            <w:tcW w:w="1712" w:type="dxa"/>
            <w:tcBorders>
              <w:top w:val="nil"/>
              <w:left w:val="nil"/>
              <w:bottom w:val="single" w:color="auto" w:sz="4" w:space="0"/>
              <w:right w:val="single" w:color="auto" w:sz="4" w:space="0"/>
            </w:tcBorders>
            <w:vAlign w:val="center"/>
          </w:tcPr>
          <w:p w14:paraId="011D6A0B">
            <w:pPr>
              <w:keepNext/>
              <w:keepLines/>
              <w:widowControl/>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740" w:type="dxa"/>
            <w:tcBorders>
              <w:top w:val="nil"/>
              <w:left w:val="nil"/>
              <w:bottom w:val="single" w:color="auto" w:sz="4" w:space="0"/>
              <w:right w:val="single" w:color="auto" w:sz="4" w:space="0"/>
            </w:tcBorders>
            <w:vAlign w:val="center"/>
          </w:tcPr>
          <w:p w14:paraId="6CF32D3F">
            <w:pPr>
              <w:keepNext/>
              <w:keepLines/>
              <w:widowControl/>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2066" w:type="dxa"/>
            <w:tcBorders>
              <w:top w:val="nil"/>
              <w:left w:val="nil"/>
              <w:bottom w:val="single" w:color="auto" w:sz="4" w:space="0"/>
              <w:right w:val="single" w:color="auto" w:sz="4" w:space="0"/>
            </w:tcBorders>
            <w:vAlign w:val="center"/>
          </w:tcPr>
          <w:p w14:paraId="1328BED6">
            <w:pPr>
              <w:keepNext/>
              <w:keepLines/>
              <w:widowControl/>
              <w:rPr>
                <w:rFonts w:ascii="宋体" w:hAnsi="宋体" w:cs="宋体"/>
                <w:color w:val="auto"/>
                <w:kern w:val="0"/>
                <w:szCs w:val="21"/>
                <w:highlight w:val="none"/>
              </w:rPr>
            </w:pPr>
            <w:r>
              <w:rPr>
                <w:rFonts w:hint="eastAsia" w:ascii="宋体" w:hAnsi="宋体" w:cs="宋体"/>
                <w:color w:val="auto"/>
                <w:kern w:val="0"/>
                <w:szCs w:val="21"/>
                <w:highlight w:val="none"/>
              </w:rPr>
              <w:t>1000≤Y＜200000</w:t>
            </w:r>
          </w:p>
        </w:tc>
        <w:tc>
          <w:tcPr>
            <w:tcW w:w="1956" w:type="dxa"/>
            <w:tcBorders>
              <w:top w:val="nil"/>
              <w:left w:val="nil"/>
              <w:bottom w:val="single" w:color="auto" w:sz="4" w:space="0"/>
              <w:right w:val="single" w:color="auto" w:sz="4" w:space="0"/>
            </w:tcBorders>
            <w:vAlign w:val="center"/>
          </w:tcPr>
          <w:p w14:paraId="4A53AAC5">
            <w:pPr>
              <w:keepNext/>
              <w:keepLines/>
              <w:widowControl/>
              <w:rPr>
                <w:rFonts w:ascii="宋体" w:hAnsi="宋体" w:cs="宋体"/>
                <w:color w:val="auto"/>
                <w:kern w:val="0"/>
                <w:szCs w:val="21"/>
                <w:highlight w:val="none"/>
              </w:rPr>
            </w:pPr>
            <w:r>
              <w:rPr>
                <w:rFonts w:hint="eastAsia" w:ascii="宋体" w:hAnsi="宋体" w:cs="宋体"/>
                <w:color w:val="auto"/>
                <w:kern w:val="0"/>
                <w:szCs w:val="21"/>
                <w:highlight w:val="none"/>
              </w:rPr>
              <w:t>100≤X＜1000</w:t>
            </w:r>
          </w:p>
        </w:tc>
        <w:tc>
          <w:tcPr>
            <w:tcW w:w="966" w:type="dxa"/>
            <w:tcBorders>
              <w:top w:val="nil"/>
              <w:left w:val="nil"/>
              <w:bottom w:val="single" w:color="auto" w:sz="4" w:space="0"/>
              <w:right w:val="single" w:color="auto" w:sz="4" w:space="0"/>
            </w:tcBorders>
            <w:vAlign w:val="center"/>
          </w:tcPr>
          <w:p w14:paraId="3B7F96CE">
            <w:pPr>
              <w:keepNext/>
              <w:keepLines/>
              <w:widowControl/>
              <w:rPr>
                <w:rFonts w:ascii="宋体" w:hAnsi="宋体" w:cs="宋体"/>
                <w:color w:val="auto"/>
                <w:kern w:val="0"/>
                <w:szCs w:val="21"/>
                <w:highlight w:val="none"/>
              </w:rPr>
            </w:pPr>
            <w:r>
              <w:rPr>
                <w:rFonts w:hint="eastAsia" w:ascii="宋体" w:hAnsi="宋体" w:cs="宋体"/>
                <w:color w:val="auto"/>
                <w:kern w:val="0"/>
                <w:szCs w:val="21"/>
                <w:highlight w:val="none"/>
              </w:rPr>
              <w:t>X＜100</w:t>
            </w:r>
          </w:p>
        </w:tc>
      </w:tr>
      <w:tr w14:paraId="6CFD16D9">
        <w:tblPrEx>
          <w:tblCellMar>
            <w:top w:w="0" w:type="dxa"/>
            <w:left w:w="108" w:type="dxa"/>
            <w:bottom w:w="0" w:type="dxa"/>
            <w:right w:w="108" w:type="dxa"/>
          </w:tblCellMar>
        </w:tblPrEx>
        <w:trPr>
          <w:trHeight w:val="340" w:hRule="atLeast"/>
          <w:jc w:val="center"/>
        </w:trPr>
        <w:tc>
          <w:tcPr>
            <w:tcW w:w="2035" w:type="dxa"/>
            <w:vMerge w:val="continue"/>
            <w:tcBorders>
              <w:top w:val="nil"/>
              <w:left w:val="single" w:color="auto" w:sz="4" w:space="0"/>
              <w:bottom w:val="single" w:color="auto" w:sz="4" w:space="0"/>
              <w:right w:val="single" w:color="auto" w:sz="4" w:space="0"/>
            </w:tcBorders>
            <w:vAlign w:val="center"/>
          </w:tcPr>
          <w:p w14:paraId="7AFCCF1A">
            <w:pPr>
              <w:keepNext/>
              <w:keepLines/>
              <w:widowControl/>
              <w:jc w:val="center"/>
              <w:rPr>
                <w:rFonts w:ascii="宋体" w:hAnsi="宋体" w:cs="宋体"/>
                <w:b/>
                <w:bCs/>
                <w:color w:val="auto"/>
                <w:kern w:val="0"/>
                <w:szCs w:val="21"/>
                <w:highlight w:val="none"/>
              </w:rPr>
            </w:pPr>
          </w:p>
        </w:tc>
        <w:tc>
          <w:tcPr>
            <w:tcW w:w="1712" w:type="dxa"/>
            <w:tcBorders>
              <w:top w:val="nil"/>
              <w:left w:val="nil"/>
              <w:bottom w:val="single" w:color="auto" w:sz="4" w:space="0"/>
              <w:right w:val="single" w:color="auto" w:sz="4" w:space="0"/>
            </w:tcBorders>
            <w:vAlign w:val="center"/>
          </w:tcPr>
          <w:p w14:paraId="27009FB2">
            <w:pPr>
              <w:keepNext/>
              <w:keepLines/>
              <w:widowControl/>
              <w:rPr>
                <w:rFonts w:ascii="宋体" w:hAnsi="宋体" w:cs="宋体"/>
                <w:color w:val="auto"/>
                <w:kern w:val="0"/>
                <w:szCs w:val="21"/>
                <w:highlight w:val="none"/>
              </w:rPr>
            </w:pPr>
            <w:r>
              <w:rPr>
                <w:rFonts w:hint="eastAsia" w:ascii="宋体" w:hAnsi="宋体" w:cs="宋体"/>
                <w:color w:val="auto"/>
                <w:kern w:val="0"/>
                <w:szCs w:val="21"/>
                <w:highlight w:val="none"/>
              </w:rPr>
              <w:t>资产总额（Z）</w:t>
            </w:r>
          </w:p>
        </w:tc>
        <w:tc>
          <w:tcPr>
            <w:tcW w:w="740" w:type="dxa"/>
            <w:tcBorders>
              <w:top w:val="nil"/>
              <w:left w:val="nil"/>
              <w:bottom w:val="single" w:color="auto" w:sz="4" w:space="0"/>
              <w:right w:val="single" w:color="auto" w:sz="4" w:space="0"/>
            </w:tcBorders>
            <w:vAlign w:val="center"/>
          </w:tcPr>
          <w:p w14:paraId="28BB61A3">
            <w:pPr>
              <w:keepNext/>
              <w:keepLines/>
              <w:widowControl/>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2066" w:type="dxa"/>
            <w:tcBorders>
              <w:top w:val="nil"/>
              <w:left w:val="nil"/>
              <w:bottom w:val="single" w:color="auto" w:sz="4" w:space="0"/>
              <w:right w:val="single" w:color="auto" w:sz="4" w:space="0"/>
            </w:tcBorders>
            <w:vAlign w:val="center"/>
          </w:tcPr>
          <w:p w14:paraId="7A2933FD">
            <w:pPr>
              <w:keepNext/>
              <w:keepLines/>
              <w:widowControl/>
              <w:rPr>
                <w:rFonts w:ascii="宋体" w:hAnsi="宋体" w:cs="宋体"/>
                <w:color w:val="auto"/>
                <w:kern w:val="0"/>
                <w:szCs w:val="21"/>
                <w:highlight w:val="none"/>
              </w:rPr>
            </w:pPr>
            <w:r>
              <w:rPr>
                <w:rFonts w:hint="eastAsia" w:ascii="宋体" w:hAnsi="宋体" w:cs="宋体"/>
                <w:color w:val="auto"/>
                <w:kern w:val="0"/>
                <w:szCs w:val="21"/>
                <w:highlight w:val="none"/>
              </w:rPr>
              <w:t>5000≤Z＜10000</w:t>
            </w:r>
          </w:p>
        </w:tc>
        <w:tc>
          <w:tcPr>
            <w:tcW w:w="1956" w:type="dxa"/>
            <w:tcBorders>
              <w:top w:val="nil"/>
              <w:left w:val="nil"/>
              <w:bottom w:val="single" w:color="auto" w:sz="4" w:space="0"/>
              <w:right w:val="single" w:color="auto" w:sz="4" w:space="0"/>
            </w:tcBorders>
            <w:vAlign w:val="center"/>
          </w:tcPr>
          <w:p w14:paraId="32072CF3">
            <w:pPr>
              <w:keepNext/>
              <w:keepLines/>
              <w:widowControl/>
              <w:rPr>
                <w:rFonts w:ascii="宋体" w:hAnsi="宋体" w:cs="宋体"/>
                <w:color w:val="auto"/>
                <w:kern w:val="0"/>
                <w:szCs w:val="21"/>
                <w:highlight w:val="none"/>
              </w:rPr>
            </w:pPr>
            <w:r>
              <w:rPr>
                <w:rFonts w:hint="eastAsia" w:ascii="宋体" w:hAnsi="宋体" w:cs="宋体"/>
                <w:color w:val="auto"/>
                <w:kern w:val="0"/>
                <w:szCs w:val="21"/>
                <w:highlight w:val="none"/>
              </w:rPr>
              <w:t>2000≤Y＜5000</w:t>
            </w:r>
          </w:p>
        </w:tc>
        <w:tc>
          <w:tcPr>
            <w:tcW w:w="966" w:type="dxa"/>
            <w:tcBorders>
              <w:top w:val="nil"/>
              <w:left w:val="nil"/>
              <w:bottom w:val="single" w:color="auto" w:sz="4" w:space="0"/>
              <w:right w:val="single" w:color="auto" w:sz="4" w:space="0"/>
            </w:tcBorders>
            <w:vAlign w:val="center"/>
          </w:tcPr>
          <w:p w14:paraId="73188018">
            <w:pPr>
              <w:keepNext/>
              <w:keepLines/>
              <w:widowControl/>
              <w:rPr>
                <w:rFonts w:ascii="宋体" w:hAnsi="宋体" w:cs="宋体"/>
                <w:color w:val="auto"/>
                <w:kern w:val="0"/>
                <w:szCs w:val="21"/>
                <w:highlight w:val="none"/>
              </w:rPr>
            </w:pPr>
            <w:r>
              <w:rPr>
                <w:rFonts w:hint="eastAsia" w:ascii="宋体" w:hAnsi="宋体" w:cs="宋体"/>
                <w:color w:val="auto"/>
                <w:kern w:val="0"/>
                <w:szCs w:val="21"/>
                <w:highlight w:val="none"/>
              </w:rPr>
              <w:t>Y＜2000</w:t>
            </w:r>
          </w:p>
        </w:tc>
      </w:tr>
      <w:tr w14:paraId="55F71AAD">
        <w:tblPrEx>
          <w:tblCellMar>
            <w:top w:w="0" w:type="dxa"/>
            <w:left w:w="108" w:type="dxa"/>
            <w:bottom w:w="0" w:type="dxa"/>
            <w:right w:w="108" w:type="dxa"/>
          </w:tblCellMar>
        </w:tblPrEx>
        <w:trPr>
          <w:trHeight w:val="340" w:hRule="atLeast"/>
          <w:jc w:val="center"/>
        </w:trPr>
        <w:tc>
          <w:tcPr>
            <w:tcW w:w="2035" w:type="dxa"/>
            <w:vMerge w:val="restart"/>
            <w:tcBorders>
              <w:top w:val="nil"/>
              <w:left w:val="single" w:color="auto" w:sz="4" w:space="0"/>
              <w:bottom w:val="single" w:color="auto" w:sz="4" w:space="0"/>
              <w:right w:val="single" w:color="auto" w:sz="4" w:space="0"/>
            </w:tcBorders>
            <w:vAlign w:val="center"/>
          </w:tcPr>
          <w:p w14:paraId="7132EA6E">
            <w:pPr>
              <w:keepNext/>
              <w:keepLines/>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物业管理</w:t>
            </w:r>
          </w:p>
        </w:tc>
        <w:tc>
          <w:tcPr>
            <w:tcW w:w="1712" w:type="dxa"/>
            <w:tcBorders>
              <w:top w:val="nil"/>
              <w:left w:val="nil"/>
              <w:bottom w:val="single" w:color="auto" w:sz="4" w:space="0"/>
              <w:right w:val="single" w:color="auto" w:sz="4" w:space="0"/>
            </w:tcBorders>
            <w:vAlign w:val="center"/>
          </w:tcPr>
          <w:p w14:paraId="7AD8A0F6">
            <w:pPr>
              <w:keepNext/>
              <w:keepLines/>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740" w:type="dxa"/>
            <w:tcBorders>
              <w:top w:val="nil"/>
              <w:left w:val="nil"/>
              <w:bottom w:val="single" w:color="auto" w:sz="4" w:space="0"/>
              <w:right w:val="single" w:color="auto" w:sz="4" w:space="0"/>
            </w:tcBorders>
            <w:vAlign w:val="center"/>
          </w:tcPr>
          <w:p w14:paraId="1C5B12C4">
            <w:pPr>
              <w:keepNext/>
              <w:keepLines/>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人</w:t>
            </w:r>
          </w:p>
        </w:tc>
        <w:tc>
          <w:tcPr>
            <w:tcW w:w="2066" w:type="dxa"/>
            <w:tcBorders>
              <w:top w:val="nil"/>
              <w:left w:val="nil"/>
              <w:bottom w:val="single" w:color="auto" w:sz="4" w:space="0"/>
              <w:right w:val="single" w:color="auto" w:sz="4" w:space="0"/>
            </w:tcBorders>
            <w:vAlign w:val="center"/>
          </w:tcPr>
          <w:p w14:paraId="5E359750">
            <w:pPr>
              <w:keepNext/>
              <w:keepLines/>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300≤X＜1000</w:t>
            </w:r>
          </w:p>
        </w:tc>
        <w:tc>
          <w:tcPr>
            <w:tcW w:w="1956" w:type="dxa"/>
            <w:tcBorders>
              <w:top w:val="nil"/>
              <w:left w:val="nil"/>
              <w:bottom w:val="single" w:color="auto" w:sz="4" w:space="0"/>
              <w:right w:val="single" w:color="auto" w:sz="4" w:space="0"/>
            </w:tcBorders>
            <w:vAlign w:val="center"/>
          </w:tcPr>
          <w:p w14:paraId="0551FB9E">
            <w:pPr>
              <w:keepNext/>
              <w:keepLines/>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100≤X＜300</w:t>
            </w:r>
          </w:p>
        </w:tc>
        <w:tc>
          <w:tcPr>
            <w:tcW w:w="966" w:type="dxa"/>
            <w:tcBorders>
              <w:top w:val="nil"/>
              <w:left w:val="nil"/>
              <w:bottom w:val="single" w:color="auto" w:sz="4" w:space="0"/>
              <w:right w:val="single" w:color="auto" w:sz="4" w:space="0"/>
            </w:tcBorders>
            <w:vAlign w:val="center"/>
          </w:tcPr>
          <w:p w14:paraId="6831E303">
            <w:pPr>
              <w:keepNext/>
              <w:keepLines/>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X＜100</w:t>
            </w:r>
          </w:p>
        </w:tc>
      </w:tr>
      <w:tr w14:paraId="23F3E090">
        <w:tblPrEx>
          <w:tblCellMar>
            <w:top w:w="0" w:type="dxa"/>
            <w:left w:w="108" w:type="dxa"/>
            <w:bottom w:w="0" w:type="dxa"/>
            <w:right w:w="108" w:type="dxa"/>
          </w:tblCellMar>
        </w:tblPrEx>
        <w:trPr>
          <w:trHeight w:val="340" w:hRule="atLeast"/>
          <w:jc w:val="center"/>
        </w:trPr>
        <w:tc>
          <w:tcPr>
            <w:tcW w:w="2035" w:type="dxa"/>
            <w:vMerge w:val="continue"/>
            <w:tcBorders>
              <w:top w:val="nil"/>
              <w:left w:val="single" w:color="auto" w:sz="4" w:space="0"/>
              <w:bottom w:val="single" w:color="auto" w:sz="4" w:space="0"/>
              <w:right w:val="single" w:color="auto" w:sz="4" w:space="0"/>
            </w:tcBorders>
            <w:vAlign w:val="center"/>
          </w:tcPr>
          <w:p w14:paraId="3B85810F">
            <w:pPr>
              <w:keepNext/>
              <w:keepLines/>
              <w:widowControl/>
              <w:jc w:val="center"/>
              <w:rPr>
                <w:rFonts w:ascii="宋体" w:hAnsi="宋体" w:cs="宋体"/>
                <w:b/>
                <w:bCs/>
                <w:color w:val="auto"/>
                <w:kern w:val="0"/>
                <w:szCs w:val="21"/>
                <w:highlight w:val="none"/>
              </w:rPr>
            </w:pPr>
          </w:p>
        </w:tc>
        <w:tc>
          <w:tcPr>
            <w:tcW w:w="1712" w:type="dxa"/>
            <w:tcBorders>
              <w:top w:val="nil"/>
              <w:left w:val="nil"/>
              <w:bottom w:val="single" w:color="auto" w:sz="4" w:space="0"/>
              <w:right w:val="single" w:color="auto" w:sz="4" w:space="0"/>
            </w:tcBorders>
            <w:vAlign w:val="center"/>
          </w:tcPr>
          <w:p w14:paraId="3A5FADFC">
            <w:pPr>
              <w:keepNext/>
              <w:keepLines/>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740" w:type="dxa"/>
            <w:tcBorders>
              <w:top w:val="nil"/>
              <w:left w:val="nil"/>
              <w:bottom w:val="single" w:color="auto" w:sz="4" w:space="0"/>
              <w:right w:val="single" w:color="auto" w:sz="4" w:space="0"/>
            </w:tcBorders>
            <w:vAlign w:val="center"/>
          </w:tcPr>
          <w:p w14:paraId="09366F3A">
            <w:pPr>
              <w:keepNext/>
              <w:keepLines/>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2066" w:type="dxa"/>
            <w:tcBorders>
              <w:top w:val="nil"/>
              <w:left w:val="nil"/>
              <w:bottom w:val="single" w:color="auto" w:sz="4" w:space="0"/>
              <w:right w:val="single" w:color="auto" w:sz="4" w:space="0"/>
            </w:tcBorders>
            <w:vAlign w:val="center"/>
          </w:tcPr>
          <w:p w14:paraId="17214DE2">
            <w:pPr>
              <w:keepNext/>
              <w:keepLines/>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1000≤Y＜5000</w:t>
            </w:r>
          </w:p>
        </w:tc>
        <w:tc>
          <w:tcPr>
            <w:tcW w:w="1956" w:type="dxa"/>
            <w:tcBorders>
              <w:top w:val="nil"/>
              <w:left w:val="nil"/>
              <w:bottom w:val="single" w:color="auto" w:sz="4" w:space="0"/>
              <w:right w:val="single" w:color="auto" w:sz="4" w:space="0"/>
            </w:tcBorders>
            <w:vAlign w:val="center"/>
          </w:tcPr>
          <w:p w14:paraId="1B5595EC">
            <w:pPr>
              <w:keepNext/>
              <w:keepLines/>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500≤Y＜1000</w:t>
            </w:r>
          </w:p>
        </w:tc>
        <w:tc>
          <w:tcPr>
            <w:tcW w:w="966" w:type="dxa"/>
            <w:tcBorders>
              <w:top w:val="nil"/>
              <w:left w:val="nil"/>
              <w:bottom w:val="single" w:color="auto" w:sz="4" w:space="0"/>
              <w:right w:val="single" w:color="auto" w:sz="4" w:space="0"/>
            </w:tcBorders>
            <w:vAlign w:val="center"/>
          </w:tcPr>
          <w:p w14:paraId="4C46C81F">
            <w:pPr>
              <w:keepNext/>
              <w:keepLines/>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Y＜500</w:t>
            </w:r>
          </w:p>
        </w:tc>
      </w:tr>
      <w:tr w14:paraId="39CBF9A5">
        <w:tblPrEx>
          <w:tblCellMar>
            <w:top w:w="0" w:type="dxa"/>
            <w:left w:w="108" w:type="dxa"/>
            <w:bottom w:w="0" w:type="dxa"/>
            <w:right w:w="108" w:type="dxa"/>
          </w:tblCellMar>
        </w:tblPrEx>
        <w:trPr>
          <w:trHeight w:val="340" w:hRule="atLeast"/>
          <w:jc w:val="center"/>
        </w:trPr>
        <w:tc>
          <w:tcPr>
            <w:tcW w:w="2035" w:type="dxa"/>
            <w:vMerge w:val="restart"/>
            <w:tcBorders>
              <w:top w:val="nil"/>
              <w:left w:val="single" w:color="auto" w:sz="4" w:space="0"/>
              <w:bottom w:val="single" w:color="auto" w:sz="4" w:space="0"/>
              <w:right w:val="single" w:color="auto" w:sz="4" w:space="0"/>
            </w:tcBorders>
            <w:vAlign w:val="center"/>
          </w:tcPr>
          <w:p w14:paraId="0A307E2C">
            <w:pPr>
              <w:keepNext/>
              <w:keepLines/>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租赁和商务服务业</w:t>
            </w:r>
          </w:p>
        </w:tc>
        <w:tc>
          <w:tcPr>
            <w:tcW w:w="1712" w:type="dxa"/>
            <w:tcBorders>
              <w:top w:val="nil"/>
              <w:left w:val="nil"/>
              <w:bottom w:val="single" w:color="auto" w:sz="4" w:space="0"/>
              <w:right w:val="single" w:color="auto" w:sz="4" w:space="0"/>
            </w:tcBorders>
            <w:vAlign w:val="center"/>
          </w:tcPr>
          <w:p w14:paraId="13E339F2">
            <w:pPr>
              <w:keepNext/>
              <w:keepLines/>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740" w:type="dxa"/>
            <w:tcBorders>
              <w:top w:val="nil"/>
              <w:left w:val="nil"/>
              <w:bottom w:val="single" w:color="auto" w:sz="4" w:space="0"/>
              <w:right w:val="single" w:color="auto" w:sz="4" w:space="0"/>
            </w:tcBorders>
            <w:vAlign w:val="center"/>
          </w:tcPr>
          <w:p w14:paraId="4C2756F2">
            <w:pPr>
              <w:keepNext/>
              <w:keepLines/>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人</w:t>
            </w:r>
          </w:p>
        </w:tc>
        <w:tc>
          <w:tcPr>
            <w:tcW w:w="2066" w:type="dxa"/>
            <w:tcBorders>
              <w:top w:val="nil"/>
              <w:left w:val="nil"/>
              <w:bottom w:val="single" w:color="auto" w:sz="4" w:space="0"/>
              <w:right w:val="single" w:color="auto" w:sz="4" w:space="0"/>
            </w:tcBorders>
            <w:vAlign w:val="center"/>
          </w:tcPr>
          <w:p w14:paraId="699AF471">
            <w:pPr>
              <w:keepNext/>
              <w:keepLines/>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100≤X＜300</w:t>
            </w:r>
          </w:p>
        </w:tc>
        <w:tc>
          <w:tcPr>
            <w:tcW w:w="1956" w:type="dxa"/>
            <w:tcBorders>
              <w:top w:val="nil"/>
              <w:left w:val="nil"/>
              <w:bottom w:val="single" w:color="auto" w:sz="4" w:space="0"/>
              <w:right w:val="single" w:color="auto" w:sz="4" w:space="0"/>
            </w:tcBorders>
            <w:vAlign w:val="center"/>
          </w:tcPr>
          <w:p w14:paraId="3BC4CDB6">
            <w:pPr>
              <w:keepNext/>
              <w:keepLines/>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10≤X＜100</w:t>
            </w:r>
          </w:p>
        </w:tc>
        <w:tc>
          <w:tcPr>
            <w:tcW w:w="966" w:type="dxa"/>
            <w:tcBorders>
              <w:top w:val="nil"/>
              <w:left w:val="nil"/>
              <w:bottom w:val="single" w:color="auto" w:sz="4" w:space="0"/>
              <w:right w:val="single" w:color="auto" w:sz="4" w:space="0"/>
            </w:tcBorders>
            <w:vAlign w:val="center"/>
          </w:tcPr>
          <w:p w14:paraId="41F42383">
            <w:pPr>
              <w:keepNext/>
              <w:keepLines/>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X＜10</w:t>
            </w:r>
          </w:p>
        </w:tc>
      </w:tr>
      <w:tr w14:paraId="548BA257">
        <w:tblPrEx>
          <w:tblCellMar>
            <w:top w:w="0" w:type="dxa"/>
            <w:left w:w="108" w:type="dxa"/>
            <w:bottom w:w="0" w:type="dxa"/>
            <w:right w:w="108" w:type="dxa"/>
          </w:tblCellMar>
        </w:tblPrEx>
        <w:trPr>
          <w:trHeight w:val="340" w:hRule="atLeast"/>
          <w:jc w:val="center"/>
        </w:trPr>
        <w:tc>
          <w:tcPr>
            <w:tcW w:w="2035" w:type="dxa"/>
            <w:vMerge w:val="continue"/>
            <w:tcBorders>
              <w:top w:val="nil"/>
              <w:left w:val="single" w:color="auto" w:sz="4" w:space="0"/>
              <w:bottom w:val="single" w:color="auto" w:sz="4" w:space="0"/>
              <w:right w:val="single" w:color="auto" w:sz="4" w:space="0"/>
            </w:tcBorders>
            <w:vAlign w:val="center"/>
          </w:tcPr>
          <w:p w14:paraId="729E0B35">
            <w:pPr>
              <w:keepNext/>
              <w:keepLines/>
              <w:widowControl/>
              <w:jc w:val="center"/>
              <w:rPr>
                <w:rFonts w:ascii="宋体" w:hAnsi="宋体" w:cs="宋体"/>
                <w:b/>
                <w:bCs/>
                <w:color w:val="auto"/>
                <w:kern w:val="0"/>
                <w:szCs w:val="21"/>
                <w:highlight w:val="none"/>
              </w:rPr>
            </w:pPr>
          </w:p>
        </w:tc>
        <w:tc>
          <w:tcPr>
            <w:tcW w:w="1712" w:type="dxa"/>
            <w:tcBorders>
              <w:top w:val="nil"/>
              <w:left w:val="nil"/>
              <w:bottom w:val="single" w:color="auto" w:sz="4" w:space="0"/>
              <w:right w:val="single" w:color="auto" w:sz="4" w:space="0"/>
            </w:tcBorders>
            <w:vAlign w:val="center"/>
          </w:tcPr>
          <w:p w14:paraId="5C05195E">
            <w:pPr>
              <w:keepNext/>
              <w:keepLines/>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资产总额（Z）</w:t>
            </w:r>
          </w:p>
        </w:tc>
        <w:tc>
          <w:tcPr>
            <w:tcW w:w="740" w:type="dxa"/>
            <w:tcBorders>
              <w:top w:val="nil"/>
              <w:left w:val="nil"/>
              <w:bottom w:val="single" w:color="auto" w:sz="4" w:space="0"/>
              <w:right w:val="single" w:color="auto" w:sz="4" w:space="0"/>
            </w:tcBorders>
            <w:vAlign w:val="center"/>
          </w:tcPr>
          <w:p w14:paraId="0F315CB6">
            <w:pPr>
              <w:keepNext/>
              <w:keepLines/>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2066" w:type="dxa"/>
            <w:tcBorders>
              <w:top w:val="nil"/>
              <w:left w:val="nil"/>
              <w:bottom w:val="single" w:color="auto" w:sz="4" w:space="0"/>
              <w:right w:val="single" w:color="auto" w:sz="4" w:space="0"/>
            </w:tcBorders>
            <w:vAlign w:val="center"/>
          </w:tcPr>
          <w:p w14:paraId="52E55957">
            <w:pPr>
              <w:keepNext/>
              <w:keepLines/>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8000≤Z＜120000</w:t>
            </w:r>
          </w:p>
        </w:tc>
        <w:tc>
          <w:tcPr>
            <w:tcW w:w="1956" w:type="dxa"/>
            <w:tcBorders>
              <w:top w:val="nil"/>
              <w:left w:val="nil"/>
              <w:bottom w:val="single" w:color="auto" w:sz="4" w:space="0"/>
              <w:right w:val="single" w:color="auto" w:sz="4" w:space="0"/>
            </w:tcBorders>
            <w:vAlign w:val="center"/>
          </w:tcPr>
          <w:p w14:paraId="5D809DC7">
            <w:pPr>
              <w:keepNext/>
              <w:keepLines/>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100≤Z＜8000</w:t>
            </w:r>
          </w:p>
        </w:tc>
        <w:tc>
          <w:tcPr>
            <w:tcW w:w="966" w:type="dxa"/>
            <w:tcBorders>
              <w:top w:val="nil"/>
              <w:left w:val="nil"/>
              <w:bottom w:val="single" w:color="auto" w:sz="4" w:space="0"/>
              <w:right w:val="single" w:color="auto" w:sz="4" w:space="0"/>
            </w:tcBorders>
            <w:vAlign w:val="center"/>
          </w:tcPr>
          <w:p w14:paraId="6A36D335">
            <w:pPr>
              <w:keepNext/>
              <w:keepLines/>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Y＜100</w:t>
            </w:r>
          </w:p>
        </w:tc>
      </w:tr>
      <w:tr w14:paraId="0309C11A">
        <w:tblPrEx>
          <w:tblCellMar>
            <w:top w:w="0" w:type="dxa"/>
            <w:left w:w="108" w:type="dxa"/>
            <w:bottom w:w="0" w:type="dxa"/>
            <w:right w:w="108" w:type="dxa"/>
          </w:tblCellMar>
        </w:tblPrEx>
        <w:trPr>
          <w:trHeight w:val="340" w:hRule="atLeast"/>
          <w:jc w:val="center"/>
        </w:trPr>
        <w:tc>
          <w:tcPr>
            <w:tcW w:w="2035" w:type="dxa"/>
            <w:tcBorders>
              <w:top w:val="nil"/>
              <w:left w:val="single" w:color="auto" w:sz="4" w:space="0"/>
              <w:bottom w:val="single" w:color="auto" w:sz="4" w:space="0"/>
              <w:right w:val="single" w:color="auto" w:sz="4" w:space="0"/>
            </w:tcBorders>
            <w:vAlign w:val="center"/>
          </w:tcPr>
          <w:p w14:paraId="6E39BAA6">
            <w:pPr>
              <w:keepNext/>
              <w:keepLines/>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其他未列明行业</w:t>
            </w:r>
          </w:p>
        </w:tc>
        <w:tc>
          <w:tcPr>
            <w:tcW w:w="1712" w:type="dxa"/>
            <w:tcBorders>
              <w:top w:val="nil"/>
              <w:left w:val="nil"/>
              <w:bottom w:val="single" w:color="auto" w:sz="4" w:space="0"/>
              <w:right w:val="single" w:color="auto" w:sz="4" w:space="0"/>
            </w:tcBorders>
            <w:vAlign w:val="center"/>
          </w:tcPr>
          <w:p w14:paraId="346A6777">
            <w:pPr>
              <w:keepNext/>
              <w:keepLines/>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740" w:type="dxa"/>
            <w:tcBorders>
              <w:top w:val="nil"/>
              <w:left w:val="nil"/>
              <w:bottom w:val="single" w:color="auto" w:sz="4" w:space="0"/>
              <w:right w:val="single" w:color="auto" w:sz="4" w:space="0"/>
            </w:tcBorders>
            <w:vAlign w:val="center"/>
          </w:tcPr>
          <w:p w14:paraId="00EF3B33">
            <w:pPr>
              <w:keepNext/>
              <w:keepLines/>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人</w:t>
            </w:r>
          </w:p>
        </w:tc>
        <w:tc>
          <w:tcPr>
            <w:tcW w:w="2066" w:type="dxa"/>
            <w:tcBorders>
              <w:top w:val="nil"/>
              <w:left w:val="nil"/>
              <w:bottom w:val="single" w:color="auto" w:sz="4" w:space="0"/>
              <w:right w:val="single" w:color="auto" w:sz="4" w:space="0"/>
            </w:tcBorders>
            <w:vAlign w:val="center"/>
          </w:tcPr>
          <w:p w14:paraId="6CCDFBE7">
            <w:pPr>
              <w:keepNext/>
              <w:keepLines/>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100≤X＜300</w:t>
            </w:r>
          </w:p>
        </w:tc>
        <w:tc>
          <w:tcPr>
            <w:tcW w:w="1956" w:type="dxa"/>
            <w:tcBorders>
              <w:top w:val="nil"/>
              <w:left w:val="nil"/>
              <w:bottom w:val="single" w:color="auto" w:sz="4" w:space="0"/>
              <w:right w:val="single" w:color="auto" w:sz="4" w:space="0"/>
            </w:tcBorders>
            <w:vAlign w:val="center"/>
          </w:tcPr>
          <w:p w14:paraId="2E9AB109">
            <w:pPr>
              <w:keepNext/>
              <w:keepLines/>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10≤X＜100</w:t>
            </w:r>
          </w:p>
        </w:tc>
        <w:tc>
          <w:tcPr>
            <w:tcW w:w="966" w:type="dxa"/>
            <w:tcBorders>
              <w:top w:val="nil"/>
              <w:left w:val="nil"/>
              <w:bottom w:val="single" w:color="auto" w:sz="4" w:space="0"/>
              <w:right w:val="single" w:color="auto" w:sz="4" w:space="0"/>
            </w:tcBorders>
            <w:vAlign w:val="center"/>
          </w:tcPr>
          <w:p w14:paraId="1C64CA0B">
            <w:pPr>
              <w:keepNext/>
              <w:keepLines/>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X＜10</w:t>
            </w:r>
          </w:p>
        </w:tc>
      </w:tr>
    </w:tbl>
    <w:p w14:paraId="521C0F8A">
      <w:pPr>
        <w:keepNext/>
        <w:keepLines/>
        <w:spacing w:line="360" w:lineRule="auto"/>
        <w:ind w:firstLine="525" w:firstLineChars="250"/>
        <w:rPr>
          <w:rFonts w:ascii="宋体" w:hAnsi="宋体" w:cs="宋体"/>
          <w:color w:val="auto"/>
          <w:szCs w:val="21"/>
          <w:highlight w:val="none"/>
        </w:rPr>
      </w:pPr>
      <w:r>
        <w:rPr>
          <w:rFonts w:hint="eastAsia" w:ascii="宋体" w:hAnsi="宋体" w:cs="宋体"/>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6DA91D37">
      <w:pPr>
        <w:pStyle w:val="16"/>
        <w:keepNext/>
        <w:keepLines/>
        <w:spacing w:line="360" w:lineRule="auto"/>
        <w:jc w:val="center"/>
        <w:rPr>
          <w:rFonts w:cs="宋体"/>
          <w:color w:val="auto"/>
          <w:highlight w:val="none"/>
        </w:rPr>
        <w:sectPr>
          <w:headerReference r:id="rId8" w:type="default"/>
          <w:footerReference r:id="rId9" w:type="default"/>
          <w:pgSz w:w="11906" w:h="16838"/>
          <w:pgMar w:top="1440" w:right="1080" w:bottom="1440" w:left="1080" w:header="720" w:footer="720" w:gutter="0"/>
          <w:pgBorders>
            <w:top w:val="none" w:sz="0" w:space="0"/>
            <w:left w:val="none" w:sz="0" w:space="0"/>
            <w:bottom w:val="none" w:sz="0" w:space="0"/>
            <w:right w:val="none" w:sz="0" w:space="0"/>
          </w:pgBorders>
          <w:cols w:space="720" w:num="1"/>
          <w:docGrid w:linePitch="331" w:charSpace="0"/>
        </w:sectPr>
      </w:pPr>
    </w:p>
    <w:bookmarkEnd w:id="5"/>
    <w:bookmarkEnd w:id="6"/>
    <w:p w14:paraId="4965060D">
      <w:pPr>
        <w:pStyle w:val="16"/>
        <w:keepNext/>
        <w:keepLines/>
        <w:spacing w:line="360" w:lineRule="auto"/>
        <w:ind w:firstLine="723"/>
        <w:jc w:val="center"/>
        <w:outlineLvl w:val="0"/>
        <w:rPr>
          <w:rFonts w:cs="宋体"/>
          <w:b/>
          <w:color w:val="auto"/>
          <w:sz w:val="36"/>
          <w:szCs w:val="36"/>
          <w:highlight w:val="none"/>
        </w:rPr>
      </w:pPr>
      <w:bookmarkStart w:id="21" w:name="_Toc532545044"/>
      <w:bookmarkStart w:id="22" w:name="_Toc177716503"/>
      <w:bookmarkStart w:id="23" w:name="_Toc30956"/>
      <w:r>
        <w:rPr>
          <w:rFonts w:hint="eastAsia" w:cs="宋体"/>
          <w:b/>
          <w:color w:val="auto"/>
          <w:sz w:val="36"/>
          <w:highlight w:val="none"/>
        </w:rPr>
        <w:t>第三章  投标人须知</w:t>
      </w:r>
      <w:bookmarkEnd w:id="21"/>
      <w:bookmarkEnd w:id="22"/>
      <w:bookmarkEnd w:id="23"/>
    </w:p>
    <w:p w14:paraId="39C582BC">
      <w:pPr>
        <w:pStyle w:val="16"/>
        <w:keepNext/>
        <w:keepLines/>
        <w:spacing w:line="360" w:lineRule="auto"/>
        <w:ind w:firstLine="602"/>
        <w:jc w:val="center"/>
        <w:outlineLvl w:val="1"/>
        <w:rPr>
          <w:rFonts w:cs="宋体"/>
          <w:b/>
          <w:color w:val="auto"/>
          <w:sz w:val="30"/>
          <w:szCs w:val="30"/>
          <w:highlight w:val="none"/>
        </w:rPr>
      </w:pPr>
      <w:bookmarkStart w:id="24" w:name="_Toc14527"/>
      <w:bookmarkStart w:id="25" w:name="_Toc177716504"/>
      <w:bookmarkStart w:id="26" w:name="_Toc22735"/>
      <w:r>
        <w:rPr>
          <w:rFonts w:hint="eastAsia" w:cs="宋体"/>
          <w:b/>
          <w:color w:val="auto"/>
          <w:sz w:val="30"/>
          <w:szCs w:val="30"/>
          <w:highlight w:val="none"/>
        </w:rPr>
        <w:t>第一节 投标人须知前附表</w:t>
      </w:r>
      <w:bookmarkEnd w:id="24"/>
      <w:bookmarkEnd w:id="25"/>
      <w:bookmarkEnd w:id="26"/>
    </w:p>
    <w:tbl>
      <w:tblPr>
        <w:tblStyle w:val="30"/>
        <w:tblW w:w="1020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80"/>
        <w:gridCol w:w="1954"/>
        <w:gridCol w:w="7271"/>
      </w:tblGrid>
      <w:tr w14:paraId="65A409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80" w:type="dxa"/>
            <w:tcBorders>
              <w:top w:val="single" w:color="auto" w:sz="4" w:space="0"/>
              <w:left w:val="single" w:color="auto" w:sz="4" w:space="0"/>
              <w:bottom w:val="single" w:color="auto" w:sz="4" w:space="0"/>
              <w:right w:val="single" w:color="auto" w:sz="4" w:space="0"/>
            </w:tcBorders>
            <w:vAlign w:val="center"/>
          </w:tcPr>
          <w:p w14:paraId="626245CE">
            <w:pPr>
              <w:keepNext/>
              <w:keepLines/>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条款号</w:t>
            </w:r>
          </w:p>
        </w:tc>
        <w:tc>
          <w:tcPr>
            <w:tcW w:w="1954" w:type="dxa"/>
            <w:tcBorders>
              <w:top w:val="single" w:color="auto" w:sz="4" w:space="0"/>
              <w:left w:val="single" w:color="auto" w:sz="4" w:space="0"/>
              <w:bottom w:val="single" w:color="auto" w:sz="4" w:space="0"/>
              <w:right w:val="single" w:color="auto" w:sz="4" w:space="0"/>
            </w:tcBorders>
            <w:vAlign w:val="center"/>
          </w:tcPr>
          <w:p w14:paraId="44D286A0">
            <w:pPr>
              <w:keepNext/>
              <w:keepLines/>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项目内容</w:t>
            </w:r>
          </w:p>
        </w:tc>
        <w:tc>
          <w:tcPr>
            <w:tcW w:w="7271" w:type="dxa"/>
            <w:tcBorders>
              <w:top w:val="single" w:color="auto" w:sz="4" w:space="0"/>
              <w:left w:val="single" w:color="auto" w:sz="4" w:space="0"/>
              <w:bottom w:val="single" w:color="auto" w:sz="4" w:space="0"/>
              <w:right w:val="single" w:color="auto" w:sz="4" w:space="0"/>
            </w:tcBorders>
            <w:vAlign w:val="center"/>
          </w:tcPr>
          <w:p w14:paraId="49F227A7">
            <w:pPr>
              <w:keepNext/>
              <w:keepLines/>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编列内容</w:t>
            </w:r>
          </w:p>
        </w:tc>
      </w:tr>
      <w:tr w14:paraId="311589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80" w:type="dxa"/>
            <w:tcBorders>
              <w:top w:val="single" w:color="auto" w:sz="4" w:space="0"/>
              <w:left w:val="single" w:color="auto" w:sz="4" w:space="0"/>
              <w:bottom w:val="single" w:color="auto" w:sz="4" w:space="0"/>
              <w:right w:val="single" w:color="auto" w:sz="4" w:space="0"/>
            </w:tcBorders>
            <w:vAlign w:val="center"/>
          </w:tcPr>
          <w:p w14:paraId="4DAFD7E6">
            <w:pPr>
              <w:keepNext/>
              <w:keepLines/>
              <w:spacing w:line="360" w:lineRule="auto"/>
              <w:jc w:val="center"/>
              <w:rPr>
                <w:rFonts w:ascii="宋体" w:hAnsi="宋体" w:cs="宋体"/>
                <w:color w:val="auto"/>
                <w:szCs w:val="21"/>
                <w:highlight w:val="none"/>
              </w:rPr>
            </w:pPr>
            <w:r>
              <w:rPr>
                <w:rFonts w:hint="eastAsia" w:ascii="宋体" w:hAnsi="宋体" w:cs="宋体"/>
                <w:color w:val="auto"/>
                <w:szCs w:val="21"/>
                <w:highlight w:val="none"/>
              </w:rPr>
              <w:t>3</w:t>
            </w:r>
          </w:p>
        </w:tc>
        <w:tc>
          <w:tcPr>
            <w:tcW w:w="1954" w:type="dxa"/>
            <w:tcBorders>
              <w:top w:val="single" w:color="auto" w:sz="4" w:space="0"/>
              <w:left w:val="single" w:color="auto" w:sz="4" w:space="0"/>
              <w:bottom w:val="single" w:color="auto" w:sz="4" w:space="0"/>
              <w:right w:val="single" w:color="auto" w:sz="4" w:space="0"/>
            </w:tcBorders>
            <w:vAlign w:val="center"/>
          </w:tcPr>
          <w:p w14:paraId="15229DBE">
            <w:pPr>
              <w:keepNext/>
              <w:keepLines/>
              <w:spacing w:line="360" w:lineRule="auto"/>
              <w:jc w:val="left"/>
              <w:rPr>
                <w:rFonts w:ascii="宋体" w:hAnsi="宋体" w:cs="宋体"/>
                <w:color w:val="auto"/>
                <w:szCs w:val="21"/>
                <w:highlight w:val="none"/>
              </w:rPr>
            </w:pPr>
            <w:r>
              <w:rPr>
                <w:rFonts w:hint="eastAsia" w:ascii="宋体" w:hAnsi="宋体" w:cs="宋体"/>
                <w:color w:val="auto"/>
                <w:szCs w:val="21"/>
                <w:highlight w:val="none"/>
              </w:rPr>
              <w:t>投标人的资格要求</w:t>
            </w:r>
          </w:p>
        </w:tc>
        <w:tc>
          <w:tcPr>
            <w:tcW w:w="7271" w:type="dxa"/>
            <w:tcBorders>
              <w:top w:val="single" w:color="auto" w:sz="4" w:space="0"/>
              <w:left w:val="single" w:color="auto" w:sz="4" w:space="0"/>
              <w:bottom w:val="single" w:color="auto" w:sz="4" w:space="0"/>
              <w:right w:val="single" w:color="auto" w:sz="4" w:space="0"/>
            </w:tcBorders>
            <w:vAlign w:val="center"/>
          </w:tcPr>
          <w:p w14:paraId="3A47FCE2">
            <w:pPr>
              <w:keepNext/>
              <w:keepLines/>
              <w:snapToGrid w:val="0"/>
              <w:spacing w:line="360" w:lineRule="auto"/>
              <w:jc w:val="left"/>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w:t>
            </w:r>
            <w:r>
              <w:rPr>
                <w:rFonts w:hint="eastAsia" w:ascii="宋体" w:hAnsi="宋体"/>
                <w:color w:val="auto"/>
                <w:szCs w:val="21"/>
                <w:highlight w:val="none"/>
              </w:rPr>
              <w:t>投标人的资格要求详见招标公告。</w:t>
            </w:r>
          </w:p>
          <w:p w14:paraId="02F25F0C">
            <w:pPr>
              <w:keepNext/>
              <w:keepLines/>
              <w:snapToGrid w:val="0"/>
              <w:spacing w:line="360" w:lineRule="auto"/>
              <w:jc w:val="left"/>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w:t>
            </w:r>
            <w:r>
              <w:rPr>
                <w:rFonts w:hint="eastAsia" w:ascii="宋体" w:hAnsi="宋体"/>
                <w:color w:val="auto"/>
                <w:szCs w:val="21"/>
                <w:highlight w:val="none"/>
              </w:rPr>
              <w:t>投标人出现下列情形之一的，不得参加政府采购活动：</w:t>
            </w:r>
          </w:p>
          <w:p w14:paraId="12D68A2C">
            <w:pPr>
              <w:keepNext/>
              <w:keepLines/>
              <w:adjustRightInd w:val="0"/>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2.1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02C5382C">
            <w:pPr>
              <w:keepNext/>
              <w:keepLines/>
              <w:adjustRightInd w:val="0"/>
              <w:snapToGrid w:val="0"/>
              <w:spacing w:line="360" w:lineRule="auto"/>
              <w:rPr>
                <w:rFonts w:ascii="宋体" w:hAnsi="宋体" w:cs="宋体"/>
                <w:b/>
                <w:bCs/>
                <w:color w:val="auto"/>
                <w:szCs w:val="21"/>
                <w:highlight w:val="none"/>
              </w:rPr>
            </w:pPr>
            <w:r>
              <w:rPr>
                <w:rFonts w:hint="eastAsia" w:ascii="宋体" w:hAnsi="宋体" w:cs="宋体"/>
                <w:color w:val="auto"/>
                <w:kern w:val="0"/>
                <w:szCs w:val="21"/>
                <w:highlight w:val="none"/>
              </w:rPr>
              <w:t>2.2对在“信用中国”网站（www.creditchina.gov.cn）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tc>
      </w:tr>
      <w:tr w14:paraId="4E6CB4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80" w:type="dxa"/>
            <w:tcBorders>
              <w:top w:val="single" w:color="auto" w:sz="4" w:space="0"/>
              <w:left w:val="single" w:color="auto" w:sz="4" w:space="0"/>
              <w:bottom w:val="single" w:color="auto" w:sz="4" w:space="0"/>
              <w:right w:val="single" w:color="auto" w:sz="4" w:space="0"/>
            </w:tcBorders>
            <w:vAlign w:val="center"/>
          </w:tcPr>
          <w:p w14:paraId="67EDC685">
            <w:pPr>
              <w:keepNext/>
              <w:keepLines/>
              <w:spacing w:line="360" w:lineRule="auto"/>
              <w:jc w:val="center"/>
              <w:rPr>
                <w:rFonts w:ascii="宋体" w:hAnsi="宋体" w:cs="宋体"/>
                <w:color w:val="auto"/>
                <w:szCs w:val="21"/>
                <w:highlight w:val="none"/>
              </w:rPr>
            </w:pPr>
            <w:r>
              <w:rPr>
                <w:rFonts w:hint="eastAsia" w:ascii="宋体" w:hAnsi="宋体" w:cs="宋体"/>
                <w:color w:val="auto"/>
                <w:szCs w:val="21"/>
                <w:highlight w:val="none"/>
              </w:rPr>
              <w:t>6.1</w:t>
            </w:r>
          </w:p>
        </w:tc>
        <w:tc>
          <w:tcPr>
            <w:tcW w:w="1954" w:type="dxa"/>
            <w:tcBorders>
              <w:top w:val="single" w:color="auto" w:sz="4" w:space="0"/>
              <w:left w:val="single" w:color="auto" w:sz="4" w:space="0"/>
              <w:bottom w:val="single" w:color="auto" w:sz="4" w:space="0"/>
              <w:right w:val="single" w:color="auto" w:sz="4" w:space="0"/>
            </w:tcBorders>
            <w:vAlign w:val="center"/>
          </w:tcPr>
          <w:p w14:paraId="45EE1E1A">
            <w:pPr>
              <w:keepNext/>
              <w:keepLines/>
              <w:spacing w:line="360" w:lineRule="auto"/>
              <w:rPr>
                <w:rFonts w:ascii="宋体" w:hAnsi="宋体" w:cs="宋体"/>
                <w:color w:val="auto"/>
                <w:szCs w:val="21"/>
                <w:highlight w:val="none"/>
              </w:rPr>
            </w:pPr>
            <w:bookmarkStart w:id="27" w:name="_5"/>
            <w:bookmarkEnd w:id="27"/>
            <w:bookmarkStart w:id="28" w:name="_8.1"/>
            <w:bookmarkEnd w:id="28"/>
            <w:bookmarkStart w:id="29" w:name="_9.2"/>
            <w:bookmarkEnd w:id="29"/>
            <w:r>
              <w:rPr>
                <w:rFonts w:hint="eastAsia" w:ascii="宋体" w:hAnsi="宋体" w:cs="宋体"/>
                <w:color w:val="auto"/>
                <w:szCs w:val="21"/>
                <w:highlight w:val="none"/>
              </w:rPr>
              <w:t>是否接受联合体投标</w:t>
            </w:r>
          </w:p>
        </w:tc>
        <w:tc>
          <w:tcPr>
            <w:tcW w:w="7271" w:type="dxa"/>
            <w:tcBorders>
              <w:top w:val="single" w:color="auto" w:sz="4" w:space="0"/>
              <w:left w:val="single" w:color="auto" w:sz="4" w:space="0"/>
              <w:bottom w:val="single" w:color="auto" w:sz="4" w:space="0"/>
              <w:right w:val="single" w:color="auto" w:sz="4" w:space="0"/>
            </w:tcBorders>
            <w:vAlign w:val="center"/>
          </w:tcPr>
          <w:p w14:paraId="67342D51">
            <w:pPr>
              <w:pStyle w:val="12"/>
              <w:keepNext/>
              <w:keepLines/>
              <w:spacing w:line="360" w:lineRule="auto"/>
              <w:rPr>
                <w:rFonts w:ascii="宋体" w:hAnsi="宋体" w:cs="宋体"/>
                <w:color w:val="auto"/>
                <w:szCs w:val="21"/>
                <w:highlight w:val="none"/>
              </w:rPr>
            </w:pPr>
            <w:bookmarkStart w:id="30" w:name="PO_3000001866_PM007"/>
            <w:r>
              <w:rPr>
                <w:rFonts w:hint="eastAsia" w:ascii="宋体" w:hAnsi="宋体" w:cs="宋体"/>
                <w:color w:val="auto"/>
                <w:szCs w:val="21"/>
                <w:highlight w:val="none"/>
              </w:rPr>
              <w:t>不允许联合体投标</w:t>
            </w:r>
            <w:bookmarkEnd w:id="30"/>
            <w:r>
              <w:rPr>
                <w:rFonts w:hint="eastAsia" w:ascii="宋体" w:hAnsi="宋体" w:cs="宋体"/>
                <w:color w:val="auto"/>
                <w:szCs w:val="21"/>
                <w:highlight w:val="none"/>
              </w:rPr>
              <w:t>。</w:t>
            </w:r>
          </w:p>
        </w:tc>
      </w:tr>
      <w:tr w14:paraId="0D2539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80" w:type="dxa"/>
            <w:tcBorders>
              <w:top w:val="single" w:color="auto" w:sz="4" w:space="0"/>
              <w:left w:val="single" w:color="auto" w:sz="4" w:space="0"/>
              <w:bottom w:val="single" w:color="auto" w:sz="4" w:space="0"/>
              <w:right w:val="single" w:color="auto" w:sz="4" w:space="0"/>
            </w:tcBorders>
            <w:vAlign w:val="center"/>
          </w:tcPr>
          <w:p w14:paraId="0291C6A6">
            <w:pPr>
              <w:keepNext/>
              <w:keepLines/>
              <w:spacing w:line="360" w:lineRule="auto"/>
              <w:jc w:val="center"/>
              <w:rPr>
                <w:rFonts w:ascii="宋体" w:hAnsi="宋体" w:cs="宋体"/>
                <w:color w:val="auto"/>
                <w:szCs w:val="21"/>
                <w:highlight w:val="none"/>
              </w:rPr>
            </w:pPr>
            <w:r>
              <w:rPr>
                <w:rFonts w:hint="eastAsia" w:ascii="宋体" w:hAnsi="宋体" w:cs="宋体"/>
                <w:color w:val="auto"/>
                <w:szCs w:val="21"/>
                <w:highlight w:val="none"/>
              </w:rPr>
              <w:t>6.2</w:t>
            </w:r>
          </w:p>
        </w:tc>
        <w:tc>
          <w:tcPr>
            <w:tcW w:w="1954" w:type="dxa"/>
            <w:tcBorders>
              <w:top w:val="single" w:color="auto" w:sz="4" w:space="0"/>
              <w:left w:val="single" w:color="auto" w:sz="4" w:space="0"/>
              <w:bottom w:val="single" w:color="auto" w:sz="4" w:space="0"/>
              <w:right w:val="single" w:color="auto" w:sz="4" w:space="0"/>
            </w:tcBorders>
            <w:vAlign w:val="center"/>
          </w:tcPr>
          <w:p w14:paraId="5C5D58E5">
            <w:pPr>
              <w:pStyle w:val="12"/>
              <w:keepNext/>
              <w:keepLines/>
              <w:spacing w:line="360" w:lineRule="auto"/>
              <w:rPr>
                <w:rFonts w:ascii="宋体" w:hAnsi="宋体" w:cs="宋体"/>
                <w:color w:val="auto"/>
                <w:szCs w:val="21"/>
                <w:highlight w:val="none"/>
              </w:rPr>
            </w:pPr>
            <w:r>
              <w:rPr>
                <w:rFonts w:hint="eastAsia" w:ascii="宋体" w:hAnsi="宋体" w:cs="宋体"/>
                <w:color w:val="auto"/>
                <w:szCs w:val="21"/>
                <w:highlight w:val="none"/>
              </w:rPr>
              <w:t>联合体投标要求</w:t>
            </w:r>
          </w:p>
        </w:tc>
        <w:tc>
          <w:tcPr>
            <w:tcW w:w="7271" w:type="dxa"/>
            <w:tcBorders>
              <w:top w:val="single" w:color="auto" w:sz="4" w:space="0"/>
              <w:left w:val="single" w:color="auto" w:sz="4" w:space="0"/>
              <w:bottom w:val="single" w:color="auto" w:sz="4" w:space="0"/>
              <w:right w:val="single" w:color="auto" w:sz="4" w:space="0"/>
            </w:tcBorders>
            <w:vAlign w:val="center"/>
          </w:tcPr>
          <w:p w14:paraId="77ABD28A">
            <w:pPr>
              <w:pStyle w:val="12"/>
              <w:keepNext/>
              <w:keepLines/>
              <w:spacing w:line="360" w:lineRule="auto"/>
              <w:rPr>
                <w:rFonts w:ascii="宋体" w:hAnsi="宋体" w:cs="宋体"/>
                <w:color w:val="auto"/>
                <w:szCs w:val="21"/>
                <w:highlight w:val="none"/>
              </w:rPr>
            </w:pPr>
            <w:r>
              <w:rPr>
                <w:rFonts w:hint="eastAsia" w:ascii="宋体" w:hAnsi="宋体" w:cs="宋体"/>
                <w:color w:val="auto"/>
                <w:szCs w:val="21"/>
                <w:highlight w:val="none"/>
              </w:rPr>
              <w:t>无</w:t>
            </w:r>
          </w:p>
        </w:tc>
      </w:tr>
      <w:tr w14:paraId="400A5E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80" w:type="dxa"/>
            <w:tcBorders>
              <w:top w:val="single" w:color="auto" w:sz="4" w:space="0"/>
              <w:left w:val="single" w:color="auto" w:sz="4" w:space="0"/>
              <w:bottom w:val="single" w:color="auto" w:sz="4" w:space="0"/>
              <w:right w:val="single" w:color="auto" w:sz="4" w:space="0"/>
            </w:tcBorders>
            <w:vAlign w:val="center"/>
          </w:tcPr>
          <w:p w14:paraId="6BBC45BF">
            <w:pPr>
              <w:keepNext/>
              <w:keepLines/>
              <w:spacing w:line="360" w:lineRule="auto"/>
              <w:jc w:val="center"/>
              <w:rPr>
                <w:rFonts w:ascii="宋体" w:hAnsi="宋体" w:cs="宋体"/>
                <w:color w:val="auto"/>
                <w:szCs w:val="21"/>
                <w:highlight w:val="none"/>
              </w:rPr>
            </w:pPr>
            <w:r>
              <w:rPr>
                <w:rFonts w:hint="eastAsia" w:ascii="宋体" w:hAnsi="宋体" w:cs="宋体"/>
                <w:color w:val="auto"/>
                <w:szCs w:val="21"/>
                <w:highlight w:val="none"/>
              </w:rPr>
              <w:t>7.2</w:t>
            </w:r>
          </w:p>
        </w:tc>
        <w:tc>
          <w:tcPr>
            <w:tcW w:w="1954" w:type="dxa"/>
            <w:tcBorders>
              <w:top w:val="single" w:color="auto" w:sz="4" w:space="0"/>
              <w:left w:val="single" w:color="auto" w:sz="4" w:space="0"/>
              <w:bottom w:val="single" w:color="auto" w:sz="4" w:space="0"/>
              <w:right w:val="single" w:color="auto" w:sz="4" w:space="0"/>
            </w:tcBorders>
            <w:vAlign w:val="center"/>
          </w:tcPr>
          <w:p w14:paraId="5B4F987B">
            <w:pPr>
              <w:keepNext/>
              <w:keepLines/>
              <w:spacing w:line="360" w:lineRule="auto"/>
              <w:rPr>
                <w:rFonts w:ascii="宋体" w:hAnsi="宋体" w:cs="宋体"/>
                <w:color w:val="auto"/>
                <w:szCs w:val="21"/>
                <w:highlight w:val="none"/>
              </w:rPr>
            </w:pPr>
            <w:r>
              <w:rPr>
                <w:rFonts w:hint="eastAsia" w:ascii="宋体" w:hAnsi="宋体" w:cs="宋体"/>
                <w:color w:val="auto"/>
                <w:szCs w:val="21"/>
                <w:highlight w:val="none"/>
              </w:rPr>
              <w:t>是否允许分包</w:t>
            </w:r>
          </w:p>
        </w:tc>
        <w:tc>
          <w:tcPr>
            <w:tcW w:w="7271" w:type="dxa"/>
            <w:tcBorders>
              <w:top w:val="single" w:color="auto" w:sz="4" w:space="0"/>
              <w:left w:val="single" w:color="auto" w:sz="4" w:space="0"/>
              <w:bottom w:val="single" w:color="auto" w:sz="4" w:space="0"/>
              <w:right w:val="single" w:color="auto" w:sz="4" w:space="0"/>
            </w:tcBorders>
            <w:vAlign w:val="center"/>
          </w:tcPr>
          <w:p w14:paraId="00B5D6A9">
            <w:pPr>
              <w:pStyle w:val="12"/>
              <w:keepNext/>
              <w:keepLines/>
              <w:spacing w:line="360" w:lineRule="auto"/>
              <w:rPr>
                <w:rFonts w:ascii="宋体" w:hAnsi="宋体" w:cs="宋体"/>
                <w:b/>
                <w:bCs/>
                <w:color w:val="auto"/>
                <w:szCs w:val="21"/>
                <w:highlight w:val="none"/>
              </w:rPr>
            </w:pPr>
            <w:bookmarkStart w:id="31" w:name="PO_3000001866_PM044"/>
            <w:r>
              <w:rPr>
                <w:rFonts w:hint="eastAsia" w:ascii="MS PGothic" w:hAnsi="MS PGothic" w:eastAsia="MS PGothic" w:cs="MS PGothic"/>
                <w:b/>
                <w:bCs/>
                <w:color w:val="auto"/>
                <w:szCs w:val="21"/>
                <w:highlight w:val="none"/>
              </w:rPr>
              <w:t>☑</w:t>
            </w:r>
            <w:r>
              <w:rPr>
                <w:rFonts w:hint="eastAsia" w:ascii="宋体" w:hAnsi="宋体" w:cs="宋体"/>
                <w:b/>
                <w:bCs/>
                <w:color w:val="auto"/>
                <w:szCs w:val="21"/>
                <w:highlight w:val="none"/>
              </w:rPr>
              <w:t>不允许</w:t>
            </w:r>
            <w:bookmarkEnd w:id="31"/>
            <w:r>
              <w:rPr>
                <w:rFonts w:hint="eastAsia" w:ascii="宋体" w:hAnsi="宋体" w:cs="宋体"/>
                <w:b/>
                <w:bCs/>
                <w:color w:val="auto"/>
                <w:szCs w:val="21"/>
                <w:highlight w:val="none"/>
              </w:rPr>
              <w:t>分包</w:t>
            </w:r>
          </w:p>
          <w:p w14:paraId="5CE57FF5">
            <w:pPr>
              <w:pStyle w:val="12"/>
              <w:keepNext/>
              <w:keepLines/>
              <w:spacing w:line="360" w:lineRule="auto"/>
              <w:rPr>
                <w:rFonts w:ascii="宋体" w:hAnsi="宋体" w:cs="宋体"/>
                <w:b/>
                <w:bCs/>
                <w:color w:val="auto"/>
                <w:szCs w:val="21"/>
                <w:highlight w:val="none"/>
              </w:rPr>
            </w:pPr>
            <w:r>
              <w:rPr>
                <w:rFonts w:hint="eastAsia" w:ascii="宋体" w:hAnsi="宋体" w:cs="宋体"/>
                <w:b/>
                <w:bCs/>
                <w:color w:val="auto"/>
                <w:szCs w:val="21"/>
                <w:highlight w:val="none"/>
              </w:rPr>
              <w:t>□允许分包</w:t>
            </w:r>
          </w:p>
          <w:p w14:paraId="0EE47086">
            <w:pPr>
              <w:pStyle w:val="12"/>
              <w:keepNext/>
              <w:keepLines/>
              <w:spacing w:line="360" w:lineRule="auto"/>
              <w:rPr>
                <w:rFonts w:ascii="宋体" w:hAnsi="宋体" w:cs="宋体"/>
                <w:color w:val="auto"/>
                <w:szCs w:val="21"/>
                <w:highlight w:val="none"/>
              </w:rPr>
            </w:pPr>
            <w:r>
              <w:rPr>
                <w:rFonts w:hint="eastAsia" w:ascii="宋体" w:hAnsi="宋体" w:cs="宋体"/>
                <w:color w:val="auto"/>
                <w:szCs w:val="21"/>
                <w:highlight w:val="none"/>
              </w:rPr>
              <w:t>分包内容：</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1EC9766B">
            <w:pPr>
              <w:pStyle w:val="12"/>
              <w:keepNext/>
              <w:keepLines/>
              <w:spacing w:line="360" w:lineRule="auto"/>
              <w:rPr>
                <w:rFonts w:ascii="宋体" w:hAnsi="宋体" w:cs="宋体"/>
                <w:color w:val="auto"/>
                <w:szCs w:val="21"/>
                <w:highlight w:val="none"/>
                <w:u w:val="single"/>
              </w:rPr>
            </w:pPr>
            <w:r>
              <w:rPr>
                <w:rFonts w:hint="eastAsia" w:ascii="宋体" w:hAnsi="宋体" w:cs="宋体"/>
                <w:color w:val="auto"/>
                <w:szCs w:val="21"/>
                <w:highlight w:val="none"/>
              </w:rPr>
              <w:t>分包金额或者比例：</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tc>
      </w:tr>
      <w:tr w14:paraId="1F3267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80" w:type="dxa"/>
            <w:tcBorders>
              <w:top w:val="single" w:color="auto" w:sz="4" w:space="0"/>
              <w:left w:val="single" w:color="auto" w:sz="4" w:space="0"/>
              <w:bottom w:val="single" w:color="auto" w:sz="4" w:space="0"/>
              <w:right w:val="single" w:color="auto" w:sz="4" w:space="0"/>
            </w:tcBorders>
            <w:vAlign w:val="center"/>
          </w:tcPr>
          <w:p w14:paraId="033569A9">
            <w:pPr>
              <w:keepNext/>
              <w:keepLines/>
              <w:spacing w:line="360" w:lineRule="auto"/>
              <w:jc w:val="center"/>
              <w:rPr>
                <w:rFonts w:ascii="宋体" w:hAnsi="宋体" w:cs="宋体"/>
                <w:color w:val="auto"/>
                <w:szCs w:val="21"/>
                <w:highlight w:val="none"/>
              </w:rPr>
            </w:pPr>
            <w:r>
              <w:rPr>
                <w:rFonts w:hint="eastAsia" w:ascii="宋体" w:hAnsi="宋体" w:cs="宋体"/>
                <w:color w:val="auto"/>
                <w:szCs w:val="21"/>
                <w:highlight w:val="none"/>
              </w:rPr>
              <w:t>11.4</w:t>
            </w:r>
          </w:p>
        </w:tc>
        <w:tc>
          <w:tcPr>
            <w:tcW w:w="1954" w:type="dxa"/>
            <w:tcBorders>
              <w:top w:val="single" w:color="auto" w:sz="4" w:space="0"/>
              <w:left w:val="single" w:color="auto" w:sz="4" w:space="0"/>
              <w:bottom w:val="single" w:color="auto" w:sz="4" w:space="0"/>
              <w:right w:val="single" w:color="auto" w:sz="4" w:space="0"/>
            </w:tcBorders>
            <w:vAlign w:val="center"/>
          </w:tcPr>
          <w:p w14:paraId="2E051FE0">
            <w:pPr>
              <w:keepNext/>
              <w:keepLines/>
              <w:spacing w:line="360" w:lineRule="auto"/>
              <w:rPr>
                <w:rFonts w:ascii="宋体" w:hAnsi="宋体" w:cs="宋体"/>
                <w:color w:val="auto"/>
                <w:szCs w:val="21"/>
                <w:highlight w:val="none"/>
              </w:rPr>
            </w:pPr>
            <w:r>
              <w:rPr>
                <w:rFonts w:hint="eastAsia" w:ascii="宋体" w:hAnsi="宋体" w:cs="宋体"/>
                <w:color w:val="auto"/>
                <w:szCs w:val="21"/>
                <w:highlight w:val="none"/>
              </w:rPr>
              <w:t>媒体发布渠道</w:t>
            </w:r>
          </w:p>
        </w:tc>
        <w:tc>
          <w:tcPr>
            <w:tcW w:w="7271" w:type="dxa"/>
            <w:tcBorders>
              <w:top w:val="single" w:color="auto" w:sz="4" w:space="0"/>
              <w:left w:val="single" w:color="auto" w:sz="4" w:space="0"/>
              <w:bottom w:val="single" w:color="auto" w:sz="4" w:space="0"/>
              <w:right w:val="single" w:color="auto" w:sz="4" w:space="0"/>
            </w:tcBorders>
            <w:vAlign w:val="center"/>
          </w:tcPr>
          <w:p w14:paraId="5DB9A43B">
            <w:pPr>
              <w:keepNext/>
              <w:keepLines/>
              <w:spacing w:line="360" w:lineRule="auto"/>
              <w:rPr>
                <w:rFonts w:ascii="宋体" w:hAnsi="宋体" w:cs="宋体"/>
                <w:color w:val="auto"/>
                <w:szCs w:val="21"/>
                <w:highlight w:val="none"/>
              </w:rPr>
            </w:pPr>
            <w:r>
              <w:rPr>
                <w:rFonts w:hint="eastAsia" w:ascii="宋体" w:hAnsi="宋体" w:cs="宋体"/>
                <w:color w:val="auto"/>
                <w:szCs w:val="21"/>
                <w:highlight w:val="none"/>
              </w:rPr>
              <w:t>与本项目相关的政府采购业务澄清、更正及与之相关的事项将在招标公告中“六、其他补充事宜”中网上查询地址上发布</w:t>
            </w:r>
            <w:r>
              <w:rPr>
                <w:rFonts w:hint="eastAsia" w:ascii="宋体" w:hAnsi="宋体" w:cs="宋体"/>
                <w:color w:val="auto"/>
                <w:kern w:val="0"/>
                <w:szCs w:val="21"/>
                <w:highlight w:val="none"/>
              </w:rPr>
              <w:t>。</w:t>
            </w:r>
          </w:p>
        </w:tc>
      </w:tr>
      <w:tr w14:paraId="68FC81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80" w:type="dxa"/>
            <w:tcBorders>
              <w:top w:val="single" w:color="auto" w:sz="4" w:space="0"/>
              <w:left w:val="single" w:color="auto" w:sz="4" w:space="0"/>
              <w:bottom w:val="single" w:color="auto" w:sz="4" w:space="0"/>
              <w:right w:val="single" w:color="auto" w:sz="4" w:space="0"/>
            </w:tcBorders>
            <w:vAlign w:val="center"/>
          </w:tcPr>
          <w:p w14:paraId="25A2A03B">
            <w:pPr>
              <w:keepNext/>
              <w:keepLines/>
              <w:spacing w:line="360" w:lineRule="auto"/>
              <w:jc w:val="center"/>
              <w:rPr>
                <w:rFonts w:ascii="宋体" w:hAnsi="宋体" w:cs="宋体"/>
                <w:color w:val="auto"/>
                <w:szCs w:val="21"/>
                <w:highlight w:val="none"/>
              </w:rPr>
            </w:pPr>
            <w:r>
              <w:rPr>
                <w:rFonts w:hint="eastAsia" w:ascii="宋体" w:hAnsi="宋体" w:cs="宋体"/>
                <w:color w:val="auto"/>
                <w:szCs w:val="21"/>
                <w:highlight w:val="none"/>
              </w:rPr>
              <w:t>11.6</w:t>
            </w:r>
          </w:p>
        </w:tc>
        <w:tc>
          <w:tcPr>
            <w:tcW w:w="1954" w:type="dxa"/>
            <w:tcBorders>
              <w:top w:val="single" w:color="auto" w:sz="4" w:space="0"/>
              <w:left w:val="single" w:color="auto" w:sz="4" w:space="0"/>
              <w:bottom w:val="single" w:color="auto" w:sz="4" w:space="0"/>
              <w:right w:val="single" w:color="auto" w:sz="4" w:space="0"/>
            </w:tcBorders>
            <w:vAlign w:val="center"/>
          </w:tcPr>
          <w:p w14:paraId="60DAEBF1">
            <w:pPr>
              <w:keepNext/>
              <w:keepLines/>
              <w:spacing w:line="360" w:lineRule="auto"/>
              <w:rPr>
                <w:rFonts w:ascii="宋体" w:hAnsi="宋体" w:cs="宋体"/>
                <w:color w:val="auto"/>
                <w:szCs w:val="21"/>
                <w:highlight w:val="none"/>
              </w:rPr>
            </w:pPr>
            <w:r>
              <w:rPr>
                <w:rFonts w:hint="eastAsia" w:ascii="宋体" w:hAnsi="宋体" w:cs="宋体"/>
                <w:color w:val="auto"/>
                <w:szCs w:val="21"/>
                <w:highlight w:val="none"/>
              </w:rPr>
              <w:t>是否组织标前答疑会</w:t>
            </w:r>
          </w:p>
        </w:tc>
        <w:tc>
          <w:tcPr>
            <w:tcW w:w="7271" w:type="dxa"/>
            <w:tcBorders>
              <w:top w:val="single" w:color="auto" w:sz="4" w:space="0"/>
              <w:left w:val="single" w:color="auto" w:sz="4" w:space="0"/>
              <w:bottom w:val="single" w:color="auto" w:sz="4" w:space="0"/>
              <w:right w:val="single" w:color="auto" w:sz="4" w:space="0"/>
            </w:tcBorders>
            <w:vAlign w:val="center"/>
          </w:tcPr>
          <w:p w14:paraId="1EFC72CA">
            <w:pPr>
              <w:keepNext/>
              <w:keepLines/>
              <w:spacing w:line="360" w:lineRule="auto"/>
              <w:rPr>
                <w:rFonts w:ascii="宋体" w:hAnsi="宋体" w:cs="宋体"/>
                <w:b/>
                <w:bCs/>
                <w:color w:val="auto"/>
                <w:szCs w:val="21"/>
                <w:highlight w:val="none"/>
              </w:rPr>
            </w:pPr>
            <w:r>
              <w:rPr>
                <w:rFonts w:hint="eastAsia" w:ascii="MS PGothic" w:hAnsi="MS PGothic" w:eastAsia="MS PGothic" w:cs="MS PGothic"/>
                <w:b/>
                <w:bCs/>
                <w:color w:val="auto"/>
                <w:szCs w:val="21"/>
                <w:highlight w:val="none"/>
              </w:rPr>
              <w:t>☑</w:t>
            </w:r>
            <w:r>
              <w:rPr>
                <w:rFonts w:hint="eastAsia" w:ascii="宋体" w:hAnsi="宋体" w:cs="宋体"/>
                <w:b/>
                <w:bCs/>
                <w:color w:val="auto"/>
                <w:szCs w:val="21"/>
                <w:highlight w:val="none"/>
              </w:rPr>
              <w:t>不组织召开开标前答疑会</w:t>
            </w:r>
          </w:p>
          <w:p w14:paraId="01E07690">
            <w:pPr>
              <w:keepNext/>
              <w:keepLines/>
              <w:spacing w:line="360" w:lineRule="auto"/>
              <w:rPr>
                <w:rFonts w:ascii="宋体" w:hAnsi="宋体" w:cs="宋体"/>
                <w:color w:val="auto"/>
                <w:szCs w:val="21"/>
                <w:highlight w:val="none"/>
              </w:rPr>
            </w:pPr>
            <w:r>
              <w:rPr>
                <w:rFonts w:hint="eastAsia" w:ascii="宋体" w:hAnsi="宋体" w:cs="宋体"/>
                <w:color w:val="auto"/>
                <w:szCs w:val="21"/>
                <w:highlight w:val="none"/>
              </w:rPr>
              <w:t>□组织召开开标前答疑会</w:t>
            </w:r>
          </w:p>
          <w:p w14:paraId="5BE48BEF">
            <w:pPr>
              <w:keepNext/>
              <w:keepLines/>
              <w:spacing w:line="360" w:lineRule="auto"/>
              <w:rPr>
                <w:rFonts w:ascii="宋体" w:hAnsi="宋体" w:cs="宋体"/>
                <w:color w:val="auto"/>
                <w:szCs w:val="21"/>
                <w:highlight w:val="none"/>
              </w:rPr>
            </w:pPr>
            <w:r>
              <w:rPr>
                <w:rFonts w:hint="eastAsia" w:ascii="宋体" w:hAnsi="宋体" w:cs="宋体"/>
                <w:color w:val="auto"/>
                <w:szCs w:val="21"/>
                <w:highlight w:val="none"/>
              </w:rPr>
              <w:t>会议开始时间：</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日</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时</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分，逾期后果自负。</w:t>
            </w:r>
          </w:p>
          <w:p w14:paraId="60159F2D">
            <w:pPr>
              <w:keepNext/>
              <w:keepLines/>
              <w:spacing w:line="360" w:lineRule="auto"/>
              <w:rPr>
                <w:rFonts w:ascii="宋体" w:hAnsi="宋体" w:cs="宋体"/>
                <w:color w:val="auto"/>
                <w:szCs w:val="21"/>
                <w:highlight w:val="none"/>
              </w:rPr>
            </w:pPr>
            <w:r>
              <w:rPr>
                <w:rFonts w:hint="eastAsia" w:ascii="宋体" w:hAnsi="宋体" w:cs="宋体"/>
                <w:color w:val="auto"/>
                <w:szCs w:val="21"/>
                <w:highlight w:val="none"/>
              </w:rPr>
              <w:t>会议地点：</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tc>
      </w:tr>
      <w:tr w14:paraId="5239EA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80" w:type="dxa"/>
            <w:vMerge w:val="restart"/>
            <w:tcBorders>
              <w:left w:val="single" w:color="auto" w:sz="4" w:space="0"/>
              <w:right w:val="single" w:color="auto" w:sz="4" w:space="0"/>
            </w:tcBorders>
            <w:vAlign w:val="center"/>
          </w:tcPr>
          <w:p w14:paraId="4AAC5749">
            <w:pPr>
              <w:keepNext/>
              <w:keepLines/>
              <w:spacing w:line="360" w:lineRule="auto"/>
              <w:jc w:val="center"/>
              <w:rPr>
                <w:rFonts w:ascii="宋体" w:hAnsi="宋体" w:cs="宋体"/>
                <w:color w:val="auto"/>
                <w:szCs w:val="21"/>
                <w:highlight w:val="none"/>
              </w:rPr>
            </w:pPr>
            <w:r>
              <w:rPr>
                <w:rFonts w:hint="eastAsia" w:ascii="宋体" w:hAnsi="宋体" w:cs="宋体"/>
                <w:color w:val="auto"/>
                <w:szCs w:val="21"/>
                <w:highlight w:val="none"/>
              </w:rPr>
              <w:t>13.1</w:t>
            </w:r>
          </w:p>
        </w:tc>
        <w:tc>
          <w:tcPr>
            <w:tcW w:w="1954" w:type="dxa"/>
            <w:tcBorders>
              <w:top w:val="single" w:color="auto" w:sz="4" w:space="0"/>
              <w:left w:val="single" w:color="auto" w:sz="4" w:space="0"/>
              <w:bottom w:val="single" w:color="auto" w:sz="4" w:space="0"/>
              <w:right w:val="single" w:color="auto" w:sz="4" w:space="0"/>
            </w:tcBorders>
            <w:vAlign w:val="center"/>
          </w:tcPr>
          <w:p w14:paraId="2D4104B3">
            <w:pPr>
              <w:keepNext/>
              <w:keepLines/>
              <w:spacing w:line="360" w:lineRule="auto"/>
              <w:jc w:val="left"/>
              <w:rPr>
                <w:rFonts w:ascii="宋体" w:hAnsi="宋体" w:cs="宋体"/>
                <w:color w:val="auto"/>
                <w:szCs w:val="21"/>
                <w:highlight w:val="none"/>
              </w:rPr>
            </w:pPr>
            <w:bookmarkStart w:id="32" w:name="_13.2"/>
            <w:bookmarkEnd w:id="32"/>
            <w:r>
              <w:rPr>
                <w:rFonts w:hint="eastAsia" w:ascii="宋体" w:hAnsi="宋体" w:cs="宋体"/>
                <w:color w:val="auto"/>
                <w:szCs w:val="21"/>
                <w:highlight w:val="none"/>
              </w:rPr>
              <w:t>资格证明文件组成</w:t>
            </w:r>
          </w:p>
        </w:tc>
        <w:tc>
          <w:tcPr>
            <w:tcW w:w="7271" w:type="dxa"/>
            <w:tcBorders>
              <w:top w:val="single" w:color="auto" w:sz="4" w:space="0"/>
              <w:left w:val="single" w:color="auto" w:sz="4" w:space="0"/>
              <w:bottom w:val="single" w:color="auto" w:sz="4" w:space="0"/>
              <w:right w:val="single" w:color="auto" w:sz="4" w:space="0"/>
            </w:tcBorders>
            <w:vAlign w:val="center"/>
          </w:tcPr>
          <w:p w14:paraId="5FF543A7">
            <w:pPr>
              <w:keepNext/>
              <w:keepLines/>
              <w:numPr>
                <w:ilvl w:val="0"/>
                <w:numId w:val="11"/>
              </w:numPr>
              <w:spacing w:line="360" w:lineRule="auto"/>
              <w:ind w:firstLine="0"/>
              <w:jc w:val="left"/>
              <w:rPr>
                <w:rFonts w:ascii="宋体" w:hAnsi="宋体" w:cs="宋体"/>
                <w:color w:val="auto"/>
                <w:szCs w:val="21"/>
                <w:highlight w:val="none"/>
              </w:rPr>
            </w:pPr>
            <w:r>
              <w:rPr>
                <w:rFonts w:hint="eastAsia" w:ascii="宋体" w:hAnsi="宋体" w:cs="宋体"/>
                <w:color w:val="auto"/>
                <w:szCs w:val="21"/>
                <w:highlight w:val="none"/>
              </w:rPr>
              <w:t>投标人为法人或者其他组织的，提供营业执照等证明文件（如营业执照或者事业单位法人证书或者执业许可证等）；投标人为自然人的，提供身份证复印件；（</w:t>
            </w:r>
            <w:r>
              <w:rPr>
                <w:rFonts w:hint="eastAsia" w:ascii="宋体" w:hAnsi="宋体" w:eastAsia="仿宋" w:cs="宋体"/>
                <w:b/>
                <w:color w:val="auto"/>
                <w:szCs w:val="21"/>
                <w:highlight w:val="none"/>
              </w:rPr>
              <w:t>必须提供，否则作无效投标处理</w:t>
            </w:r>
            <w:r>
              <w:rPr>
                <w:rFonts w:hint="eastAsia" w:ascii="宋体" w:hAnsi="宋体" w:cs="宋体"/>
                <w:color w:val="auto"/>
                <w:szCs w:val="21"/>
                <w:highlight w:val="none"/>
              </w:rPr>
              <w:t>）</w:t>
            </w:r>
          </w:p>
          <w:p w14:paraId="5DDCE517">
            <w:pPr>
              <w:keepNext/>
              <w:keepLines/>
              <w:numPr>
                <w:ilvl w:val="0"/>
                <w:numId w:val="11"/>
              </w:numPr>
              <w:spacing w:line="360" w:lineRule="auto"/>
              <w:ind w:firstLine="0"/>
              <w:jc w:val="left"/>
              <w:rPr>
                <w:rFonts w:ascii="宋体" w:hAnsi="宋体" w:cs="宋体"/>
                <w:color w:val="auto"/>
                <w:szCs w:val="21"/>
                <w:highlight w:val="none"/>
              </w:rPr>
            </w:pPr>
            <w:r>
              <w:rPr>
                <w:rFonts w:hint="eastAsia" w:ascii="宋体" w:hAnsi="宋体" w:cs="宋体"/>
                <w:color w:val="auto"/>
                <w:szCs w:val="21"/>
                <w:highlight w:val="none"/>
              </w:rPr>
              <w:t>投标人依法缴纳税收的相关材料（</w:t>
            </w:r>
            <w:r>
              <w:rPr>
                <w:rFonts w:hint="eastAsia" w:ascii="宋体" w:hAnsi="宋体" w:cs="宋体"/>
                <w:color w:val="auto"/>
                <w:szCs w:val="21"/>
                <w:highlight w:val="none"/>
                <w:u w:val="single"/>
              </w:rPr>
              <w:t>2024年1月至2024年9月</w:t>
            </w:r>
            <w:r>
              <w:rPr>
                <w:rFonts w:hint="eastAsia" w:ascii="宋体" w:hAnsi="宋体" w:cs="宋体"/>
                <w:color w:val="auto"/>
                <w:szCs w:val="21"/>
                <w:highlight w:val="none"/>
              </w:rPr>
              <w:t>内任意</w:t>
            </w:r>
            <w:r>
              <w:rPr>
                <w:rFonts w:ascii="宋体" w:hAnsi="宋体" w:cs="宋体"/>
                <w:color w:val="auto"/>
                <w:szCs w:val="21"/>
                <w:highlight w:val="none"/>
                <w:u w:val="single"/>
              </w:rPr>
              <w:t>3</w:t>
            </w:r>
            <w:r>
              <w:rPr>
                <w:rFonts w:hint="eastAsia" w:ascii="宋体" w:hAnsi="宋体" w:cs="宋体"/>
                <w:color w:val="auto"/>
                <w:szCs w:val="21"/>
                <w:highlight w:val="none"/>
              </w:rPr>
              <w:t>个月的依法缴纳税收的凭据复印件；依法免税的投标人，必须提供相应文件证明其依法免税。从取得营业执照时间起到投标文件提交截止时间为止不足要求月数的，只需提供从取得营业执照起的依法缴纳税收相应证明文件）；（</w:t>
            </w:r>
            <w:r>
              <w:rPr>
                <w:rFonts w:hint="eastAsia" w:ascii="宋体" w:hAnsi="宋体" w:eastAsia="仿宋" w:cs="宋体"/>
                <w:b/>
                <w:color w:val="auto"/>
                <w:szCs w:val="21"/>
                <w:highlight w:val="none"/>
              </w:rPr>
              <w:t>必须提供，否则作无效投标处理</w:t>
            </w:r>
            <w:r>
              <w:rPr>
                <w:rFonts w:hint="eastAsia" w:ascii="宋体" w:hAnsi="宋体" w:cs="宋体"/>
                <w:color w:val="auto"/>
                <w:szCs w:val="21"/>
                <w:highlight w:val="none"/>
              </w:rPr>
              <w:t>）</w:t>
            </w:r>
          </w:p>
          <w:p w14:paraId="3CAD108D">
            <w:pPr>
              <w:keepNext/>
              <w:keepLines/>
              <w:numPr>
                <w:ilvl w:val="0"/>
                <w:numId w:val="11"/>
              </w:numPr>
              <w:spacing w:line="360" w:lineRule="auto"/>
              <w:ind w:firstLine="0"/>
              <w:jc w:val="left"/>
              <w:rPr>
                <w:rFonts w:ascii="宋体" w:hAnsi="宋体" w:cs="宋体"/>
                <w:color w:val="auto"/>
                <w:szCs w:val="21"/>
                <w:highlight w:val="none"/>
              </w:rPr>
            </w:pPr>
            <w:r>
              <w:rPr>
                <w:rFonts w:hint="eastAsia" w:ascii="宋体" w:hAnsi="宋体" w:cs="宋体"/>
                <w:color w:val="auto"/>
                <w:szCs w:val="21"/>
                <w:highlight w:val="none"/>
              </w:rPr>
              <w:t>投标人依法缴纳社会保障资金的相关材料[</w:t>
            </w:r>
            <w:r>
              <w:rPr>
                <w:rFonts w:hint="eastAsia" w:ascii="宋体" w:hAnsi="宋体" w:cs="宋体"/>
                <w:color w:val="auto"/>
                <w:szCs w:val="21"/>
                <w:highlight w:val="none"/>
                <w:u w:val="single"/>
              </w:rPr>
              <w:t>2024年1月至2024年9月</w:t>
            </w:r>
            <w:r>
              <w:rPr>
                <w:rFonts w:hint="eastAsia" w:ascii="宋体" w:hAnsi="宋体" w:cs="宋体"/>
                <w:color w:val="auto"/>
                <w:szCs w:val="21"/>
                <w:highlight w:val="none"/>
              </w:rPr>
              <w:t>内任意</w:t>
            </w:r>
            <w:r>
              <w:rPr>
                <w:rFonts w:ascii="宋体" w:hAnsi="宋体" w:cs="宋体"/>
                <w:color w:val="auto"/>
                <w:szCs w:val="21"/>
                <w:highlight w:val="none"/>
                <w:u w:val="single"/>
              </w:rPr>
              <w:t>3</w:t>
            </w:r>
            <w:r>
              <w:rPr>
                <w:rFonts w:hint="eastAsia" w:ascii="宋体" w:hAnsi="宋体" w:cs="宋体"/>
                <w:color w:val="auto"/>
                <w:szCs w:val="21"/>
                <w:highlight w:val="none"/>
              </w:rPr>
              <w:t>个月的依法缴纳社会保障资金的缴费凭证（</w:t>
            </w:r>
            <w:r>
              <w:rPr>
                <w:rFonts w:hint="eastAsia"/>
                <w:color w:val="auto"/>
                <w:highlight w:val="none"/>
              </w:rPr>
              <w:t>如：</w:t>
            </w:r>
            <w:r>
              <w:rPr>
                <w:rFonts w:hint="eastAsia" w:ascii="宋体" w:hAnsi="宋体" w:cs="宋体"/>
                <w:color w:val="auto"/>
                <w:szCs w:val="21"/>
                <w:highlight w:val="none"/>
              </w:rPr>
              <w:t>专用收据、社会保险缴纳清单或者社保部门的证明）复印件；依法不需要缴纳社会保障资金的投标人，必须提供相应文件证明不需要缴纳社会保障资金。从取得营业执照时间起到投标文件提交截止时间为止不足要求月数的只需提供从取得营业执照起依法缴纳社会保障资金的相应证明文件]；（</w:t>
            </w:r>
            <w:r>
              <w:rPr>
                <w:rFonts w:hint="eastAsia" w:ascii="宋体" w:hAnsi="宋体" w:eastAsia="仿宋" w:cs="宋体"/>
                <w:b/>
                <w:color w:val="auto"/>
                <w:szCs w:val="21"/>
                <w:highlight w:val="none"/>
              </w:rPr>
              <w:t>必须提供，否则作无效投标处理</w:t>
            </w:r>
            <w:r>
              <w:rPr>
                <w:rFonts w:hint="eastAsia" w:ascii="宋体" w:hAnsi="宋体" w:cs="宋体"/>
                <w:color w:val="auto"/>
                <w:szCs w:val="21"/>
                <w:highlight w:val="none"/>
              </w:rPr>
              <w:t>）</w:t>
            </w:r>
          </w:p>
          <w:p w14:paraId="3BFF1B68">
            <w:pPr>
              <w:keepNext/>
              <w:keepLines/>
              <w:numPr>
                <w:ilvl w:val="0"/>
                <w:numId w:val="11"/>
              </w:numPr>
              <w:spacing w:line="360" w:lineRule="auto"/>
              <w:ind w:firstLine="0"/>
              <w:rPr>
                <w:rFonts w:ascii="宋体" w:hAnsi="宋体" w:cs="宋体"/>
                <w:color w:val="auto"/>
                <w:szCs w:val="21"/>
                <w:highlight w:val="none"/>
              </w:rPr>
            </w:pPr>
            <w:r>
              <w:rPr>
                <w:rFonts w:hint="eastAsia" w:ascii="宋体" w:hAnsi="宋体" w:cs="宋体"/>
                <w:color w:val="auto"/>
                <w:szCs w:val="21"/>
                <w:highlight w:val="none"/>
              </w:rPr>
              <w:t>投标人</w:t>
            </w:r>
            <w:r>
              <w:rPr>
                <w:rFonts w:hint="eastAsia" w:ascii="宋体" w:hAnsi="宋体" w:cs="宋体"/>
                <w:color w:val="auto"/>
                <w:szCs w:val="21"/>
                <w:highlight w:val="none"/>
                <w:u w:val="single"/>
              </w:rPr>
              <w:t>2023</w:t>
            </w:r>
            <w:r>
              <w:rPr>
                <w:rFonts w:hint="eastAsia" w:ascii="宋体" w:hAnsi="宋体" w:cs="宋体"/>
                <w:color w:val="auto"/>
                <w:szCs w:val="21"/>
                <w:highlight w:val="none"/>
              </w:rPr>
              <w:t>年度财务状况报告[或者银行出具的资信证明，或者中国人民银行征信中心出具的信用报告（企业投标的提供企业信用报告，自然人投标的提供个人信用报告）]；若投标人成立不满一年的应提供投标截止之日上一个月的财务报表复印件；（</w:t>
            </w:r>
            <w:r>
              <w:rPr>
                <w:rFonts w:hint="eastAsia" w:ascii="宋体" w:hAnsi="宋体" w:eastAsia="仿宋" w:cs="宋体"/>
                <w:b/>
                <w:color w:val="auto"/>
                <w:szCs w:val="21"/>
                <w:highlight w:val="none"/>
              </w:rPr>
              <w:t>必须提供，否则作无效投标处理</w:t>
            </w:r>
            <w:r>
              <w:rPr>
                <w:rFonts w:hint="eastAsia" w:ascii="宋体" w:hAnsi="宋体" w:cs="宋体"/>
                <w:color w:val="auto"/>
                <w:szCs w:val="21"/>
                <w:highlight w:val="none"/>
              </w:rPr>
              <w:t>）</w:t>
            </w:r>
          </w:p>
          <w:p w14:paraId="4739247E">
            <w:pPr>
              <w:keepNext/>
              <w:keepLines/>
              <w:numPr>
                <w:ilvl w:val="0"/>
                <w:numId w:val="11"/>
              </w:numPr>
              <w:spacing w:line="360" w:lineRule="auto"/>
              <w:ind w:firstLine="0"/>
              <w:jc w:val="left"/>
              <w:rPr>
                <w:rFonts w:ascii="宋体" w:hAnsi="宋体" w:cs="宋体"/>
                <w:color w:val="auto"/>
                <w:szCs w:val="21"/>
                <w:highlight w:val="none"/>
              </w:rPr>
            </w:pPr>
            <w:r>
              <w:rPr>
                <w:rFonts w:hint="eastAsia" w:ascii="宋体" w:hAnsi="宋体" w:cs="宋体"/>
                <w:color w:val="auto"/>
                <w:szCs w:val="21"/>
                <w:highlight w:val="none"/>
              </w:rPr>
              <w:t>投标人直接控股、管理关系信息表（格式后附）；（</w:t>
            </w:r>
            <w:r>
              <w:rPr>
                <w:rFonts w:hint="eastAsia" w:ascii="宋体" w:hAnsi="宋体" w:eastAsia="仿宋" w:cs="宋体"/>
                <w:b/>
                <w:color w:val="auto"/>
                <w:szCs w:val="21"/>
                <w:highlight w:val="none"/>
              </w:rPr>
              <w:t>必须提供，否则作无效投标处理</w:t>
            </w:r>
            <w:r>
              <w:rPr>
                <w:rFonts w:hint="eastAsia" w:ascii="宋体" w:hAnsi="宋体" w:cs="宋体"/>
                <w:color w:val="auto"/>
                <w:szCs w:val="21"/>
                <w:highlight w:val="none"/>
              </w:rPr>
              <w:t>）</w:t>
            </w:r>
          </w:p>
          <w:p w14:paraId="250C7FAD">
            <w:pPr>
              <w:keepNext/>
              <w:keepLines/>
              <w:numPr>
                <w:ilvl w:val="0"/>
                <w:numId w:val="11"/>
              </w:numPr>
              <w:spacing w:line="360" w:lineRule="auto"/>
              <w:ind w:firstLine="0"/>
              <w:jc w:val="left"/>
              <w:rPr>
                <w:rFonts w:ascii="宋体" w:hAnsi="宋体" w:cs="宋体"/>
                <w:color w:val="auto"/>
                <w:szCs w:val="21"/>
                <w:highlight w:val="none"/>
              </w:rPr>
            </w:pPr>
            <w:r>
              <w:rPr>
                <w:rFonts w:hint="eastAsia" w:ascii="宋体" w:hAnsi="宋体" w:cs="宋体"/>
                <w:color w:val="auto"/>
                <w:szCs w:val="21"/>
                <w:highlight w:val="none"/>
              </w:rPr>
              <w:t>投标声明（格式后附）；（</w:t>
            </w:r>
            <w:r>
              <w:rPr>
                <w:rFonts w:hint="eastAsia" w:ascii="宋体" w:hAnsi="宋体" w:eastAsia="仿宋" w:cs="宋体"/>
                <w:b/>
                <w:color w:val="auto"/>
                <w:szCs w:val="21"/>
                <w:highlight w:val="none"/>
              </w:rPr>
              <w:t>必须提供，否则作无效投标处理</w:t>
            </w:r>
            <w:r>
              <w:rPr>
                <w:rFonts w:hint="eastAsia" w:ascii="宋体" w:hAnsi="宋体" w:cs="宋体"/>
                <w:color w:val="auto"/>
                <w:szCs w:val="21"/>
                <w:highlight w:val="none"/>
              </w:rPr>
              <w:t>）</w:t>
            </w:r>
          </w:p>
          <w:p w14:paraId="13B58157">
            <w:pPr>
              <w:keepNext/>
              <w:keepLines/>
              <w:numPr>
                <w:ilvl w:val="0"/>
                <w:numId w:val="11"/>
              </w:numPr>
              <w:spacing w:line="360" w:lineRule="auto"/>
              <w:ind w:firstLine="0"/>
              <w:jc w:val="left"/>
              <w:rPr>
                <w:rFonts w:ascii="宋体" w:hAnsi="宋体" w:cs="宋体"/>
                <w:color w:val="auto"/>
                <w:szCs w:val="21"/>
                <w:highlight w:val="none"/>
              </w:rPr>
            </w:pPr>
            <w:r>
              <w:rPr>
                <w:rFonts w:hint="eastAsia" w:ascii="宋体" w:hAnsi="宋体" w:cs="宋体"/>
                <w:color w:val="auto"/>
                <w:szCs w:val="21"/>
                <w:highlight w:val="none"/>
              </w:rPr>
              <w:t>除招标文件规定必须提供以外，投标人认需要提供的其他证明材料。</w:t>
            </w:r>
          </w:p>
          <w:p w14:paraId="3528B865">
            <w:pPr>
              <w:keepNext/>
              <w:keepLines/>
              <w:spacing w:line="360" w:lineRule="auto"/>
              <w:jc w:val="left"/>
              <w:rPr>
                <w:rFonts w:ascii="仿宋" w:hAnsi="仿宋" w:eastAsia="仿宋" w:cs="仿宋"/>
                <w:b/>
                <w:bCs/>
                <w:color w:val="auto"/>
                <w:szCs w:val="21"/>
                <w:highlight w:val="none"/>
              </w:rPr>
            </w:pPr>
            <w:r>
              <w:rPr>
                <w:rFonts w:hint="eastAsia" w:ascii="仿宋" w:hAnsi="仿宋" w:eastAsia="仿宋" w:cs="仿宋"/>
                <w:b/>
                <w:bCs/>
                <w:color w:val="auto"/>
                <w:szCs w:val="21"/>
                <w:highlight w:val="none"/>
              </w:rPr>
              <w:t>注：</w:t>
            </w:r>
          </w:p>
          <w:p w14:paraId="2EDF1992">
            <w:pPr>
              <w:keepNext/>
              <w:keepLines/>
              <w:spacing w:line="360" w:lineRule="auto"/>
              <w:ind w:firstLine="422" w:firstLineChars="200"/>
              <w:jc w:val="left"/>
              <w:rPr>
                <w:rFonts w:ascii="仿宋" w:hAnsi="仿宋" w:eastAsia="仿宋" w:cs="仿宋"/>
                <w:b/>
                <w:color w:val="auto"/>
                <w:szCs w:val="21"/>
                <w:highlight w:val="none"/>
              </w:rPr>
            </w:pPr>
            <w:r>
              <w:rPr>
                <w:rFonts w:hint="eastAsia" w:ascii="仿宋" w:hAnsi="仿宋" w:eastAsia="仿宋" w:cs="仿宋"/>
                <w:b/>
                <w:bCs/>
                <w:color w:val="auto"/>
                <w:szCs w:val="21"/>
                <w:highlight w:val="none"/>
              </w:rPr>
              <w:t>1.</w:t>
            </w:r>
            <w:r>
              <w:rPr>
                <w:rFonts w:hint="eastAsia" w:ascii="仿宋" w:hAnsi="仿宋" w:eastAsia="仿宋" w:cs="仿宋"/>
                <w:color w:val="auto"/>
                <w:szCs w:val="21"/>
                <w:highlight w:val="none"/>
              </w:rPr>
              <w:t xml:space="preserve"> </w:t>
            </w:r>
            <w:r>
              <w:rPr>
                <w:rFonts w:hint="eastAsia" w:ascii="仿宋" w:hAnsi="仿宋" w:eastAsia="仿宋" w:cs="仿宋"/>
                <w:b/>
                <w:bCs/>
                <w:color w:val="auto"/>
                <w:szCs w:val="21"/>
                <w:highlight w:val="none"/>
              </w:rPr>
              <w:t>以上标明“必须提供”的材料，必须加盖投标人电子签章，否则作无效投标处理</w:t>
            </w:r>
            <w:r>
              <w:rPr>
                <w:rFonts w:hint="eastAsia" w:ascii="仿宋" w:hAnsi="仿宋" w:eastAsia="仿宋" w:cs="仿宋"/>
                <w:b/>
                <w:color w:val="auto"/>
                <w:szCs w:val="21"/>
                <w:highlight w:val="none"/>
              </w:rPr>
              <w:t>。</w:t>
            </w:r>
          </w:p>
          <w:p w14:paraId="0B3999F1">
            <w:pPr>
              <w:keepNext/>
              <w:keepLines/>
              <w:spacing w:line="360" w:lineRule="auto"/>
              <w:ind w:firstLine="422" w:firstLineChars="200"/>
              <w:jc w:val="left"/>
              <w:rPr>
                <w:rFonts w:ascii="宋体" w:hAnsi="宋体" w:cs="宋体"/>
                <w:b/>
                <w:bCs/>
                <w:color w:val="auto"/>
                <w:szCs w:val="21"/>
                <w:highlight w:val="none"/>
              </w:rPr>
            </w:pPr>
            <w:r>
              <w:rPr>
                <w:rFonts w:hint="eastAsia" w:ascii="仿宋" w:hAnsi="仿宋" w:eastAsia="仿宋" w:cs="仿宋"/>
                <w:b/>
                <w:bCs/>
                <w:color w:val="auto"/>
                <w:szCs w:val="21"/>
                <w:highlight w:val="none"/>
              </w:rPr>
              <w:t>2.必须提供的材料在第六章“投标文件格式”中有要求法定代表人或委托代理人签字的，必须由法定代表人或委托代理人签字（签字方式可使用法定代表人或委托代理人个人电子签章，没有办理广西政府采购云平台个人电子签章的可在投标文件中涉及签字的位置手写签字后扫描或者拍照做成 PDF 的格式上传），否则作无效投标处理。</w:t>
            </w:r>
          </w:p>
        </w:tc>
      </w:tr>
      <w:tr w14:paraId="59986A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80" w:type="dxa"/>
            <w:vMerge w:val="continue"/>
            <w:tcBorders>
              <w:left w:val="single" w:color="auto" w:sz="4" w:space="0"/>
              <w:right w:val="single" w:color="auto" w:sz="4" w:space="0"/>
            </w:tcBorders>
            <w:vAlign w:val="center"/>
          </w:tcPr>
          <w:p w14:paraId="53546566">
            <w:pPr>
              <w:keepNext/>
              <w:keepLines/>
              <w:spacing w:line="360" w:lineRule="auto"/>
              <w:jc w:val="center"/>
              <w:rPr>
                <w:rFonts w:ascii="宋体" w:hAnsi="宋体" w:cs="宋体"/>
                <w:color w:val="auto"/>
                <w:szCs w:val="21"/>
                <w:highlight w:val="none"/>
              </w:rPr>
            </w:pPr>
          </w:p>
        </w:tc>
        <w:tc>
          <w:tcPr>
            <w:tcW w:w="1954" w:type="dxa"/>
            <w:tcBorders>
              <w:top w:val="single" w:color="auto" w:sz="4" w:space="0"/>
              <w:left w:val="single" w:color="auto" w:sz="4" w:space="0"/>
              <w:bottom w:val="single" w:color="auto" w:sz="4" w:space="0"/>
              <w:right w:val="single" w:color="auto" w:sz="4" w:space="0"/>
            </w:tcBorders>
            <w:vAlign w:val="center"/>
          </w:tcPr>
          <w:p w14:paraId="1A3050CC">
            <w:pPr>
              <w:keepNext/>
              <w:keepLines/>
              <w:spacing w:line="360" w:lineRule="auto"/>
              <w:jc w:val="left"/>
              <w:rPr>
                <w:rFonts w:ascii="宋体" w:hAnsi="宋体" w:cs="宋体"/>
                <w:color w:val="auto"/>
                <w:szCs w:val="21"/>
                <w:highlight w:val="none"/>
              </w:rPr>
            </w:pPr>
            <w:bookmarkStart w:id="33" w:name="_13.3"/>
            <w:bookmarkEnd w:id="33"/>
            <w:r>
              <w:rPr>
                <w:rFonts w:hint="eastAsia" w:ascii="宋体" w:hAnsi="宋体" w:cs="宋体"/>
                <w:color w:val="auto"/>
                <w:szCs w:val="21"/>
                <w:highlight w:val="none"/>
              </w:rPr>
              <w:t>报价文件组成</w:t>
            </w:r>
          </w:p>
        </w:tc>
        <w:tc>
          <w:tcPr>
            <w:tcW w:w="7271" w:type="dxa"/>
            <w:tcBorders>
              <w:top w:val="single" w:color="auto" w:sz="4" w:space="0"/>
              <w:left w:val="single" w:color="auto" w:sz="4" w:space="0"/>
              <w:bottom w:val="single" w:color="auto" w:sz="4" w:space="0"/>
              <w:right w:val="single" w:color="auto" w:sz="4" w:space="0"/>
            </w:tcBorders>
            <w:vAlign w:val="center"/>
          </w:tcPr>
          <w:p w14:paraId="15D27606">
            <w:pPr>
              <w:keepNext/>
              <w:keepLines/>
              <w:numPr>
                <w:ilvl w:val="0"/>
                <w:numId w:val="12"/>
              </w:numPr>
              <w:tabs>
                <w:tab w:val="left" w:pos="459"/>
              </w:tabs>
              <w:spacing w:line="360" w:lineRule="auto"/>
              <w:ind w:firstLine="0"/>
              <w:jc w:val="left"/>
              <w:rPr>
                <w:rFonts w:ascii="宋体" w:hAnsi="宋体" w:cs="宋体"/>
                <w:color w:val="auto"/>
                <w:szCs w:val="21"/>
                <w:highlight w:val="none"/>
              </w:rPr>
            </w:pPr>
            <w:r>
              <w:rPr>
                <w:rFonts w:hint="eastAsia" w:ascii="宋体" w:hAnsi="宋体" w:cs="宋体"/>
                <w:color w:val="auto"/>
                <w:szCs w:val="21"/>
                <w:highlight w:val="none"/>
              </w:rPr>
              <w:t>投标函（格式后附）；（</w:t>
            </w:r>
            <w:r>
              <w:rPr>
                <w:rFonts w:hint="eastAsia" w:ascii="宋体" w:hAnsi="宋体" w:eastAsia="仿宋" w:cs="宋体"/>
                <w:b/>
                <w:color w:val="auto"/>
                <w:szCs w:val="21"/>
                <w:highlight w:val="none"/>
              </w:rPr>
              <w:t>必须提供，否则作无效投标处理</w:t>
            </w:r>
            <w:r>
              <w:rPr>
                <w:rFonts w:hint="eastAsia" w:ascii="宋体" w:hAnsi="宋体" w:cs="宋体"/>
                <w:color w:val="auto"/>
                <w:szCs w:val="21"/>
                <w:highlight w:val="none"/>
              </w:rPr>
              <w:t>）</w:t>
            </w:r>
          </w:p>
          <w:p w14:paraId="02342D14">
            <w:pPr>
              <w:keepNext/>
              <w:keepLines/>
              <w:numPr>
                <w:ilvl w:val="0"/>
                <w:numId w:val="12"/>
              </w:numPr>
              <w:tabs>
                <w:tab w:val="left" w:pos="459"/>
              </w:tabs>
              <w:spacing w:line="360" w:lineRule="auto"/>
              <w:ind w:firstLine="0"/>
              <w:jc w:val="left"/>
              <w:rPr>
                <w:rFonts w:ascii="宋体" w:hAnsi="宋体" w:cs="宋体"/>
                <w:color w:val="auto"/>
                <w:szCs w:val="21"/>
                <w:highlight w:val="none"/>
              </w:rPr>
            </w:pPr>
            <w:r>
              <w:rPr>
                <w:rFonts w:hint="eastAsia" w:ascii="宋体" w:hAnsi="宋体" w:cs="宋体"/>
                <w:color w:val="auto"/>
                <w:szCs w:val="21"/>
                <w:highlight w:val="none"/>
              </w:rPr>
              <w:t>开标一览表（格式后附）；（</w:t>
            </w:r>
            <w:r>
              <w:rPr>
                <w:rFonts w:hint="eastAsia" w:ascii="宋体" w:hAnsi="宋体" w:eastAsia="仿宋" w:cs="宋体"/>
                <w:b/>
                <w:color w:val="auto"/>
                <w:szCs w:val="21"/>
                <w:highlight w:val="none"/>
              </w:rPr>
              <w:t>必须提供，否则作无效投标处理</w:t>
            </w:r>
            <w:r>
              <w:rPr>
                <w:rFonts w:hint="eastAsia" w:ascii="宋体" w:hAnsi="宋体" w:cs="宋体"/>
                <w:color w:val="auto"/>
                <w:szCs w:val="21"/>
                <w:highlight w:val="none"/>
              </w:rPr>
              <w:t>）</w:t>
            </w:r>
          </w:p>
          <w:p w14:paraId="53E9EFD5">
            <w:pPr>
              <w:keepNext/>
              <w:keepLines/>
              <w:numPr>
                <w:ilvl w:val="0"/>
                <w:numId w:val="12"/>
              </w:numPr>
              <w:tabs>
                <w:tab w:val="left" w:pos="459"/>
              </w:tabs>
              <w:spacing w:line="360" w:lineRule="auto"/>
              <w:ind w:firstLine="0"/>
              <w:jc w:val="left"/>
              <w:rPr>
                <w:rFonts w:ascii="宋体" w:hAnsi="宋体" w:cs="宋体"/>
                <w:color w:val="auto"/>
                <w:szCs w:val="21"/>
                <w:highlight w:val="none"/>
              </w:rPr>
            </w:pPr>
            <w:r>
              <w:rPr>
                <w:rFonts w:hint="eastAsia" w:ascii="宋体" w:hAnsi="宋体"/>
                <w:color w:val="auto"/>
                <w:szCs w:val="21"/>
                <w:highlight w:val="none"/>
              </w:rPr>
              <w:t>中小企业声明函（投标人如为中小微型企业的请按第六章要求的格式填写，否则不予享受优惠政策）；监狱企业由省级以上监狱管理局、戒毒管理局（含新疆生产建设兵团）出具的属于监狱企业的证明文件；残疾人福利性单位声明函（投标人如为残疾人福利性单位的请按第六章要求的格式填写，否则不予享受优惠政策）</w:t>
            </w:r>
          </w:p>
          <w:p w14:paraId="5D38F4D6">
            <w:pPr>
              <w:keepNext/>
              <w:keepLines/>
              <w:numPr>
                <w:ilvl w:val="0"/>
                <w:numId w:val="12"/>
              </w:numPr>
              <w:tabs>
                <w:tab w:val="left" w:pos="459"/>
              </w:tabs>
              <w:spacing w:line="360" w:lineRule="auto"/>
              <w:ind w:firstLine="0"/>
              <w:jc w:val="left"/>
              <w:rPr>
                <w:rFonts w:ascii="宋体" w:hAnsi="宋体" w:cs="宋体"/>
                <w:color w:val="auto"/>
                <w:szCs w:val="21"/>
                <w:highlight w:val="none"/>
              </w:rPr>
            </w:pPr>
            <w:r>
              <w:rPr>
                <w:rFonts w:hint="eastAsia" w:ascii="宋体" w:hAnsi="宋体" w:cs="宋体"/>
                <w:color w:val="auto"/>
                <w:szCs w:val="21"/>
                <w:highlight w:val="none"/>
              </w:rPr>
              <w:t>投标人针对报价需要说明的其他文件和说明。</w:t>
            </w:r>
          </w:p>
          <w:p w14:paraId="21850978">
            <w:pPr>
              <w:keepNext/>
              <w:keepLines/>
              <w:spacing w:line="360" w:lineRule="auto"/>
              <w:jc w:val="left"/>
              <w:rPr>
                <w:rFonts w:ascii="仿宋" w:hAnsi="仿宋" w:eastAsia="仿宋" w:cs="仿宋"/>
                <w:b/>
                <w:bCs/>
                <w:color w:val="auto"/>
                <w:szCs w:val="21"/>
                <w:highlight w:val="none"/>
              </w:rPr>
            </w:pPr>
            <w:r>
              <w:rPr>
                <w:rFonts w:hint="eastAsia" w:ascii="仿宋" w:hAnsi="仿宋" w:eastAsia="仿宋" w:cs="仿宋"/>
                <w:b/>
                <w:bCs/>
                <w:color w:val="auto"/>
                <w:szCs w:val="21"/>
                <w:highlight w:val="none"/>
              </w:rPr>
              <w:t>注：</w:t>
            </w:r>
          </w:p>
          <w:p w14:paraId="147E2D7E">
            <w:pPr>
              <w:keepNext/>
              <w:keepLines/>
              <w:spacing w:line="360" w:lineRule="auto"/>
              <w:ind w:firstLine="422" w:firstLineChars="200"/>
              <w:jc w:val="left"/>
              <w:rPr>
                <w:rFonts w:ascii="仿宋" w:hAnsi="仿宋" w:eastAsia="仿宋" w:cs="仿宋"/>
                <w:b/>
                <w:bCs/>
                <w:color w:val="auto"/>
                <w:szCs w:val="21"/>
                <w:highlight w:val="none"/>
              </w:rPr>
            </w:pPr>
            <w:r>
              <w:rPr>
                <w:rFonts w:hint="eastAsia" w:ascii="仿宋" w:hAnsi="仿宋" w:eastAsia="仿宋" w:cs="仿宋"/>
                <w:b/>
                <w:bCs/>
                <w:color w:val="auto"/>
                <w:szCs w:val="21"/>
                <w:highlight w:val="none"/>
              </w:rPr>
              <w:t>1.以上标明“必须提供”的材料，必须加盖投标人电子签章，否则作无效投标处理。</w:t>
            </w:r>
          </w:p>
          <w:p w14:paraId="386E179B">
            <w:pPr>
              <w:keepNext/>
              <w:keepLines/>
              <w:spacing w:line="360" w:lineRule="auto"/>
              <w:ind w:firstLine="422" w:firstLineChars="200"/>
              <w:jc w:val="left"/>
              <w:rPr>
                <w:rFonts w:ascii="宋体" w:hAnsi="宋体" w:cs="宋体"/>
                <w:color w:val="auto"/>
                <w:szCs w:val="21"/>
                <w:highlight w:val="none"/>
              </w:rPr>
            </w:pPr>
            <w:r>
              <w:rPr>
                <w:rFonts w:hint="eastAsia" w:ascii="仿宋" w:hAnsi="仿宋" w:eastAsia="仿宋" w:cs="仿宋"/>
                <w:b/>
                <w:bCs/>
                <w:color w:val="auto"/>
                <w:szCs w:val="21"/>
                <w:highlight w:val="none"/>
              </w:rPr>
              <w:t>2.必须提供的材料在第六章“投标文件格式”中有要求法定代表人或委托代理人签字的，必须由法定代表人或委托代理人签字（签字方式可使用法定代表人或委托代理人个人电子签章，没有办理广西政府采购云平台个人电子签章的可在投标文件中涉及签字的位置手写签字后扫描或者拍照做成 PDF 的格式上传），否则作无效投标处理。</w:t>
            </w:r>
          </w:p>
        </w:tc>
      </w:tr>
      <w:tr w14:paraId="2AD49B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80" w:type="dxa"/>
            <w:vMerge w:val="continue"/>
            <w:tcBorders>
              <w:left w:val="single" w:color="auto" w:sz="4" w:space="0"/>
              <w:right w:val="single" w:color="auto" w:sz="4" w:space="0"/>
            </w:tcBorders>
            <w:vAlign w:val="center"/>
          </w:tcPr>
          <w:p w14:paraId="11DF09FA">
            <w:pPr>
              <w:keepNext/>
              <w:keepLines/>
              <w:spacing w:line="360" w:lineRule="auto"/>
              <w:jc w:val="center"/>
              <w:rPr>
                <w:rFonts w:ascii="宋体" w:hAnsi="宋体" w:cs="宋体"/>
                <w:color w:val="auto"/>
                <w:szCs w:val="21"/>
                <w:highlight w:val="none"/>
              </w:rPr>
            </w:pPr>
          </w:p>
        </w:tc>
        <w:tc>
          <w:tcPr>
            <w:tcW w:w="1954" w:type="dxa"/>
            <w:tcBorders>
              <w:top w:val="single" w:color="auto" w:sz="4" w:space="0"/>
              <w:left w:val="single" w:color="auto" w:sz="4" w:space="0"/>
              <w:right w:val="single" w:color="auto" w:sz="4" w:space="0"/>
            </w:tcBorders>
            <w:vAlign w:val="center"/>
          </w:tcPr>
          <w:p w14:paraId="380F103A">
            <w:pPr>
              <w:keepNext/>
              <w:keepLines/>
              <w:spacing w:line="360" w:lineRule="auto"/>
              <w:jc w:val="left"/>
              <w:rPr>
                <w:rFonts w:ascii="宋体" w:hAnsi="宋体" w:cs="宋体"/>
                <w:color w:val="auto"/>
                <w:szCs w:val="21"/>
                <w:highlight w:val="none"/>
              </w:rPr>
            </w:pPr>
            <w:bookmarkStart w:id="34" w:name="_13.4"/>
            <w:bookmarkEnd w:id="34"/>
            <w:r>
              <w:rPr>
                <w:rFonts w:hint="eastAsia" w:ascii="宋体" w:hAnsi="宋体" w:cs="宋体"/>
                <w:color w:val="auto"/>
                <w:szCs w:val="21"/>
                <w:highlight w:val="none"/>
              </w:rPr>
              <w:t>商务技术文件组成</w:t>
            </w:r>
          </w:p>
        </w:tc>
        <w:tc>
          <w:tcPr>
            <w:tcW w:w="7271" w:type="dxa"/>
            <w:tcBorders>
              <w:top w:val="single" w:color="auto" w:sz="4" w:space="0"/>
              <w:left w:val="single" w:color="auto" w:sz="4" w:space="0"/>
              <w:bottom w:val="single" w:color="auto" w:sz="4" w:space="0"/>
              <w:right w:val="single" w:color="auto" w:sz="4" w:space="0"/>
            </w:tcBorders>
            <w:vAlign w:val="center"/>
          </w:tcPr>
          <w:p w14:paraId="1A6AEBC7">
            <w:pPr>
              <w:keepNext/>
              <w:keepLines/>
              <w:numPr>
                <w:ilvl w:val="0"/>
                <w:numId w:val="13"/>
              </w:numPr>
              <w:spacing w:line="360" w:lineRule="auto"/>
              <w:ind w:firstLine="0"/>
              <w:jc w:val="left"/>
              <w:rPr>
                <w:rFonts w:ascii="宋体" w:hAnsi="宋体" w:cs="宋体"/>
                <w:color w:val="auto"/>
                <w:szCs w:val="21"/>
                <w:highlight w:val="none"/>
              </w:rPr>
            </w:pPr>
            <w:r>
              <w:rPr>
                <w:rFonts w:hint="eastAsia" w:ascii="宋体" w:hAnsi="宋体" w:cs="宋体"/>
                <w:color w:val="auto"/>
                <w:szCs w:val="21"/>
                <w:highlight w:val="none"/>
              </w:rPr>
              <w:t>无串通投标行为的承诺函（格式后附）；（</w:t>
            </w:r>
            <w:r>
              <w:rPr>
                <w:rFonts w:hint="eastAsia" w:ascii="宋体" w:hAnsi="宋体" w:eastAsia="仿宋" w:cs="宋体"/>
                <w:b/>
                <w:color w:val="auto"/>
                <w:szCs w:val="21"/>
                <w:highlight w:val="none"/>
              </w:rPr>
              <w:t>必须提供，否则作无效投标处理</w:t>
            </w:r>
            <w:r>
              <w:rPr>
                <w:rFonts w:hint="eastAsia" w:ascii="宋体" w:hAnsi="宋体" w:cs="宋体"/>
                <w:color w:val="auto"/>
                <w:szCs w:val="21"/>
                <w:highlight w:val="none"/>
              </w:rPr>
              <w:t>）</w:t>
            </w:r>
          </w:p>
          <w:p w14:paraId="23A3ED9E">
            <w:pPr>
              <w:keepNext/>
              <w:keepLines/>
              <w:numPr>
                <w:ilvl w:val="0"/>
                <w:numId w:val="13"/>
              </w:numPr>
              <w:spacing w:line="360" w:lineRule="auto"/>
              <w:ind w:firstLine="0"/>
              <w:jc w:val="left"/>
              <w:rPr>
                <w:rFonts w:ascii="宋体" w:hAnsi="宋体" w:cs="宋体"/>
                <w:color w:val="auto"/>
                <w:szCs w:val="21"/>
                <w:highlight w:val="none"/>
              </w:rPr>
            </w:pPr>
            <w:r>
              <w:rPr>
                <w:rFonts w:hint="eastAsia" w:ascii="宋体" w:hAnsi="宋体" w:cs="宋体"/>
                <w:color w:val="auto"/>
                <w:szCs w:val="21"/>
                <w:highlight w:val="none"/>
              </w:rPr>
              <w:t>法定代表人身份证明及法定代表人有效身份证正反面复印件（格式后附）；（</w:t>
            </w:r>
            <w:r>
              <w:rPr>
                <w:rFonts w:hint="eastAsia" w:ascii="宋体" w:hAnsi="宋体" w:eastAsia="仿宋" w:cs="宋体"/>
                <w:b/>
                <w:color w:val="auto"/>
                <w:szCs w:val="21"/>
                <w:highlight w:val="none"/>
              </w:rPr>
              <w:t>除自然人投标外必须提供，否则作无效投标处理</w:t>
            </w:r>
            <w:r>
              <w:rPr>
                <w:rFonts w:hint="eastAsia" w:ascii="宋体" w:hAnsi="宋体" w:cs="宋体"/>
                <w:color w:val="auto"/>
                <w:szCs w:val="21"/>
                <w:highlight w:val="none"/>
              </w:rPr>
              <w:t>）</w:t>
            </w:r>
          </w:p>
          <w:p w14:paraId="025EDAE6">
            <w:pPr>
              <w:keepNext/>
              <w:keepLines/>
              <w:numPr>
                <w:ilvl w:val="0"/>
                <w:numId w:val="13"/>
              </w:numPr>
              <w:spacing w:line="360" w:lineRule="auto"/>
              <w:ind w:firstLine="0"/>
              <w:jc w:val="left"/>
              <w:rPr>
                <w:rFonts w:ascii="宋体" w:hAnsi="宋体" w:cs="宋体"/>
                <w:color w:val="auto"/>
                <w:szCs w:val="21"/>
                <w:highlight w:val="none"/>
              </w:rPr>
            </w:pPr>
            <w:r>
              <w:rPr>
                <w:rFonts w:hint="eastAsia" w:ascii="宋体" w:hAnsi="宋体" w:cs="宋体"/>
                <w:color w:val="auto"/>
                <w:szCs w:val="21"/>
                <w:highlight w:val="none"/>
              </w:rPr>
              <w:t>法定代表人授权委托书及委托代理人有效身份证正反面复印件（格式后附）；（</w:t>
            </w:r>
            <w:r>
              <w:rPr>
                <w:rFonts w:hint="eastAsia" w:ascii="宋体" w:hAnsi="宋体" w:eastAsia="仿宋" w:cs="宋体"/>
                <w:b/>
                <w:color w:val="auto"/>
                <w:szCs w:val="21"/>
                <w:highlight w:val="none"/>
              </w:rPr>
              <w:t>委托时必须提供，否则作无效投标处理</w:t>
            </w:r>
            <w:r>
              <w:rPr>
                <w:rFonts w:hint="eastAsia" w:ascii="宋体" w:hAnsi="宋体" w:cs="宋体"/>
                <w:color w:val="auto"/>
                <w:szCs w:val="21"/>
                <w:highlight w:val="none"/>
              </w:rPr>
              <w:t>）</w:t>
            </w:r>
          </w:p>
          <w:p w14:paraId="7FA94283">
            <w:pPr>
              <w:keepNext/>
              <w:keepLines/>
              <w:numPr>
                <w:ilvl w:val="0"/>
                <w:numId w:val="13"/>
              </w:numPr>
              <w:spacing w:line="360" w:lineRule="auto"/>
              <w:ind w:firstLine="0"/>
              <w:jc w:val="left"/>
              <w:rPr>
                <w:rFonts w:ascii="宋体" w:hAnsi="宋体" w:cs="宋体"/>
                <w:color w:val="auto"/>
                <w:szCs w:val="21"/>
                <w:highlight w:val="none"/>
              </w:rPr>
            </w:pPr>
            <w:r>
              <w:rPr>
                <w:rFonts w:hint="eastAsia" w:ascii="宋体" w:hAnsi="宋体" w:cs="宋体"/>
                <w:color w:val="auto"/>
                <w:szCs w:val="21"/>
                <w:highlight w:val="none"/>
              </w:rPr>
              <w:t>商务条款偏离表（格式后附）；（</w:t>
            </w:r>
            <w:r>
              <w:rPr>
                <w:rFonts w:hint="eastAsia" w:ascii="宋体" w:hAnsi="宋体" w:eastAsia="仿宋" w:cs="宋体"/>
                <w:b/>
                <w:color w:val="auto"/>
                <w:szCs w:val="21"/>
                <w:highlight w:val="none"/>
              </w:rPr>
              <w:t>必须提供，否则作无效投标处理</w:t>
            </w:r>
            <w:r>
              <w:rPr>
                <w:rFonts w:hint="eastAsia" w:ascii="宋体" w:hAnsi="宋体" w:cs="宋体"/>
                <w:color w:val="auto"/>
                <w:szCs w:val="21"/>
                <w:highlight w:val="none"/>
              </w:rPr>
              <w:t>）</w:t>
            </w:r>
          </w:p>
          <w:p w14:paraId="54948BDF">
            <w:pPr>
              <w:keepNext/>
              <w:keepLines/>
              <w:numPr>
                <w:ilvl w:val="0"/>
                <w:numId w:val="13"/>
              </w:numPr>
              <w:spacing w:line="360" w:lineRule="auto"/>
              <w:ind w:firstLine="0"/>
              <w:jc w:val="left"/>
              <w:rPr>
                <w:rFonts w:ascii="宋体" w:hAnsi="宋体" w:cs="宋体"/>
                <w:color w:val="auto"/>
                <w:szCs w:val="21"/>
                <w:highlight w:val="none"/>
              </w:rPr>
            </w:pPr>
            <w:r>
              <w:rPr>
                <w:rFonts w:hint="eastAsia" w:ascii="宋体" w:hAnsi="宋体" w:cs="宋体"/>
                <w:color w:val="auto"/>
                <w:szCs w:val="21"/>
                <w:highlight w:val="none"/>
              </w:rPr>
              <w:t>技术需求偏离表（格式后附）；（</w:t>
            </w:r>
            <w:r>
              <w:rPr>
                <w:rFonts w:hint="eastAsia" w:ascii="宋体" w:hAnsi="宋体" w:eastAsia="仿宋" w:cs="宋体"/>
                <w:b/>
                <w:color w:val="auto"/>
                <w:szCs w:val="21"/>
                <w:highlight w:val="none"/>
              </w:rPr>
              <w:t>必须提供，否则作无效投标处理</w:t>
            </w:r>
            <w:r>
              <w:rPr>
                <w:rFonts w:hint="eastAsia" w:ascii="宋体" w:hAnsi="宋体" w:cs="宋体"/>
                <w:color w:val="auto"/>
                <w:szCs w:val="21"/>
                <w:highlight w:val="none"/>
              </w:rPr>
              <w:t>）</w:t>
            </w:r>
          </w:p>
          <w:p w14:paraId="7224B9C9">
            <w:pPr>
              <w:keepNext/>
              <w:keepLines/>
              <w:numPr>
                <w:ilvl w:val="0"/>
                <w:numId w:val="13"/>
              </w:numPr>
              <w:spacing w:line="360" w:lineRule="auto"/>
              <w:ind w:firstLine="0"/>
              <w:jc w:val="left"/>
              <w:rPr>
                <w:rFonts w:ascii="宋体" w:hAnsi="宋体" w:cs="宋体"/>
                <w:color w:val="auto"/>
                <w:szCs w:val="21"/>
                <w:highlight w:val="none"/>
              </w:rPr>
            </w:pPr>
            <w:r>
              <w:rPr>
                <w:rFonts w:hint="eastAsia" w:ascii="宋体" w:hAnsi="宋体" w:cs="宋体"/>
                <w:color w:val="auto"/>
                <w:szCs w:val="21"/>
                <w:highlight w:val="none"/>
              </w:rPr>
              <w:t>投标保证金提交凭证；（</w:t>
            </w:r>
            <w:r>
              <w:rPr>
                <w:rFonts w:hint="eastAsia" w:ascii="宋体" w:hAnsi="宋体" w:eastAsia="仿宋" w:cs="宋体"/>
                <w:b/>
                <w:color w:val="auto"/>
                <w:szCs w:val="21"/>
                <w:highlight w:val="none"/>
              </w:rPr>
              <w:t>必须提供，否则作无效投标处理</w:t>
            </w:r>
            <w:r>
              <w:rPr>
                <w:rFonts w:hint="eastAsia" w:ascii="宋体" w:hAnsi="宋体" w:cs="宋体"/>
                <w:color w:val="auto"/>
                <w:szCs w:val="21"/>
                <w:highlight w:val="none"/>
              </w:rPr>
              <w:t>）</w:t>
            </w:r>
          </w:p>
          <w:p w14:paraId="3CE3FFFB">
            <w:pPr>
              <w:numPr>
                <w:ilvl w:val="0"/>
                <w:numId w:val="13"/>
              </w:numPr>
              <w:snapToGrid w:val="0"/>
              <w:spacing w:line="360" w:lineRule="auto"/>
              <w:ind w:firstLine="0"/>
              <w:jc w:val="left"/>
              <w:rPr>
                <w:rFonts w:ascii="宋体" w:hAnsi="宋体" w:cs="宋体"/>
                <w:color w:val="auto"/>
                <w:szCs w:val="21"/>
                <w:highlight w:val="none"/>
              </w:rPr>
            </w:pPr>
            <w:r>
              <w:rPr>
                <w:rFonts w:hint="eastAsia" w:ascii="宋体" w:hAnsi="宋体"/>
                <w:color w:val="auto"/>
                <w:szCs w:val="21"/>
                <w:highlight w:val="none"/>
              </w:rPr>
              <w:t>整体方案设计、整体系统对接方案、实施方案、</w:t>
            </w:r>
            <w:r>
              <w:rPr>
                <w:rFonts w:hint="eastAsia" w:ascii="宋体" w:hAnsi="宋体"/>
                <w:color w:val="auto"/>
                <w:szCs w:val="21"/>
                <w:highlight w:val="none"/>
                <w:lang w:eastAsia="zh-CN"/>
              </w:rPr>
              <w:t>运维服务</w:t>
            </w:r>
            <w:r>
              <w:rPr>
                <w:rFonts w:hint="eastAsia" w:ascii="宋体" w:hAnsi="宋体"/>
                <w:color w:val="auto"/>
                <w:szCs w:val="21"/>
                <w:highlight w:val="none"/>
              </w:rPr>
              <w:t>方案等（格式自拟）；</w:t>
            </w:r>
          </w:p>
          <w:p w14:paraId="310A5B85">
            <w:pPr>
              <w:keepNext/>
              <w:keepLines/>
              <w:numPr>
                <w:ilvl w:val="0"/>
                <w:numId w:val="13"/>
              </w:numPr>
              <w:spacing w:line="360" w:lineRule="auto"/>
              <w:ind w:firstLine="0"/>
              <w:jc w:val="left"/>
              <w:rPr>
                <w:rFonts w:ascii="宋体" w:hAnsi="宋体" w:cs="宋体"/>
                <w:color w:val="auto"/>
                <w:szCs w:val="21"/>
                <w:highlight w:val="none"/>
              </w:rPr>
            </w:pPr>
            <w:r>
              <w:rPr>
                <w:rFonts w:hint="eastAsia" w:ascii="宋体" w:hAnsi="宋体" w:cs="宋体"/>
                <w:color w:val="auto"/>
                <w:szCs w:val="21"/>
                <w:highlight w:val="none"/>
              </w:rPr>
              <w:t>项目实施人员一览表（格式仅供参考）；</w:t>
            </w:r>
          </w:p>
          <w:p w14:paraId="7CA3BB27">
            <w:pPr>
              <w:keepNext/>
              <w:keepLines/>
              <w:numPr>
                <w:ilvl w:val="0"/>
                <w:numId w:val="13"/>
              </w:numPr>
              <w:spacing w:line="360" w:lineRule="auto"/>
              <w:ind w:firstLine="0"/>
              <w:jc w:val="left"/>
              <w:rPr>
                <w:rFonts w:ascii="宋体" w:hAnsi="宋体" w:cs="宋体"/>
                <w:color w:val="auto"/>
                <w:szCs w:val="21"/>
                <w:highlight w:val="none"/>
              </w:rPr>
            </w:pPr>
            <w:r>
              <w:rPr>
                <w:rFonts w:hint="eastAsia" w:ascii="宋体" w:hAnsi="宋体" w:cs="宋体"/>
                <w:color w:val="auto"/>
                <w:szCs w:val="21"/>
                <w:highlight w:val="none"/>
              </w:rPr>
              <w:t>投标人业绩情况一览表（格式仅供参考）；</w:t>
            </w:r>
          </w:p>
          <w:p w14:paraId="572FAA35">
            <w:pPr>
              <w:keepNext/>
              <w:keepLines/>
              <w:numPr>
                <w:ilvl w:val="0"/>
                <w:numId w:val="13"/>
              </w:numPr>
              <w:spacing w:line="360" w:lineRule="auto"/>
              <w:ind w:firstLine="0"/>
              <w:jc w:val="left"/>
              <w:rPr>
                <w:rFonts w:ascii="宋体" w:hAnsi="宋体" w:cs="宋体"/>
                <w:color w:val="auto"/>
                <w:szCs w:val="21"/>
                <w:highlight w:val="none"/>
              </w:rPr>
            </w:pPr>
            <w:r>
              <w:rPr>
                <w:rFonts w:hint="eastAsia" w:ascii="宋体" w:hAnsi="宋体" w:cs="宋体"/>
                <w:color w:val="auto"/>
                <w:szCs w:val="21"/>
                <w:highlight w:val="none"/>
              </w:rPr>
              <w:t>投标人对本项目的合理化建议和改进措施；</w:t>
            </w:r>
          </w:p>
          <w:p w14:paraId="10439FED">
            <w:pPr>
              <w:keepNext/>
              <w:keepLines/>
              <w:numPr>
                <w:ilvl w:val="0"/>
                <w:numId w:val="13"/>
              </w:numPr>
              <w:spacing w:line="360" w:lineRule="auto"/>
              <w:ind w:firstLine="0"/>
              <w:jc w:val="left"/>
              <w:rPr>
                <w:rFonts w:ascii="宋体" w:hAnsi="宋体" w:cs="宋体"/>
                <w:color w:val="auto"/>
                <w:szCs w:val="21"/>
                <w:highlight w:val="none"/>
              </w:rPr>
            </w:pPr>
            <w:r>
              <w:rPr>
                <w:rFonts w:hint="eastAsia" w:ascii="宋体" w:hAnsi="宋体" w:cs="宋体"/>
                <w:color w:val="auto"/>
                <w:szCs w:val="21"/>
                <w:highlight w:val="none"/>
              </w:rPr>
              <w:t>投标人情况介绍；</w:t>
            </w:r>
          </w:p>
          <w:p w14:paraId="39150161">
            <w:pPr>
              <w:keepNext/>
              <w:keepLines/>
              <w:numPr>
                <w:ilvl w:val="0"/>
                <w:numId w:val="13"/>
              </w:numPr>
              <w:spacing w:line="360" w:lineRule="auto"/>
              <w:ind w:firstLine="0"/>
              <w:jc w:val="left"/>
              <w:rPr>
                <w:rFonts w:ascii="宋体" w:hAnsi="宋体" w:cs="宋体"/>
                <w:color w:val="auto"/>
                <w:szCs w:val="21"/>
                <w:highlight w:val="none"/>
              </w:rPr>
            </w:pPr>
            <w:r>
              <w:rPr>
                <w:rFonts w:hint="eastAsia" w:ascii="宋体" w:hAnsi="宋体" w:cs="宋体"/>
                <w:color w:val="auto"/>
                <w:szCs w:val="21"/>
                <w:highlight w:val="none"/>
              </w:rPr>
              <w:t>除招标文件规定必须提供以外，投标人认为需要提供的其他证明材料。（投标人根据“第二章 采购需求”及“第四章 评标方法及评分标准”提供有关证明材料）。</w:t>
            </w:r>
          </w:p>
          <w:p w14:paraId="28A4414D">
            <w:pPr>
              <w:keepNext/>
              <w:keepLines/>
              <w:numPr>
                <w:ilvl w:val="0"/>
                <w:numId w:val="13"/>
              </w:numPr>
              <w:spacing w:line="360" w:lineRule="auto"/>
              <w:ind w:firstLine="0"/>
              <w:jc w:val="left"/>
              <w:rPr>
                <w:rFonts w:ascii="宋体" w:hAnsi="宋体" w:cs="宋体"/>
                <w:bCs/>
                <w:color w:val="auto"/>
                <w:szCs w:val="21"/>
                <w:highlight w:val="none"/>
              </w:rPr>
            </w:pPr>
            <w:r>
              <w:rPr>
                <w:rFonts w:hint="eastAsia" w:ascii="宋体" w:hAnsi="宋体" w:cs="宋体"/>
                <w:color w:val="auto"/>
                <w:szCs w:val="21"/>
                <w:highlight w:val="none"/>
              </w:rPr>
              <w:t>除招标文件规定必须提供以外，投标人需要说明的其他文件和说明。</w:t>
            </w:r>
          </w:p>
          <w:p w14:paraId="5FE8DD69">
            <w:pPr>
              <w:pStyle w:val="10"/>
              <w:keepNext/>
              <w:keepLines/>
              <w:spacing w:line="360" w:lineRule="auto"/>
              <w:ind w:firstLine="0"/>
              <w:rPr>
                <w:rFonts w:ascii="仿宋" w:hAnsi="仿宋" w:eastAsia="仿宋" w:cs="仿宋"/>
                <w:b/>
                <w:bCs/>
                <w:color w:val="auto"/>
                <w:szCs w:val="21"/>
                <w:highlight w:val="none"/>
              </w:rPr>
            </w:pPr>
            <w:r>
              <w:rPr>
                <w:rFonts w:hint="eastAsia" w:ascii="仿宋" w:hAnsi="仿宋" w:eastAsia="仿宋" w:cs="仿宋"/>
                <w:b/>
                <w:bCs/>
                <w:color w:val="auto"/>
                <w:szCs w:val="21"/>
                <w:highlight w:val="none"/>
              </w:rPr>
              <w:t>注：</w:t>
            </w:r>
          </w:p>
          <w:p w14:paraId="10CA8CFF">
            <w:pPr>
              <w:keepNext/>
              <w:keepLines/>
              <w:spacing w:line="360" w:lineRule="auto"/>
              <w:ind w:firstLine="422" w:firstLineChars="200"/>
              <w:jc w:val="left"/>
              <w:rPr>
                <w:rFonts w:ascii="仿宋" w:hAnsi="仿宋" w:eastAsia="仿宋" w:cs="仿宋"/>
                <w:b/>
                <w:bCs/>
                <w:color w:val="auto"/>
                <w:szCs w:val="21"/>
                <w:highlight w:val="none"/>
              </w:rPr>
            </w:pPr>
            <w:r>
              <w:rPr>
                <w:rFonts w:hint="eastAsia" w:ascii="仿宋" w:hAnsi="仿宋" w:eastAsia="仿宋" w:cs="仿宋"/>
                <w:b/>
                <w:bCs/>
                <w:color w:val="auto"/>
                <w:szCs w:val="21"/>
                <w:highlight w:val="none"/>
              </w:rPr>
              <w:t>1.以上标明“必须提供”的材料，必须加盖投标人电子签章，否则作无效投标处理。</w:t>
            </w:r>
          </w:p>
          <w:p w14:paraId="465C2A6A">
            <w:pPr>
              <w:pStyle w:val="10"/>
              <w:keepNext/>
              <w:keepLines/>
              <w:spacing w:line="360" w:lineRule="auto"/>
              <w:ind w:firstLine="422" w:firstLineChars="200"/>
              <w:rPr>
                <w:rFonts w:ascii="宋体" w:hAnsi="宋体" w:cs="宋体"/>
                <w:b/>
                <w:bCs/>
                <w:color w:val="auto"/>
                <w:szCs w:val="21"/>
                <w:highlight w:val="none"/>
              </w:rPr>
            </w:pPr>
            <w:r>
              <w:rPr>
                <w:rFonts w:hint="eastAsia" w:ascii="仿宋" w:hAnsi="仿宋" w:eastAsia="仿宋" w:cs="仿宋"/>
                <w:b/>
                <w:bCs/>
                <w:color w:val="auto"/>
                <w:szCs w:val="21"/>
                <w:highlight w:val="none"/>
              </w:rPr>
              <w:t>2.必须提供的材料在第六章“投标文件格式”中有要求法定代表人或委托代理人签字的，必须由法定代表人或委托代理人签字（签字方式可使用法定代表人或委托代理人个人电子签章，没有办理广西政府采购云平台个人电子签章的可在投标文件中涉及签字的位置手写签字后扫描或者拍照做成 PDF 的格式上传），否则作无效投标处理。</w:t>
            </w:r>
          </w:p>
        </w:tc>
      </w:tr>
      <w:tr w14:paraId="207AD0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80" w:type="dxa"/>
            <w:tcBorders>
              <w:top w:val="single" w:color="auto" w:sz="4" w:space="0"/>
              <w:left w:val="single" w:color="auto" w:sz="4" w:space="0"/>
              <w:bottom w:val="single" w:color="auto" w:sz="4" w:space="0"/>
              <w:right w:val="single" w:color="auto" w:sz="4" w:space="0"/>
            </w:tcBorders>
            <w:vAlign w:val="center"/>
          </w:tcPr>
          <w:p w14:paraId="32C97AEF">
            <w:pPr>
              <w:keepNext/>
              <w:keepLines/>
              <w:spacing w:line="360" w:lineRule="auto"/>
              <w:jc w:val="center"/>
              <w:rPr>
                <w:rFonts w:ascii="宋体" w:hAnsi="宋体" w:cs="宋体"/>
                <w:color w:val="auto"/>
                <w:szCs w:val="21"/>
                <w:highlight w:val="none"/>
              </w:rPr>
            </w:pPr>
            <w:r>
              <w:rPr>
                <w:rFonts w:hint="eastAsia" w:ascii="宋体" w:hAnsi="宋体" w:cs="宋体"/>
                <w:color w:val="auto"/>
                <w:szCs w:val="21"/>
                <w:highlight w:val="none"/>
              </w:rPr>
              <w:t>16.2</w:t>
            </w:r>
          </w:p>
        </w:tc>
        <w:tc>
          <w:tcPr>
            <w:tcW w:w="1954" w:type="dxa"/>
            <w:tcBorders>
              <w:top w:val="single" w:color="auto" w:sz="4" w:space="0"/>
              <w:left w:val="single" w:color="auto" w:sz="4" w:space="0"/>
              <w:bottom w:val="single" w:color="auto" w:sz="4" w:space="0"/>
              <w:right w:val="single" w:color="auto" w:sz="4" w:space="0"/>
            </w:tcBorders>
            <w:vAlign w:val="center"/>
          </w:tcPr>
          <w:p w14:paraId="48817FD3">
            <w:pPr>
              <w:keepNext/>
              <w:keepLines/>
              <w:spacing w:line="360" w:lineRule="auto"/>
              <w:rPr>
                <w:rFonts w:ascii="宋体" w:hAnsi="宋体" w:cs="宋体"/>
                <w:color w:val="auto"/>
                <w:szCs w:val="21"/>
                <w:highlight w:val="none"/>
              </w:rPr>
            </w:pPr>
            <w:bookmarkStart w:id="35" w:name="_16.2"/>
            <w:bookmarkEnd w:id="35"/>
            <w:r>
              <w:rPr>
                <w:rFonts w:hint="eastAsia" w:ascii="宋体" w:hAnsi="宋体" w:cs="宋体"/>
                <w:color w:val="auto"/>
                <w:szCs w:val="21"/>
                <w:highlight w:val="none"/>
              </w:rPr>
              <w:t>投标报价要求</w:t>
            </w:r>
          </w:p>
        </w:tc>
        <w:tc>
          <w:tcPr>
            <w:tcW w:w="7271" w:type="dxa"/>
            <w:tcBorders>
              <w:top w:val="single" w:color="auto" w:sz="4" w:space="0"/>
              <w:left w:val="single" w:color="auto" w:sz="4" w:space="0"/>
              <w:bottom w:val="single" w:color="auto" w:sz="4" w:space="0"/>
              <w:right w:val="single" w:color="auto" w:sz="4" w:space="0"/>
            </w:tcBorders>
            <w:vAlign w:val="center"/>
          </w:tcPr>
          <w:p w14:paraId="0834997B">
            <w:pPr>
              <w:keepNext/>
              <w:keepLines/>
              <w:spacing w:line="360" w:lineRule="auto"/>
              <w:rPr>
                <w:rFonts w:ascii="宋体" w:hAnsi="宋体" w:cs="宋体"/>
                <w:color w:val="auto"/>
                <w:szCs w:val="21"/>
                <w:highlight w:val="none"/>
              </w:rPr>
            </w:pPr>
            <w:r>
              <w:rPr>
                <w:rFonts w:hint="eastAsia" w:ascii="宋体" w:hAnsi="宋体" w:cs="宋体"/>
                <w:color w:val="auto"/>
                <w:szCs w:val="21"/>
                <w:highlight w:val="none"/>
              </w:rPr>
              <w:t>投标报价包含但并不限于本项目各项</w:t>
            </w:r>
            <w:r>
              <w:rPr>
                <w:rFonts w:hint="eastAsia" w:ascii="宋体" w:hAnsi="宋体" w:cs="宋体"/>
                <w:color w:val="auto"/>
                <w:szCs w:val="21"/>
                <w:highlight w:val="none"/>
                <w:lang w:val="en-US" w:eastAsia="zh-CN"/>
              </w:rPr>
              <w:t>建设内容</w:t>
            </w:r>
            <w:r>
              <w:rPr>
                <w:rFonts w:hint="eastAsia" w:ascii="宋体" w:hAnsi="宋体" w:cs="宋体"/>
                <w:color w:val="auto"/>
                <w:szCs w:val="21"/>
                <w:highlight w:val="none"/>
              </w:rPr>
              <w:t>及其他相关服务等的费用和所需缴纳的所有价格、税、费。（第二章 采购需求另有约定的，从其约定）</w:t>
            </w:r>
          </w:p>
          <w:p w14:paraId="303BBA29">
            <w:pPr>
              <w:keepNext/>
              <w:keepLines/>
              <w:spacing w:line="360" w:lineRule="auto"/>
              <w:rPr>
                <w:rFonts w:ascii="宋体" w:hAnsi="宋体" w:cs="宋体"/>
                <w:b/>
                <w:color w:val="auto"/>
                <w:szCs w:val="21"/>
                <w:highlight w:val="none"/>
              </w:rPr>
            </w:pPr>
            <w:r>
              <w:rPr>
                <w:rFonts w:hint="eastAsia" w:ascii="MS PGothic" w:hAnsi="MS PGothic" w:eastAsia="MS PGothic" w:cs="MS PGothic"/>
                <w:b/>
                <w:color w:val="auto"/>
                <w:szCs w:val="21"/>
                <w:highlight w:val="none"/>
              </w:rPr>
              <w:t>☑</w:t>
            </w:r>
            <w:r>
              <w:rPr>
                <w:rFonts w:hint="eastAsia" w:ascii="宋体" w:hAnsi="宋体" w:cs="宋体"/>
                <w:b/>
                <w:color w:val="auto"/>
                <w:szCs w:val="21"/>
                <w:highlight w:val="none"/>
              </w:rPr>
              <w:t>投标报价包含验收费用</w:t>
            </w:r>
          </w:p>
          <w:p w14:paraId="518DBE97">
            <w:pPr>
              <w:keepNext/>
              <w:keepLines/>
              <w:spacing w:line="360" w:lineRule="auto"/>
              <w:rPr>
                <w:rFonts w:ascii="宋体" w:hAnsi="宋体" w:cs="宋体"/>
                <w:b/>
                <w:color w:val="auto"/>
                <w:szCs w:val="21"/>
                <w:highlight w:val="none"/>
              </w:rPr>
            </w:pPr>
            <w:r>
              <w:rPr>
                <w:rFonts w:hint="eastAsia" w:ascii="宋体" w:hAnsi="宋体" w:cs="宋体"/>
                <w:bCs/>
                <w:color w:val="auto"/>
                <w:szCs w:val="21"/>
                <w:highlight w:val="none"/>
              </w:rPr>
              <w:t>□投标报价不包含验收费用</w:t>
            </w:r>
            <w:r>
              <w:rPr>
                <w:rFonts w:hint="eastAsia" w:ascii="宋体" w:hAnsi="宋体" w:cs="宋体"/>
                <w:color w:val="auto"/>
                <w:szCs w:val="21"/>
                <w:highlight w:val="none"/>
              </w:rPr>
              <w:t xml:space="preserve">                </w:t>
            </w:r>
          </w:p>
        </w:tc>
      </w:tr>
      <w:tr w14:paraId="556F8F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80" w:type="dxa"/>
            <w:tcBorders>
              <w:top w:val="single" w:color="auto" w:sz="4" w:space="0"/>
              <w:left w:val="single" w:color="auto" w:sz="4" w:space="0"/>
              <w:bottom w:val="single" w:color="auto" w:sz="4" w:space="0"/>
              <w:right w:val="single" w:color="auto" w:sz="4" w:space="0"/>
            </w:tcBorders>
            <w:vAlign w:val="center"/>
          </w:tcPr>
          <w:p w14:paraId="4172951B">
            <w:pPr>
              <w:keepNext/>
              <w:keepLines/>
              <w:spacing w:line="360" w:lineRule="auto"/>
              <w:jc w:val="center"/>
              <w:rPr>
                <w:rFonts w:ascii="宋体" w:hAnsi="宋体" w:cs="宋体"/>
                <w:color w:val="auto"/>
                <w:szCs w:val="21"/>
                <w:highlight w:val="none"/>
              </w:rPr>
            </w:pPr>
            <w:r>
              <w:rPr>
                <w:rFonts w:hint="eastAsia" w:ascii="宋体" w:hAnsi="宋体" w:cs="宋体"/>
                <w:color w:val="auto"/>
                <w:szCs w:val="21"/>
                <w:highlight w:val="none"/>
              </w:rPr>
              <w:t>17.2</w:t>
            </w:r>
          </w:p>
        </w:tc>
        <w:tc>
          <w:tcPr>
            <w:tcW w:w="1954" w:type="dxa"/>
            <w:tcBorders>
              <w:top w:val="single" w:color="auto" w:sz="4" w:space="0"/>
              <w:left w:val="single" w:color="auto" w:sz="4" w:space="0"/>
              <w:bottom w:val="single" w:color="auto" w:sz="4" w:space="0"/>
              <w:right w:val="single" w:color="auto" w:sz="4" w:space="0"/>
            </w:tcBorders>
            <w:vAlign w:val="center"/>
          </w:tcPr>
          <w:p w14:paraId="5C4B793D">
            <w:pPr>
              <w:keepNext/>
              <w:keepLines/>
              <w:spacing w:line="360" w:lineRule="auto"/>
              <w:rPr>
                <w:rFonts w:ascii="宋体" w:hAnsi="宋体" w:cs="宋体"/>
                <w:color w:val="auto"/>
                <w:szCs w:val="21"/>
                <w:highlight w:val="none"/>
              </w:rPr>
            </w:pPr>
            <w:bookmarkStart w:id="36" w:name="_17.1"/>
            <w:bookmarkEnd w:id="36"/>
            <w:r>
              <w:rPr>
                <w:rFonts w:hint="eastAsia" w:ascii="宋体" w:hAnsi="宋体" w:cs="宋体"/>
                <w:color w:val="auto"/>
                <w:szCs w:val="21"/>
                <w:highlight w:val="none"/>
              </w:rPr>
              <w:t>投标有效期</w:t>
            </w:r>
          </w:p>
        </w:tc>
        <w:tc>
          <w:tcPr>
            <w:tcW w:w="7271" w:type="dxa"/>
            <w:tcBorders>
              <w:top w:val="single" w:color="auto" w:sz="4" w:space="0"/>
              <w:left w:val="single" w:color="auto" w:sz="4" w:space="0"/>
              <w:bottom w:val="single" w:color="auto" w:sz="4" w:space="0"/>
              <w:right w:val="single" w:color="auto" w:sz="4" w:space="0"/>
            </w:tcBorders>
            <w:vAlign w:val="center"/>
          </w:tcPr>
          <w:p w14:paraId="1E7496FC">
            <w:pPr>
              <w:keepNext/>
              <w:keepLines/>
              <w:spacing w:line="360" w:lineRule="auto"/>
              <w:rPr>
                <w:rFonts w:ascii="宋体" w:hAnsi="宋体" w:cs="宋体"/>
                <w:color w:val="auto"/>
                <w:szCs w:val="21"/>
                <w:highlight w:val="none"/>
              </w:rPr>
            </w:pPr>
            <w:r>
              <w:rPr>
                <w:rFonts w:hint="eastAsia" w:ascii="宋体" w:hAnsi="宋体" w:cs="宋体"/>
                <w:color w:val="auto"/>
                <w:szCs w:val="21"/>
                <w:highlight w:val="none"/>
              </w:rPr>
              <w:t>自投标截止之日起</w:t>
            </w:r>
            <w:r>
              <w:rPr>
                <w:rFonts w:hint="eastAsia" w:ascii="宋体" w:hAnsi="宋体" w:cs="宋体"/>
                <w:color w:val="auto"/>
                <w:szCs w:val="21"/>
                <w:highlight w:val="none"/>
                <w:u w:val="single"/>
              </w:rPr>
              <w:t xml:space="preserve"> </w:t>
            </w:r>
            <w:bookmarkStart w:id="37" w:name="PO_3000001866_PM046"/>
            <w:r>
              <w:rPr>
                <w:rFonts w:hint="eastAsia" w:ascii="宋体" w:hAnsi="宋体" w:cs="宋体"/>
                <w:color w:val="auto"/>
                <w:szCs w:val="21"/>
                <w:highlight w:val="none"/>
                <w:u w:val="single"/>
              </w:rPr>
              <w:t>90日历日</w:t>
            </w:r>
            <w:bookmarkEnd w:id="37"/>
            <w:r>
              <w:rPr>
                <w:rFonts w:hint="eastAsia" w:ascii="宋体" w:hAnsi="宋体" w:cs="宋体"/>
                <w:color w:val="auto"/>
                <w:szCs w:val="21"/>
                <w:highlight w:val="none"/>
              </w:rPr>
              <w:t>。</w:t>
            </w:r>
          </w:p>
        </w:tc>
      </w:tr>
      <w:tr w14:paraId="310728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80" w:type="dxa"/>
            <w:tcBorders>
              <w:top w:val="single" w:color="auto" w:sz="4" w:space="0"/>
              <w:left w:val="single" w:color="auto" w:sz="4" w:space="0"/>
              <w:bottom w:val="single" w:color="auto" w:sz="4" w:space="0"/>
              <w:right w:val="single" w:color="auto" w:sz="4" w:space="0"/>
            </w:tcBorders>
            <w:vAlign w:val="center"/>
          </w:tcPr>
          <w:p w14:paraId="30C0A709">
            <w:pPr>
              <w:keepNext/>
              <w:keepLines/>
              <w:spacing w:line="360" w:lineRule="auto"/>
              <w:jc w:val="center"/>
              <w:rPr>
                <w:rFonts w:ascii="宋体" w:hAnsi="宋体" w:cs="宋体"/>
                <w:color w:val="auto"/>
                <w:szCs w:val="21"/>
                <w:highlight w:val="none"/>
              </w:rPr>
            </w:pPr>
            <w:r>
              <w:rPr>
                <w:rFonts w:hint="eastAsia" w:ascii="宋体" w:hAnsi="宋体" w:cs="宋体"/>
                <w:color w:val="auto"/>
                <w:szCs w:val="21"/>
                <w:highlight w:val="none"/>
              </w:rPr>
              <w:t>18</w:t>
            </w:r>
          </w:p>
        </w:tc>
        <w:tc>
          <w:tcPr>
            <w:tcW w:w="1954" w:type="dxa"/>
            <w:tcBorders>
              <w:top w:val="single" w:color="auto" w:sz="4" w:space="0"/>
              <w:left w:val="single" w:color="auto" w:sz="4" w:space="0"/>
              <w:bottom w:val="single" w:color="auto" w:sz="4" w:space="0"/>
              <w:right w:val="single" w:color="auto" w:sz="4" w:space="0"/>
            </w:tcBorders>
            <w:vAlign w:val="center"/>
          </w:tcPr>
          <w:p w14:paraId="7FC6A16B">
            <w:pPr>
              <w:keepNext/>
              <w:keepLines/>
              <w:spacing w:line="360" w:lineRule="auto"/>
              <w:rPr>
                <w:rFonts w:ascii="宋体" w:hAnsi="宋体" w:cs="宋体"/>
                <w:color w:val="auto"/>
                <w:szCs w:val="21"/>
                <w:highlight w:val="none"/>
              </w:rPr>
            </w:pPr>
            <w:bookmarkStart w:id="38" w:name="_18"/>
            <w:bookmarkEnd w:id="38"/>
            <w:r>
              <w:rPr>
                <w:rFonts w:hint="eastAsia" w:ascii="宋体" w:hAnsi="宋体" w:cs="宋体"/>
                <w:color w:val="auto"/>
                <w:szCs w:val="21"/>
                <w:highlight w:val="none"/>
              </w:rPr>
              <w:t>投标保证金</w:t>
            </w:r>
          </w:p>
        </w:tc>
        <w:tc>
          <w:tcPr>
            <w:tcW w:w="7271" w:type="dxa"/>
            <w:tcBorders>
              <w:top w:val="single" w:color="auto" w:sz="4" w:space="0"/>
              <w:left w:val="single" w:color="auto" w:sz="4" w:space="0"/>
              <w:bottom w:val="single" w:color="auto" w:sz="4" w:space="0"/>
              <w:right w:val="single" w:color="auto" w:sz="4" w:space="0"/>
            </w:tcBorders>
            <w:vAlign w:val="center"/>
          </w:tcPr>
          <w:p w14:paraId="5DBC4BB1">
            <w:pPr>
              <w:keepNext/>
              <w:keepLines/>
              <w:autoSpaceDE w:val="0"/>
              <w:autoSpaceDN w:val="0"/>
              <w:spacing w:line="360" w:lineRule="auto"/>
              <w:textAlignment w:val="bottom"/>
              <w:rPr>
                <w:rFonts w:ascii="宋体" w:hAnsi="宋体" w:cs="宋体"/>
                <w:color w:val="auto"/>
                <w:szCs w:val="21"/>
                <w:highlight w:val="none"/>
              </w:rPr>
            </w:pPr>
            <w:r>
              <w:rPr>
                <w:rFonts w:hint="eastAsia" w:ascii="宋体" w:hAnsi="宋体" w:cs="宋体"/>
                <w:color w:val="auto"/>
                <w:szCs w:val="21"/>
                <w:highlight w:val="none"/>
              </w:rPr>
              <w:t>□本项目不收取投标保证金。</w:t>
            </w:r>
          </w:p>
          <w:p w14:paraId="789D619B">
            <w:pPr>
              <w:keepNext/>
              <w:keepLines/>
              <w:spacing w:line="360" w:lineRule="auto"/>
              <w:rPr>
                <w:rFonts w:ascii="宋体" w:hAnsi="宋体" w:cs="宋体"/>
                <w:b/>
                <w:bCs/>
                <w:color w:val="auto"/>
                <w:szCs w:val="21"/>
                <w:highlight w:val="none"/>
              </w:rPr>
            </w:pPr>
            <w:r>
              <w:rPr>
                <w:rFonts w:hint="eastAsia" w:ascii="MS PGothic" w:hAnsi="MS PGothic" w:eastAsia="MS PGothic" w:cs="MS PGothic"/>
                <w:b/>
                <w:bCs/>
                <w:color w:val="auto"/>
                <w:szCs w:val="21"/>
                <w:highlight w:val="none"/>
              </w:rPr>
              <w:t>☑</w:t>
            </w:r>
            <w:r>
              <w:rPr>
                <w:rFonts w:hint="eastAsia" w:ascii="宋体" w:hAnsi="宋体" w:cs="宋体"/>
                <w:b/>
                <w:bCs/>
                <w:color w:val="auto"/>
                <w:szCs w:val="21"/>
                <w:highlight w:val="none"/>
              </w:rPr>
              <w:t>本项目收取投标保证金，具体规定如下：</w:t>
            </w:r>
          </w:p>
          <w:p w14:paraId="08D47238">
            <w:pPr>
              <w:keepNext/>
              <w:keepLines/>
              <w:spacing w:line="360" w:lineRule="auto"/>
              <w:rPr>
                <w:rFonts w:ascii="宋体" w:hAnsi="宋体" w:cs="宋体"/>
                <w:color w:val="auto"/>
                <w:szCs w:val="21"/>
                <w:highlight w:val="none"/>
              </w:rPr>
            </w:pPr>
            <w:r>
              <w:rPr>
                <w:rFonts w:hint="eastAsia" w:ascii="宋体" w:hAnsi="宋体" w:cs="宋体"/>
                <w:color w:val="auto"/>
                <w:szCs w:val="21"/>
                <w:highlight w:val="none"/>
              </w:rPr>
              <w:t>投标保证金的金额：详见“招标公告”。</w:t>
            </w:r>
          </w:p>
          <w:p w14:paraId="08062CA2">
            <w:pPr>
              <w:keepNext/>
              <w:keepLines/>
              <w:spacing w:line="360" w:lineRule="auto"/>
              <w:rPr>
                <w:rFonts w:ascii="宋体" w:hAnsi="宋体" w:cs="宋体"/>
                <w:color w:val="auto"/>
                <w:szCs w:val="21"/>
                <w:highlight w:val="none"/>
              </w:rPr>
            </w:pPr>
            <w:r>
              <w:rPr>
                <w:rFonts w:hint="eastAsia" w:ascii="宋体" w:hAnsi="宋体" w:cs="宋体"/>
                <w:color w:val="auto"/>
                <w:szCs w:val="21"/>
                <w:highlight w:val="none"/>
              </w:rPr>
              <w:t>投标保证金的缴纳方式：详见“招标公告”。</w:t>
            </w:r>
          </w:p>
          <w:p w14:paraId="4A4EDD81">
            <w:pPr>
              <w:keepNext/>
              <w:keepLines/>
              <w:spacing w:line="360" w:lineRule="auto"/>
              <w:rPr>
                <w:rFonts w:ascii="宋体" w:hAnsi="宋体" w:cs="宋体"/>
                <w:color w:val="auto"/>
                <w:szCs w:val="21"/>
                <w:highlight w:val="none"/>
              </w:rPr>
            </w:pPr>
            <w:r>
              <w:rPr>
                <w:rFonts w:hint="eastAsia" w:ascii="宋体" w:hAnsi="宋体" w:cs="宋体"/>
                <w:color w:val="auto"/>
                <w:szCs w:val="21"/>
                <w:highlight w:val="none"/>
              </w:rPr>
              <w:t>相关要求：</w:t>
            </w:r>
          </w:p>
          <w:p w14:paraId="182B6765">
            <w:pPr>
              <w:pStyle w:val="12"/>
              <w:keepNext/>
              <w:keepLines/>
              <w:spacing w:line="360" w:lineRule="auto"/>
              <w:rPr>
                <w:rFonts w:ascii="宋体" w:hAnsi="宋体" w:cs="宋体"/>
                <w:color w:val="auto"/>
                <w:szCs w:val="21"/>
                <w:highlight w:val="none"/>
              </w:rPr>
            </w:pPr>
            <w:r>
              <w:rPr>
                <w:rFonts w:hint="eastAsia" w:ascii="宋体" w:hAnsi="宋体" w:cs="宋体"/>
                <w:color w:val="auto"/>
                <w:szCs w:val="21"/>
                <w:highlight w:val="none"/>
              </w:rPr>
              <w:t>1.投标保证金采用银行转账缴纳方式的，在投标截止时间前交至采购代理机构指定账户并且到账，投标人应将银行转账底单的复印件作为投标保证金提交凭证，放置于商务技术文件中，</w:t>
            </w:r>
            <w:r>
              <w:rPr>
                <w:rFonts w:hint="eastAsia" w:ascii="宋体" w:hAnsi="宋体" w:cs="宋体"/>
                <w:b/>
                <w:color w:val="auto"/>
                <w:szCs w:val="21"/>
                <w:highlight w:val="none"/>
              </w:rPr>
              <w:t>否则投标无效</w:t>
            </w:r>
            <w:r>
              <w:rPr>
                <w:rFonts w:hint="eastAsia" w:ascii="宋体" w:hAnsi="宋体" w:cs="宋体"/>
                <w:color w:val="auto"/>
                <w:szCs w:val="21"/>
                <w:highlight w:val="none"/>
              </w:rPr>
              <w:t>。</w:t>
            </w:r>
          </w:p>
          <w:p w14:paraId="60B4BBAC">
            <w:pPr>
              <w:keepNext/>
              <w:keepLines/>
              <w:spacing w:line="360" w:lineRule="auto"/>
              <w:rPr>
                <w:rFonts w:ascii="宋体" w:hAnsi="宋体" w:cs="宋体"/>
                <w:color w:val="auto"/>
                <w:szCs w:val="21"/>
                <w:highlight w:val="none"/>
              </w:rPr>
            </w:pPr>
            <w:r>
              <w:rPr>
                <w:rFonts w:hint="eastAsia" w:ascii="宋体" w:hAnsi="宋体" w:cs="宋体"/>
                <w:color w:val="auto"/>
                <w:szCs w:val="21"/>
                <w:highlight w:val="none"/>
              </w:rPr>
              <w:t>2.投标保证金采用支票、汇票、本票或者金融、担保机构出具的保函交纳方式的，投标人应将支票、汇票、本票或者金融、担保机构出具的保函的复印件作为投标保证金提交凭证，放置于商务技术文件中，</w:t>
            </w:r>
            <w:r>
              <w:rPr>
                <w:rFonts w:hint="eastAsia" w:ascii="宋体" w:hAnsi="宋体" w:cs="宋体"/>
                <w:b/>
                <w:color w:val="auto"/>
                <w:szCs w:val="21"/>
                <w:highlight w:val="none"/>
              </w:rPr>
              <w:t>否则投标无效</w:t>
            </w:r>
            <w:r>
              <w:rPr>
                <w:rFonts w:hint="eastAsia" w:ascii="宋体" w:hAnsi="宋体" w:cs="宋体"/>
                <w:color w:val="auto"/>
                <w:szCs w:val="21"/>
                <w:highlight w:val="none"/>
              </w:rPr>
              <w:t>。</w:t>
            </w:r>
            <w:r>
              <w:rPr>
                <w:rFonts w:hint="eastAsia" w:ascii="宋体" w:hAnsi="宋体" w:cs="宋体"/>
                <w:b/>
                <w:bCs/>
                <w:color w:val="auto"/>
                <w:szCs w:val="21"/>
                <w:highlight w:val="none"/>
              </w:rPr>
              <w:t>投标人必须</w:t>
            </w:r>
            <w:r>
              <w:rPr>
                <w:rFonts w:hint="eastAsia" w:ascii="宋体" w:hAnsi="宋体"/>
                <w:b/>
                <w:bCs/>
                <w:color w:val="auto"/>
                <w:szCs w:val="21"/>
                <w:highlight w:val="none"/>
              </w:rPr>
              <w:t>在投标截止时间前</w:t>
            </w:r>
            <w:r>
              <w:rPr>
                <w:rFonts w:hint="eastAsia" w:ascii="宋体" w:hAnsi="宋体" w:cs="宋体"/>
                <w:b/>
                <w:bCs/>
                <w:color w:val="auto"/>
                <w:szCs w:val="21"/>
                <w:highlight w:val="none"/>
              </w:rPr>
              <w:t>将支票、汇票、本票或者金融、担保机构出具的保函原件提交给采购代理机构，由采购代理机构向投标人出具回执，并妥善保管</w:t>
            </w:r>
            <w:r>
              <w:rPr>
                <w:rFonts w:hint="eastAsia" w:ascii="宋体" w:hAnsi="宋体" w:cs="宋体"/>
                <w:color w:val="auto"/>
                <w:szCs w:val="21"/>
                <w:highlight w:val="none"/>
              </w:rPr>
              <w:t>[保函原件递交方式：投标人可自行选择到现场递交或通过邮寄方式寄送，地址：南宁市青秀区中柬路9号利海亚洲国际4号楼领峰A座610室，联系人：黄弋珊，联系电话：0771-5824699（分机号：812）]。</w:t>
            </w:r>
          </w:p>
          <w:p w14:paraId="20B6E9CF">
            <w:pPr>
              <w:keepNext/>
              <w:keepLines/>
              <w:spacing w:line="360" w:lineRule="auto"/>
              <w:rPr>
                <w:rFonts w:ascii="宋体" w:hAnsi="宋体" w:cs="宋体"/>
                <w:color w:val="auto"/>
                <w:szCs w:val="21"/>
                <w:highlight w:val="none"/>
              </w:rPr>
            </w:pPr>
            <w:r>
              <w:rPr>
                <w:rFonts w:hint="eastAsia" w:ascii="宋体" w:hAnsi="宋体" w:cs="宋体"/>
                <w:color w:val="auto"/>
                <w:szCs w:val="21"/>
                <w:highlight w:val="none"/>
              </w:rPr>
              <w:t>3.投标保证金指定账户：详见“招标公告”。</w:t>
            </w:r>
          </w:p>
          <w:p w14:paraId="3DA23679">
            <w:pPr>
              <w:keepNext/>
              <w:keepLines/>
              <w:spacing w:line="360" w:lineRule="auto"/>
              <w:rPr>
                <w:rFonts w:ascii="仿宋" w:hAnsi="仿宋" w:eastAsia="仿宋" w:cs="仿宋"/>
                <w:b/>
                <w:color w:val="auto"/>
                <w:szCs w:val="21"/>
                <w:highlight w:val="none"/>
              </w:rPr>
            </w:pPr>
            <w:r>
              <w:rPr>
                <w:rFonts w:hint="eastAsia" w:ascii="仿宋" w:hAnsi="仿宋" w:eastAsia="仿宋" w:cs="仿宋"/>
                <w:b/>
                <w:color w:val="auto"/>
                <w:szCs w:val="21"/>
                <w:highlight w:val="none"/>
              </w:rPr>
              <w:t xml:space="preserve">备注： </w:t>
            </w:r>
          </w:p>
          <w:p w14:paraId="7D53D1E4">
            <w:pPr>
              <w:keepNext/>
              <w:keepLines/>
              <w:spacing w:line="360" w:lineRule="auto"/>
              <w:rPr>
                <w:rFonts w:ascii="仿宋" w:hAnsi="仿宋" w:eastAsia="仿宋" w:cs="仿宋"/>
                <w:b/>
                <w:color w:val="auto"/>
                <w:szCs w:val="21"/>
                <w:highlight w:val="none"/>
              </w:rPr>
            </w:pPr>
            <w:r>
              <w:rPr>
                <w:rFonts w:hint="eastAsia" w:ascii="仿宋" w:hAnsi="仿宋" w:eastAsia="仿宋" w:cs="仿宋"/>
                <w:b/>
                <w:color w:val="auto"/>
                <w:szCs w:val="21"/>
                <w:highlight w:val="none"/>
              </w:rPr>
              <w:t>1.投标保证金在投标截止时间后提交的，或者投标截止时间后提交支票、汇票、本票或者金融、担保机构出具的保函原件的，或者不按规定交纳方式交纳的，或者未足额交纳的（包含保函额度不足的），视为无效投标保证金。</w:t>
            </w:r>
          </w:p>
          <w:p w14:paraId="19602C40">
            <w:pPr>
              <w:keepNext/>
              <w:keepLines/>
              <w:spacing w:line="360" w:lineRule="auto"/>
              <w:rPr>
                <w:rFonts w:ascii="仿宋" w:hAnsi="仿宋" w:eastAsia="仿宋" w:cs="仿宋"/>
                <w:b/>
                <w:color w:val="auto"/>
                <w:szCs w:val="21"/>
                <w:highlight w:val="none"/>
              </w:rPr>
            </w:pPr>
            <w:r>
              <w:rPr>
                <w:rFonts w:hint="eastAsia" w:ascii="仿宋" w:hAnsi="仿宋" w:eastAsia="仿宋" w:cs="仿宋"/>
                <w:b/>
                <w:color w:val="auto"/>
                <w:szCs w:val="21"/>
                <w:highlight w:val="none"/>
              </w:rPr>
              <w:t>2.投标人采用现钞方式或者从个人账户（自然人投标除外）转出的投标保证金，视为无效投标保证金。</w:t>
            </w:r>
          </w:p>
          <w:p w14:paraId="01C4B75F">
            <w:pPr>
              <w:keepNext/>
              <w:keepLines/>
              <w:spacing w:line="360" w:lineRule="auto"/>
              <w:rPr>
                <w:rFonts w:ascii="仿宋" w:hAnsi="仿宋" w:eastAsia="仿宋" w:cs="仿宋"/>
                <w:b/>
                <w:color w:val="auto"/>
                <w:szCs w:val="21"/>
                <w:highlight w:val="none"/>
              </w:rPr>
            </w:pPr>
            <w:r>
              <w:rPr>
                <w:rFonts w:hint="eastAsia" w:ascii="仿宋" w:hAnsi="仿宋" w:eastAsia="仿宋" w:cs="仿宋"/>
                <w:b/>
                <w:color w:val="auto"/>
                <w:szCs w:val="21"/>
                <w:highlight w:val="none"/>
              </w:rPr>
              <w:t>3.支票、汇票或者本票出现无效或者背书情形的，视为无效投标保证金。</w:t>
            </w:r>
          </w:p>
          <w:p w14:paraId="646FE235">
            <w:pPr>
              <w:keepNext/>
              <w:keepLines/>
              <w:spacing w:line="360" w:lineRule="auto"/>
              <w:rPr>
                <w:rFonts w:ascii="仿宋" w:hAnsi="仿宋" w:eastAsia="仿宋" w:cs="仿宋"/>
                <w:b/>
                <w:color w:val="auto"/>
                <w:szCs w:val="21"/>
                <w:highlight w:val="none"/>
              </w:rPr>
            </w:pPr>
            <w:r>
              <w:rPr>
                <w:rFonts w:hint="eastAsia" w:ascii="仿宋" w:hAnsi="仿宋" w:eastAsia="仿宋" w:cs="仿宋"/>
                <w:b/>
                <w:color w:val="auto"/>
                <w:szCs w:val="21"/>
                <w:highlight w:val="none"/>
              </w:rPr>
              <w:t>4.保函有效期低于投标有效期的，视为无效投标保证金。</w:t>
            </w:r>
          </w:p>
          <w:p w14:paraId="507249B4">
            <w:pPr>
              <w:keepNext/>
              <w:keepLines/>
              <w:autoSpaceDE w:val="0"/>
              <w:autoSpaceDN w:val="0"/>
              <w:spacing w:line="360" w:lineRule="auto"/>
              <w:textAlignment w:val="bottom"/>
              <w:rPr>
                <w:rFonts w:ascii="宋体" w:hAnsi="宋体" w:cs="宋体"/>
                <w:color w:val="auto"/>
                <w:szCs w:val="21"/>
                <w:highlight w:val="none"/>
              </w:rPr>
            </w:pPr>
            <w:r>
              <w:rPr>
                <w:rFonts w:hint="eastAsia" w:ascii="仿宋" w:hAnsi="仿宋" w:eastAsia="仿宋" w:cs="仿宋"/>
                <w:b/>
                <w:color w:val="auto"/>
                <w:szCs w:val="21"/>
                <w:highlight w:val="none"/>
              </w:rPr>
              <w:t>5.采用金融、担保机构出具保函的，必须为无条件保函，否则视为无效投标保证金。</w:t>
            </w:r>
          </w:p>
        </w:tc>
      </w:tr>
      <w:tr w14:paraId="18BE41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80" w:type="dxa"/>
            <w:tcBorders>
              <w:top w:val="single" w:color="auto" w:sz="4" w:space="0"/>
              <w:left w:val="single" w:color="auto" w:sz="4" w:space="0"/>
              <w:bottom w:val="single" w:color="auto" w:sz="4" w:space="0"/>
              <w:right w:val="single" w:color="auto" w:sz="4" w:space="0"/>
            </w:tcBorders>
            <w:vAlign w:val="center"/>
          </w:tcPr>
          <w:p w14:paraId="20DF7CC3">
            <w:pPr>
              <w:keepNext/>
              <w:keepLines/>
              <w:spacing w:line="360" w:lineRule="auto"/>
              <w:jc w:val="center"/>
              <w:rPr>
                <w:rFonts w:ascii="宋体" w:hAnsi="宋体" w:cs="宋体"/>
                <w:color w:val="auto"/>
                <w:szCs w:val="21"/>
                <w:highlight w:val="none"/>
              </w:rPr>
            </w:pPr>
            <w:r>
              <w:rPr>
                <w:rFonts w:hint="eastAsia" w:ascii="宋体" w:hAnsi="宋体" w:cs="宋体"/>
                <w:color w:val="auto"/>
                <w:szCs w:val="21"/>
                <w:highlight w:val="none"/>
              </w:rPr>
              <w:t>19.1</w:t>
            </w:r>
          </w:p>
        </w:tc>
        <w:tc>
          <w:tcPr>
            <w:tcW w:w="1954" w:type="dxa"/>
            <w:tcBorders>
              <w:top w:val="single" w:color="auto" w:sz="4" w:space="0"/>
              <w:left w:val="single" w:color="auto" w:sz="4" w:space="0"/>
              <w:bottom w:val="single" w:color="auto" w:sz="4" w:space="0"/>
              <w:right w:val="single" w:color="auto" w:sz="4" w:space="0"/>
            </w:tcBorders>
            <w:vAlign w:val="center"/>
          </w:tcPr>
          <w:p w14:paraId="5CE84C39">
            <w:pPr>
              <w:keepNext/>
              <w:keepLines/>
              <w:spacing w:line="360" w:lineRule="auto"/>
              <w:rPr>
                <w:rFonts w:ascii="宋体" w:hAnsi="宋体" w:cs="宋体"/>
                <w:color w:val="auto"/>
                <w:szCs w:val="21"/>
                <w:highlight w:val="none"/>
              </w:rPr>
            </w:pPr>
            <w:r>
              <w:rPr>
                <w:rFonts w:hint="eastAsia" w:ascii="宋体" w:hAnsi="宋体" w:cs="宋体"/>
                <w:color w:val="auto"/>
                <w:szCs w:val="21"/>
                <w:highlight w:val="none"/>
              </w:rPr>
              <w:t>投标文件编制要求</w:t>
            </w:r>
          </w:p>
        </w:tc>
        <w:tc>
          <w:tcPr>
            <w:tcW w:w="7271" w:type="dxa"/>
            <w:tcBorders>
              <w:top w:val="single" w:color="auto" w:sz="4" w:space="0"/>
              <w:left w:val="single" w:color="auto" w:sz="4" w:space="0"/>
              <w:bottom w:val="single" w:color="auto" w:sz="4" w:space="0"/>
              <w:right w:val="single" w:color="auto" w:sz="4" w:space="0"/>
            </w:tcBorders>
            <w:vAlign w:val="center"/>
          </w:tcPr>
          <w:p w14:paraId="35EE6422">
            <w:pPr>
              <w:keepNext/>
              <w:keepLines/>
              <w:spacing w:line="360" w:lineRule="auto"/>
              <w:rPr>
                <w:rFonts w:ascii="宋体" w:hAnsi="宋体" w:cs="宋体"/>
                <w:b/>
                <w:color w:val="auto"/>
                <w:szCs w:val="21"/>
                <w:highlight w:val="none"/>
                <w:u w:val="single"/>
              </w:rPr>
            </w:pPr>
            <w:r>
              <w:rPr>
                <w:rFonts w:hint="eastAsia" w:ascii="宋体" w:hAnsi="宋体" w:cs="宋体"/>
                <w:color w:val="auto"/>
                <w:szCs w:val="21"/>
                <w:highlight w:val="none"/>
              </w:rPr>
              <w:t>投标文件应按资格证明文件、报价文件、商务技术文件分别编制且分别生成电子文件。</w:t>
            </w:r>
          </w:p>
        </w:tc>
      </w:tr>
      <w:tr w14:paraId="68865E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80" w:type="dxa"/>
            <w:tcBorders>
              <w:top w:val="single" w:color="auto" w:sz="4" w:space="0"/>
              <w:left w:val="single" w:color="auto" w:sz="4" w:space="0"/>
              <w:bottom w:val="single" w:color="auto" w:sz="4" w:space="0"/>
              <w:right w:val="single" w:color="auto" w:sz="4" w:space="0"/>
            </w:tcBorders>
            <w:vAlign w:val="center"/>
          </w:tcPr>
          <w:p w14:paraId="76363F86">
            <w:pPr>
              <w:keepNext/>
              <w:keepLines/>
              <w:spacing w:line="360" w:lineRule="auto"/>
              <w:jc w:val="center"/>
              <w:rPr>
                <w:rFonts w:ascii="宋体" w:hAnsi="宋体" w:cs="宋体"/>
                <w:color w:val="auto"/>
                <w:szCs w:val="21"/>
                <w:highlight w:val="none"/>
              </w:rPr>
            </w:pPr>
            <w:r>
              <w:rPr>
                <w:rFonts w:hint="eastAsia" w:ascii="宋体" w:hAnsi="宋体" w:cs="宋体"/>
                <w:color w:val="auto"/>
                <w:szCs w:val="21"/>
                <w:highlight w:val="none"/>
              </w:rPr>
              <w:t>20</w:t>
            </w:r>
          </w:p>
        </w:tc>
        <w:tc>
          <w:tcPr>
            <w:tcW w:w="1954" w:type="dxa"/>
            <w:tcBorders>
              <w:top w:val="single" w:color="auto" w:sz="4" w:space="0"/>
              <w:left w:val="single" w:color="auto" w:sz="4" w:space="0"/>
              <w:bottom w:val="single" w:color="auto" w:sz="4" w:space="0"/>
              <w:right w:val="single" w:color="auto" w:sz="4" w:space="0"/>
            </w:tcBorders>
            <w:vAlign w:val="center"/>
          </w:tcPr>
          <w:p w14:paraId="41CDB16D">
            <w:pPr>
              <w:keepNext/>
              <w:keepLines/>
              <w:spacing w:line="360" w:lineRule="auto"/>
              <w:rPr>
                <w:rFonts w:ascii="宋体" w:hAnsi="宋体" w:cs="宋体"/>
                <w:color w:val="auto"/>
                <w:szCs w:val="21"/>
                <w:highlight w:val="none"/>
              </w:rPr>
            </w:pPr>
            <w:r>
              <w:rPr>
                <w:rFonts w:hint="eastAsia" w:ascii="宋体" w:hAnsi="宋体" w:cs="宋体"/>
                <w:color w:val="auto"/>
                <w:szCs w:val="21"/>
                <w:highlight w:val="none"/>
              </w:rPr>
              <w:t>备份投标文件</w:t>
            </w:r>
          </w:p>
        </w:tc>
        <w:tc>
          <w:tcPr>
            <w:tcW w:w="7271" w:type="dxa"/>
            <w:tcBorders>
              <w:top w:val="single" w:color="auto" w:sz="4" w:space="0"/>
              <w:left w:val="single" w:color="auto" w:sz="4" w:space="0"/>
              <w:bottom w:val="single" w:color="auto" w:sz="4" w:space="0"/>
              <w:right w:val="single" w:color="auto" w:sz="4" w:space="0"/>
            </w:tcBorders>
            <w:vAlign w:val="center"/>
          </w:tcPr>
          <w:p w14:paraId="51DF8CAB">
            <w:pPr>
              <w:keepNext/>
              <w:keepLines/>
              <w:autoSpaceDE w:val="0"/>
              <w:autoSpaceDN w:val="0"/>
              <w:spacing w:line="360" w:lineRule="auto"/>
              <w:textAlignment w:val="bottom"/>
              <w:rPr>
                <w:rFonts w:ascii="宋体" w:hAnsi="宋体" w:cs="宋体"/>
                <w:b/>
                <w:bCs/>
                <w:color w:val="auto"/>
                <w:szCs w:val="21"/>
                <w:highlight w:val="none"/>
              </w:rPr>
            </w:pPr>
            <w:r>
              <w:rPr>
                <w:rFonts w:hint="eastAsia" w:ascii="MS PGothic" w:hAnsi="MS PGothic" w:eastAsia="MS PGothic" w:cs="MS PGothic"/>
                <w:b/>
                <w:bCs/>
                <w:color w:val="auto"/>
                <w:szCs w:val="21"/>
                <w:highlight w:val="none"/>
              </w:rPr>
              <w:t>☑</w:t>
            </w:r>
            <w:r>
              <w:rPr>
                <w:rFonts w:hint="eastAsia" w:ascii="宋体" w:hAnsi="宋体" w:cs="宋体"/>
                <w:b/>
                <w:bCs/>
                <w:color w:val="auto"/>
                <w:szCs w:val="21"/>
                <w:highlight w:val="none"/>
              </w:rPr>
              <w:t>本项目不接受电子备份投标文件</w:t>
            </w:r>
          </w:p>
          <w:p w14:paraId="096E15B9">
            <w:pPr>
              <w:keepNext/>
              <w:keepLines/>
              <w:autoSpaceDE w:val="0"/>
              <w:autoSpaceDN w:val="0"/>
              <w:spacing w:line="360" w:lineRule="auto"/>
              <w:textAlignment w:val="bottom"/>
              <w:rPr>
                <w:rFonts w:ascii="宋体" w:hAnsi="宋体" w:cs="宋体"/>
                <w:color w:val="auto"/>
                <w:szCs w:val="21"/>
                <w:highlight w:val="none"/>
              </w:rPr>
            </w:pPr>
            <w:r>
              <w:rPr>
                <w:rFonts w:hint="eastAsia" w:ascii="宋体" w:hAnsi="宋体" w:cs="宋体"/>
                <w:color w:val="auto"/>
                <w:szCs w:val="21"/>
                <w:highlight w:val="none"/>
              </w:rPr>
              <w:t>□本项目接受电子备份投标文件</w:t>
            </w:r>
          </w:p>
        </w:tc>
      </w:tr>
      <w:tr w14:paraId="32933D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80" w:type="dxa"/>
            <w:vMerge w:val="restart"/>
            <w:tcBorders>
              <w:top w:val="single" w:color="auto" w:sz="4" w:space="0"/>
              <w:left w:val="single" w:color="auto" w:sz="4" w:space="0"/>
              <w:right w:val="single" w:color="auto" w:sz="4" w:space="0"/>
            </w:tcBorders>
            <w:vAlign w:val="center"/>
          </w:tcPr>
          <w:p w14:paraId="0BBD7E79">
            <w:pPr>
              <w:keepNext/>
              <w:keepLines/>
              <w:spacing w:line="360" w:lineRule="auto"/>
              <w:jc w:val="center"/>
              <w:rPr>
                <w:rFonts w:ascii="宋体" w:hAnsi="宋体" w:cs="宋体"/>
                <w:color w:val="auto"/>
                <w:szCs w:val="21"/>
                <w:highlight w:val="none"/>
              </w:rPr>
            </w:pPr>
            <w:r>
              <w:rPr>
                <w:rFonts w:hint="eastAsia" w:ascii="宋体" w:hAnsi="宋体" w:cs="宋体"/>
                <w:color w:val="auto"/>
                <w:szCs w:val="21"/>
                <w:highlight w:val="none"/>
              </w:rPr>
              <w:t>21.1</w:t>
            </w:r>
          </w:p>
        </w:tc>
        <w:tc>
          <w:tcPr>
            <w:tcW w:w="1954" w:type="dxa"/>
            <w:tcBorders>
              <w:top w:val="single" w:color="auto" w:sz="4" w:space="0"/>
              <w:left w:val="single" w:color="auto" w:sz="4" w:space="0"/>
              <w:bottom w:val="single" w:color="auto" w:sz="4" w:space="0"/>
              <w:right w:val="single" w:color="auto" w:sz="4" w:space="0"/>
            </w:tcBorders>
            <w:vAlign w:val="center"/>
          </w:tcPr>
          <w:p w14:paraId="68DA3F1C">
            <w:pPr>
              <w:keepNext/>
              <w:keepLines/>
              <w:spacing w:line="360" w:lineRule="auto"/>
              <w:rPr>
                <w:rFonts w:ascii="宋体" w:hAnsi="宋体" w:cs="宋体"/>
                <w:color w:val="auto"/>
                <w:szCs w:val="21"/>
                <w:highlight w:val="none"/>
              </w:rPr>
            </w:pPr>
            <w:bookmarkStart w:id="39" w:name="_21.1"/>
            <w:bookmarkEnd w:id="39"/>
            <w:r>
              <w:rPr>
                <w:rFonts w:hint="eastAsia" w:ascii="宋体" w:hAnsi="宋体" w:cs="宋体"/>
                <w:color w:val="auto"/>
                <w:szCs w:val="21"/>
                <w:highlight w:val="none"/>
              </w:rPr>
              <w:t>投标截止时间</w:t>
            </w:r>
          </w:p>
        </w:tc>
        <w:tc>
          <w:tcPr>
            <w:tcW w:w="7271" w:type="dxa"/>
            <w:tcBorders>
              <w:top w:val="single" w:color="auto" w:sz="4" w:space="0"/>
              <w:left w:val="single" w:color="auto" w:sz="4" w:space="0"/>
              <w:bottom w:val="single" w:color="auto" w:sz="4" w:space="0"/>
              <w:right w:val="single" w:color="auto" w:sz="4" w:space="0"/>
            </w:tcBorders>
            <w:vAlign w:val="center"/>
          </w:tcPr>
          <w:p w14:paraId="3E7ABD0A">
            <w:pPr>
              <w:keepNext/>
              <w:keepLines/>
              <w:spacing w:line="360" w:lineRule="auto"/>
              <w:rPr>
                <w:rFonts w:ascii="宋体" w:hAnsi="宋体" w:cs="宋体"/>
                <w:color w:val="auto"/>
                <w:szCs w:val="21"/>
                <w:highlight w:val="none"/>
                <w:u w:val="single"/>
              </w:rPr>
            </w:pPr>
            <w:r>
              <w:rPr>
                <w:rFonts w:hint="eastAsia" w:ascii="宋体" w:hAnsi="宋体" w:cs="宋体"/>
                <w:color w:val="auto"/>
                <w:szCs w:val="21"/>
                <w:highlight w:val="none"/>
              </w:rPr>
              <w:t>详见“招标公告”。</w:t>
            </w:r>
          </w:p>
        </w:tc>
      </w:tr>
      <w:tr w14:paraId="61841E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80" w:type="dxa"/>
            <w:vMerge w:val="continue"/>
            <w:tcBorders>
              <w:left w:val="single" w:color="auto" w:sz="4" w:space="0"/>
              <w:right w:val="single" w:color="auto" w:sz="4" w:space="0"/>
            </w:tcBorders>
            <w:vAlign w:val="center"/>
          </w:tcPr>
          <w:p w14:paraId="5720CAFB">
            <w:pPr>
              <w:keepNext/>
              <w:keepLines/>
              <w:spacing w:line="360" w:lineRule="auto"/>
              <w:jc w:val="center"/>
              <w:rPr>
                <w:rFonts w:ascii="宋体" w:hAnsi="宋体" w:cs="宋体"/>
                <w:color w:val="auto"/>
                <w:szCs w:val="21"/>
                <w:highlight w:val="none"/>
              </w:rPr>
            </w:pPr>
          </w:p>
        </w:tc>
        <w:tc>
          <w:tcPr>
            <w:tcW w:w="1954" w:type="dxa"/>
            <w:tcBorders>
              <w:top w:val="single" w:color="auto" w:sz="4" w:space="0"/>
              <w:left w:val="single" w:color="auto" w:sz="4" w:space="0"/>
              <w:bottom w:val="single" w:color="auto" w:sz="4" w:space="0"/>
              <w:right w:val="single" w:color="auto" w:sz="4" w:space="0"/>
            </w:tcBorders>
            <w:vAlign w:val="center"/>
          </w:tcPr>
          <w:p w14:paraId="7930AFB9">
            <w:pPr>
              <w:keepNext/>
              <w:keepLines/>
              <w:spacing w:line="360" w:lineRule="auto"/>
              <w:rPr>
                <w:rFonts w:ascii="宋体" w:hAnsi="宋体" w:cs="宋体"/>
                <w:color w:val="auto"/>
                <w:szCs w:val="21"/>
                <w:highlight w:val="none"/>
              </w:rPr>
            </w:pPr>
            <w:r>
              <w:rPr>
                <w:rFonts w:hint="eastAsia" w:ascii="宋体" w:hAnsi="宋体" w:cs="宋体"/>
                <w:color w:val="auto"/>
                <w:szCs w:val="21"/>
                <w:highlight w:val="none"/>
              </w:rPr>
              <w:t>投标文件提交起止时间</w:t>
            </w:r>
          </w:p>
        </w:tc>
        <w:tc>
          <w:tcPr>
            <w:tcW w:w="7271" w:type="dxa"/>
            <w:tcBorders>
              <w:top w:val="single" w:color="auto" w:sz="4" w:space="0"/>
              <w:left w:val="single" w:color="auto" w:sz="4" w:space="0"/>
              <w:bottom w:val="single" w:color="auto" w:sz="4" w:space="0"/>
              <w:right w:val="single" w:color="auto" w:sz="4" w:space="0"/>
            </w:tcBorders>
            <w:vAlign w:val="center"/>
          </w:tcPr>
          <w:p w14:paraId="6DA19D05">
            <w:pPr>
              <w:keepNext/>
              <w:keepLines/>
              <w:spacing w:line="360" w:lineRule="auto"/>
              <w:rPr>
                <w:rFonts w:ascii="宋体" w:hAnsi="宋体" w:cs="宋体"/>
                <w:color w:val="auto"/>
                <w:szCs w:val="21"/>
                <w:highlight w:val="none"/>
              </w:rPr>
            </w:pPr>
            <w:r>
              <w:rPr>
                <w:rFonts w:hint="eastAsia" w:ascii="宋体" w:hAnsi="宋体" w:cs="宋体"/>
                <w:color w:val="auto"/>
                <w:szCs w:val="21"/>
                <w:highlight w:val="none"/>
              </w:rPr>
              <w:t>详见“招标公告”。</w:t>
            </w:r>
          </w:p>
        </w:tc>
      </w:tr>
      <w:tr w14:paraId="69C5D0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80" w:type="dxa"/>
            <w:vMerge w:val="continue"/>
            <w:tcBorders>
              <w:left w:val="single" w:color="auto" w:sz="4" w:space="0"/>
              <w:right w:val="single" w:color="auto" w:sz="4" w:space="0"/>
            </w:tcBorders>
            <w:vAlign w:val="center"/>
          </w:tcPr>
          <w:p w14:paraId="5C9A9E57">
            <w:pPr>
              <w:keepNext/>
              <w:keepLines/>
              <w:spacing w:line="360" w:lineRule="auto"/>
              <w:jc w:val="center"/>
              <w:rPr>
                <w:rFonts w:ascii="宋体" w:hAnsi="宋体" w:cs="宋体"/>
                <w:color w:val="auto"/>
                <w:szCs w:val="21"/>
                <w:highlight w:val="none"/>
              </w:rPr>
            </w:pPr>
          </w:p>
        </w:tc>
        <w:tc>
          <w:tcPr>
            <w:tcW w:w="1954" w:type="dxa"/>
            <w:tcBorders>
              <w:top w:val="single" w:color="auto" w:sz="4" w:space="0"/>
              <w:left w:val="single" w:color="auto" w:sz="4" w:space="0"/>
              <w:bottom w:val="single" w:color="auto" w:sz="4" w:space="0"/>
              <w:right w:val="single" w:color="auto" w:sz="4" w:space="0"/>
            </w:tcBorders>
            <w:vAlign w:val="center"/>
          </w:tcPr>
          <w:p w14:paraId="434D8DEB">
            <w:pPr>
              <w:keepNext/>
              <w:keepLines/>
              <w:spacing w:line="360" w:lineRule="auto"/>
              <w:rPr>
                <w:rFonts w:ascii="宋体" w:hAnsi="宋体" w:cs="宋体"/>
                <w:color w:val="auto"/>
                <w:szCs w:val="21"/>
                <w:highlight w:val="none"/>
              </w:rPr>
            </w:pPr>
            <w:r>
              <w:rPr>
                <w:rFonts w:hint="eastAsia" w:ascii="宋体" w:hAnsi="宋体" w:cs="宋体"/>
                <w:color w:val="auto"/>
                <w:szCs w:val="21"/>
                <w:highlight w:val="none"/>
              </w:rPr>
              <w:t>投标地点</w:t>
            </w:r>
          </w:p>
        </w:tc>
        <w:tc>
          <w:tcPr>
            <w:tcW w:w="7271" w:type="dxa"/>
            <w:tcBorders>
              <w:top w:val="single" w:color="auto" w:sz="4" w:space="0"/>
              <w:left w:val="single" w:color="auto" w:sz="4" w:space="0"/>
              <w:bottom w:val="single" w:color="auto" w:sz="4" w:space="0"/>
              <w:right w:val="single" w:color="auto" w:sz="4" w:space="0"/>
            </w:tcBorders>
            <w:vAlign w:val="center"/>
          </w:tcPr>
          <w:p w14:paraId="381E359A">
            <w:pPr>
              <w:keepNext/>
              <w:keepLines/>
              <w:spacing w:line="360" w:lineRule="auto"/>
              <w:rPr>
                <w:rFonts w:ascii="宋体" w:hAnsi="宋体" w:cs="宋体"/>
                <w:color w:val="auto"/>
                <w:szCs w:val="21"/>
                <w:highlight w:val="none"/>
              </w:rPr>
            </w:pPr>
            <w:r>
              <w:rPr>
                <w:rFonts w:hint="eastAsia" w:ascii="宋体" w:hAnsi="宋体" w:cs="宋体"/>
                <w:color w:val="auto"/>
                <w:szCs w:val="21"/>
                <w:highlight w:val="none"/>
              </w:rPr>
              <w:t>详见“招标公告”。</w:t>
            </w:r>
          </w:p>
        </w:tc>
      </w:tr>
      <w:tr w14:paraId="40B111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80" w:type="dxa"/>
            <w:vMerge w:val="continue"/>
            <w:tcBorders>
              <w:left w:val="single" w:color="auto" w:sz="4" w:space="0"/>
              <w:right w:val="single" w:color="auto" w:sz="4" w:space="0"/>
            </w:tcBorders>
            <w:vAlign w:val="center"/>
          </w:tcPr>
          <w:p w14:paraId="296B73F0">
            <w:pPr>
              <w:keepNext/>
              <w:keepLines/>
              <w:spacing w:line="360" w:lineRule="auto"/>
              <w:jc w:val="center"/>
              <w:rPr>
                <w:rFonts w:ascii="宋体" w:hAnsi="宋体" w:cs="宋体"/>
                <w:color w:val="auto"/>
                <w:szCs w:val="21"/>
                <w:highlight w:val="none"/>
              </w:rPr>
            </w:pPr>
          </w:p>
        </w:tc>
        <w:tc>
          <w:tcPr>
            <w:tcW w:w="1954" w:type="dxa"/>
            <w:tcBorders>
              <w:top w:val="single" w:color="auto" w:sz="4" w:space="0"/>
              <w:left w:val="single" w:color="auto" w:sz="4" w:space="0"/>
              <w:bottom w:val="single" w:color="auto" w:sz="4" w:space="0"/>
              <w:right w:val="single" w:color="auto" w:sz="4" w:space="0"/>
            </w:tcBorders>
            <w:vAlign w:val="center"/>
          </w:tcPr>
          <w:p w14:paraId="787891D0">
            <w:pPr>
              <w:keepNext/>
              <w:keepLines/>
              <w:spacing w:line="360" w:lineRule="auto"/>
              <w:rPr>
                <w:rFonts w:ascii="宋体" w:hAnsi="宋体" w:cs="宋体"/>
                <w:color w:val="auto"/>
                <w:szCs w:val="21"/>
                <w:highlight w:val="none"/>
              </w:rPr>
            </w:pPr>
            <w:r>
              <w:rPr>
                <w:rFonts w:hint="eastAsia" w:ascii="宋体" w:hAnsi="宋体" w:cs="宋体"/>
                <w:color w:val="auto"/>
                <w:szCs w:val="21"/>
                <w:highlight w:val="none"/>
              </w:rPr>
              <w:t>投标人递交投标样品截止时间及地点</w:t>
            </w:r>
          </w:p>
        </w:tc>
        <w:tc>
          <w:tcPr>
            <w:tcW w:w="7271" w:type="dxa"/>
            <w:tcBorders>
              <w:top w:val="single" w:color="auto" w:sz="4" w:space="0"/>
              <w:left w:val="single" w:color="auto" w:sz="4" w:space="0"/>
              <w:bottom w:val="single" w:color="auto" w:sz="4" w:space="0"/>
              <w:right w:val="single" w:color="auto" w:sz="4" w:space="0"/>
            </w:tcBorders>
            <w:vAlign w:val="center"/>
          </w:tcPr>
          <w:p w14:paraId="0C7C1678">
            <w:pPr>
              <w:keepNext/>
              <w:keepLines/>
              <w:spacing w:line="360" w:lineRule="auto"/>
              <w:rPr>
                <w:rFonts w:ascii="宋体" w:hAnsi="宋体" w:cs="宋体"/>
                <w:bCs/>
                <w:color w:val="auto"/>
                <w:szCs w:val="21"/>
                <w:highlight w:val="none"/>
              </w:rPr>
            </w:pPr>
            <w:r>
              <w:rPr>
                <w:rFonts w:hint="eastAsia" w:ascii="宋体" w:hAnsi="宋体" w:cs="宋体"/>
                <w:bCs/>
                <w:color w:val="auto"/>
                <w:szCs w:val="21"/>
                <w:highlight w:val="none"/>
              </w:rPr>
              <w:t>时间：</w:t>
            </w:r>
            <w:r>
              <w:rPr>
                <w:rFonts w:hint="eastAsia" w:ascii="宋体" w:hAnsi="宋体" w:cs="宋体"/>
                <w:bCs/>
                <w:color w:val="auto"/>
                <w:szCs w:val="21"/>
                <w:highlight w:val="none"/>
                <w:u w:val="single"/>
              </w:rPr>
              <w:t xml:space="preserve"> / </w:t>
            </w:r>
            <w:r>
              <w:rPr>
                <w:rFonts w:hint="eastAsia" w:ascii="宋体" w:hAnsi="宋体" w:cs="宋体"/>
                <w:bCs/>
                <w:color w:val="auto"/>
                <w:szCs w:val="21"/>
                <w:highlight w:val="none"/>
              </w:rPr>
              <w:t>年</w:t>
            </w:r>
            <w:r>
              <w:rPr>
                <w:rFonts w:hint="eastAsia" w:ascii="宋体" w:hAnsi="宋体" w:cs="宋体"/>
                <w:bCs/>
                <w:color w:val="auto"/>
                <w:szCs w:val="21"/>
                <w:highlight w:val="none"/>
                <w:u w:val="single"/>
              </w:rPr>
              <w:t xml:space="preserve"> / </w:t>
            </w:r>
            <w:r>
              <w:rPr>
                <w:rFonts w:hint="eastAsia" w:ascii="宋体" w:hAnsi="宋体" w:cs="宋体"/>
                <w:bCs/>
                <w:color w:val="auto"/>
                <w:szCs w:val="21"/>
                <w:highlight w:val="none"/>
              </w:rPr>
              <w:t>月</w:t>
            </w:r>
            <w:r>
              <w:rPr>
                <w:rFonts w:hint="eastAsia" w:ascii="宋体" w:hAnsi="宋体" w:cs="宋体"/>
                <w:bCs/>
                <w:color w:val="auto"/>
                <w:szCs w:val="21"/>
                <w:highlight w:val="none"/>
                <w:u w:val="single"/>
              </w:rPr>
              <w:t xml:space="preserve"> / </w:t>
            </w:r>
            <w:r>
              <w:rPr>
                <w:rFonts w:hint="eastAsia" w:ascii="宋体" w:hAnsi="宋体" w:cs="宋体"/>
                <w:bCs/>
                <w:color w:val="auto"/>
                <w:szCs w:val="21"/>
                <w:highlight w:val="none"/>
              </w:rPr>
              <w:t>日</w:t>
            </w:r>
            <w:r>
              <w:rPr>
                <w:rFonts w:hint="eastAsia" w:ascii="宋体" w:hAnsi="宋体" w:cs="宋体"/>
                <w:bCs/>
                <w:color w:val="auto"/>
                <w:szCs w:val="21"/>
                <w:highlight w:val="none"/>
                <w:u w:val="single"/>
              </w:rPr>
              <w:t xml:space="preserve"> / </w:t>
            </w:r>
            <w:r>
              <w:rPr>
                <w:rFonts w:hint="eastAsia" w:ascii="宋体" w:hAnsi="宋体" w:cs="宋体"/>
                <w:bCs/>
                <w:color w:val="auto"/>
                <w:szCs w:val="21"/>
                <w:highlight w:val="none"/>
              </w:rPr>
              <w:t>点</w:t>
            </w:r>
            <w:r>
              <w:rPr>
                <w:rFonts w:hint="eastAsia" w:ascii="宋体" w:hAnsi="宋体" w:cs="宋体"/>
                <w:bCs/>
                <w:color w:val="auto"/>
                <w:szCs w:val="21"/>
                <w:highlight w:val="none"/>
                <w:u w:val="single"/>
              </w:rPr>
              <w:t xml:space="preserve"> / </w:t>
            </w:r>
            <w:r>
              <w:rPr>
                <w:rFonts w:hint="eastAsia" w:ascii="宋体" w:hAnsi="宋体" w:cs="宋体"/>
                <w:bCs/>
                <w:color w:val="auto"/>
                <w:szCs w:val="21"/>
                <w:highlight w:val="none"/>
              </w:rPr>
              <w:t>分（北京时间）</w:t>
            </w:r>
          </w:p>
          <w:p w14:paraId="33B44A15">
            <w:pPr>
              <w:keepNext/>
              <w:keepLines/>
              <w:spacing w:line="360" w:lineRule="auto"/>
              <w:rPr>
                <w:rFonts w:ascii="宋体" w:hAnsi="宋体" w:cs="宋体"/>
                <w:color w:val="auto"/>
                <w:szCs w:val="21"/>
                <w:highlight w:val="none"/>
              </w:rPr>
            </w:pPr>
            <w:r>
              <w:rPr>
                <w:rFonts w:hint="eastAsia" w:ascii="宋体" w:hAnsi="宋体" w:cs="宋体"/>
                <w:bCs/>
                <w:color w:val="auto"/>
                <w:szCs w:val="21"/>
                <w:highlight w:val="none"/>
              </w:rPr>
              <w:t>地点：</w:t>
            </w:r>
            <w:r>
              <w:rPr>
                <w:rFonts w:hint="eastAsia" w:ascii="宋体" w:hAnsi="宋体" w:cs="宋体"/>
                <w:bCs/>
                <w:color w:val="auto"/>
                <w:szCs w:val="21"/>
                <w:highlight w:val="none"/>
                <w:u w:val="single"/>
              </w:rPr>
              <w:t xml:space="preserve"> / </w:t>
            </w:r>
            <w:r>
              <w:rPr>
                <w:rFonts w:hint="eastAsia" w:ascii="宋体" w:hAnsi="宋体" w:cs="宋体"/>
                <w:bCs/>
                <w:color w:val="auto"/>
                <w:szCs w:val="21"/>
                <w:highlight w:val="none"/>
              </w:rPr>
              <w:t>。</w:t>
            </w:r>
          </w:p>
        </w:tc>
      </w:tr>
      <w:tr w14:paraId="36D157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80" w:type="dxa"/>
            <w:tcBorders>
              <w:top w:val="single" w:color="auto" w:sz="4" w:space="0"/>
              <w:left w:val="single" w:color="auto" w:sz="4" w:space="0"/>
              <w:bottom w:val="single" w:color="auto" w:sz="4" w:space="0"/>
              <w:right w:val="single" w:color="auto" w:sz="4" w:space="0"/>
            </w:tcBorders>
            <w:vAlign w:val="center"/>
          </w:tcPr>
          <w:p w14:paraId="623D65E4">
            <w:pPr>
              <w:keepNext/>
              <w:keepLines/>
              <w:spacing w:line="360" w:lineRule="auto"/>
              <w:jc w:val="center"/>
              <w:rPr>
                <w:rFonts w:ascii="宋体" w:hAnsi="宋体" w:cs="宋体"/>
                <w:color w:val="auto"/>
                <w:szCs w:val="21"/>
                <w:highlight w:val="none"/>
              </w:rPr>
            </w:pPr>
            <w:r>
              <w:rPr>
                <w:rFonts w:hint="eastAsia" w:ascii="宋体" w:hAnsi="宋体" w:cs="宋体"/>
                <w:color w:val="auto"/>
                <w:szCs w:val="21"/>
                <w:highlight w:val="none"/>
              </w:rPr>
              <w:t>23</w:t>
            </w:r>
          </w:p>
        </w:tc>
        <w:tc>
          <w:tcPr>
            <w:tcW w:w="1954" w:type="dxa"/>
            <w:tcBorders>
              <w:top w:val="single" w:color="auto" w:sz="4" w:space="0"/>
              <w:left w:val="single" w:color="auto" w:sz="4" w:space="0"/>
              <w:bottom w:val="single" w:color="auto" w:sz="4" w:space="0"/>
              <w:right w:val="single" w:color="auto" w:sz="4" w:space="0"/>
            </w:tcBorders>
            <w:vAlign w:val="center"/>
          </w:tcPr>
          <w:p w14:paraId="089A4FFD">
            <w:pPr>
              <w:keepNext/>
              <w:keepLines/>
              <w:spacing w:line="360" w:lineRule="auto"/>
              <w:rPr>
                <w:rFonts w:ascii="宋体" w:hAnsi="宋体" w:cs="宋体"/>
                <w:color w:val="auto"/>
                <w:szCs w:val="21"/>
                <w:highlight w:val="none"/>
              </w:rPr>
            </w:pPr>
            <w:bookmarkStart w:id="40" w:name="_23"/>
            <w:bookmarkEnd w:id="40"/>
            <w:r>
              <w:rPr>
                <w:rFonts w:hint="eastAsia" w:ascii="宋体" w:hAnsi="宋体" w:cs="宋体"/>
                <w:color w:val="auto"/>
                <w:szCs w:val="21"/>
                <w:highlight w:val="none"/>
              </w:rPr>
              <w:t>开标时间、地点</w:t>
            </w:r>
          </w:p>
        </w:tc>
        <w:tc>
          <w:tcPr>
            <w:tcW w:w="7271" w:type="dxa"/>
            <w:tcBorders>
              <w:top w:val="single" w:color="auto" w:sz="4" w:space="0"/>
              <w:left w:val="single" w:color="auto" w:sz="4" w:space="0"/>
              <w:bottom w:val="single" w:color="auto" w:sz="4" w:space="0"/>
              <w:right w:val="single" w:color="auto" w:sz="4" w:space="0"/>
            </w:tcBorders>
            <w:vAlign w:val="center"/>
          </w:tcPr>
          <w:p w14:paraId="7B6722D9">
            <w:pPr>
              <w:keepNext/>
              <w:keepLines/>
              <w:spacing w:line="360" w:lineRule="auto"/>
              <w:rPr>
                <w:rFonts w:ascii="宋体" w:hAnsi="宋体" w:cs="宋体"/>
                <w:color w:val="auto"/>
                <w:szCs w:val="21"/>
                <w:highlight w:val="none"/>
              </w:rPr>
            </w:pPr>
            <w:r>
              <w:rPr>
                <w:rFonts w:hint="eastAsia" w:ascii="宋体" w:hAnsi="宋体" w:cs="宋体"/>
                <w:color w:val="auto"/>
                <w:szCs w:val="21"/>
                <w:highlight w:val="none"/>
              </w:rPr>
              <w:t>详见“招标公告”。</w:t>
            </w:r>
          </w:p>
        </w:tc>
      </w:tr>
      <w:tr w14:paraId="5ACE5F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80" w:type="dxa"/>
            <w:tcBorders>
              <w:top w:val="single" w:color="auto" w:sz="4" w:space="0"/>
              <w:left w:val="single" w:color="auto" w:sz="4" w:space="0"/>
              <w:bottom w:val="single" w:color="auto" w:sz="4" w:space="0"/>
              <w:right w:val="single" w:color="auto" w:sz="4" w:space="0"/>
            </w:tcBorders>
            <w:vAlign w:val="center"/>
          </w:tcPr>
          <w:p w14:paraId="4159B451">
            <w:pPr>
              <w:keepNext/>
              <w:keepLines/>
              <w:spacing w:line="360" w:lineRule="auto"/>
              <w:jc w:val="center"/>
              <w:rPr>
                <w:rFonts w:ascii="宋体" w:hAnsi="宋体" w:cs="宋体"/>
                <w:color w:val="auto"/>
                <w:szCs w:val="21"/>
                <w:highlight w:val="none"/>
              </w:rPr>
            </w:pPr>
            <w:r>
              <w:rPr>
                <w:rFonts w:hint="eastAsia" w:ascii="宋体" w:hAnsi="宋体" w:cs="宋体"/>
                <w:color w:val="auto"/>
                <w:szCs w:val="21"/>
                <w:highlight w:val="none"/>
              </w:rPr>
              <w:t>24.2</w:t>
            </w:r>
            <w:r>
              <w:rPr>
                <w:rFonts w:hint="eastAsia" w:ascii="宋体" w:hAnsi="宋体" w:cs="宋体"/>
                <w:color w:val="auto"/>
                <w:szCs w:val="21"/>
                <w:highlight w:val="none"/>
                <w:lang w:eastAsia="zh-CN"/>
              </w:rPr>
              <w:t>(</w:t>
            </w:r>
            <w:r>
              <w:rPr>
                <w:rFonts w:hint="eastAsia" w:ascii="宋体" w:hAnsi="宋体" w:cs="宋体"/>
                <w:color w:val="auto"/>
                <w:szCs w:val="21"/>
                <w:highlight w:val="none"/>
              </w:rPr>
              <w:t>1</w:t>
            </w:r>
            <w:r>
              <w:rPr>
                <w:rFonts w:hint="eastAsia" w:ascii="宋体" w:hAnsi="宋体" w:cs="宋体"/>
                <w:color w:val="auto"/>
                <w:szCs w:val="21"/>
                <w:highlight w:val="none"/>
                <w:lang w:eastAsia="zh-CN"/>
              </w:rPr>
              <w:t>)</w:t>
            </w:r>
          </w:p>
        </w:tc>
        <w:tc>
          <w:tcPr>
            <w:tcW w:w="1954" w:type="dxa"/>
            <w:tcBorders>
              <w:top w:val="single" w:color="auto" w:sz="4" w:space="0"/>
              <w:left w:val="single" w:color="auto" w:sz="4" w:space="0"/>
              <w:bottom w:val="single" w:color="auto" w:sz="4" w:space="0"/>
              <w:right w:val="single" w:color="auto" w:sz="4" w:space="0"/>
            </w:tcBorders>
            <w:vAlign w:val="center"/>
          </w:tcPr>
          <w:p w14:paraId="282EE86F">
            <w:pPr>
              <w:keepNext/>
              <w:keepLines/>
              <w:spacing w:line="360" w:lineRule="auto"/>
              <w:rPr>
                <w:rFonts w:ascii="宋体" w:hAnsi="宋体" w:cs="宋体"/>
                <w:color w:val="auto"/>
                <w:szCs w:val="21"/>
                <w:highlight w:val="none"/>
              </w:rPr>
            </w:pPr>
            <w:r>
              <w:rPr>
                <w:rFonts w:hint="eastAsia" w:ascii="宋体" w:hAnsi="宋体" w:cs="宋体"/>
                <w:color w:val="auto"/>
                <w:szCs w:val="21"/>
                <w:highlight w:val="none"/>
              </w:rPr>
              <w:t>解密电子投标文件</w:t>
            </w:r>
          </w:p>
        </w:tc>
        <w:tc>
          <w:tcPr>
            <w:tcW w:w="7271" w:type="dxa"/>
            <w:tcBorders>
              <w:top w:val="single" w:color="auto" w:sz="4" w:space="0"/>
              <w:left w:val="single" w:color="auto" w:sz="4" w:space="0"/>
              <w:bottom w:val="single" w:color="auto" w:sz="4" w:space="0"/>
              <w:right w:val="single" w:color="auto" w:sz="4" w:space="0"/>
            </w:tcBorders>
            <w:vAlign w:val="center"/>
          </w:tcPr>
          <w:p w14:paraId="0E43399E">
            <w:pPr>
              <w:keepNext/>
              <w:keepLines/>
              <w:spacing w:line="360" w:lineRule="auto"/>
              <w:rPr>
                <w:rFonts w:ascii="宋体" w:hAnsi="宋体" w:cs="宋体"/>
                <w:color w:val="auto"/>
                <w:szCs w:val="21"/>
                <w:highlight w:val="none"/>
              </w:rPr>
            </w:pPr>
            <w:r>
              <w:rPr>
                <w:rFonts w:hint="eastAsia" w:ascii="宋体" w:hAnsi="宋体" w:cs="宋体"/>
                <w:color w:val="auto"/>
                <w:szCs w:val="21"/>
                <w:highlight w:val="none"/>
              </w:rPr>
              <w:t>开标后，采购组织机构将向各投标人发出“电子加密投标文件”的解密通知，各投标人代表应当在接到解密通知后</w:t>
            </w:r>
            <w:r>
              <w:rPr>
                <w:rFonts w:hint="eastAsia" w:ascii="宋体" w:hAnsi="宋体" w:cs="宋体"/>
                <w:color w:val="auto"/>
                <w:szCs w:val="21"/>
                <w:highlight w:val="none"/>
                <w:u w:val="single"/>
              </w:rPr>
              <w:t>30</w:t>
            </w:r>
            <w:r>
              <w:rPr>
                <w:rFonts w:hint="eastAsia" w:ascii="宋体" w:hAnsi="宋体" w:cs="宋体"/>
                <w:color w:val="auto"/>
                <w:szCs w:val="21"/>
                <w:highlight w:val="none"/>
              </w:rPr>
              <w:t>分钟内自行完成“电子加密投标文件”的在线解密。投标人未在规定时间内完成解密的，系统默认自动放弃。</w:t>
            </w:r>
          </w:p>
        </w:tc>
      </w:tr>
      <w:tr w14:paraId="1F012B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80" w:hRule="atLeast"/>
          <w:jc w:val="center"/>
        </w:trPr>
        <w:tc>
          <w:tcPr>
            <w:tcW w:w="980" w:type="dxa"/>
            <w:tcBorders>
              <w:top w:val="single" w:color="auto" w:sz="4" w:space="0"/>
              <w:left w:val="single" w:color="auto" w:sz="4" w:space="0"/>
              <w:right w:val="single" w:color="auto" w:sz="4" w:space="0"/>
            </w:tcBorders>
            <w:vAlign w:val="center"/>
          </w:tcPr>
          <w:p w14:paraId="600A2FF4">
            <w:pPr>
              <w:keepNext/>
              <w:keepLines/>
              <w:spacing w:line="360" w:lineRule="auto"/>
              <w:jc w:val="center"/>
              <w:rPr>
                <w:rFonts w:ascii="宋体" w:hAnsi="宋体" w:cs="宋体"/>
                <w:color w:val="auto"/>
                <w:szCs w:val="21"/>
                <w:highlight w:val="none"/>
              </w:rPr>
            </w:pPr>
            <w:r>
              <w:rPr>
                <w:rFonts w:hint="eastAsia" w:ascii="宋体" w:hAnsi="宋体" w:cs="宋体"/>
                <w:color w:val="auto"/>
                <w:szCs w:val="21"/>
                <w:highlight w:val="none"/>
              </w:rPr>
              <w:t>25.4</w:t>
            </w:r>
            <w:r>
              <w:rPr>
                <w:rFonts w:hint="eastAsia" w:ascii="宋体" w:hAnsi="宋体" w:cs="宋体"/>
                <w:color w:val="auto"/>
                <w:szCs w:val="21"/>
                <w:highlight w:val="none"/>
                <w:lang w:eastAsia="zh-CN"/>
              </w:rPr>
              <w:t>(</w:t>
            </w:r>
            <w:r>
              <w:rPr>
                <w:rFonts w:hint="eastAsia" w:ascii="宋体" w:hAnsi="宋体" w:cs="宋体"/>
                <w:color w:val="auto"/>
                <w:szCs w:val="21"/>
                <w:highlight w:val="none"/>
              </w:rPr>
              <w:t>1</w:t>
            </w:r>
            <w:r>
              <w:rPr>
                <w:rFonts w:hint="eastAsia" w:ascii="宋体" w:hAnsi="宋体" w:cs="宋体"/>
                <w:color w:val="auto"/>
                <w:szCs w:val="21"/>
                <w:highlight w:val="none"/>
                <w:lang w:eastAsia="zh-CN"/>
              </w:rPr>
              <w:t>)</w:t>
            </w:r>
          </w:p>
        </w:tc>
        <w:tc>
          <w:tcPr>
            <w:tcW w:w="1954" w:type="dxa"/>
            <w:tcBorders>
              <w:top w:val="single" w:color="auto" w:sz="4" w:space="0"/>
              <w:left w:val="single" w:color="auto" w:sz="4" w:space="0"/>
              <w:right w:val="single" w:color="auto" w:sz="4" w:space="0"/>
            </w:tcBorders>
            <w:vAlign w:val="center"/>
          </w:tcPr>
          <w:p w14:paraId="21ADA77F">
            <w:pPr>
              <w:keepNext/>
              <w:keepLines/>
              <w:spacing w:line="360" w:lineRule="auto"/>
              <w:rPr>
                <w:rFonts w:ascii="宋体" w:hAnsi="宋体" w:cs="宋体"/>
                <w:color w:val="auto"/>
                <w:szCs w:val="21"/>
                <w:highlight w:val="none"/>
              </w:rPr>
            </w:pPr>
            <w:bookmarkStart w:id="41" w:name="_25.3"/>
            <w:bookmarkEnd w:id="41"/>
            <w:r>
              <w:rPr>
                <w:rFonts w:hint="eastAsia" w:ascii="宋体" w:hAnsi="宋体" w:cs="宋体"/>
                <w:color w:val="auto"/>
                <w:szCs w:val="21"/>
                <w:highlight w:val="none"/>
              </w:rPr>
              <w:t>信用查询规则</w:t>
            </w:r>
          </w:p>
        </w:tc>
        <w:tc>
          <w:tcPr>
            <w:tcW w:w="7271" w:type="dxa"/>
            <w:tcBorders>
              <w:top w:val="single" w:color="auto" w:sz="4" w:space="0"/>
              <w:left w:val="single" w:color="auto" w:sz="4" w:space="0"/>
              <w:bottom w:val="single" w:color="auto" w:sz="4" w:space="0"/>
              <w:right w:val="single" w:color="auto" w:sz="4" w:space="0"/>
            </w:tcBorders>
            <w:vAlign w:val="center"/>
          </w:tcPr>
          <w:p w14:paraId="0B465D60">
            <w:pPr>
              <w:keepNext/>
              <w:keepLines/>
              <w:spacing w:line="360" w:lineRule="auto"/>
              <w:rPr>
                <w:rFonts w:ascii="宋体" w:hAnsi="宋体" w:cs="宋体"/>
                <w:color w:val="auto"/>
                <w:szCs w:val="21"/>
                <w:highlight w:val="none"/>
              </w:rPr>
            </w:pPr>
            <w:r>
              <w:rPr>
                <w:rFonts w:hint="eastAsia" w:ascii="宋体" w:hAnsi="宋体" w:cs="宋体"/>
                <w:color w:val="auto"/>
                <w:szCs w:val="21"/>
                <w:highlight w:val="none"/>
              </w:rPr>
              <w:t>采购人或者采购代理机构在资格审查结束前，对投标人进行信用查询。</w:t>
            </w:r>
          </w:p>
          <w:p w14:paraId="28C80F31">
            <w:pPr>
              <w:keepNext/>
              <w:keepLines/>
              <w:spacing w:line="360" w:lineRule="auto"/>
              <w:rPr>
                <w:rFonts w:ascii="宋体" w:hAnsi="宋体" w:cs="宋体"/>
                <w:color w:val="auto"/>
                <w:szCs w:val="21"/>
                <w:highlight w:val="none"/>
              </w:rPr>
            </w:pPr>
            <w:r>
              <w:rPr>
                <w:rFonts w:hint="eastAsia" w:ascii="宋体" w:hAnsi="宋体" w:cs="宋体"/>
                <w:color w:val="auto"/>
                <w:szCs w:val="21"/>
                <w:highlight w:val="none"/>
              </w:rPr>
              <w:t>查询渠道：“信用中国”网站（www.creditchina.gov.cn） 、中国政府采购网（www.ccgp.gov.cn）。</w:t>
            </w:r>
          </w:p>
          <w:p w14:paraId="2B20C950">
            <w:pPr>
              <w:keepNext/>
              <w:keepLines/>
              <w:spacing w:line="360" w:lineRule="auto"/>
              <w:rPr>
                <w:rFonts w:ascii="宋体" w:hAnsi="宋体" w:cs="宋体"/>
                <w:color w:val="auto"/>
                <w:szCs w:val="21"/>
                <w:highlight w:val="none"/>
              </w:rPr>
            </w:pPr>
            <w:r>
              <w:rPr>
                <w:rFonts w:hint="eastAsia" w:ascii="宋体" w:hAnsi="宋体" w:cs="宋体"/>
                <w:color w:val="auto"/>
                <w:szCs w:val="21"/>
                <w:highlight w:val="none"/>
              </w:rPr>
              <w:t>信用查询截止时点：资格审查结束前。</w:t>
            </w:r>
          </w:p>
          <w:p w14:paraId="591FF500">
            <w:pPr>
              <w:keepNext/>
              <w:keepLines/>
              <w:spacing w:line="360" w:lineRule="auto"/>
              <w:rPr>
                <w:rFonts w:ascii="宋体" w:hAnsi="宋体" w:cs="宋体"/>
                <w:color w:val="auto"/>
                <w:szCs w:val="21"/>
                <w:highlight w:val="none"/>
              </w:rPr>
            </w:pPr>
            <w:r>
              <w:rPr>
                <w:rFonts w:hint="eastAsia" w:ascii="宋体" w:hAnsi="宋体" w:cs="宋体"/>
                <w:color w:val="auto"/>
                <w:szCs w:val="21"/>
                <w:highlight w:val="none"/>
              </w:rPr>
              <w:t>查询记录和证据留存方式：在查询网站中直接打印查询记录，打印材料作为评审资料保存。</w:t>
            </w:r>
          </w:p>
          <w:p w14:paraId="0CCF5DFB">
            <w:pPr>
              <w:keepNext/>
              <w:keepLines/>
              <w:spacing w:line="360" w:lineRule="auto"/>
              <w:rPr>
                <w:rFonts w:ascii="宋体" w:hAnsi="宋体" w:cs="宋体"/>
                <w:color w:val="auto"/>
                <w:szCs w:val="21"/>
                <w:highlight w:val="none"/>
              </w:rPr>
            </w:pPr>
            <w:r>
              <w:rPr>
                <w:rFonts w:hint="eastAsia" w:ascii="宋体" w:hAnsi="宋体" w:cs="宋体"/>
                <w:color w:val="auto"/>
                <w:szCs w:val="21"/>
                <w:highlight w:val="none"/>
              </w:rPr>
              <w:t>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采购人或者采购代理机构应当拒绝其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r w14:paraId="4B1601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80" w:type="dxa"/>
            <w:tcBorders>
              <w:top w:val="single" w:color="auto" w:sz="4" w:space="0"/>
              <w:left w:val="single" w:color="auto" w:sz="4" w:space="0"/>
              <w:bottom w:val="single" w:color="auto" w:sz="4" w:space="0"/>
              <w:right w:val="single" w:color="auto" w:sz="4" w:space="0"/>
            </w:tcBorders>
            <w:vAlign w:val="center"/>
          </w:tcPr>
          <w:p w14:paraId="39D21E49">
            <w:pPr>
              <w:keepNext/>
              <w:keepLines/>
              <w:spacing w:line="360" w:lineRule="auto"/>
              <w:jc w:val="center"/>
              <w:rPr>
                <w:rFonts w:ascii="宋体" w:hAnsi="宋体" w:cs="宋体"/>
                <w:color w:val="auto"/>
                <w:szCs w:val="21"/>
                <w:highlight w:val="none"/>
              </w:rPr>
            </w:pPr>
            <w:r>
              <w:rPr>
                <w:rFonts w:hint="eastAsia" w:ascii="宋体" w:hAnsi="宋体" w:cs="宋体"/>
                <w:color w:val="auto"/>
                <w:szCs w:val="21"/>
                <w:highlight w:val="none"/>
              </w:rPr>
              <w:t>26.1</w:t>
            </w:r>
          </w:p>
        </w:tc>
        <w:tc>
          <w:tcPr>
            <w:tcW w:w="1954" w:type="dxa"/>
            <w:tcBorders>
              <w:top w:val="single" w:color="auto" w:sz="4" w:space="0"/>
              <w:left w:val="single" w:color="auto" w:sz="4" w:space="0"/>
              <w:bottom w:val="single" w:color="auto" w:sz="4" w:space="0"/>
              <w:right w:val="single" w:color="auto" w:sz="4" w:space="0"/>
            </w:tcBorders>
            <w:vAlign w:val="center"/>
          </w:tcPr>
          <w:p w14:paraId="35DB9EF5">
            <w:pPr>
              <w:keepNext/>
              <w:keepLines/>
              <w:spacing w:line="360" w:lineRule="auto"/>
              <w:rPr>
                <w:rFonts w:ascii="宋体" w:hAnsi="宋体" w:cs="宋体"/>
                <w:color w:val="auto"/>
                <w:szCs w:val="21"/>
                <w:highlight w:val="none"/>
              </w:rPr>
            </w:pPr>
            <w:r>
              <w:rPr>
                <w:rFonts w:hint="eastAsia" w:ascii="宋体" w:hAnsi="宋体"/>
                <w:color w:val="auto"/>
                <w:szCs w:val="21"/>
                <w:highlight w:val="none"/>
              </w:rPr>
              <w:t>评标委员会</w:t>
            </w:r>
          </w:p>
        </w:tc>
        <w:tc>
          <w:tcPr>
            <w:tcW w:w="7271" w:type="dxa"/>
            <w:tcBorders>
              <w:top w:val="single" w:color="auto" w:sz="4" w:space="0"/>
              <w:left w:val="single" w:color="auto" w:sz="4" w:space="0"/>
              <w:bottom w:val="single" w:color="auto" w:sz="4" w:space="0"/>
              <w:right w:val="single" w:color="auto" w:sz="4" w:space="0"/>
            </w:tcBorders>
            <w:vAlign w:val="center"/>
          </w:tcPr>
          <w:p w14:paraId="38A99822">
            <w:pPr>
              <w:keepNext/>
              <w:keepLines/>
              <w:autoSpaceDE w:val="0"/>
              <w:autoSpaceDN w:val="0"/>
              <w:spacing w:line="360" w:lineRule="auto"/>
              <w:textAlignment w:val="bottom"/>
              <w:rPr>
                <w:rFonts w:ascii="宋体" w:hAnsi="宋体" w:cs="宋体"/>
                <w:color w:val="auto"/>
                <w:szCs w:val="21"/>
                <w:highlight w:val="none"/>
              </w:rPr>
            </w:pPr>
            <w:r>
              <w:rPr>
                <w:rFonts w:hint="eastAsia" w:ascii="宋体" w:hAnsi="宋体"/>
                <w:color w:val="auto"/>
                <w:szCs w:val="21"/>
                <w:highlight w:val="none"/>
              </w:rPr>
              <w:t>评标委员会的人数：</w:t>
            </w:r>
            <w:r>
              <w:rPr>
                <w:rFonts w:ascii="宋体" w:hAnsi="宋体"/>
                <w:color w:val="auto"/>
                <w:szCs w:val="21"/>
                <w:highlight w:val="none"/>
                <w:u w:val="single"/>
              </w:rPr>
              <w:t>7</w:t>
            </w:r>
            <w:r>
              <w:rPr>
                <w:rFonts w:hint="eastAsia" w:ascii="宋体" w:hAnsi="宋体"/>
                <w:color w:val="auto"/>
                <w:szCs w:val="21"/>
                <w:highlight w:val="none"/>
              </w:rPr>
              <w:t>人或以上单数。</w:t>
            </w:r>
          </w:p>
        </w:tc>
      </w:tr>
      <w:tr w14:paraId="69947B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80" w:type="dxa"/>
            <w:tcBorders>
              <w:top w:val="single" w:color="auto" w:sz="4" w:space="0"/>
              <w:left w:val="single" w:color="auto" w:sz="4" w:space="0"/>
              <w:bottom w:val="single" w:color="auto" w:sz="4" w:space="0"/>
              <w:right w:val="single" w:color="auto" w:sz="4" w:space="0"/>
            </w:tcBorders>
            <w:vAlign w:val="center"/>
          </w:tcPr>
          <w:p w14:paraId="01669361">
            <w:pPr>
              <w:keepNext/>
              <w:keepLines/>
              <w:spacing w:line="360" w:lineRule="auto"/>
              <w:jc w:val="center"/>
              <w:rPr>
                <w:rFonts w:ascii="宋体" w:hAnsi="宋体" w:cs="宋体"/>
                <w:color w:val="auto"/>
                <w:szCs w:val="21"/>
                <w:highlight w:val="none"/>
              </w:rPr>
            </w:pPr>
            <w:r>
              <w:rPr>
                <w:rFonts w:hint="eastAsia" w:ascii="宋体" w:hAnsi="宋体" w:cs="宋体"/>
                <w:color w:val="auto"/>
                <w:szCs w:val="21"/>
                <w:highlight w:val="none"/>
              </w:rPr>
              <w:t>29.1</w:t>
            </w:r>
          </w:p>
        </w:tc>
        <w:tc>
          <w:tcPr>
            <w:tcW w:w="1954" w:type="dxa"/>
            <w:tcBorders>
              <w:top w:val="single" w:color="auto" w:sz="4" w:space="0"/>
              <w:left w:val="single" w:color="auto" w:sz="4" w:space="0"/>
              <w:bottom w:val="single" w:color="auto" w:sz="4" w:space="0"/>
              <w:right w:val="single" w:color="auto" w:sz="4" w:space="0"/>
            </w:tcBorders>
            <w:vAlign w:val="center"/>
          </w:tcPr>
          <w:p w14:paraId="0F0109C7">
            <w:pPr>
              <w:keepNext/>
              <w:keepLines/>
              <w:spacing w:line="360" w:lineRule="auto"/>
              <w:rPr>
                <w:rFonts w:ascii="宋体" w:hAnsi="宋体" w:cs="宋体"/>
                <w:color w:val="auto"/>
                <w:szCs w:val="21"/>
                <w:highlight w:val="none"/>
              </w:rPr>
            </w:pPr>
            <w:bookmarkStart w:id="42" w:name="_26"/>
            <w:bookmarkEnd w:id="42"/>
            <w:bookmarkStart w:id="43" w:name="_28.3"/>
            <w:bookmarkEnd w:id="43"/>
            <w:r>
              <w:rPr>
                <w:rFonts w:hint="eastAsia" w:ascii="宋体" w:hAnsi="宋体" w:cs="宋体"/>
                <w:color w:val="auto"/>
                <w:szCs w:val="21"/>
                <w:highlight w:val="none"/>
              </w:rPr>
              <w:t>评标方法</w:t>
            </w:r>
          </w:p>
        </w:tc>
        <w:tc>
          <w:tcPr>
            <w:tcW w:w="7271" w:type="dxa"/>
            <w:tcBorders>
              <w:top w:val="single" w:color="auto" w:sz="4" w:space="0"/>
              <w:left w:val="single" w:color="auto" w:sz="4" w:space="0"/>
              <w:bottom w:val="single" w:color="auto" w:sz="4" w:space="0"/>
              <w:right w:val="single" w:color="auto" w:sz="4" w:space="0"/>
            </w:tcBorders>
            <w:vAlign w:val="center"/>
          </w:tcPr>
          <w:p w14:paraId="5015F7D4">
            <w:pPr>
              <w:keepNext/>
              <w:keepLines/>
              <w:autoSpaceDE w:val="0"/>
              <w:autoSpaceDN w:val="0"/>
              <w:spacing w:line="360" w:lineRule="auto"/>
              <w:textAlignment w:val="bottom"/>
              <w:rPr>
                <w:rFonts w:ascii="宋体" w:hAnsi="宋体" w:cs="宋体"/>
                <w:b/>
                <w:bCs/>
                <w:color w:val="auto"/>
                <w:szCs w:val="21"/>
                <w:highlight w:val="none"/>
              </w:rPr>
            </w:pPr>
            <w:r>
              <w:rPr>
                <w:rFonts w:hint="eastAsia" w:ascii="MS PGothic" w:hAnsi="MS PGothic" w:eastAsia="MS PGothic" w:cs="MS PGothic"/>
                <w:b/>
                <w:bCs/>
                <w:color w:val="auto"/>
                <w:szCs w:val="21"/>
                <w:highlight w:val="none"/>
              </w:rPr>
              <w:t>☑</w:t>
            </w:r>
            <w:r>
              <w:rPr>
                <w:rFonts w:hint="eastAsia" w:ascii="宋体" w:hAnsi="宋体" w:cs="宋体"/>
                <w:b/>
                <w:bCs/>
                <w:color w:val="auto"/>
                <w:szCs w:val="21"/>
                <w:highlight w:val="none"/>
              </w:rPr>
              <w:t>综合评分法</w:t>
            </w:r>
          </w:p>
          <w:p w14:paraId="7EFBB6F9">
            <w:pPr>
              <w:keepNext/>
              <w:keepLines/>
              <w:autoSpaceDE w:val="0"/>
              <w:autoSpaceDN w:val="0"/>
              <w:spacing w:line="360" w:lineRule="auto"/>
              <w:textAlignment w:val="bottom"/>
              <w:rPr>
                <w:rFonts w:ascii="宋体" w:hAnsi="宋体" w:cs="宋体"/>
                <w:color w:val="auto"/>
                <w:szCs w:val="21"/>
                <w:highlight w:val="none"/>
              </w:rPr>
            </w:pPr>
            <w:r>
              <w:rPr>
                <w:rFonts w:hint="eastAsia" w:ascii="宋体" w:hAnsi="宋体" w:cs="宋体"/>
                <w:color w:val="auto"/>
                <w:szCs w:val="21"/>
                <w:highlight w:val="none"/>
              </w:rPr>
              <w:t>□最低评标价法</w:t>
            </w:r>
          </w:p>
        </w:tc>
      </w:tr>
      <w:tr w14:paraId="063DB8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80" w:type="dxa"/>
            <w:tcBorders>
              <w:top w:val="single" w:color="auto" w:sz="4" w:space="0"/>
              <w:left w:val="single" w:color="auto" w:sz="4" w:space="0"/>
              <w:right w:val="single" w:color="auto" w:sz="4" w:space="0"/>
            </w:tcBorders>
            <w:vAlign w:val="center"/>
          </w:tcPr>
          <w:p w14:paraId="77EB67A0">
            <w:pPr>
              <w:keepNext/>
              <w:keepLines/>
              <w:spacing w:line="360" w:lineRule="auto"/>
              <w:jc w:val="center"/>
              <w:rPr>
                <w:rFonts w:ascii="宋体" w:hAnsi="宋体" w:cs="宋体"/>
                <w:color w:val="auto"/>
                <w:szCs w:val="21"/>
                <w:highlight w:val="none"/>
              </w:rPr>
            </w:pPr>
            <w:r>
              <w:rPr>
                <w:rFonts w:hint="eastAsia" w:ascii="宋体" w:hAnsi="宋体" w:cs="宋体"/>
                <w:color w:val="auto"/>
                <w:szCs w:val="21"/>
                <w:highlight w:val="none"/>
              </w:rPr>
              <w:t>29.2</w:t>
            </w:r>
          </w:p>
        </w:tc>
        <w:tc>
          <w:tcPr>
            <w:tcW w:w="1954" w:type="dxa"/>
            <w:tcBorders>
              <w:top w:val="single" w:color="auto" w:sz="4" w:space="0"/>
              <w:left w:val="single" w:color="auto" w:sz="4" w:space="0"/>
              <w:right w:val="single" w:color="auto" w:sz="4" w:space="0"/>
            </w:tcBorders>
            <w:vAlign w:val="center"/>
          </w:tcPr>
          <w:p w14:paraId="6D05A1CF">
            <w:pPr>
              <w:keepNext/>
              <w:keepLines/>
              <w:spacing w:line="360" w:lineRule="auto"/>
              <w:rPr>
                <w:rFonts w:ascii="宋体" w:hAnsi="宋体" w:cs="宋体"/>
                <w:color w:val="auto"/>
                <w:szCs w:val="21"/>
                <w:highlight w:val="none"/>
              </w:rPr>
            </w:pPr>
            <w:bookmarkStart w:id="44" w:name="_29.2.2（2）"/>
            <w:bookmarkEnd w:id="44"/>
            <w:r>
              <w:rPr>
                <w:rFonts w:hint="eastAsia" w:ascii="宋体" w:hAnsi="宋体" w:cs="宋体"/>
                <w:color w:val="auto"/>
                <w:szCs w:val="21"/>
                <w:highlight w:val="none"/>
              </w:rPr>
              <w:t>允许负偏离项</w:t>
            </w:r>
          </w:p>
        </w:tc>
        <w:tc>
          <w:tcPr>
            <w:tcW w:w="7271" w:type="dxa"/>
            <w:tcBorders>
              <w:top w:val="single" w:color="auto" w:sz="4" w:space="0"/>
              <w:left w:val="single" w:color="auto" w:sz="4" w:space="0"/>
              <w:right w:val="single" w:color="auto" w:sz="4" w:space="0"/>
            </w:tcBorders>
            <w:vAlign w:val="center"/>
          </w:tcPr>
          <w:p w14:paraId="1F6DB88F">
            <w:pPr>
              <w:keepNext/>
              <w:keepLines/>
              <w:spacing w:line="360" w:lineRule="auto"/>
              <w:rPr>
                <w:rFonts w:ascii="宋体" w:hAnsi="宋体" w:cs="宋体"/>
                <w:color w:val="auto"/>
                <w:szCs w:val="21"/>
                <w:highlight w:val="none"/>
              </w:rPr>
            </w:pPr>
            <w:r>
              <w:rPr>
                <w:rFonts w:hint="eastAsia" w:ascii="宋体" w:hAnsi="宋体" w:cs="宋体"/>
                <w:color w:val="auto"/>
                <w:szCs w:val="21"/>
                <w:highlight w:val="none"/>
              </w:rPr>
              <w:t>商务条款评审中允许负偏离的条款数为</w:t>
            </w:r>
            <w:r>
              <w:rPr>
                <w:rFonts w:hint="eastAsia" w:ascii="宋体" w:hAnsi="宋体" w:cs="宋体"/>
                <w:color w:val="auto"/>
                <w:szCs w:val="21"/>
                <w:highlight w:val="none"/>
                <w:u w:val="single"/>
              </w:rPr>
              <w:t xml:space="preserve"> 0 </w:t>
            </w:r>
            <w:r>
              <w:rPr>
                <w:rFonts w:hint="eastAsia" w:ascii="宋体" w:hAnsi="宋体" w:cs="宋体"/>
                <w:color w:val="auto"/>
                <w:szCs w:val="21"/>
                <w:highlight w:val="none"/>
              </w:rPr>
              <w:t>项。</w:t>
            </w:r>
          </w:p>
          <w:p w14:paraId="7BB4A54D">
            <w:pPr>
              <w:keepNext/>
              <w:keepLines/>
              <w:spacing w:line="360" w:lineRule="auto"/>
              <w:rPr>
                <w:rFonts w:ascii="宋体" w:hAnsi="宋体" w:cs="宋体"/>
                <w:color w:val="auto"/>
                <w:szCs w:val="21"/>
                <w:highlight w:val="none"/>
              </w:rPr>
            </w:pPr>
            <w:r>
              <w:rPr>
                <w:rFonts w:hint="eastAsia" w:ascii="宋体" w:hAnsi="宋体" w:cs="宋体"/>
                <w:color w:val="auto"/>
                <w:szCs w:val="21"/>
                <w:highlight w:val="none"/>
              </w:rPr>
              <w:t>技术需求评审中允许负偏离的条款数为</w:t>
            </w:r>
            <w:r>
              <w:rPr>
                <w:rFonts w:hint="eastAsia" w:ascii="宋体" w:hAnsi="宋体" w:cs="宋体"/>
                <w:color w:val="auto"/>
                <w:szCs w:val="21"/>
                <w:highlight w:val="none"/>
                <w:u w:val="single"/>
              </w:rPr>
              <w:t xml:space="preserve"> 5 </w:t>
            </w:r>
            <w:r>
              <w:rPr>
                <w:rFonts w:hint="eastAsia" w:ascii="宋体" w:hAnsi="宋体" w:cs="宋体"/>
                <w:color w:val="auto"/>
                <w:szCs w:val="21"/>
                <w:highlight w:val="none"/>
              </w:rPr>
              <w:t>项。</w:t>
            </w:r>
          </w:p>
        </w:tc>
      </w:tr>
      <w:tr w14:paraId="5ABF4C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80" w:type="dxa"/>
            <w:tcBorders>
              <w:top w:val="single" w:color="auto" w:sz="4" w:space="0"/>
              <w:left w:val="single" w:color="auto" w:sz="4" w:space="0"/>
              <w:bottom w:val="single" w:color="auto" w:sz="4" w:space="0"/>
              <w:right w:val="single" w:color="auto" w:sz="4" w:space="0"/>
            </w:tcBorders>
            <w:vAlign w:val="center"/>
          </w:tcPr>
          <w:p w14:paraId="4F37CBBF">
            <w:pPr>
              <w:keepNext/>
              <w:keepLines/>
              <w:spacing w:line="360" w:lineRule="auto"/>
              <w:jc w:val="center"/>
              <w:rPr>
                <w:rFonts w:ascii="宋体" w:hAnsi="宋体" w:cs="宋体"/>
                <w:color w:val="auto"/>
                <w:szCs w:val="21"/>
                <w:highlight w:val="none"/>
              </w:rPr>
            </w:pPr>
            <w:r>
              <w:rPr>
                <w:rFonts w:hint="eastAsia" w:ascii="宋体" w:hAnsi="宋体" w:cs="宋体"/>
                <w:color w:val="auto"/>
                <w:szCs w:val="21"/>
                <w:highlight w:val="none"/>
              </w:rPr>
              <w:t>30.1</w:t>
            </w:r>
          </w:p>
        </w:tc>
        <w:tc>
          <w:tcPr>
            <w:tcW w:w="1954" w:type="dxa"/>
            <w:tcBorders>
              <w:top w:val="single" w:color="auto" w:sz="4" w:space="0"/>
              <w:left w:val="single" w:color="auto" w:sz="4" w:space="0"/>
              <w:bottom w:val="single" w:color="auto" w:sz="4" w:space="0"/>
              <w:right w:val="single" w:color="auto" w:sz="4" w:space="0"/>
            </w:tcBorders>
            <w:vAlign w:val="center"/>
          </w:tcPr>
          <w:p w14:paraId="5E1C7B0D">
            <w:pPr>
              <w:keepNext/>
              <w:keepLines/>
              <w:autoSpaceDE w:val="0"/>
              <w:autoSpaceDN w:val="0"/>
              <w:spacing w:line="360" w:lineRule="auto"/>
              <w:textAlignment w:val="bottom"/>
              <w:rPr>
                <w:rFonts w:ascii="宋体" w:hAnsi="宋体" w:cs="宋体"/>
                <w:color w:val="auto"/>
                <w:szCs w:val="21"/>
                <w:highlight w:val="none"/>
              </w:rPr>
            </w:pPr>
            <w:r>
              <w:rPr>
                <w:rFonts w:hint="eastAsia" w:ascii="宋体" w:hAnsi="宋体" w:cs="宋体"/>
                <w:color w:val="auto"/>
                <w:szCs w:val="21"/>
                <w:highlight w:val="none"/>
              </w:rPr>
              <w:t xml:space="preserve">确定中标人时，出现中标候选人分数并列的情形，确定中标人方式 </w:t>
            </w:r>
          </w:p>
        </w:tc>
        <w:tc>
          <w:tcPr>
            <w:tcW w:w="7271" w:type="dxa"/>
            <w:tcBorders>
              <w:top w:val="single" w:color="auto" w:sz="4" w:space="0"/>
              <w:left w:val="single" w:color="auto" w:sz="4" w:space="0"/>
              <w:bottom w:val="single" w:color="auto" w:sz="4" w:space="0"/>
              <w:right w:val="single" w:color="auto" w:sz="4" w:space="0"/>
            </w:tcBorders>
            <w:vAlign w:val="center"/>
          </w:tcPr>
          <w:p w14:paraId="7E8E1E52">
            <w:pPr>
              <w:keepNext/>
              <w:keepLines/>
              <w:autoSpaceDE w:val="0"/>
              <w:autoSpaceDN w:val="0"/>
              <w:spacing w:line="360" w:lineRule="auto"/>
              <w:textAlignment w:val="bottom"/>
              <w:rPr>
                <w:rFonts w:ascii="宋体" w:hAnsi="宋体" w:cs="宋体"/>
                <w:color w:val="auto"/>
                <w:szCs w:val="21"/>
                <w:highlight w:val="none"/>
              </w:rPr>
            </w:pPr>
            <w:r>
              <w:rPr>
                <w:rFonts w:hint="eastAsia" w:ascii="宋体" w:hAnsi="宋体" w:cs="宋体"/>
                <w:color w:val="auto"/>
                <w:szCs w:val="21"/>
                <w:highlight w:val="none"/>
              </w:rPr>
              <w:t>□采用最低评标价法的，投标文件满足招标文件全部实质性要求且投标报价最低的投标人为排名第一的中标候选人；</w:t>
            </w:r>
          </w:p>
          <w:p w14:paraId="762C467A">
            <w:pPr>
              <w:keepNext/>
              <w:keepLines/>
              <w:autoSpaceDE w:val="0"/>
              <w:autoSpaceDN w:val="0"/>
              <w:spacing w:line="360" w:lineRule="auto"/>
              <w:textAlignment w:val="bottom"/>
              <w:rPr>
                <w:rFonts w:ascii="宋体" w:hAnsi="宋体" w:cs="宋体"/>
                <w:b/>
                <w:color w:val="auto"/>
                <w:szCs w:val="21"/>
                <w:highlight w:val="none"/>
              </w:rPr>
            </w:pPr>
            <w:r>
              <w:rPr>
                <w:rFonts w:hint="eastAsia" w:ascii="MS PGothic" w:hAnsi="MS PGothic" w:eastAsia="MS PGothic" w:cs="MS PGothic"/>
                <w:color w:val="auto"/>
                <w:szCs w:val="21"/>
                <w:highlight w:val="none"/>
              </w:rPr>
              <w:t>☑</w:t>
            </w:r>
            <w:r>
              <w:rPr>
                <w:rFonts w:hint="eastAsia" w:ascii="宋体" w:hAnsi="宋体" w:cs="宋体"/>
                <w:color w:val="auto"/>
                <w:szCs w:val="21"/>
                <w:highlight w:val="none"/>
              </w:rPr>
              <w:t>采用综合评分法的，按投标报价由低到高顺序排列。若综合得分且投标报价相同的，货物类采购项目以技术性能得分较高者为先；服务类采购项目以技术分得分较高者为先，若技术得分相同的，则以综合实力及业绩得分较高者为先。</w:t>
            </w:r>
          </w:p>
        </w:tc>
      </w:tr>
      <w:tr w14:paraId="18DEB3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80" w:type="dxa"/>
            <w:tcBorders>
              <w:top w:val="single" w:color="auto" w:sz="4" w:space="0"/>
              <w:left w:val="single" w:color="auto" w:sz="4" w:space="0"/>
              <w:bottom w:val="single" w:color="auto" w:sz="4" w:space="0"/>
              <w:right w:val="single" w:color="auto" w:sz="4" w:space="0"/>
            </w:tcBorders>
            <w:vAlign w:val="center"/>
          </w:tcPr>
          <w:p w14:paraId="46A826AD">
            <w:pPr>
              <w:keepNext/>
              <w:keepLines/>
              <w:spacing w:line="360" w:lineRule="auto"/>
              <w:jc w:val="center"/>
              <w:rPr>
                <w:rFonts w:ascii="宋体" w:hAnsi="宋体" w:cs="宋体"/>
                <w:color w:val="auto"/>
                <w:szCs w:val="21"/>
                <w:highlight w:val="none"/>
              </w:rPr>
            </w:pPr>
            <w:r>
              <w:rPr>
                <w:rFonts w:hint="eastAsia" w:ascii="宋体" w:hAnsi="宋体" w:cs="宋体"/>
                <w:color w:val="auto"/>
                <w:szCs w:val="21"/>
                <w:highlight w:val="none"/>
              </w:rPr>
              <w:t>35</w:t>
            </w:r>
          </w:p>
        </w:tc>
        <w:tc>
          <w:tcPr>
            <w:tcW w:w="1954" w:type="dxa"/>
            <w:tcBorders>
              <w:top w:val="single" w:color="auto" w:sz="4" w:space="0"/>
              <w:left w:val="single" w:color="auto" w:sz="4" w:space="0"/>
              <w:bottom w:val="single" w:color="auto" w:sz="4" w:space="0"/>
              <w:right w:val="single" w:color="auto" w:sz="4" w:space="0"/>
            </w:tcBorders>
            <w:vAlign w:val="center"/>
          </w:tcPr>
          <w:p w14:paraId="51DD8779">
            <w:pPr>
              <w:keepNext/>
              <w:keepLines/>
              <w:spacing w:line="360" w:lineRule="auto"/>
              <w:rPr>
                <w:rFonts w:ascii="宋体" w:hAnsi="宋体" w:cs="宋体"/>
                <w:color w:val="auto"/>
                <w:szCs w:val="21"/>
                <w:highlight w:val="none"/>
              </w:rPr>
            </w:pPr>
            <w:bookmarkStart w:id="45" w:name="_39.1"/>
            <w:bookmarkEnd w:id="45"/>
            <w:r>
              <w:rPr>
                <w:rFonts w:hint="eastAsia" w:ascii="宋体" w:hAnsi="宋体" w:cs="宋体"/>
                <w:color w:val="auto"/>
                <w:szCs w:val="21"/>
                <w:highlight w:val="none"/>
              </w:rPr>
              <w:t>履约保证金金额</w:t>
            </w:r>
          </w:p>
        </w:tc>
        <w:tc>
          <w:tcPr>
            <w:tcW w:w="7271" w:type="dxa"/>
            <w:tcBorders>
              <w:top w:val="single" w:color="auto" w:sz="4" w:space="0"/>
              <w:left w:val="single" w:color="auto" w:sz="4" w:space="0"/>
              <w:bottom w:val="single" w:color="auto" w:sz="4" w:space="0"/>
              <w:right w:val="single" w:color="auto" w:sz="4" w:space="0"/>
            </w:tcBorders>
            <w:vAlign w:val="bottom"/>
          </w:tcPr>
          <w:p w14:paraId="7305591E">
            <w:pPr>
              <w:keepNext/>
              <w:keepLines/>
              <w:autoSpaceDE w:val="0"/>
              <w:autoSpaceDN w:val="0"/>
              <w:spacing w:line="360" w:lineRule="auto"/>
              <w:textAlignment w:val="bottom"/>
              <w:rPr>
                <w:rFonts w:ascii="宋体" w:hAnsi="宋体" w:cs="宋体"/>
                <w:color w:val="auto"/>
                <w:szCs w:val="21"/>
                <w:highlight w:val="none"/>
              </w:rPr>
            </w:pPr>
            <w:r>
              <w:rPr>
                <w:rFonts w:hint="eastAsia" w:ascii="宋体" w:hAnsi="宋体" w:cs="宋体"/>
                <w:color w:val="auto"/>
                <w:szCs w:val="21"/>
                <w:highlight w:val="none"/>
              </w:rPr>
              <w:t>履约保证金金额：</w:t>
            </w:r>
            <w:r>
              <w:rPr>
                <w:rFonts w:hint="eastAsia" w:ascii="宋体" w:hAnsi="宋体" w:cs="宋体"/>
                <w:color w:val="auto"/>
                <w:szCs w:val="21"/>
                <w:highlight w:val="none"/>
                <w:u w:val="single"/>
              </w:rPr>
              <w:t>中标金额的5%（</w:t>
            </w:r>
            <w:r>
              <w:rPr>
                <w:rFonts w:hint="eastAsia" w:ascii="仿宋" w:hAnsi="仿宋" w:eastAsia="仿宋" w:cs="仿宋"/>
                <w:color w:val="auto"/>
                <w:szCs w:val="21"/>
                <w:highlight w:val="none"/>
                <w:u w:val="single"/>
              </w:rPr>
              <w:t>若中标人为中型企业则收取2%保证金，若中标人为小微企业则免于收取履约保证金</w:t>
            </w:r>
            <w:r>
              <w:rPr>
                <w:rFonts w:hint="eastAsia" w:ascii="宋体" w:hAnsi="宋体" w:cs="宋体"/>
                <w:color w:val="auto"/>
                <w:szCs w:val="21"/>
                <w:highlight w:val="none"/>
                <w:u w:val="single"/>
              </w:rPr>
              <w:t>）</w:t>
            </w:r>
            <w:r>
              <w:rPr>
                <w:rFonts w:hint="eastAsia" w:ascii="宋体" w:hAnsi="宋体" w:cs="宋体"/>
                <w:color w:val="auto"/>
                <w:szCs w:val="21"/>
                <w:highlight w:val="none"/>
              </w:rPr>
              <w:t>。</w:t>
            </w:r>
          </w:p>
          <w:p w14:paraId="1936E53F">
            <w:pPr>
              <w:keepNext/>
              <w:keepLines/>
              <w:autoSpaceDE w:val="0"/>
              <w:autoSpaceDN w:val="0"/>
              <w:spacing w:line="360" w:lineRule="auto"/>
              <w:textAlignment w:val="bottom"/>
              <w:rPr>
                <w:rFonts w:ascii="宋体" w:hAnsi="宋体" w:cs="宋体"/>
                <w:color w:val="auto"/>
                <w:szCs w:val="21"/>
                <w:highlight w:val="none"/>
              </w:rPr>
            </w:pPr>
            <w:r>
              <w:rPr>
                <w:rFonts w:hint="eastAsia" w:ascii="宋体" w:hAnsi="宋体" w:cs="宋体"/>
                <w:color w:val="auto"/>
                <w:szCs w:val="21"/>
                <w:highlight w:val="none"/>
              </w:rPr>
              <w:t>履约保证金递交方式：</w:t>
            </w:r>
            <w:r>
              <w:rPr>
                <w:rFonts w:hint="eastAsia" w:ascii="宋体" w:hAnsi="宋体" w:cs="宋体"/>
                <w:color w:val="auto"/>
                <w:szCs w:val="21"/>
                <w:highlight w:val="none"/>
                <w:u w:val="single"/>
              </w:rPr>
              <w:t xml:space="preserve"> 以转账、电汇、支票、汇票、本票、保函等非现金形式；若采用转账、电汇方式的，须从中标人银行账户直接缴入采购人账户 </w:t>
            </w:r>
            <w:r>
              <w:rPr>
                <w:rFonts w:hint="eastAsia" w:ascii="宋体" w:hAnsi="宋体" w:cs="宋体"/>
                <w:color w:val="auto"/>
                <w:szCs w:val="21"/>
                <w:highlight w:val="none"/>
              </w:rPr>
              <w:t>。</w:t>
            </w:r>
          </w:p>
          <w:p w14:paraId="7295B217">
            <w:pPr>
              <w:keepNext/>
              <w:keepLines/>
              <w:autoSpaceDE w:val="0"/>
              <w:autoSpaceDN w:val="0"/>
              <w:spacing w:line="360" w:lineRule="auto"/>
              <w:textAlignment w:val="bottom"/>
              <w:rPr>
                <w:rFonts w:ascii="宋体" w:hAnsi="宋体" w:cs="宋体"/>
                <w:color w:val="auto"/>
                <w:szCs w:val="21"/>
                <w:highlight w:val="none"/>
                <w:u w:val="single"/>
              </w:rPr>
            </w:pPr>
            <w:r>
              <w:rPr>
                <w:rFonts w:hint="eastAsia" w:ascii="宋体" w:hAnsi="宋体" w:cs="宋体"/>
                <w:color w:val="auto"/>
                <w:szCs w:val="21"/>
                <w:highlight w:val="none"/>
              </w:rPr>
              <w:t>履约保证金递交时间：</w:t>
            </w:r>
            <w:r>
              <w:rPr>
                <w:rFonts w:hint="eastAsia" w:ascii="宋体" w:hAnsi="宋体" w:cs="宋体"/>
                <w:color w:val="auto"/>
                <w:szCs w:val="21"/>
                <w:highlight w:val="none"/>
                <w:u w:val="single"/>
              </w:rPr>
              <w:t>中标人在签订合同前应提交履约保证金，否则不予签订合同</w:t>
            </w:r>
          </w:p>
          <w:p w14:paraId="3CEA1CB0">
            <w:pPr>
              <w:keepNext/>
              <w:keepLines/>
              <w:autoSpaceDE w:val="0"/>
              <w:autoSpaceDN w:val="0"/>
              <w:spacing w:line="360" w:lineRule="auto"/>
              <w:textAlignment w:val="bottom"/>
              <w:rPr>
                <w:rFonts w:ascii="宋体" w:hAnsi="宋体" w:cs="宋体"/>
                <w:color w:val="auto"/>
                <w:szCs w:val="21"/>
                <w:highlight w:val="none"/>
              </w:rPr>
            </w:pPr>
            <w:r>
              <w:rPr>
                <w:rFonts w:hint="eastAsia" w:ascii="宋体" w:hAnsi="宋体" w:cs="宋体"/>
                <w:color w:val="auto"/>
                <w:szCs w:val="21"/>
                <w:highlight w:val="none"/>
              </w:rPr>
              <w:t>履约保证金退付方式、时间及条件：</w:t>
            </w:r>
            <w:r>
              <w:rPr>
                <w:rFonts w:hint="eastAsia" w:ascii="宋体" w:hAnsi="宋体" w:cs="宋体"/>
                <w:color w:val="auto"/>
                <w:szCs w:val="21"/>
                <w:highlight w:val="none"/>
                <w:u w:val="single"/>
              </w:rPr>
              <w:t xml:space="preserve"> </w:t>
            </w:r>
            <w:r>
              <w:rPr>
                <w:rFonts w:hint="default" w:ascii="宋体" w:hAnsi="宋体" w:cs="宋体"/>
                <w:color w:val="auto"/>
                <w:szCs w:val="21"/>
                <w:highlight w:val="none"/>
                <w:u w:val="single"/>
                <w:lang w:val="en-US"/>
              </w:rPr>
              <w:t>一年</w:t>
            </w:r>
            <w:r>
              <w:rPr>
                <w:rFonts w:hint="eastAsia" w:ascii="宋体" w:hAnsi="宋体" w:cs="宋体"/>
                <w:color w:val="auto"/>
                <w:szCs w:val="21"/>
                <w:highlight w:val="none"/>
                <w:u w:val="single"/>
                <w:lang w:val="en-US" w:eastAsia="zh-CN"/>
              </w:rPr>
              <w:t>系统运维服务期满</w:t>
            </w:r>
            <w:r>
              <w:rPr>
                <w:rFonts w:hint="default" w:ascii="宋体" w:hAnsi="宋体" w:cs="宋体"/>
                <w:color w:val="auto"/>
                <w:szCs w:val="21"/>
                <w:highlight w:val="none"/>
                <w:u w:val="single"/>
                <w:lang w:val="en-US"/>
              </w:rPr>
              <w:t>后，如果</w:t>
            </w:r>
            <w:r>
              <w:rPr>
                <w:rFonts w:hint="eastAsia" w:ascii="宋体" w:hAnsi="宋体" w:cs="宋体"/>
                <w:color w:val="auto"/>
                <w:szCs w:val="21"/>
                <w:highlight w:val="none"/>
                <w:u w:val="single"/>
              </w:rPr>
              <w:t>中标人提供的服务完全符合本合同约定以及招标文件和投标文件关于服务的要求和承诺，则采购人在收到中标人提出申请后5个工作日内办理履约保证金退还手续；采购人如逾期退还履约保证金，每逾期一天，可按应退款项的银行同期存款利息计算违约金。如果中标人提供的服务未能满足本合同约定及招标文件和投标文件的要求和承诺，则按照本项目合同的约定，予以扣除或不予退还履约保证金</w:t>
            </w:r>
            <w:r>
              <w:rPr>
                <w:rFonts w:hint="eastAsia" w:ascii="宋体" w:hAnsi="宋体" w:cs="宋体"/>
                <w:color w:val="auto"/>
                <w:szCs w:val="21"/>
                <w:highlight w:val="none"/>
              </w:rPr>
              <w:t>。</w:t>
            </w:r>
          </w:p>
          <w:p w14:paraId="4D374710">
            <w:pPr>
              <w:pStyle w:val="16"/>
              <w:keepNext/>
              <w:keepLines/>
              <w:spacing w:line="360" w:lineRule="auto"/>
              <w:jc w:val="left"/>
              <w:rPr>
                <w:rFonts w:cs="宋体"/>
                <w:color w:val="auto"/>
                <w:szCs w:val="21"/>
                <w:highlight w:val="none"/>
              </w:rPr>
            </w:pPr>
            <w:r>
              <w:rPr>
                <w:rFonts w:hint="eastAsia" w:cs="宋体"/>
                <w:color w:val="auto"/>
                <w:szCs w:val="21"/>
                <w:highlight w:val="none"/>
              </w:rPr>
              <w:t>履约保证金指定账户：中标后采购人提供。</w:t>
            </w:r>
          </w:p>
          <w:p w14:paraId="2FB43478">
            <w:pPr>
              <w:keepNext/>
              <w:keepLines/>
              <w:spacing w:line="360" w:lineRule="auto"/>
              <w:jc w:val="left"/>
              <w:rPr>
                <w:rFonts w:ascii="仿宋" w:hAnsi="仿宋" w:eastAsia="仿宋" w:cs="仿宋"/>
                <w:b/>
                <w:bCs/>
                <w:color w:val="auto"/>
                <w:szCs w:val="21"/>
                <w:highlight w:val="none"/>
              </w:rPr>
            </w:pPr>
            <w:r>
              <w:rPr>
                <w:rFonts w:hint="eastAsia" w:ascii="仿宋" w:hAnsi="仿宋" w:eastAsia="仿宋" w:cs="仿宋"/>
                <w:b/>
                <w:bCs/>
                <w:color w:val="auto"/>
                <w:szCs w:val="21"/>
                <w:highlight w:val="none"/>
              </w:rPr>
              <w:t>备注：</w:t>
            </w:r>
          </w:p>
          <w:p w14:paraId="0E8478A0">
            <w:pPr>
              <w:keepNext/>
              <w:keepLines/>
              <w:spacing w:line="360" w:lineRule="auto"/>
              <w:jc w:val="left"/>
              <w:rPr>
                <w:rFonts w:ascii="仿宋" w:hAnsi="仿宋" w:eastAsia="仿宋" w:cs="仿宋"/>
                <w:b/>
                <w:bCs/>
                <w:color w:val="auto"/>
                <w:szCs w:val="21"/>
                <w:highlight w:val="none"/>
              </w:rPr>
            </w:pPr>
            <w:r>
              <w:rPr>
                <w:rFonts w:hint="eastAsia" w:ascii="仿宋" w:hAnsi="仿宋" w:eastAsia="仿宋" w:cs="仿宋"/>
                <w:b/>
                <w:bCs/>
                <w:color w:val="auto"/>
                <w:szCs w:val="21"/>
                <w:highlight w:val="none"/>
              </w:rPr>
              <w:t>1.</w:t>
            </w:r>
            <w:bookmarkStart w:id="46" w:name="_Hlk54170335"/>
            <w:r>
              <w:rPr>
                <w:rFonts w:hint="eastAsia" w:ascii="仿宋" w:hAnsi="仿宋" w:eastAsia="仿宋" w:cs="仿宋"/>
                <w:b/>
                <w:bCs/>
                <w:color w:val="auto"/>
                <w:szCs w:val="21"/>
                <w:highlight w:val="none"/>
              </w:rPr>
              <w:t>根据《广西壮族自治区财政厅关于贯彻落实政府采购优化营商环境百日攻坚行动方案的通知》（桂财采〔2020〕49号）、《广西壮族自治区财政厅关于持续优化政府采购营商环境推动高质量发展的通知》桂财采〔2024〕55号规定，履约保证金数额不得超过政府采购合同金额的5%，对中小企业收取的履约保证金数额不得超过政府采购合同金额的2%。</w:t>
            </w:r>
            <w:bookmarkEnd w:id="46"/>
          </w:p>
          <w:p w14:paraId="1079E937">
            <w:pPr>
              <w:keepNext/>
              <w:keepLines/>
              <w:spacing w:line="360" w:lineRule="auto"/>
              <w:jc w:val="left"/>
              <w:rPr>
                <w:rFonts w:ascii="仿宋" w:hAnsi="仿宋" w:eastAsia="仿宋" w:cs="仿宋"/>
                <w:b/>
                <w:bCs/>
                <w:color w:val="auto"/>
                <w:szCs w:val="21"/>
                <w:highlight w:val="none"/>
              </w:rPr>
            </w:pPr>
            <w:r>
              <w:rPr>
                <w:rFonts w:hint="eastAsia" w:ascii="仿宋" w:hAnsi="仿宋" w:eastAsia="仿宋" w:cs="仿宋"/>
                <w:b/>
                <w:bCs/>
                <w:color w:val="auto"/>
                <w:szCs w:val="21"/>
                <w:highlight w:val="none"/>
              </w:rPr>
              <w:t>2.根据《广西壮族自治区人民政府办公厅关于印发广西保障中小企业款项支付工作方案的通知》（桂政办发〔2020〕89号）规定，采购人在与小微企业签订政府采购合同时，免于收取履约保证金。</w:t>
            </w:r>
          </w:p>
          <w:p w14:paraId="42DE71BC">
            <w:pPr>
              <w:keepNext/>
              <w:keepLines/>
              <w:spacing w:line="360" w:lineRule="auto"/>
              <w:jc w:val="left"/>
              <w:rPr>
                <w:rFonts w:ascii="仿宋" w:hAnsi="仿宋" w:eastAsia="仿宋" w:cs="仿宋"/>
                <w:b/>
                <w:bCs/>
                <w:color w:val="auto"/>
                <w:szCs w:val="21"/>
                <w:highlight w:val="none"/>
              </w:rPr>
            </w:pPr>
            <w:r>
              <w:rPr>
                <w:rFonts w:hint="eastAsia" w:ascii="仿宋" w:hAnsi="仿宋" w:eastAsia="仿宋" w:cs="仿宋"/>
                <w:b/>
                <w:bCs/>
                <w:color w:val="auto"/>
                <w:szCs w:val="21"/>
                <w:highlight w:val="none"/>
              </w:rPr>
              <w:t>3.履约保证金不足额缴纳的（包含保函额度不足的），或者不按规定提交方式提交的，或者保函有效期低于合同履行期限（即合同中规定的当事人履行自己的义务，如交付标的物、价款或者报酬，履行劳务、完成工作的时间界限）的，视为违约。</w:t>
            </w:r>
          </w:p>
          <w:p w14:paraId="48FCEB4B">
            <w:pPr>
              <w:keepNext/>
              <w:keepLines/>
              <w:spacing w:line="360" w:lineRule="auto"/>
              <w:jc w:val="left"/>
              <w:rPr>
                <w:rFonts w:ascii="仿宋" w:hAnsi="仿宋" w:eastAsia="仿宋" w:cs="仿宋"/>
                <w:b/>
                <w:bCs/>
                <w:color w:val="auto"/>
                <w:szCs w:val="21"/>
                <w:highlight w:val="none"/>
              </w:rPr>
            </w:pPr>
            <w:r>
              <w:rPr>
                <w:rFonts w:hint="eastAsia" w:ascii="仿宋" w:hAnsi="仿宋" w:eastAsia="仿宋" w:cs="仿宋"/>
                <w:b/>
                <w:bCs/>
                <w:color w:val="auto"/>
                <w:szCs w:val="21"/>
                <w:highlight w:val="none"/>
              </w:rPr>
              <w:t>4.采用金融、担保机构出具的保函的，必须为无条件保函，否则视为违约。</w:t>
            </w:r>
          </w:p>
          <w:p w14:paraId="33792C39">
            <w:pPr>
              <w:keepNext/>
              <w:keepLines/>
              <w:autoSpaceDE w:val="0"/>
              <w:autoSpaceDN w:val="0"/>
              <w:spacing w:line="360" w:lineRule="auto"/>
              <w:jc w:val="left"/>
              <w:textAlignment w:val="bottom"/>
              <w:rPr>
                <w:rFonts w:ascii="宋体" w:hAnsi="宋体" w:cs="宋体"/>
                <w:color w:val="auto"/>
                <w:szCs w:val="21"/>
                <w:highlight w:val="none"/>
              </w:rPr>
            </w:pPr>
            <w:r>
              <w:rPr>
                <w:rFonts w:hint="eastAsia" w:ascii="仿宋" w:hAnsi="仿宋" w:eastAsia="仿宋" w:cs="仿宋"/>
                <w:b/>
                <w:bCs/>
                <w:color w:val="auto"/>
                <w:szCs w:val="21"/>
                <w:highlight w:val="none"/>
              </w:rPr>
              <w:t>5.投标人为联合体的，由联合体其中一方按规定提交的履约保证金，视为有效履约保证金。</w:t>
            </w:r>
          </w:p>
        </w:tc>
      </w:tr>
      <w:tr w14:paraId="6F7275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80" w:type="dxa"/>
            <w:tcBorders>
              <w:top w:val="single" w:color="auto" w:sz="4" w:space="0"/>
              <w:left w:val="single" w:color="auto" w:sz="4" w:space="0"/>
              <w:bottom w:val="single" w:color="auto" w:sz="4" w:space="0"/>
              <w:right w:val="single" w:color="auto" w:sz="4" w:space="0"/>
            </w:tcBorders>
            <w:vAlign w:val="center"/>
          </w:tcPr>
          <w:p w14:paraId="75C1908C">
            <w:pPr>
              <w:keepNext/>
              <w:keepLines/>
              <w:spacing w:line="360" w:lineRule="auto"/>
              <w:jc w:val="center"/>
              <w:rPr>
                <w:rFonts w:ascii="宋体" w:hAnsi="宋体" w:cs="宋体"/>
                <w:color w:val="auto"/>
                <w:szCs w:val="21"/>
                <w:highlight w:val="none"/>
              </w:rPr>
            </w:pPr>
            <w:r>
              <w:rPr>
                <w:rFonts w:hint="eastAsia" w:ascii="宋体" w:hAnsi="宋体" w:cs="宋体"/>
                <w:color w:val="auto"/>
                <w:szCs w:val="21"/>
                <w:highlight w:val="none"/>
              </w:rPr>
              <w:t>36.1</w:t>
            </w:r>
          </w:p>
        </w:tc>
        <w:tc>
          <w:tcPr>
            <w:tcW w:w="1954" w:type="dxa"/>
            <w:tcBorders>
              <w:top w:val="single" w:color="auto" w:sz="4" w:space="0"/>
              <w:left w:val="single" w:color="auto" w:sz="4" w:space="0"/>
              <w:bottom w:val="single" w:color="auto" w:sz="4" w:space="0"/>
              <w:right w:val="single" w:color="auto" w:sz="4" w:space="0"/>
            </w:tcBorders>
            <w:vAlign w:val="center"/>
          </w:tcPr>
          <w:p w14:paraId="28FFB885">
            <w:pPr>
              <w:keepNext/>
              <w:keepLines/>
              <w:spacing w:line="360" w:lineRule="auto"/>
              <w:rPr>
                <w:rFonts w:ascii="宋体" w:hAnsi="宋体" w:cs="宋体"/>
                <w:color w:val="auto"/>
                <w:szCs w:val="21"/>
                <w:highlight w:val="none"/>
              </w:rPr>
            </w:pPr>
            <w:bookmarkStart w:id="47" w:name="_40.1"/>
            <w:bookmarkEnd w:id="47"/>
            <w:r>
              <w:rPr>
                <w:rFonts w:hint="eastAsia" w:ascii="宋体" w:hAnsi="宋体" w:cs="宋体"/>
                <w:color w:val="auto"/>
                <w:szCs w:val="21"/>
                <w:highlight w:val="none"/>
              </w:rPr>
              <w:t>签订电子合同携带的材料</w:t>
            </w:r>
          </w:p>
        </w:tc>
        <w:tc>
          <w:tcPr>
            <w:tcW w:w="7271" w:type="dxa"/>
            <w:tcBorders>
              <w:top w:val="single" w:color="auto" w:sz="4" w:space="0"/>
              <w:left w:val="single" w:color="auto" w:sz="4" w:space="0"/>
              <w:bottom w:val="single" w:color="auto" w:sz="4" w:space="0"/>
              <w:right w:val="single" w:color="auto" w:sz="4" w:space="0"/>
            </w:tcBorders>
            <w:vAlign w:val="center"/>
          </w:tcPr>
          <w:p w14:paraId="51BC6D7D">
            <w:pPr>
              <w:keepNext/>
              <w:keepLines/>
              <w:autoSpaceDE w:val="0"/>
              <w:autoSpaceDN w:val="0"/>
              <w:spacing w:line="360" w:lineRule="auto"/>
              <w:textAlignment w:val="bottom"/>
              <w:rPr>
                <w:rFonts w:ascii="宋体" w:hAnsi="宋体" w:cs="宋体"/>
                <w:color w:val="auto"/>
                <w:szCs w:val="21"/>
                <w:highlight w:val="none"/>
              </w:rPr>
            </w:pPr>
            <w:r>
              <w:rPr>
                <w:rFonts w:hint="eastAsia" w:ascii="宋体" w:hAnsi="宋体" w:cs="宋体"/>
                <w:color w:val="auto"/>
                <w:szCs w:val="21"/>
                <w:highlight w:val="none"/>
              </w:rPr>
              <w:t>委托代理人负责签订合同的，须携带授权委托书及委托代理人身份证原件等其他资格证件。</w:t>
            </w:r>
          </w:p>
          <w:p w14:paraId="65FEF054">
            <w:pPr>
              <w:keepNext/>
              <w:keepLines/>
              <w:autoSpaceDE w:val="0"/>
              <w:autoSpaceDN w:val="0"/>
              <w:spacing w:line="360" w:lineRule="auto"/>
              <w:textAlignment w:val="bottom"/>
              <w:rPr>
                <w:rFonts w:ascii="宋体" w:hAnsi="宋体" w:cs="宋体"/>
                <w:color w:val="auto"/>
                <w:szCs w:val="21"/>
                <w:highlight w:val="none"/>
              </w:rPr>
            </w:pPr>
            <w:r>
              <w:rPr>
                <w:rFonts w:hint="eastAsia" w:ascii="宋体" w:hAnsi="宋体" w:cs="宋体"/>
                <w:color w:val="auto"/>
                <w:szCs w:val="21"/>
                <w:highlight w:val="none"/>
              </w:rPr>
              <w:t>法定代表人负责签订合同的，须携带法定代表人身份证明原件及身份证原件等其他证明材料。</w:t>
            </w:r>
          </w:p>
        </w:tc>
      </w:tr>
      <w:tr w14:paraId="77D3B6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80" w:type="dxa"/>
            <w:vMerge w:val="restart"/>
            <w:tcBorders>
              <w:top w:val="single" w:color="auto" w:sz="4" w:space="0"/>
              <w:left w:val="single" w:color="auto" w:sz="4" w:space="0"/>
              <w:right w:val="single" w:color="auto" w:sz="4" w:space="0"/>
            </w:tcBorders>
            <w:vAlign w:val="center"/>
          </w:tcPr>
          <w:p w14:paraId="6DD6B837">
            <w:pPr>
              <w:keepNext/>
              <w:keepLines/>
              <w:spacing w:line="360" w:lineRule="auto"/>
              <w:jc w:val="center"/>
              <w:rPr>
                <w:rFonts w:ascii="宋体" w:hAnsi="宋体" w:cs="宋体"/>
                <w:color w:val="auto"/>
                <w:szCs w:val="21"/>
                <w:highlight w:val="none"/>
              </w:rPr>
            </w:pPr>
            <w:r>
              <w:rPr>
                <w:rFonts w:hint="eastAsia" w:ascii="宋体" w:hAnsi="宋体" w:cs="宋体"/>
                <w:color w:val="auto"/>
                <w:szCs w:val="21"/>
                <w:highlight w:val="none"/>
              </w:rPr>
              <w:t>38.2.1</w:t>
            </w:r>
          </w:p>
        </w:tc>
        <w:tc>
          <w:tcPr>
            <w:tcW w:w="1954" w:type="dxa"/>
            <w:tcBorders>
              <w:top w:val="single" w:color="auto" w:sz="4" w:space="0"/>
              <w:left w:val="single" w:color="auto" w:sz="4" w:space="0"/>
              <w:bottom w:val="single" w:color="auto" w:sz="4" w:space="0"/>
              <w:right w:val="single" w:color="auto" w:sz="4" w:space="0"/>
            </w:tcBorders>
            <w:vAlign w:val="center"/>
          </w:tcPr>
          <w:p w14:paraId="58374B36">
            <w:pPr>
              <w:keepNext/>
              <w:keepLines/>
              <w:spacing w:line="360" w:lineRule="auto"/>
              <w:rPr>
                <w:rFonts w:ascii="宋体" w:hAnsi="宋体" w:cs="宋体"/>
                <w:color w:val="auto"/>
                <w:szCs w:val="21"/>
                <w:highlight w:val="none"/>
              </w:rPr>
            </w:pPr>
            <w:r>
              <w:rPr>
                <w:rFonts w:hint="eastAsia" w:ascii="宋体" w:hAnsi="宋体" w:cs="宋体"/>
                <w:color w:val="auto"/>
                <w:szCs w:val="21"/>
                <w:highlight w:val="none"/>
              </w:rPr>
              <w:t>接收质疑函方式</w:t>
            </w:r>
          </w:p>
        </w:tc>
        <w:tc>
          <w:tcPr>
            <w:tcW w:w="7271" w:type="dxa"/>
            <w:tcBorders>
              <w:top w:val="single" w:color="auto" w:sz="4" w:space="0"/>
              <w:left w:val="single" w:color="auto" w:sz="4" w:space="0"/>
              <w:bottom w:val="single" w:color="auto" w:sz="4" w:space="0"/>
              <w:right w:val="single" w:color="auto" w:sz="4" w:space="0"/>
            </w:tcBorders>
            <w:vAlign w:val="center"/>
          </w:tcPr>
          <w:p w14:paraId="160DCA4C">
            <w:pPr>
              <w:keepNext/>
              <w:keepLines/>
              <w:spacing w:line="360" w:lineRule="auto"/>
              <w:rPr>
                <w:rFonts w:ascii="宋体" w:hAnsi="宋体" w:cs="宋体"/>
                <w:color w:val="auto"/>
                <w:szCs w:val="21"/>
                <w:highlight w:val="none"/>
              </w:rPr>
            </w:pPr>
            <w:r>
              <w:rPr>
                <w:rFonts w:hint="eastAsia" w:ascii="宋体" w:hAnsi="宋体" w:cs="宋体"/>
                <w:color w:val="auto"/>
                <w:szCs w:val="21"/>
                <w:highlight w:val="none"/>
              </w:rPr>
              <w:t>以书面形式</w:t>
            </w:r>
          </w:p>
        </w:tc>
      </w:tr>
      <w:tr w14:paraId="5CE0C6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80" w:type="dxa"/>
            <w:vMerge w:val="continue"/>
            <w:tcBorders>
              <w:left w:val="single" w:color="auto" w:sz="4" w:space="0"/>
              <w:right w:val="single" w:color="auto" w:sz="4" w:space="0"/>
            </w:tcBorders>
            <w:vAlign w:val="center"/>
          </w:tcPr>
          <w:p w14:paraId="6FE2B794">
            <w:pPr>
              <w:keepNext/>
              <w:keepLines/>
              <w:spacing w:line="360" w:lineRule="auto"/>
              <w:jc w:val="center"/>
              <w:rPr>
                <w:rFonts w:ascii="宋体" w:hAnsi="宋体" w:cs="宋体"/>
                <w:color w:val="auto"/>
                <w:szCs w:val="21"/>
                <w:highlight w:val="none"/>
              </w:rPr>
            </w:pPr>
          </w:p>
        </w:tc>
        <w:tc>
          <w:tcPr>
            <w:tcW w:w="1954" w:type="dxa"/>
            <w:tcBorders>
              <w:top w:val="single" w:color="auto" w:sz="4" w:space="0"/>
              <w:left w:val="single" w:color="auto" w:sz="4" w:space="0"/>
              <w:bottom w:val="single" w:color="auto" w:sz="4" w:space="0"/>
              <w:right w:val="single" w:color="auto" w:sz="4" w:space="0"/>
            </w:tcBorders>
            <w:vAlign w:val="center"/>
          </w:tcPr>
          <w:p w14:paraId="7C1E1E89">
            <w:pPr>
              <w:keepNext/>
              <w:keepLines/>
              <w:spacing w:line="360" w:lineRule="auto"/>
              <w:rPr>
                <w:rFonts w:ascii="宋体" w:hAnsi="宋体" w:cs="宋体"/>
                <w:color w:val="auto"/>
                <w:szCs w:val="21"/>
                <w:highlight w:val="none"/>
              </w:rPr>
            </w:pPr>
            <w:r>
              <w:rPr>
                <w:rFonts w:hint="eastAsia" w:ascii="宋体" w:hAnsi="宋体" w:cs="宋体"/>
                <w:color w:val="auto"/>
                <w:szCs w:val="21"/>
                <w:highlight w:val="none"/>
              </w:rPr>
              <w:t>质疑联系部门及联系方式</w:t>
            </w:r>
          </w:p>
        </w:tc>
        <w:tc>
          <w:tcPr>
            <w:tcW w:w="7271" w:type="dxa"/>
            <w:tcBorders>
              <w:top w:val="single" w:color="auto" w:sz="4" w:space="0"/>
              <w:left w:val="single" w:color="auto" w:sz="4" w:space="0"/>
              <w:bottom w:val="single" w:color="auto" w:sz="4" w:space="0"/>
              <w:right w:val="single" w:color="auto" w:sz="4" w:space="0"/>
            </w:tcBorders>
            <w:vAlign w:val="center"/>
          </w:tcPr>
          <w:p w14:paraId="30420DBC">
            <w:pPr>
              <w:keepNext/>
              <w:keepLines/>
              <w:spacing w:line="360" w:lineRule="auto"/>
              <w:rPr>
                <w:rFonts w:ascii="宋体" w:hAnsi="宋体" w:cs="宋体"/>
                <w:color w:val="auto"/>
                <w:szCs w:val="21"/>
                <w:highlight w:val="none"/>
              </w:rPr>
            </w:pPr>
            <w:bookmarkStart w:id="48" w:name="PO_3000001866_PM031_3"/>
            <w:r>
              <w:rPr>
                <w:rFonts w:hint="eastAsia" w:ascii="宋体" w:hAnsi="宋体" w:cs="宋体"/>
                <w:color w:val="auto"/>
                <w:szCs w:val="21"/>
                <w:highlight w:val="none"/>
              </w:rPr>
              <w:t>1.</w:t>
            </w:r>
            <w:r>
              <w:rPr>
                <w:rFonts w:hint="eastAsia" w:ascii="宋体" w:hAnsi="宋体" w:cs="宋体"/>
                <w:color w:val="auto"/>
                <w:szCs w:val="21"/>
                <w:highlight w:val="none"/>
                <w:u w:val="single"/>
              </w:rPr>
              <w:t>广西信永工程咨询有限责任公司</w:t>
            </w:r>
            <w:bookmarkEnd w:id="48"/>
            <w:r>
              <w:rPr>
                <w:rFonts w:hint="eastAsia" w:ascii="宋体" w:hAnsi="宋体" w:cs="宋体"/>
                <w:color w:val="auto"/>
                <w:szCs w:val="21"/>
                <w:highlight w:val="none"/>
              </w:rPr>
              <w:t>；</w:t>
            </w:r>
          </w:p>
          <w:p w14:paraId="6592FA75">
            <w:pPr>
              <w:keepNext/>
              <w:keepLines/>
              <w:spacing w:line="360" w:lineRule="auto"/>
              <w:rPr>
                <w:rFonts w:ascii="宋体" w:hAnsi="宋体" w:cs="宋体"/>
                <w:color w:val="auto"/>
                <w:szCs w:val="21"/>
                <w:highlight w:val="none"/>
              </w:rPr>
            </w:pPr>
            <w:r>
              <w:rPr>
                <w:rFonts w:hint="eastAsia" w:ascii="宋体" w:hAnsi="宋体" w:cs="宋体"/>
                <w:color w:val="auto"/>
                <w:szCs w:val="21"/>
                <w:highlight w:val="none"/>
              </w:rPr>
              <w:t>联系电话：</w:t>
            </w:r>
            <w:r>
              <w:rPr>
                <w:rFonts w:hint="eastAsia" w:ascii="宋体" w:hAnsi="宋体" w:cs="宋体"/>
                <w:color w:val="auto"/>
                <w:szCs w:val="21"/>
                <w:highlight w:val="none"/>
                <w:u w:val="single"/>
              </w:rPr>
              <w:t>0771-5824699（分机号：812）</w:t>
            </w:r>
            <w:r>
              <w:rPr>
                <w:rFonts w:hint="eastAsia" w:ascii="宋体" w:hAnsi="宋体" w:cs="宋体"/>
                <w:color w:val="auto"/>
                <w:szCs w:val="21"/>
                <w:highlight w:val="none"/>
              </w:rPr>
              <w:t>；</w:t>
            </w:r>
          </w:p>
          <w:p w14:paraId="58358692">
            <w:pPr>
              <w:keepNext/>
              <w:keepLines/>
              <w:spacing w:line="360" w:lineRule="auto"/>
              <w:rPr>
                <w:rFonts w:ascii="宋体" w:hAnsi="宋体" w:cs="宋体"/>
                <w:color w:val="auto"/>
                <w:szCs w:val="21"/>
                <w:highlight w:val="none"/>
              </w:rPr>
            </w:pPr>
            <w:r>
              <w:rPr>
                <w:rFonts w:hint="eastAsia" w:ascii="宋体" w:hAnsi="宋体" w:cs="宋体"/>
                <w:color w:val="auto"/>
                <w:szCs w:val="21"/>
                <w:highlight w:val="none"/>
              </w:rPr>
              <w:t>通讯地址：</w:t>
            </w:r>
            <w:bookmarkStart w:id="49" w:name="PO_3000001866_PM035"/>
            <w:r>
              <w:rPr>
                <w:rFonts w:hint="eastAsia" w:ascii="宋体" w:hAnsi="宋体" w:cs="宋体"/>
                <w:color w:val="auto"/>
                <w:szCs w:val="21"/>
                <w:highlight w:val="none"/>
                <w:u w:val="single"/>
              </w:rPr>
              <w:t>南宁市青秀区中柬路9号利海亚洲国际4号楼领峰A座610室</w:t>
            </w:r>
            <w:bookmarkEnd w:id="49"/>
            <w:r>
              <w:rPr>
                <w:rFonts w:hint="eastAsia" w:ascii="宋体" w:hAnsi="宋体" w:cs="宋体"/>
                <w:color w:val="auto"/>
                <w:szCs w:val="21"/>
                <w:highlight w:val="none"/>
              </w:rPr>
              <w:t>。</w:t>
            </w:r>
          </w:p>
          <w:p w14:paraId="18935246">
            <w:pPr>
              <w:keepNext/>
              <w:keepLines/>
              <w:spacing w:line="360" w:lineRule="auto"/>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u w:val="single"/>
              </w:rPr>
              <w:t>广西壮族自治区公安厅</w:t>
            </w:r>
            <w:r>
              <w:rPr>
                <w:rFonts w:hint="eastAsia" w:ascii="宋体" w:hAnsi="宋体" w:cs="宋体"/>
                <w:color w:val="auto"/>
                <w:szCs w:val="21"/>
                <w:highlight w:val="none"/>
              </w:rPr>
              <w:t>；</w:t>
            </w:r>
          </w:p>
          <w:p w14:paraId="60A12247">
            <w:pPr>
              <w:keepNext/>
              <w:keepLines/>
              <w:spacing w:line="360" w:lineRule="auto"/>
              <w:rPr>
                <w:rFonts w:ascii="宋体" w:hAnsi="宋体" w:cs="宋体"/>
                <w:color w:val="auto"/>
                <w:szCs w:val="21"/>
                <w:highlight w:val="none"/>
              </w:rPr>
            </w:pPr>
            <w:r>
              <w:rPr>
                <w:rFonts w:hint="eastAsia" w:ascii="宋体" w:hAnsi="宋体" w:cs="宋体"/>
                <w:color w:val="auto"/>
                <w:szCs w:val="21"/>
                <w:highlight w:val="none"/>
              </w:rPr>
              <w:t>联系电话：</w:t>
            </w:r>
            <w:r>
              <w:rPr>
                <w:rFonts w:ascii="宋体" w:hAnsi="宋体" w:cs="宋体"/>
                <w:color w:val="auto"/>
                <w:szCs w:val="21"/>
                <w:highlight w:val="none"/>
              </w:rPr>
              <w:t>0771-2892369</w:t>
            </w:r>
            <w:r>
              <w:rPr>
                <w:rFonts w:hint="eastAsia" w:ascii="宋体" w:hAnsi="宋体" w:cs="宋体"/>
                <w:color w:val="auto"/>
                <w:szCs w:val="21"/>
                <w:highlight w:val="none"/>
              </w:rPr>
              <w:t>；</w:t>
            </w:r>
          </w:p>
          <w:p w14:paraId="60C0B7C0">
            <w:pPr>
              <w:keepNext/>
              <w:keepLines/>
              <w:spacing w:line="360" w:lineRule="auto"/>
              <w:rPr>
                <w:rFonts w:ascii="宋体" w:hAnsi="宋体" w:cs="宋体"/>
                <w:color w:val="auto"/>
                <w:szCs w:val="21"/>
                <w:highlight w:val="none"/>
              </w:rPr>
            </w:pPr>
            <w:r>
              <w:rPr>
                <w:rFonts w:hint="eastAsia" w:ascii="宋体" w:hAnsi="宋体" w:cs="宋体"/>
                <w:color w:val="auto"/>
                <w:szCs w:val="21"/>
                <w:highlight w:val="none"/>
              </w:rPr>
              <w:t>通讯地址：</w:t>
            </w:r>
            <w:r>
              <w:rPr>
                <w:rFonts w:hint="eastAsia" w:ascii="宋体" w:hAnsi="宋体" w:cs="宋体"/>
                <w:color w:val="auto"/>
                <w:szCs w:val="21"/>
                <w:highlight w:val="none"/>
                <w:u w:val="single"/>
              </w:rPr>
              <w:t>广西壮族自治区南宁市青秀区佛子岭路1号</w:t>
            </w:r>
            <w:r>
              <w:rPr>
                <w:rFonts w:hint="eastAsia" w:ascii="宋体" w:hAnsi="宋体" w:cs="宋体"/>
                <w:color w:val="auto"/>
                <w:szCs w:val="21"/>
                <w:highlight w:val="none"/>
              </w:rPr>
              <w:t>。</w:t>
            </w:r>
          </w:p>
        </w:tc>
      </w:tr>
      <w:tr w14:paraId="6D81E2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80" w:type="dxa"/>
            <w:vMerge w:val="continue"/>
            <w:tcBorders>
              <w:left w:val="single" w:color="auto" w:sz="4" w:space="0"/>
              <w:bottom w:val="single" w:color="auto" w:sz="4" w:space="0"/>
              <w:right w:val="single" w:color="auto" w:sz="4" w:space="0"/>
            </w:tcBorders>
            <w:vAlign w:val="center"/>
          </w:tcPr>
          <w:p w14:paraId="3753DB41">
            <w:pPr>
              <w:keepNext/>
              <w:keepLines/>
              <w:spacing w:line="360" w:lineRule="auto"/>
              <w:jc w:val="center"/>
              <w:rPr>
                <w:rFonts w:ascii="宋体" w:hAnsi="宋体" w:cs="宋体"/>
                <w:color w:val="auto"/>
                <w:szCs w:val="21"/>
                <w:highlight w:val="none"/>
              </w:rPr>
            </w:pPr>
          </w:p>
        </w:tc>
        <w:tc>
          <w:tcPr>
            <w:tcW w:w="1954" w:type="dxa"/>
            <w:tcBorders>
              <w:top w:val="single" w:color="auto" w:sz="4" w:space="0"/>
              <w:left w:val="single" w:color="auto" w:sz="4" w:space="0"/>
              <w:bottom w:val="single" w:color="auto" w:sz="4" w:space="0"/>
              <w:right w:val="single" w:color="auto" w:sz="4" w:space="0"/>
            </w:tcBorders>
            <w:vAlign w:val="center"/>
          </w:tcPr>
          <w:p w14:paraId="33D2EA6D">
            <w:pPr>
              <w:keepNext/>
              <w:keepLines/>
              <w:spacing w:line="360" w:lineRule="auto"/>
              <w:rPr>
                <w:rFonts w:ascii="宋体" w:hAnsi="宋体" w:cs="宋体"/>
                <w:color w:val="auto"/>
                <w:szCs w:val="21"/>
                <w:highlight w:val="none"/>
              </w:rPr>
            </w:pPr>
            <w:r>
              <w:rPr>
                <w:rFonts w:hint="eastAsia" w:ascii="宋体" w:hAnsi="宋体" w:cs="宋体"/>
                <w:color w:val="auto"/>
                <w:szCs w:val="21"/>
                <w:highlight w:val="none"/>
              </w:rPr>
              <w:t>现场提交质疑办理业务时间</w:t>
            </w:r>
          </w:p>
        </w:tc>
        <w:tc>
          <w:tcPr>
            <w:tcW w:w="7271" w:type="dxa"/>
            <w:tcBorders>
              <w:top w:val="single" w:color="auto" w:sz="4" w:space="0"/>
              <w:left w:val="single" w:color="auto" w:sz="4" w:space="0"/>
              <w:bottom w:val="single" w:color="auto" w:sz="4" w:space="0"/>
              <w:right w:val="single" w:color="auto" w:sz="4" w:space="0"/>
            </w:tcBorders>
            <w:vAlign w:val="center"/>
          </w:tcPr>
          <w:p w14:paraId="19C2647A">
            <w:pPr>
              <w:keepNext/>
              <w:keepLines/>
              <w:spacing w:line="360" w:lineRule="auto"/>
              <w:rPr>
                <w:rFonts w:ascii="宋体" w:hAnsi="宋体" w:cs="宋体"/>
                <w:color w:val="auto"/>
                <w:szCs w:val="21"/>
                <w:highlight w:val="none"/>
              </w:rPr>
            </w:pPr>
            <w:r>
              <w:rPr>
                <w:rFonts w:hint="eastAsia" w:ascii="宋体" w:hAnsi="宋体" w:cs="宋体"/>
                <w:color w:val="auto"/>
                <w:szCs w:val="21"/>
                <w:highlight w:val="none"/>
              </w:rPr>
              <w:t>质疑期内每个工作日</w:t>
            </w:r>
            <w:r>
              <w:rPr>
                <w:rFonts w:hint="eastAsia" w:ascii="宋体" w:hAnsi="宋体" w:cs="宋体"/>
                <w:color w:val="auto"/>
                <w:szCs w:val="21"/>
                <w:highlight w:val="none"/>
                <w:u w:val="single"/>
              </w:rPr>
              <w:t>9</w:t>
            </w:r>
            <w:r>
              <w:rPr>
                <w:rFonts w:hint="eastAsia" w:ascii="宋体" w:hAnsi="宋体" w:cs="宋体"/>
                <w:color w:val="auto"/>
                <w:szCs w:val="21"/>
                <w:highlight w:val="none"/>
              </w:rPr>
              <w:t>点</w:t>
            </w:r>
            <w:r>
              <w:rPr>
                <w:rFonts w:hint="eastAsia" w:ascii="宋体" w:hAnsi="宋体" w:cs="宋体"/>
                <w:color w:val="auto"/>
                <w:szCs w:val="21"/>
                <w:highlight w:val="none"/>
                <w:u w:val="single"/>
              </w:rPr>
              <w:t>00</w:t>
            </w:r>
            <w:r>
              <w:rPr>
                <w:rFonts w:hint="eastAsia" w:ascii="宋体" w:hAnsi="宋体" w:cs="宋体"/>
                <w:color w:val="auto"/>
                <w:szCs w:val="21"/>
                <w:highlight w:val="none"/>
              </w:rPr>
              <w:t>分到</w:t>
            </w:r>
            <w:r>
              <w:rPr>
                <w:rFonts w:hint="eastAsia" w:ascii="宋体" w:hAnsi="宋体" w:cs="宋体"/>
                <w:color w:val="auto"/>
                <w:szCs w:val="21"/>
                <w:highlight w:val="none"/>
                <w:u w:val="single"/>
              </w:rPr>
              <w:t>12</w:t>
            </w:r>
            <w:r>
              <w:rPr>
                <w:rFonts w:hint="eastAsia" w:ascii="宋体" w:hAnsi="宋体" w:cs="宋体"/>
                <w:color w:val="auto"/>
                <w:szCs w:val="21"/>
                <w:highlight w:val="none"/>
              </w:rPr>
              <w:t>点</w:t>
            </w:r>
            <w:r>
              <w:rPr>
                <w:rFonts w:hint="eastAsia" w:ascii="宋体" w:hAnsi="宋体" w:cs="宋体"/>
                <w:color w:val="auto"/>
                <w:szCs w:val="21"/>
                <w:highlight w:val="none"/>
                <w:u w:val="single"/>
              </w:rPr>
              <w:t>00</w:t>
            </w:r>
            <w:r>
              <w:rPr>
                <w:rFonts w:hint="eastAsia" w:ascii="宋体" w:hAnsi="宋体" w:cs="宋体"/>
                <w:color w:val="auto"/>
                <w:szCs w:val="21"/>
                <w:highlight w:val="none"/>
              </w:rPr>
              <w:t>分，</w:t>
            </w:r>
            <w:r>
              <w:rPr>
                <w:rFonts w:hint="eastAsia" w:ascii="宋体" w:hAnsi="宋体" w:cs="宋体"/>
                <w:color w:val="auto"/>
                <w:szCs w:val="21"/>
                <w:highlight w:val="none"/>
                <w:u w:val="single"/>
              </w:rPr>
              <w:t>15</w:t>
            </w:r>
            <w:r>
              <w:rPr>
                <w:rFonts w:hint="eastAsia" w:ascii="宋体" w:hAnsi="宋体" w:cs="宋体"/>
                <w:color w:val="auto"/>
                <w:szCs w:val="21"/>
                <w:highlight w:val="none"/>
              </w:rPr>
              <w:t>点</w:t>
            </w:r>
            <w:r>
              <w:rPr>
                <w:rFonts w:hint="eastAsia" w:ascii="宋体" w:hAnsi="宋体" w:cs="宋体"/>
                <w:color w:val="auto"/>
                <w:szCs w:val="21"/>
                <w:highlight w:val="none"/>
                <w:u w:val="single"/>
              </w:rPr>
              <w:t>00</w:t>
            </w:r>
            <w:r>
              <w:rPr>
                <w:rFonts w:hint="eastAsia" w:ascii="宋体" w:hAnsi="宋体" w:cs="宋体"/>
                <w:color w:val="auto"/>
                <w:szCs w:val="21"/>
                <w:highlight w:val="none"/>
              </w:rPr>
              <w:t>分到</w:t>
            </w:r>
            <w:r>
              <w:rPr>
                <w:rFonts w:hint="eastAsia" w:ascii="宋体" w:hAnsi="宋体" w:cs="宋体"/>
                <w:color w:val="auto"/>
                <w:szCs w:val="21"/>
                <w:highlight w:val="none"/>
                <w:u w:val="single"/>
              </w:rPr>
              <w:t>17</w:t>
            </w:r>
            <w:r>
              <w:rPr>
                <w:rFonts w:hint="eastAsia" w:ascii="宋体" w:hAnsi="宋体" w:cs="宋体"/>
                <w:color w:val="auto"/>
                <w:szCs w:val="21"/>
                <w:highlight w:val="none"/>
              </w:rPr>
              <w:t>点</w:t>
            </w:r>
            <w:r>
              <w:rPr>
                <w:rFonts w:hint="eastAsia" w:ascii="宋体" w:hAnsi="宋体" w:cs="宋体"/>
                <w:color w:val="auto"/>
                <w:szCs w:val="21"/>
                <w:highlight w:val="none"/>
                <w:u w:val="single"/>
              </w:rPr>
              <w:t>30</w:t>
            </w:r>
            <w:r>
              <w:rPr>
                <w:rFonts w:hint="eastAsia" w:ascii="宋体" w:hAnsi="宋体" w:cs="宋体"/>
                <w:color w:val="auto"/>
                <w:szCs w:val="21"/>
                <w:highlight w:val="none"/>
              </w:rPr>
              <w:t>分，业务时间以外、双休日和法定节假日不办理业务。</w:t>
            </w:r>
          </w:p>
        </w:tc>
      </w:tr>
      <w:tr w14:paraId="2F1825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80" w:type="dxa"/>
            <w:tcBorders>
              <w:left w:val="single" w:color="auto" w:sz="4" w:space="0"/>
              <w:bottom w:val="single" w:color="auto" w:sz="4" w:space="0"/>
              <w:right w:val="single" w:color="auto" w:sz="4" w:space="0"/>
            </w:tcBorders>
            <w:vAlign w:val="center"/>
          </w:tcPr>
          <w:p w14:paraId="02E0A4E8">
            <w:pPr>
              <w:keepNext/>
              <w:keepLines/>
              <w:spacing w:line="360" w:lineRule="auto"/>
              <w:jc w:val="center"/>
              <w:rPr>
                <w:rFonts w:ascii="宋体" w:hAnsi="宋体" w:cs="宋体"/>
                <w:color w:val="auto"/>
                <w:szCs w:val="21"/>
                <w:highlight w:val="none"/>
              </w:rPr>
            </w:pPr>
            <w:r>
              <w:rPr>
                <w:rFonts w:hint="eastAsia" w:ascii="宋体" w:hAnsi="宋体" w:cs="宋体"/>
                <w:color w:val="auto"/>
                <w:szCs w:val="21"/>
                <w:highlight w:val="none"/>
              </w:rPr>
              <w:t>38.3.1</w:t>
            </w:r>
          </w:p>
        </w:tc>
        <w:tc>
          <w:tcPr>
            <w:tcW w:w="1954" w:type="dxa"/>
            <w:tcBorders>
              <w:top w:val="single" w:color="auto" w:sz="4" w:space="0"/>
              <w:left w:val="single" w:color="auto" w:sz="4" w:space="0"/>
              <w:bottom w:val="single" w:color="auto" w:sz="4" w:space="0"/>
              <w:right w:val="single" w:color="auto" w:sz="4" w:space="0"/>
            </w:tcBorders>
            <w:vAlign w:val="center"/>
          </w:tcPr>
          <w:p w14:paraId="6A400570">
            <w:pPr>
              <w:keepNext/>
              <w:keepLines/>
              <w:spacing w:line="360" w:lineRule="auto"/>
              <w:rPr>
                <w:rFonts w:ascii="宋体" w:hAnsi="宋体" w:cs="宋体"/>
                <w:color w:val="auto"/>
                <w:szCs w:val="21"/>
                <w:highlight w:val="none"/>
              </w:rPr>
            </w:pPr>
            <w:r>
              <w:rPr>
                <w:rFonts w:hint="eastAsia" w:ascii="宋体" w:hAnsi="宋体" w:cs="宋体"/>
                <w:color w:val="auto"/>
                <w:szCs w:val="21"/>
                <w:highlight w:val="none"/>
              </w:rPr>
              <w:t>投诉受理方式</w:t>
            </w:r>
          </w:p>
        </w:tc>
        <w:tc>
          <w:tcPr>
            <w:tcW w:w="7271" w:type="dxa"/>
            <w:tcBorders>
              <w:top w:val="single" w:color="auto" w:sz="4" w:space="0"/>
              <w:left w:val="single" w:color="auto" w:sz="4" w:space="0"/>
              <w:bottom w:val="single" w:color="auto" w:sz="4" w:space="0"/>
              <w:right w:val="single" w:color="auto" w:sz="4" w:space="0"/>
            </w:tcBorders>
            <w:vAlign w:val="center"/>
          </w:tcPr>
          <w:p w14:paraId="219F0C60">
            <w:pPr>
              <w:keepNext/>
              <w:keepLines/>
              <w:spacing w:line="360" w:lineRule="auto"/>
              <w:rPr>
                <w:rFonts w:ascii="宋体" w:hAnsi="宋体" w:cs="宋体"/>
                <w:color w:val="auto"/>
                <w:szCs w:val="21"/>
                <w:highlight w:val="none"/>
              </w:rPr>
            </w:pPr>
            <w:r>
              <w:rPr>
                <w:rFonts w:hint="eastAsia" w:ascii="宋体" w:hAnsi="宋体" w:cs="宋体"/>
                <w:color w:val="auto"/>
                <w:szCs w:val="21"/>
                <w:highlight w:val="none"/>
              </w:rPr>
              <w:t>1.受理方式：纸质方式受理，投诉书正、副本（经过质疑的事项才可投诉）。</w:t>
            </w:r>
          </w:p>
          <w:p w14:paraId="71765C0A">
            <w:pPr>
              <w:keepNext/>
              <w:keepLines/>
              <w:spacing w:line="360" w:lineRule="auto"/>
              <w:rPr>
                <w:rFonts w:ascii="宋体" w:hAnsi="宋体" w:cs="宋体"/>
                <w:color w:val="auto"/>
                <w:szCs w:val="21"/>
                <w:highlight w:val="none"/>
              </w:rPr>
            </w:pPr>
            <w:r>
              <w:rPr>
                <w:rFonts w:hint="eastAsia" w:ascii="宋体" w:hAnsi="宋体" w:cs="宋体"/>
                <w:color w:val="auto"/>
                <w:szCs w:val="21"/>
                <w:highlight w:val="none"/>
              </w:rPr>
              <w:t>2.邮寄地址：</w:t>
            </w:r>
          </w:p>
          <w:p w14:paraId="0C68EFD0">
            <w:pPr>
              <w:keepNext/>
              <w:keepLines/>
              <w:spacing w:line="360" w:lineRule="auto"/>
              <w:rPr>
                <w:rFonts w:ascii="宋体" w:hAnsi="宋体" w:cs="宋体"/>
                <w:color w:val="auto"/>
                <w:szCs w:val="21"/>
                <w:highlight w:val="none"/>
              </w:rPr>
            </w:pPr>
            <w:r>
              <w:rPr>
                <w:rFonts w:hint="eastAsia" w:ascii="宋体" w:hAnsi="宋体" w:cs="宋体"/>
                <w:color w:val="auto"/>
                <w:szCs w:val="21"/>
                <w:highlight w:val="none"/>
              </w:rPr>
              <w:t>名称：广西壮族自治区财政厅政府采购监督管理处</w:t>
            </w:r>
          </w:p>
          <w:p w14:paraId="72008921">
            <w:pPr>
              <w:keepNext/>
              <w:keepLines/>
              <w:spacing w:line="360" w:lineRule="auto"/>
              <w:rPr>
                <w:rFonts w:ascii="宋体" w:hAnsi="宋体" w:cs="宋体"/>
                <w:color w:val="auto"/>
                <w:szCs w:val="21"/>
                <w:highlight w:val="none"/>
              </w:rPr>
            </w:pPr>
            <w:r>
              <w:rPr>
                <w:rFonts w:hint="eastAsia" w:ascii="宋体" w:hAnsi="宋体" w:cs="宋体"/>
                <w:color w:val="auto"/>
                <w:szCs w:val="21"/>
                <w:highlight w:val="none"/>
              </w:rPr>
              <w:t>地址：南宁市青秀区桃源路69号</w:t>
            </w:r>
          </w:p>
          <w:p w14:paraId="6A92CA5A">
            <w:pPr>
              <w:keepNext/>
              <w:keepLines/>
              <w:spacing w:line="360" w:lineRule="auto"/>
              <w:rPr>
                <w:rFonts w:ascii="宋体" w:hAnsi="宋体" w:cs="宋体"/>
                <w:color w:val="auto"/>
                <w:szCs w:val="21"/>
                <w:highlight w:val="none"/>
              </w:rPr>
            </w:pPr>
            <w:r>
              <w:rPr>
                <w:rFonts w:hint="eastAsia" w:ascii="宋体" w:hAnsi="宋体" w:cs="宋体"/>
                <w:color w:val="auto"/>
                <w:szCs w:val="21"/>
                <w:highlight w:val="none"/>
              </w:rPr>
              <w:t>联系电话：0771-5331544</w:t>
            </w:r>
          </w:p>
        </w:tc>
      </w:tr>
      <w:tr w14:paraId="01F87E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80" w:type="dxa"/>
            <w:vMerge w:val="restart"/>
            <w:tcBorders>
              <w:top w:val="single" w:color="auto" w:sz="4" w:space="0"/>
              <w:left w:val="single" w:color="auto" w:sz="4" w:space="0"/>
              <w:right w:val="single" w:color="auto" w:sz="4" w:space="0"/>
            </w:tcBorders>
            <w:vAlign w:val="center"/>
          </w:tcPr>
          <w:p w14:paraId="4DAA15A5">
            <w:pPr>
              <w:keepNext/>
              <w:keepLines/>
              <w:spacing w:line="360" w:lineRule="auto"/>
              <w:jc w:val="center"/>
              <w:rPr>
                <w:rFonts w:ascii="宋体" w:hAnsi="宋体" w:cs="宋体"/>
                <w:color w:val="auto"/>
                <w:szCs w:val="21"/>
                <w:highlight w:val="none"/>
              </w:rPr>
            </w:pPr>
            <w:r>
              <w:rPr>
                <w:rFonts w:hint="eastAsia" w:ascii="宋体" w:hAnsi="宋体" w:cs="宋体"/>
                <w:color w:val="auto"/>
                <w:szCs w:val="21"/>
                <w:highlight w:val="none"/>
              </w:rPr>
              <w:t>40</w:t>
            </w:r>
          </w:p>
        </w:tc>
        <w:tc>
          <w:tcPr>
            <w:tcW w:w="1954" w:type="dxa"/>
            <w:tcBorders>
              <w:top w:val="single" w:color="auto" w:sz="4" w:space="0"/>
              <w:left w:val="single" w:color="auto" w:sz="4" w:space="0"/>
              <w:bottom w:val="single" w:color="auto" w:sz="4" w:space="0"/>
              <w:right w:val="single" w:color="auto" w:sz="4" w:space="0"/>
            </w:tcBorders>
            <w:vAlign w:val="center"/>
          </w:tcPr>
          <w:p w14:paraId="5B662907">
            <w:pPr>
              <w:keepNext/>
              <w:keepLines/>
              <w:spacing w:line="360" w:lineRule="auto"/>
              <w:rPr>
                <w:rFonts w:ascii="宋体" w:hAnsi="宋体" w:cs="宋体"/>
                <w:color w:val="auto"/>
                <w:szCs w:val="21"/>
                <w:highlight w:val="none"/>
              </w:rPr>
            </w:pPr>
            <w:bookmarkStart w:id="50" w:name="_42"/>
            <w:bookmarkEnd w:id="50"/>
            <w:bookmarkStart w:id="51" w:name="_41"/>
            <w:bookmarkEnd w:id="51"/>
            <w:r>
              <w:rPr>
                <w:rFonts w:hint="eastAsia" w:ascii="宋体" w:hAnsi="宋体" w:cs="宋体"/>
                <w:color w:val="auto"/>
                <w:szCs w:val="21"/>
                <w:highlight w:val="none"/>
              </w:rPr>
              <w:t>采购代理费支付方式</w:t>
            </w:r>
          </w:p>
        </w:tc>
        <w:tc>
          <w:tcPr>
            <w:tcW w:w="7271" w:type="dxa"/>
            <w:tcBorders>
              <w:top w:val="single" w:color="auto" w:sz="4" w:space="0"/>
              <w:left w:val="single" w:color="auto" w:sz="4" w:space="0"/>
              <w:bottom w:val="single" w:color="auto" w:sz="4" w:space="0"/>
              <w:right w:val="single" w:color="auto" w:sz="4" w:space="0"/>
            </w:tcBorders>
            <w:vAlign w:val="center"/>
          </w:tcPr>
          <w:p w14:paraId="228794E8">
            <w:pPr>
              <w:pStyle w:val="16"/>
              <w:keepNext/>
              <w:keepLines/>
              <w:spacing w:line="360" w:lineRule="auto"/>
              <w:rPr>
                <w:rFonts w:cs="宋体"/>
                <w:color w:val="auto"/>
                <w:szCs w:val="21"/>
                <w:highlight w:val="none"/>
              </w:rPr>
            </w:pPr>
            <w:r>
              <w:rPr>
                <w:rFonts w:hint="eastAsia" w:ascii="MS PGothic" w:hAnsi="MS PGothic" w:eastAsia="MS PGothic" w:cs="MS PGothic"/>
                <w:color w:val="auto"/>
                <w:szCs w:val="21"/>
                <w:highlight w:val="none"/>
              </w:rPr>
              <w:t>☑</w:t>
            </w:r>
            <w:r>
              <w:rPr>
                <w:rFonts w:hint="eastAsia" w:cs="宋体"/>
                <w:color w:val="auto"/>
                <w:szCs w:val="21"/>
                <w:highlight w:val="none"/>
              </w:rPr>
              <w:t>本项目代理服务费由</w:t>
            </w:r>
            <w:r>
              <w:rPr>
                <w:rFonts w:hint="eastAsia" w:cs="宋体"/>
                <w:color w:val="auto"/>
                <w:szCs w:val="21"/>
                <w:highlight w:val="none"/>
                <w:u w:val="single"/>
              </w:rPr>
              <w:t>中标人</w:t>
            </w:r>
            <w:r>
              <w:rPr>
                <w:rFonts w:hint="eastAsia" w:cs="宋体"/>
                <w:color w:val="auto"/>
                <w:szCs w:val="21"/>
                <w:highlight w:val="none"/>
              </w:rPr>
              <w:t>在领取中标通知书前，一次性向采购代理机构支付。</w:t>
            </w:r>
          </w:p>
          <w:p w14:paraId="02B10AF3">
            <w:pPr>
              <w:pStyle w:val="16"/>
              <w:keepNext/>
              <w:keepLines/>
              <w:spacing w:line="360" w:lineRule="auto"/>
              <w:rPr>
                <w:rFonts w:cs="宋体"/>
                <w:color w:val="auto"/>
                <w:szCs w:val="21"/>
                <w:highlight w:val="none"/>
              </w:rPr>
            </w:pPr>
            <w:r>
              <w:rPr>
                <w:rFonts w:hint="eastAsia" w:cs="宋体"/>
                <w:color w:val="auto"/>
                <w:szCs w:val="21"/>
                <w:highlight w:val="none"/>
              </w:rPr>
              <w:t>□采购人支付。</w:t>
            </w:r>
          </w:p>
          <w:p w14:paraId="1E5AB451">
            <w:pPr>
              <w:pStyle w:val="16"/>
              <w:keepNext/>
              <w:keepLines/>
              <w:spacing w:line="360" w:lineRule="auto"/>
              <w:rPr>
                <w:rFonts w:cs="宋体"/>
                <w:color w:val="auto"/>
                <w:szCs w:val="21"/>
                <w:highlight w:val="none"/>
              </w:rPr>
            </w:pPr>
            <w:r>
              <w:rPr>
                <w:rFonts w:hint="eastAsia" w:cs="宋体"/>
                <w:color w:val="auto"/>
                <w:szCs w:val="21"/>
                <w:highlight w:val="none"/>
              </w:rPr>
              <w:t>□本项目不收取代理服务费。</w:t>
            </w:r>
          </w:p>
        </w:tc>
      </w:tr>
      <w:tr w14:paraId="5471B5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80" w:type="dxa"/>
            <w:vMerge w:val="continue"/>
            <w:tcBorders>
              <w:left w:val="single" w:color="auto" w:sz="4" w:space="0"/>
              <w:right w:val="single" w:color="auto" w:sz="4" w:space="0"/>
            </w:tcBorders>
            <w:vAlign w:val="center"/>
          </w:tcPr>
          <w:p w14:paraId="744AC727">
            <w:pPr>
              <w:keepNext/>
              <w:keepLines/>
              <w:spacing w:line="360" w:lineRule="auto"/>
              <w:jc w:val="center"/>
              <w:rPr>
                <w:rFonts w:ascii="宋体" w:hAnsi="宋体" w:cs="宋体"/>
                <w:color w:val="auto"/>
                <w:szCs w:val="21"/>
                <w:highlight w:val="none"/>
              </w:rPr>
            </w:pPr>
          </w:p>
        </w:tc>
        <w:tc>
          <w:tcPr>
            <w:tcW w:w="1954" w:type="dxa"/>
            <w:tcBorders>
              <w:top w:val="single" w:color="auto" w:sz="4" w:space="0"/>
              <w:left w:val="single" w:color="auto" w:sz="4" w:space="0"/>
              <w:bottom w:val="single" w:color="auto" w:sz="4" w:space="0"/>
              <w:right w:val="single" w:color="auto" w:sz="4" w:space="0"/>
            </w:tcBorders>
            <w:vAlign w:val="center"/>
          </w:tcPr>
          <w:p w14:paraId="2FD3995B">
            <w:pPr>
              <w:keepNext/>
              <w:keepLines/>
              <w:spacing w:line="360" w:lineRule="auto"/>
              <w:rPr>
                <w:rFonts w:ascii="宋体" w:hAnsi="宋体" w:cs="宋体"/>
                <w:color w:val="auto"/>
                <w:szCs w:val="21"/>
                <w:highlight w:val="none"/>
              </w:rPr>
            </w:pPr>
            <w:r>
              <w:rPr>
                <w:rFonts w:hint="eastAsia" w:ascii="宋体" w:hAnsi="宋体" w:cs="宋体"/>
                <w:color w:val="auto"/>
                <w:szCs w:val="21"/>
                <w:highlight w:val="none"/>
              </w:rPr>
              <w:t>采购代理费收取标准</w:t>
            </w:r>
          </w:p>
        </w:tc>
        <w:tc>
          <w:tcPr>
            <w:tcW w:w="7271" w:type="dxa"/>
            <w:tcBorders>
              <w:top w:val="single" w:color="auto" w:sz="4" w:space="0"/>
              <w:left w:val="single" w:color="auto" w:sz="4" w:space="0"/>
              <w:bottom w:val="single" w:color="auto" w:sz="4" w:space="0"/>
              <w:right w:val="single" w:color="auto" w:sz="4" w:space="0"/>
            </w:tcBorders>
            <w:vAlign w:val="center"/>
          </w:tcPr>
          <w:p w14:paraId="1875C99D">
            <w:pPr>
              <w:pStyle w:val="16"/>
              <w:keepNext/>
              <w:keepLines/>
              <w:spacing w:line="360" w:lineRule="auto"/>
              <w:rPr>
                <w:rFonts w:cs="宋体"/>
                <w:color w:val="auto"/>
                <w:szCs w:val="21"/>
                <w:highlight w:val="none"/>
              </w:rPr>
            </w:pPr>
            <w:bookmarkStart w:id="52" w:name="PO_3000001866_PM025"/>
            <w:r>
              <w:rPr>
                <w:rFonts w:hint="eastAsia" w:ascii="MS PGothic" w:hAnsi="MS PGothic" w:eastAsia="MS PGothic" w:cs="MS PGothic"/>
                <w:color w:val="auto"/>
                <w:szCs w:val="21"/>
                <w:highlight w:val="none"/>
              </w:rPr>
              <w:t>☑</w:t>
            </w:r>
            <w:r>
              <w:rPr>
                <w:rFonts w:hint="eastAsia" w:cs="宋体"/>
                <w:color w:val="auto"/>
                <w:szCs w:val="21"/>
                <w:highlight w:val="none"/>
              </w:rPr>
              <w:t>以分标（☑中标金额/</w:t>
            </w:r>
            <w:r>
              <w:rPr>
                <w:rFonts w:hint="eastAsia" w:ascii="MS PGothic" w:hAnsi="MS PGothic" w:cs="MS PGothic"/>
                <w:color w:val="auto"/>
                <w:szCs w:val="21"/>
                <w:highlight w:val="none"/>
              </w:rPr>
              <w:t>□</w:t>
            </w:r>
            <w:r>
              <w:rPr>
                <w:rFonts w:hint="eastAsia" w:cs="宋体"/>
                <w:color w:val="auto"/>
                <w:szCs w:val="21"/>
                <w:highlight w:val="none"/>
              </w:rPr>
              <w:t>采购预算/□暂定中标金额/□其他</w:t>
            </w:r>
            <w:r>
              <w:rPr>
                <w:rFonts w:hint="eastAsia" w:cs="宋体"/>
                <w:color w:val="auto"/>
                <w:szCs w:val="21"/>
                <w:highlight w:val="none"/>
                <w:u w:val="single"/>
              </w:rPr>
              <w:t xml:space="preserve">   </w:t>
            </w:r>
            <w:r>
              <w:rPr>
                <w:rFonts w:hint="eastAsia" w:cs="宋体"/>
                <w:color w:val="auto"/>
                <w:szCs w:val="21"/>
                <w:highlight w:val="none"/>
              </w:rPr>
              <w:t>）为计费额，</w:t>
            </w:r>
            <w:r>
              <w:rPr>
                <w:rFonts w:hint="eastAsia" w:cs="宋体"/>
                <w:color w:val="auto"/>
                <w:kern w:val="0"/>
                <w:szCs w:val="21"/>
                <w:highlight w:val="none"/>
              </w:rPr>
              <w:t>按本须知正文第40.2条规定的收费计算标准</w:t>
            </w:r>
            <w:r>
              <w:rPr>
                <w:rFonts w:hint="eastAsia" w:cs="宋体"/>
                <w:color w:val="auto"/>
                <w:szCs w:val="21"/>
                <w:highlight w:val="none"/>
              </w:rPr>
              <w:t>（□货物招标/</w:t>
            </w:r>
            <w:r>
              <w:rPr>
                <w:rFonts w:hint="eastAsia" w:ascii="MS PGothic" w:hAnsi="MS PGothic" w:eastAsia="MS PGothic" w:cs="MS PGothic"/>
                <w:color w:val="auto"/>
                <w:szCs w:val="21"/>
                <w:highlight w:val="none"/>
              </w:rPr>
              <w:t>☑</w:t>
            </w:r>
            <w:r>
              <w:rPr>
                <w:rFonts w:hint="eastAsia" w:cs="宋体"/>
                <w:color w:val="auto"/>
                <w:szCs w:val="21"/>
                <w:highlight w:val="none"/>
              </w:rPr>
              <w:t>服务招标/□工程招标）采用差额定率累进法计算出收费基准价格，采购代理收费以（</w:t>
            </w:r>
            <w:r>
              <w:rPr>
                <w:rFonts w:hint="eastAsia" w:ascii="MS PGothic" w:hAnsi="MS PGothic" w:eastAsia="MS PGothic" w:cs="MS PGothic"/>
                <w:color w:val="auto"/>
                <w:szCs w:val="21"/>
                <w:highlight w:val="none"/>
              </w:rPr>
              <w:t>☑</w:t>
            </w:r>
            <w:r>
              <w:rPr>
                <w:rFonts w:hint="eastAsia" w:cs="宋体"/>
                <w:color w:val="auto"/>
                <w:szCs w:val="21"/>
                <w:highlight w:val="none"/>
              </w:rPr>
              <w:t>收费基准价格/□收费基准价格下浮</w:t>
            </w:r>
            <w:r>
              <w:rPr>
                <w:rFonts w:hint="eastAsia" w:cs="宋体"/>
                <w:color w:val="auto"/>
                <w:szCs w:val="21"/>
                <w:highlight w:val="none"/>
                <w:u w:val="single"/>
              </w:rPr>
              <w:t xml:space="preserve">   %</w:t>
            </w:r>
            <w:r>
              <w:rPr>
                <w:rFonts w:hint="eastAsia" w:cs="宋体"/>
                <w:color w:val="auto"/>
                <w:szCs w:val="21"/>
                <w:highlight w:val="none"/>
              </w:rPr>
              <w:t>/□收费基准价格上浮</w:t>
            </w:r>
            <w:r>
              <w:rPr>
                <w:rFonts w:hint="eastAsia" w:cs="宋体"/>
                <w:color w:val="auto"/>
                <w:szCs w:val="21"/>
                <w:highlight w:val="none"/>
                <w:u w:val="single"/>
              </w:rPr>
              <w:t xml:space="preserve">   %</w:t>
            </w:r>
            <w:r>
              <w:rPr>
                <w:rFonts w:hint="eastAsia" w:cs="宋体"/>
                <w:color w:val="auto"/>
                <w:szCs w:val="21"/>
                <w:highlight w:val="none"/>
              </w:rPr>
              <w:t>）收取。</w:t>
            </w:r>
          </w:p>
          <w:p w14:paraId="04DB87FF">
            <w:pPr>
              <w:pStyle w:val="16"/>
              <w:keepNext/>
              <w:keepLines/>
              <w:spacing w:line="360" w:lineRule="auto"/>
              <w:rPr>
                <w:rFonts w:cs="宋体"/>
                <w:color w:val="auto"/>
                <w:szCs w:val="21"/>
                <w:highlight w:val="none"/>
                <w:u w:val="single"/>
              </w:rPr>
            </w:pPr>
            <w:r>
              <w:rPr>
                <w:rFonts w:hint="eastAsia" w:cs="宋体"/>
                <w:color w:val="auto"/>
                <w:szCs w:val="21"/>
                <w:highlight w:val="none"/>
              </w:rPr>
              <w:t>□固定采购代理收费</w:t>
            </w:r>
            <w:r>
              <w:rPr>
                <w:rFonts w:hint="eastAsia" w:cs="宋体"/>
                <w:color w:val="auto"/>
                <w:szCs w:val="21"/>
                <w:highlight w:val="none"/>
                <w:u w:val="single"/>
              </w:rPr>
              <w:t xml:space="preserve">              。</w:t>
            </w:r>
            <w:bookmarkEnd w:id="52"/>
          </w:p>
        </w:tc>
      </w:tr>
      <w:tr w14:paraId="087219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80" w:type="dxa"/>
            <w:vMerge w:val="continue"/>
            <w:tcBorders>
              <w:left w:val="single" w:color="auto" w:sz="4" w:space="0"/>
              <w:bottom w:val="single" w:color="auto" w:sz="4" w:space="0"/>
              <w:right w:val="single" w:color="auto" w:sz="4" w:space="0"/>
            </w:tcBorders>
            <w:vAlign w:val="center"/>
          </w:tcPr>
          <w:p w14:paraId="4934DC79">
            <w:pPr>
              <w:keepNext/>
              <w:keepLines/>
              <w:spacing w:line="360" w:lineRule="auto"/>
              <w:jc w:val="center"/>
              <w:rPr>
                <w:rFonts w:ascii="宋体" w:hAnsi="宋体" w:cs="宋体"/>
                <w:color w:val="auto"/>
                <w:szCs w:val="21"/>
                <w:highlight w:val="none"/>
              </w:rPr>
            </w:pPr>
          </w:p>
        </w:tc>
        <w:tc>
          <w:tcPr>
            <w:tcW w:w="1954" w:type="dxa"/>
            <w:tcBorders>
              <w:top w:val="single" w:color="auto" w:sz="4" w:space="0"/>
              <w:left w:val="single" w:color="auto" w:sz="4" w:space="0"/>
              <w:bottom w:val="single" w:color="auto" w:sz="4" w:space="0"/>
              <w:right w:val="single" w:color="auto" w:sz="4" w:space="0"/>
            </w:tcBorders>
            <w:vAlign w:val="center"/>
          </w:tcPr>
          <w:p w14:paraId="0B836A94">
            <w:pPr>
              <w:keepNext/>
              <w:keepLines/>
              <w:spacing w:line="360" w:lineRule="auto"/>
              <w:rPr>
                <w:rFonts w:ascii="宋体" w:hAnsi="宋体" w:cs="宋体"/>
                <w:color w:val="auto"/>
                <w:szCs w:val="21"/>
                <w:highlight w:val="none"/>
              </w:rPr>
            </w:pPr>
            <w:r>
              <w:rPr>
                <w:rFonts w:hint="eastAsia" w:ascii="宋体" w:hAnsi="宋体" w:cs="宋体"/>
                <w:color w:val="auto"/>
                <w:szCs w:val="21"/>
                <w:highlight w:val="none"/>
              </w:rPr>
              <w:t>代理服务费收款账户信息</w:t>
            </w:r>
          </w:p>
        </w:tc>
        <w:tc>
          <w:tcPr>
            <w:tcW w:w="7271" w:type="dxa"/>
            <w:tcBorders>
              <w:top w:val="single" w:color="auto" w:sz="4" w:space="0"/>
              <w:left w:val="single" w:color="auto" w:sz="4" w:space="0"/>
              <w:bottom w:val="single" w:color="auto" w:sz="4" w:space="0"/>
              <w:right w:val="single" w:color="auto" w:sz="4" w:space="0"/>
            </w:tcBorders>
            <w:vAlign w:val="center"/>
          </w:tcPr>
          <w:p w14:paraId="178C3E7D">
            <w:pPr>
              <w:pStyle w:val="16"/>
              <w:keepNext/>
              <w:keepLines/>
              <w:spacing w:line="360" w:lineRule="auto"/>
              <w:rPr>
                <w:rFonts w:cs="宋体"/>
                <w:color w:val="auto"/>
                <w:szCs w:val="21"/>
                <w:highlight w:val="none"/>
              </w:rPr>
            </w:pPr>
            <w:r>
              <w:rPr>
                <w:rFonts w:hint="eastAsia" w:cs="宋体"/>
                <w:color w:val="auto"/>
                <w:szCs w:val="21"/>
                <w:highlight w:val="none"/>
              </w:rPr>
              <w:t>账户名称：广西信永工程咨询有限责任公司</w:t>
            </w:r>
          </w:p>
          <w:p w14:paraId="3E7143CA">
            <w:pPr>
              <w:pStyle w:val="16"/>
              <w:keepNext/>
              <w:keepLines/>
              <w:spacing w:line="360" w:lineRule="auto"/>
              <w:rPr>
                <w:rFonts w:cs="宋体"/>
                <w:color w:val="auto"/>
                <w:szCs w:val="21"/>
                <w:highlight w:val="none"/>
              </w:rPr>
            </w:pPr>
            <w:r>
              <w:rPr>
                <w:rFonts w:hint="eastAsia" w:cs="宋体"/>
                <w:color w:val="auto"/>
                <w:szCs w:val="21"/>
                <w:highlight w:val="none"/>
              </w:rPr>
              <w:t>开户银行：</w:t>
            </w:r>
            <w:r>
              <w:rPr>
                <w:rFonts w:hint="eastAsia" w:cs="宋体"/>
                <w:color w:val="auto"/>
                <w:kern w:val="0"/>
                <w:szCs w:val="21"/>
                <w:highlight w:val="none"/>
              </w:rPr>
              <w:t>招商银行南宁分行东盟商务区支行</w:t>
            </w:r>
            <w:r>
              <w:rPr>
                <w:rFonts w:hint="eastAsia" w:cs="宋体"/>
                <w:color w:val="auto"/>
                <w:szCs w:val="21"/>
                <w:highlight w:val="none"/>
              </w:rPr>
              <w:t xml:space="preserve"> </w:t>
            </w:r>
          </w:p>
          <w:p w14:paraId="5E2E0B3C">
            <w:pPr>
              <w:pStyle w:val="16"/>
              <w:keepNext/>
              <w:keepLines/>
              <w:spacing w:line="360" w:lineRule="auto"/>
              <w:rPr>
                <w:rFonts w:cs="宋体"/>
                <w:color w:val="auto"/>
                <w:szCs w:val="21"/>
                <w:highlight w:val="none"/>
              </w:rPr>
            </w:pPr>
            <w:r>
              <w:rPr>
                <w:rFonts w:hint="eastAsia" w:cs="宋体"/>
                <w:color w:val="auto"/>
                <w:szCs w:val="21"/>
                <w:highlight w:val="none"/>
              </w:rPr>
              <w:t xml:space="preserve">银行账号：7719 0170 0110 101 </w:t>
            </w:r>
          </w:p>
        </w:tc>
      </w:tr>
      <w:tr w14:paraId="3AB86B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80" w:type="dxa"/>
            <w:tcBorders>
              <w:top w:val="single" w:color="auto" w:sz="4" w:space="0"/>
              <w:left w:val="single" w:color="auto" w:sz="4" w:space="0"/>
              <w:bottom w:val="single" w:color="auto" w:sz="4" w:space="0"/>
              <w:right w:val="single" w:color="auto" w:sz="4" w:space="0"/>
            </w:tcBorders>
            <w:vAlign w:val="center"/>
          </w:tcPr>
          <w:p w14:paraId="00092F9D">
            <w:pPr>
              <w:keepNext/>
              <w:keepLines/>
              <w:spacing w:line="360" w:lineRule="auto"/>
              <w:jc w:val="center"/>
              <w:rPr>
                <w:rFonts w:ascii="宋体" w:hAnsi="宋体" w:cs="宋体"/>
                <w:color w:val="auto"/>
                <w:szCs w:val="21"/>
                <w:highlight w:val="none"/>
              </w:rPr>
            </w:pPr>
            <w:r>
              <w:rPr>
                <w:rFonts w:hint="eastAsia" w:ascii="宋体" w:hAnsi="宋体" w:cs="宋体"/>
                <w:color w:val="auto"/>
                <w:szCs w:val="21"/>
                <w:highlight w:val="none"/>
              </w:rPr>
              <w:t>41.1</w:t>
            </w:r>
          </w:p>
        </w:tc>
        <w:tc>
          <w:tcPr>
            <w:tcW w:w="1954" w:type="dxa"/>
            <w:tcBorders>
              <w:top w:val="single" w:color="auto" w:sz="4" w:space="0"/>
              <w:left w:val="single" w:color="auto" w:sz="4" w:space="0"/>
              <w:bottom w:val="single" w:color="auto" w:sz="4" w:space="0"/>
              <w:right w:val="single" w:color="auto" w:sz="4" w:space="0"/>
            </w:tcBorders>
            <w:vAlign w:val="center"/>
          </w:tcPr>
          <w:p w14:paraId="219E2661">
            <w:pPr>
              <w:keepNext/>
              <w:keepLines/>
              <w:spacing w:line="360" w:lineRule="auto"/>
              <w:rPr>
                <w:rFonts w:ascii="宋体" w:hAnsi="宋体" w:cs="宋体"/>
                <w:color w:val="auto"/>
                <w:szCs w:val="21"/>
                <w:highlight w:val="none"/>
              </w:rPr>
            </w:pPr>
            <w:r>
              <w:rPr>
                <w:rFonts w:hint="eastAsia" w:ascii="宋体" w:hAnsi="宋体" w:cs="宋体"/>
                <w:color w:val="auto"/>
                <w:szCs w:val="21"/>
                <w:highlight w:val="none"/>
              </w:rPr>
              <w:t>解释</w:t>
            </w:r>
          </w:p>
        </w:tc>
        <w:tc>
          <w:tcPr>
            <w:tcW w:w="7271" w:type="dxa"/>
            <w:tcBorders>
              <w:top w:val="single" w:color="auto" w:sz="4" w:space="0"/>
              <w:left w:val="single" w:color="auto" w:sz="4" w:space="0"/>
              <w:bottom w:val="single" w:color="auto" w:sz="4" w:space="0"/>
              <w:right w:val="single" w:color="auto" w:sz="4" w:space="0"/>
            </w:tcBorders>
            <w:vAlign w:val="center"/>
          </w:tcPr>
          <w:p w14:paraId="56D5DFE9">
            <w:pPr>
              <w:keepNext/>
              <w:keepLines/>
              <w:spacing w:line="360" w:lineRule="auto"/>
              <w:rPr>
                <w:rFonts w:ascii="宋体" w:hAnsi="宋体" w:cs="宋体"/>
                <w:color w:val="auto"/>
                <w:szCs w:val="21"/>
                <w:highlight w:val="none"/>
              </w:rPr>
            </w:pPr>
            <w:r>
              <w:rPr>
                <w:rFonts w:hint="eastAsia" w:ascii="宋体" w:hAnsi="宋体" w:cs="宋体"/>
                <w:b/>
                <w:color w:val="auto"/>
                <w:szCs w:val="21"/>
                <w:highlight w:val="none"/>
              </w:rPr>
              <w:t>解释权：</w:t>
            </w:r>
            <w:r>
              <w:rPr>
                <w:rFonts w:hint="eastAsia" w:ascii="宋体" w:hAnsi="宋体" w:cs="宋体"/>
                <w:color w:val="auto"/>
                <w:szCs w:val="21"/>
                <w:highlight w:val="none"/>
              </w:rPr>
              <w:t>构成本招标文件的各个组成文件应互为解释，互为说明；除招标文件中有特别规定外，仅适用于招标投标阶段的规定，按更正公告（澄清公告）、招标公告、采购需求、投标人须知、评标方法及评标标准、拟签订的合同文本、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w:t>
            </w:r>
            <w:r>
              <w:rPr>
                <w:rFonts w:hint="eastAsia" w:ascii="宋体" w:hAnsi="宋体" w:cs="宋体"/>
                <w:b/>
                <w:color w:val="auto"/>
                <w:szCs w:val="21"/>
                <w:highlight w:val="none"/>
              </w:rPr>
              <w:t>，由采购人或者采购代理机构负责解释。</w:t>
            </w:r>
          </w:p>
        </w:tc>
      </w:tr>
      <w:tr w14:paraId="56684B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80" w:type="dxa"/>
            <w:tcBorders>
              <w:top w:val="single" w:color="auto" w:sz="4" w:space="0"/>
              <w:left w:val="single" w:color="auto" w:sz="4" w:space="0"/>
              <w:bottom w:val="single" w:color="auto" w:sz="4" w:space="0"/>
              <w:right w:val="single" w:color="auto" w:sz="4" w:space="0"/>
            </w:tcBorders>
            <w:vAlign w:val="center"/>
          </w:tcPr>
          <w:p w14:paraId="2291E0E4">
            <w:pPr>
              <w:keepNext/>
              <w:keepLines/>
              <w:spacing w:line="360" w:lineRule="auto"/>
              <w:jc w:val="center"/>
              <w:rPr>
                <w:rFonts w:ascii="宋体" w:hAnsi="宋体" w:cs="宋体"/>
                <w:color w:val="auto"/>
                <w:szCs w:val="21"/>
                <w:highlight w:val="none"/>
              </w:rPr>
            </w:pPr>
            <w:r>
              <w:rPr>
                <w:rFonts w:hint="eastAsia" w:ascii="宋体" w:hAnsi="宋体" w:cs="宋体"/>
                <w:color w:val="auto"/>
                <w:szCs w:val="21"/>
                <w:highlight w:val="none"/>
              </w:rPr>
              <w:t>41.2</w:t>
            </w:r>
          </w:p>
        </w:tc>
        <w:tc>
          <w:tcPr>
            <w:tcW w:w="1954" w:type="dxa"/>
            <w:tcBorders>
              <w:top w:val="single" w:color="auto" w:sz="4" w:space="0"/>
              <w:left w:val="single" w:color="auto" w:sz="4" w:space="0"/>
              <w:bottom w:val="single" w:color="auto" w:sz="4" w:space="0"/>
              <w:right w:val="single" w:color="auto" w:sz="4" w:space="0"/>
            </w:tcBorders>
            <w:vAlign w:val="center"/>
          </w:tcPr>
          <w:p w14:paraId="2834B4F1">
            <w:pPr>
              <w:keepNext/>
              <w:keepLines/>
              <w:spacing w:line="360" w:lineRule="auto"/>
              <w:rPr>
                <w:rFonts w:ascii="宋体" w:hAnsi="宋体" w:cs="宋体"/>
                <w:color w:val="auto"/>
                <w:szCs w:val="21"/>
                <w:highlight w:val="none"/>
              </w:rPr>
            </w:pPr>
            <w:r>
              <w:rPr>
                <w:rFonts w:hint="eastAsia" w:ascii="宋体" w:hAnsi="宋体" w:cs="宋体"/>
                <w:color w:val="auto"/>
                <w:szCs w:val="21"/>
                <w:highlight w:val="none"/>
              </w:rPr>
              <w:t>其他释义</w:t>
            </w:r>
          </w:p>
        </w:tc>
        <w:tc>
          <w:tcPr>
            <w:tcW w:w="7271" w:type="dxa"/>
            <w:tcBorders>
              <w:top w:val="single" w:color="auto" w:sz="4" w:space="0"/>
              <w:left w:val="single" w:color="auto" w:sz="4" w:space="0"/>
              <w:bottom w:val="single" w:color="auto" w:sz="4" w:space="0"/>
              <w:right w:val="single" w:color="auto" w:sz="4" w:space="0"/>
            </w:tcBorders>
            <w:vAlign w:val="center"/>
          </w:tcPr>
          <w:p w14:paraId="3A81B84C">
            <w:pPr>
              <w:pStyle w:val="16"/>
              <w:keepNext/>
              <w:keepLines/>
              <w:snapToGrid w:val="0"/>
              <w:spacing w:line="360" w:lineRule="auto"/>
              <w:rPr>
                <w:rFonts w:cs="宋体"/>
                <w:bCs/>
                <w:color w:val="auto"/>
                <w:highlight w:val="none"/>
              </w:rPr>
            </w:pPr>
            <w:r>
              <w:rPr>
                <w:rFonts w:hint="eastAsia" w:cs="宋体"/>
                <w:bCs/>
                <w:color w:val="auto"/>
                <w:highlight w:val="none"/>
              </w:rPr>
              <w:t>1.本招标文件中描述投标人的“公章”是指根据我国对公章的管理规定，用投标人法定主体行为名称制作的印章，除本招标文件有特殊规定外，投标人的财务章、部门章、分公司章、工会章、合同章、投标专用章、业务专用章及银行的转账章、现金收讫章、现金付讫章等其他形式印章均不能代替公章。</w:t>
            </w:r>
          </w:p>
          <w:p w14:paraId="628BB1F1">
            <w:pPr>
              <w:pStyle w:val="16"/>
              <w:keepNext/>
              <w:keepLines/>
              <w:snapToGrid w:val="0"/>
              <w:spacing w:line="360" w:lineRule="auto"/>
              <w:rPr>
                <w:rFonts w:cs="宋体"/>
                <w:bCs/>
                <w:color w:val="auto"/>
                <w:highlight w:val="none"/>
              </w:rPr>
            </w:pPr>
            <w:r>
              <w:rPr>
                <w:rFonts w:hint="eastAsia" w:cs="宋体"/>
                <w:bCs/>
                <w:color w:val="auto"/>
                <w:highlight w:val="none"/>
              </w:rPr>
              <w:t>2.本招标文件所称的“</w:t>
            </w:r>
            <w:r>
              <w:rPr>
                <w:rFonts w:hint="eastAsia"/>
                <w:color w:val="auto"/>
                <w:highlight w:val="none"/>
              </w:rPr>
              <w:t>电子签章”“</w:t>
            </w:r>
            <w:r>
              <w:rPr>
                <w:rFonts w:hint="eastAsia" w:cs="宋体"/>
                <w:bCs/>
                <w:color w:val="auto"/>
                <w:highlight w:val="none"/>
              </w:rPr>
              <w:t>电子签名”</w:t>
            </w:r>
            <w:r>
              <w:rPr>
                <w:rFonts w:hint="eastAsia"/>
                <w:color w:val="auto"/>
                <w:highlight w:val="none"/>
              </w:rPr>
              <w:t>，是指经广西政府采购云平台认可的CA认证的电子签名数据为表现形式的印章，可用于签署电子投标文件，电子印章与实物印章具有同等法律效力，不因其采用电子化表现形式而否定其法律效力。</w:t>
            </w:r>
          </w:p>
          <w:p w14:paraId="60CCBFD7">
            <w:pPr>
              <w:keepNext/>
              <w:keepLines/>
              <w:spacing w:line="360" w:lineRule="auto"/>
              <w:rPr>
                <w:rFonts w:ascii="宋体" w:hAnsi="宋体" w:cs="宋体"/>
                <w:color w:val="auto"/>
                <w:szCs w:val="21"/>
                <w:highlight w:val="none"/>
              </w:rPr>
            </w:pPr>
            <w:r>
              <w:rPr>
                <w:rFonts w:hint="eastAsia" w:ascii="宋体" w:hAnsi="宋体" w:cs="宋体"/>
                <w:color w:val="auto"/>
                <w:szCs w:val="21"/>
                <w:highlight w:val="none"/>
              </w:rPr>
              <w:t>3.投标人为其他组织或者自然人时，本招标文件规定的法定代表人指负责人或者自然人。本招标文件所称负责人是指参加投标的其他组织营业执照上的负责人，本招标文件所称自然人指参与投标的自然人本人。</w:t>
            </w:r>
          </w:p>
          <w:p w14:paraId="2695087F">
            <w:pPr>
              <w:keepNext/>
              <w:keepLines/>
              <w:spacing w:line="360" w:lineRule="auto"/>
              <w:rPr>
                <w:rFonts w:ascii="宋体" w:hAnsi="宋体" w:cs="宋体"/>
                <w:color w:val="auto"/>
                <w:szCs w:val="21"/>
                <w:highlight w:val="none"/>
              </w:rPr>
            </w:pPr>
            <w:r>
              <w:rPr>
                <w:rFonts w:hint="eastAsia" w:ascii="宋体" w:hAnsi="宋体" w:cs="宋体"/>
                <w:color w:val="auto"/>
                <w:szCs w:val="21"/>
                <w:highlight w:val="none"/>
              </w:rPr>
              <w:t>4.本招标文件中描述投标人的“签字”是指投标人通过指定电子化政府采购平台办理数字证书（CA认证证书）获得的以投标人法定代表人或者委托代理人姓名制作的个人电子印章或手写签字。没有办理个人CA认证证书的，可以为手写签字的形式。</w:t>
            </w:r>
          </w:p>
          <w:p w14:paraId="5448651C">
            <w:pPr>
              <w:keepNext/>
              <w:keepLines/>
              <w:spacing w:line="360" w:lineRule="auto"/>
              <w:jc w:val="left"/>
              <w:rPr>
                <w:rFonts w:ascii="宋体" w:hAnsi="宋体" w:cs="宋体"/>
                <w:color w:val="auto"/>
                <w:szCs w:val="21"/>
                <w:highlight w:val="none"/>
              </w:rPr>
            </w:pPr>
            <w:r>
              <w:rPr>
                <w:rFonts w:hint="eastAsia" w:ascii="宋体" w:hAnsi="宋体" w:cs="宋体"/>
                <w:bCs/>
                <w:color w:val="auto"/>
                <w:szCs w:val="21"/>
                <w:highlight w:val="none"/>
              </w:rPr>
              <w:t>5.本招标文件所称的“以上”“以下”“以内”“届满”，包括本数；所称的“不满”“超过”“以外”，不包括本数。</w:t>
            </w:r>
          </w:p>
        </w:tc>
      </w:tr>
    </w:tbl>
    <w:p w14:paraId="239CC505">
      <w:pPr>
        <w:pStyle w:val="3"/>
        <w:spacing w:line="360" w:lineRule="auto"/>
        <w:ind w:firstLine="643"/>
        <w:rPr>
          <w:rFonts w:ascii="宋体" w:hAnsi="宋体" w:eastAsia="宋体" w:cs="宋体"/>
          <w:color w:val="auto"/>
          <w:highlight w:val="none"/>
        </w:rPr>
        <w:sectPr>
          <w:footerReference r:id="rId10" w:type="default"/>
          <w:pgSz w:w="11906" w:h="16838"/>
          <w:pgMar w:top="1440" w:right="1080" w:bottom="1440" w:left="1080" w:header="720" w:footer="720" w:gutter="0"/>
          <w:pgBorders>
            <w:top w:val="none" w:sz="0" w:space="0"/>
            <w:left w:val="none" w:sz="0" w:space="0"/>
            <w:bottom w:val="none" w:sz="0" w:space="0"/>
            <w:right w:val="none" w:sz="0" w:space="0"/>
          </w:pgBorders>
          <w:cols w:space="720" w:num="1"/>
          <w:docGrid w:linePitch="331" w:charSpace="0"/>
        </w:sectPr>
      </w:pPr>
    </w:p>
    <w:p w14:paraId="7CB02A10">
      <w:pPr>
        <w:pStyle w:val="3"/>
        <w:spacing w:before="120" w:after="120" w:line="360" w:lineRule="auto"/>
        <w:ind w:firstLine="643"/>
        <w:jc w:val="center"/>
        <w:rPr>
          <w:rFonts w:ascii="宋体" w:hAnsi="宋体" w:eastAsia="宋体" w:cs="宋体"/>
          <w:color w:val="auto"/>
          <w:highlight w:val="none"/>
        </w:rPr>
      </w:pPr>
      <w:bookmarkStart w:id="53" w:name="_Toc17901"/>
      <w:bookmarkStart w:id="54" w:name="_Toc177716505"/>
      <w:bookmarkStart w:id="55" w:name="_Toc25616"/>
      <w:r>
        <w:rPr>
          <w:rFonts w:hint="eastAsia" w:ascii="宋体" w:hAnsi="宋体" w:eastAsia="宋体" w:cs="宋体"/>
          <w:color w:val="auto"/>
          <w:highlight w:val="none"/>
        </w:rPr>
        <w:t>第二节 投标人须知正文</w:t>
      </w:r>
      <w:bookmarkEnd w:id="53"/>
      <w:bookmarkEnd w:id="54"/>
      <w:bookmarkEnd w:id="55"/>
    </w:p>
    <w:p w14:paraId="1242F47E">
      <w:pPr>
        <w:pStyle w:val="4"/>
        <w:keepNext/>
        <w:keepLines/>
        <w:rPr>
          <w:color w:val="auto"/>
          <w:highlight w:val="none"/>
        </w:rPr>
      </w:pPr>
      <w:bookmarkStart w:id="56" w:name="_Toc556"/>
      <w:bookmarkStart w:id="57" w:name="_Toc4658"/>
      <w:bookmarkStart w:id="58" w:name="_Toc177716506"/>
      <w:r>
        <w:rPr>
          <w:rFonts w:hint="eastAsia"/>
          <w:color w:val="auto"/>
          <w:highlight w:val="none"/>
        </w:rPr>
        <w:t>一、总  则</w:t>
      </w:r>
      <w:bookmarkEnd w:id="56"/>
      <w:bookmarkEnd w:id="57"/>
      <w:bookmarkEnd w:id="58"/>
    </w:p>
    <w:p w14:paraId="1D8E35F7">
      <w:pPr>
        <w:keepNext/>
        <w:keepLines/>
        <w:spacing w:line="360" w:lineRule="auto"/>
        <w:ind w:firstLine="482" w:firstLineChars="200"/>
        <w:jc w:val="left"/>
        <w:outlineLvl w:val="3"/>
        <w:rPr>
          <w:rFonts w:ascii="宋体" w:hAnsi="宋体" w:cs="宋体"/>
          <w:b/>
          <w:color w:val="auto"/>
          <w:sz w:val="24"/>
          <w:highlight w:val="none"/>
        </w:rPr>
      </w:pPr>
      <w:bookmarkStart w:id="59" w:name="_Toc254970527"/>
      <w:bookmarkStart w:id="60" w:name="_Toc254970668"/>
      <w:r>
        <w:rPr>
          <w:rFonts w:hint="eastAsia" w:ascii="宋体" w:hAnsi="宋体" w:cs="宋体"/>
          <w:b/>
          <w:color w:val="auto"/>
          <w:sz w:val="24"/>
          <w:highlight w:val="none"/>
        </w:rPr>
        <w:t>1.适用范围</w:t>
      </w:r>
      <w:bookmarkEnd w:id="59"/>
      <w:bookmarkEnd w:id="60"/>
    </w:p>
    <w:p w14:paraId="1F833E78">
      <w:pPr>
        <w:keepNext/>
        <w:keepLine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适用法律：本项目采购人、采购代理机构、投标人、评标委员会的相关行为均受《中华人民共和国政府采购法》《中华人民共和国政府采购法实施条例》《政府采购货物和服务招标投标管理办法》及本项目本级和上级财政部门政府采购有关规定的约束和保护。</w:t>
      </w:r>
    </w:p>
    <w:p w14:paraId="210FB759">
      <w:pPr>
        <w:keepNext/>
        <w:keepLine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1.2本招标文件</w:t>
      </w:r>
      <w:r>
        <w:rPr>
          <w:rFonts w:hint="eastAsia" w:ascii="宋体" w:hAnsi="宋体" w:cs="宋体"/>
          <w:color w:val="auto"/>
          <w:spacing w:val="-6"/>
          <w:szCs w:val="21"/>
          <w:highlight w:val="none"/>
        </w:rPr>
        <w:t>适用于本项目的所有采购程序和环节（法律法规另有规定的，从其规定）。</w:t>
      </w:r>
    </w:p>
    <w:p w14:paraId="0CD17133">
      <w:pPr>
        <w:keepNext/>
        <w:keepLines/>
        <w:spacing w:line="360" w:lineRule="auto"/>
        <w:ind w:firstLine="482" w:firstLineChars="200"/>
        <w:outlineLvl w:val="3"/>
        <w:rPr>
          <w:rFonts w:ascii="宋体" w:hAnsi="宋体" w:cs="宋体"/>
          <w:b/>
          <w:color w:val="auto"/>
          <w:sz w:val="24"/>
          <w:highlight w:val="none"/>
        </w:rPr>
      </w:pPr>
      <w:bookmarkStart w:id="61" w:name="_Toc254970669"/>
      <w:bookmarkStart w:id="62" w:name="_Toc254970528"/>
      <w:r>
        <w:rPr>
          <w:rFonts w:hint="eastAsia" w:ascii="宋体" w:hAnsi="宋体" w:cs="宋体"/>
          <w:b/>
          <w:color w:val="auto"/>
          <w:sz w:val="24"/>
          <w:highlight w:val="none"/>
        </w:rPr>
        <w:t>2.定义</w:t>
      </w:r>
      <w:bookmarkEnd w:id="61"/>
      <w:bookmarkEnd w:id="62"/>
    </w:p>
    <w:p w14:paraId="4EDF1157">
      <w:pPr>
        <w:keepNext/>
        <w:keepLines/>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2.1“采购人”是指依法进行政府采购的国家机关、事业单位、团体组织。</w:t>
      </w:r>
    </w:p>
    <w:p w14:paraId="3F5C3EC6">
      <w:pPr>
        <w:keepNext/>
        <w:keepLines/>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2.2“采购代理机构” 指政府采购集中采购机构和集中采购机构以外的采购代理机构。</w:t>
      </w:r>
    </w:p>
    <w:p w14:paraId="6733A7DB">
      <w:pPr>
        <w:keepNext/>
        <w:keepLines/>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2.3“供应商”是指向采购人提供货物、工程或者服务的法人、其他组织或者自然人。</w:t>
      </w:r>
    </w:p>
    <w:p w14:paraId="2820DA9B">
      <w:pPr>
        <w:keepNext/>
        <w:keepLines/>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2.4“投标人”是指响应招标、参加投标竞争的法人、非法人组织或者自然人。</w:t>
      </w:r>
    </w:p>
    <w:p w14:paraId="1D31C801">
      <w:pPr>
        <w:keepNext/>
        <w:keepLines/>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2.5“服务”是指除货物和工程以外的其他政府采购对象。</w:t>
      </w:r>
    </w:p>
    <w:p w14:paraId="0903D362">
      <w:pPr>
        <w:keepNext/>
        <w:keepLines/>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2.6“书面形式”是指合同书、信件和数据电文（包括电报、电传、传真、短信、电子数据交换和电子邮件）等可以有形地表现所载内容的形式。</w:t>
      </w:r>
    </w:p>
    <w:p w14:paraId="0B659181">
      <w:pPr>
        <w:keepNext/>
        <w:keepLines/>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2.7“实质性要求”是指招标文件中已经指明不满足则投标无效的条款，或者不能负偏离的条款，或者采购需求中带“</w:t>
      </w:r>
      <w:r>
        <w:rPr>
          <w:rFonts w:hint="eastAsia" w:ascii="宋体" w:hAnsi="宋体" w:cs="宋体"/>
          <w:b/>
          <w:bCs/>
          <w:color w:val="auto"/>
          <w:szCs w:val="21"/>
          <w:highlight w:val="none"/>
        </w:rPr>
        <w:t>▲</w:t>
      </w:r>
      <w:r>
        <w:rPr>
          <w:rFonts w:hint="eastAsia" w:ascii="宋体" w:hAnsi="宋体" w:cs="宋体"/>
          <w:b/>
          <w:color w:val="auto"/>
          <w:szCs w:val="21"/>
          <w:highlight w:val="none"/>
        </w:rPr>
        <w:t>”的条款。</w:t>
      </w:r>
    </w:p>
    <w:p w14:paraId="2E9B6E17">
      <w:pPr>
        <w:keepNext/>
        <w:keepLine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2.8“正偏离”，是指投标文件对招标文件“采购需求”中有关条款作出的响应优于条款要求并有利于采购人的情形。</w:t>
      </w:r>
    </w:p>
    <w:p w14:paraId="1A283AD0">
      <w:pPr>
        <w:keepNext/>
        <w:keepLine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2.9“负偏离”，是指投标文件对招标文件“采购需求”中有关条款作出的响应不满足条款要求，导致采购人要求不能得到满足的情形。</w:t>
      </w:r>
    </w:p>
    <w:p w14:paraId="24354E1C">
      <w:pPr>
        <w:keepNext/>
        <w:keepLine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2.10“允许负偏离的条款”是指采购需求中的不属于“实质性要求”的条款。</w:t>
      </w:r>
      <w:bookmarkStart w:id="63" w:name="_Toc254970529"/>
      <w:bookmarkStart w:id="64" w:name="_Toc254970670"/>
    </w:p>
    <w:p w14:paraId="5E87AA9A">
      <w:pPr>
        <w:keepNext/>
        <w:keepLines/>
        <w:spacing w:line="360" w:lineRule="auto"/>
        <w:ind w:firstLine="482" w:firstLineChars="200"/>
        <w:outlineLvl w:val="3"/>
        <w:rPr>
          <w:rFonts w:ascii="宋体" w:hAnsi="宋体" w:cs="宋体"/>
          <w:b/>
          <w:color w:val="auto"/>
          <w:sz w:val="24"/>
          <w:highlight w:val="none"/>
        </w:rPr>
      </w:pPr>
      <w:r>
        <w:rPr>
          <w:rFonts w:hint="eastAsia" w:ascii="宋体" w:hAnsi="宋体" w:cs="宋体"/>
          <w:b/>
          <w:color w:val="auto"/>
          <w:sz w:val="24"/>
          <w:highlight w:val="none"/>
        </w:rPr>
        <w:t>3.</w:t>
      </w:r>
      <w:bookmarkEnd w:id="63"/>
      <w:bookmarkEnd w:id="64"/>
      <w:r>
        <w:rPr>
          <w:rFonts w:hint="eastAsia" w:ascii="宋体" w:hAnsi="宋体" w:cs="宋体"/>
          <w:b/>
          <w:color w:val="auto"/>
          <w:sz w:val="24"/>
          <w:highlight w:val="none"/>
        </w:rPr>
        <w:t>投标人的资格要求</w:t>
      </w:r>
    </w:p>
    <w:p w14:paraId="6263393A">
      <w:pPr>
        <w:keepNext/>
        <w:keepLine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投标人的资格要求详见“招标公告”。</w:t>
      </w:r>
    </w:p>
    <w:p w14:paraId="3F09AD73">
      <w:pPr>
        <w:keepNext/>
        <w:keepLines/>
        <w:spacing w:line="360" w:lineRule="auto"/>
        <w:ind w:firstLine="482" w:firstLineChars="200"/>
        <w:outlineLvl w:val="3"/>
        <w:rPr>
          <w:rFonts w:ascii="宋体" w:hAnsi="宋体" w:cs="宋体"/>
          <w:b/>
          <w:color w:val="auto"/>
          <w:sz w:val="24"/>
          <w:highlight w:val="none"/>
        </w:rPr>
      </w:pPr>
      <w:bookmarkStart w:id="65" w:name="_Toc254970671"/>
      <w:bookmarkStart w:id="66" w:name="_Toc254970530"/>
      <w:r>
        <w:rPr>
          <w:rFonts w:hint="eastAsia" w:ascii="宋体" w:hAnsi="宋体" w:cs="宋体"/>
          <w:b/>
          <w:color w:val="auto"/>
          <w:sz w:val="24"/>
          <w:highlight w:val="none"/>
        </w:rPr>
        <w:t>4.投标委托</w:t>
      </w:r>
      <w:bookmarkEnd w:id="65"/>
      <w:bookmarkEnd w:id="66"/>
    </w:p>
    <w:p w14:paraId="16BF3899">
      <w:pPr>
        <w:keepNext/>
        <w:keepLine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投标人代表参加投标活动过程中必须携带个人有效身份证件。如投标人代表不是法定代表人，须持有法定代表人授权委托书（按第六章要求格式填写）。</w:t>
      </w:r>
    </w:p>
    <w:p w14:paraId="0D3DB399">
      <w:pPr>
        <w:keepNext/>
        <w:keepLines/>
        <w:spacing w:line="360" w:lineRule="auto"/>
        <w:ind w:firstLine="482" w:firstLineChars="200"/>
        <w:outlineLvl w:val="3"/>
        <w:rPr>
          <w:rFonts w:ascii="宋体" w:hAnsi="宋体" w:cs="宋体"/>
          <w:b/>
          <w:color w:val="auto"/>
          <w:sz w:val="24"/>
          <w:highlight w:val="none"/>
        </w:rPr>
      </w:pPr>
      <w:bookmarkStart w:id="67" w:name="_5.投标费用"/>
      <w:bookmarkEnd w:id="67"/>
      <w:bookmarkStart w:id="68" w:name="_Toc254970531"/>
      <w:bookmarkStart w:id="69" w:name="_Toc254970672"/>
      <w:r>
        <w:rPr>
          <w:rFonts w:hint="eastAsia" w:ascii="宋体" w:hAnsi="宋体" w:cs="宋体"/>
          <w:b/>
          <w:color w:val="auto"/>
          <w:sz w:val="24"/>
          <w:highlight w:val="none"/>
        </w:rPr>
        <w:t>5.投标费用</w:t>
      </w:r>
      <w:bookmarkEnd w:id="68"/>
      <w:bookmarkEnd w:id="69"/>
    </w:p>
    <w:p w14:paraId="5DE26685">
      <w:pPr>
        <w:keepNext/>
        <w:keepLine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投标费用：投标人应承担参与本次采购活动有关的所有费用，包括但不限于勘查现场、编制投标文件、参加澄清说明、签订合同等，不论投标结果如何，均应自行承担。</w:t>
      </w:r>
    </w:p>
    <w:p w14:paraId="3B2A1D36">
      <w:pPr>
        <w:keepNext/>
        <w:keepLines/>
        <w:spacing w:line="360" w:lineRule="auto"/>
        <w:ind w:firstLine="482" w:firstLineChars="200"/>
        <w:outlineLvl w:val="3"/>
        <w:rPr>
          <w:rFonts w:ascii="宋体" w:hAnsi="宋体" w:cs="宋体"/>
          <w:b/>
          <w:color w:val="auto"/>
          <w:sz w:val="24"/>
          <w:highlight w:val="none"/>
        </w:rPr>
      </w:pPr>
      <w:r>
        <w:rPr>
          <w:rFonts w:hint="eastAsia" w:ascii="宋体" w:hAnsi="宋体" w:cs="宋体"/>
          <w:b/>
          <w:color w:val="auto"/>
          <w:sz w:val="24"/>
          <w:highlight w:val="none"/>
        </w:rPr>
        <w:t>6.联合体投标</w:t>
      </w:r>
    </w:p>
    <w:p w14:paraId="721F31DE">
      <w:pPr>
        <w:keepNext/>
        <w:keepLine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6.1本项目</w:t>
      </w:r>
      <w:r>
        <w:rPr>
          <w:rFonts w:hint="eastAsia" w:ascii="宋体" w:hAnsi="宋体" w:cs="宋体"/>
          <w:bCs/>
          <w:color w:val="auto"/>
          <w:szCs w:val="21"/>
          <w:highlight w:val="none"/>
        </w:rPr>
        <w:t>是否</w:t>
      </w:r>
      <w:r>
        <w:rPr>
          <w:rFonts w:hint="eastAsia" w:ascii="宋体" w:hAnsi="宋体" w:cs="宋体"/>
          <w:color w:val="auto"/>
          <w:szCs w:val="21"/>
          <w:highlight w:val="none"/>
        </w:rPr>
        <w:t>接受联合体投标，详见“投标人须知前附表”。</w:t>
      </w:r>
    </w:p>
    <w:p w14:paraId="0CF021A2">
      <w:pPr>
        <w:keepNext/>
        <w:keepLines/>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6.2如接受联合体投标，联合体投标要求详见“投标人须知前附表”。</w:t>
      </w:r>
    </w:p>
    <w:p w14:paraId="2DD73605">
      <w:pPr>
        <w:keepNext/>
        <w:keepLines/>
        <w:spacing w:line="360" w:lineRule="auto"/>
        <w:ind w:firstLine="420" w:firstLineChars="200"/>
        <w:rPr>
          <w:rFonts w:ascii="宋体" w:hAnsi="宋体" w:cs="宋体"/>
          <w:color w:val="auto"/>
          <w:sz w:val="24"/>
          <w:highlight w:val="none"/>
          <w:shd w:val="clear" w:color="auto" w:fill="FFFFFF"/>
        </w:rPr>
      </w:pPr>
      <w:r>
        <w:rPr>
          <w:rFonts w:hint="eastAsia" w:ascii="宋体" w:hAnsi="宋体" w:cs="宋体"/>
          <w:bCs/>
          <w:color w:val="auto"/>
          <w:szCs w:val="21"/>
          <w:highlight w:val="none"/>
        </w:rPr>
        <w:t>6.3根据《政府采购促进中小企业发展管理办法》（财库[2020]46号）和《关于进一步加大政府采购支持中小企业力度的通知》（财库〔2022〕19号）规定，接受大中型企业与小微企业组成联合体的采购项目，对于联合协议约定小微企业的合同份额占到合同总金额30%以上的，采购人、采购代理机构应当对联合体的报价给予4%</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rPr>
        <w:t>6%（工程项目为 1%</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rPr>
        <w:t>2%）的扣除，用扣除后的价格参加评审。组成联合体的小微企业与联合体内其他企业之间存在直接控股、管理关系的，不享受价格扣除优惠政策。</w:t>
      </w:r>
    </w:p>
    <w:p w14:paraId="4A87076F">
      <w:pPr>
        <w:keepNext/>
        <w:keepLines/>
        <w:spacing w:line="360" w:lineRule="auto"/>
        <w:ind w:firstLine="482" w:firstLineChars="200"/>
        <w:outlineLvl w:val="3"/>
        <w:rPr>
          <w:rFonts w:ascii="宋体" w:hAnsi="宋体" w:cs="宋体"/>
          <w:b/>
          <w:color w:val="auto"/>
          <w:sz w:val="24"/>
          <w:highlight w:val="none"/>
        </w:rPr>
      </w:pPr>
      <w:r>
        <w:rPr>
          <w:rFonts w:hint="eastAsia" w:ascii="宋体" w:hAnsi="宋体" w:cs="宋体"/>
          <w:b/>
          <w:color w:val="auto"/>
          <w:sz w:val="24"/>
          <w:highlight w:val="none"/>
        </w:rPr>
        <w:t>7.分包</w:t>
      </w:r>
    </w:p>
    <w:p w14:paraId="76D8EB5B">
      <w:pPr>
        <w:keepNext/>
        <w:keepLines/>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7.1本项目是否允许分包详见“投标人须知前附表”，本项目不允许违法分包。投标人根据招标文件的规定和采购项目的实际情况，拟在中标后将中标项目的非主体、非关键性工作分包的，应当在投标文件中载明分包承担主体，分包承担主体应当具备相应资质条件且不得再次分包。</w:t>
      </w:r>
    </w:p>
    <w:p w14:paraId="679C99A1">
      <w:pPr>
        <w:keepNext/>
        <w:keepLines/>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7.2根据《政府采购促进中小企业发展管理办法》（财库[2020]46号）和《关于进一步加大政府采购支持中小企业力度的通知》（财库〔2022〕19号）规定，允许大中型企业向一家或者多家小微企业分包的采购项目，对于分包意向协议约定小微企业的合同份额占到合同总金额 30%以上的，采购人、采购代理机构应当对大中型企业的报价给予 4%</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rPr>
        <w:t>6%（工程项目为 1%</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rPr>
        <w:t>2%）的扣除，用扣除后的价格参加评审。接受分包的小微企业与分包企业之间存在直接控股、管理关系的，不享受价格扣除优惠政策。</w:t>
      </w:r>
    </w:p>
    <w:p w14:paraId="7565F373">
      <w:pPr>
        <w:keepNext/>
        <w:keepLines/>
        <w:spacing w:line="360" w:lineRule="auto"/>
        <w:ind w:firstLine="482" w:firstLineChars="200"/>
        <w:outlineLvl w:val="3"/>
        <w:rPr>
          <w:rFonts w:ascii="宋体" w:hAnsi="宋体" w:cs="宋体"/>
          <w:b/>
          <w:color w:val="auto"/>
          <w:sz w:val="24"/>
          <w:highlight w:val="none"/>
        </w:rPr>
      </w:pPr>
      <w:bookmarkStart w:id="70" w:name="_Toc254970532"/>
      <w:bookmarkStart w:id="71" w:name="_Toc254970673"/>
      <w:r>
        <w:rPr>
          <w:rFonts w:hint="eastAsia" w:ascii="宋体" w:hAnsi="宋体" w:cs="宋体"/>
          <w:b/>
          <w:color w:val="auto"/>
          <w:sz w:val="24"/>
          <w:highlight w:val="none"/>
        </w:rPr>
        <w:t>8.特别说明</w:t>
      </w:r>
      <w:bookmarkEnd w:id="70"/>
      <w:bookmarkEnd w:id="71"/>
      <w:bookmarkStart w:id="72" w:name="_8.1提供相同品牌产品且通过资格审查、符合性审查的不同投标人参加同一合"/>
      <w:bookmarkEnd w:id="72"/>
    </w:p>
    <w:p w14:paraId="68CB8A75">
      <w:pPr>
        <w:keepNext/>
        <w:keepLines/>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8.1如果本招标文件要求投标人提供资格、信誉、荣誉、业绩与企业认证等材料的，则投标人所提供的以上材料必须为投标人所拥有。</w:t>
      </w:r>
    </w:p>
    <w:p w14:paraId="7803379C">
      <w:pPr>
        <w:keepNext/>
        <w:keepLines/>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8.2投标人应仔细阅读招标文件的所有内容，按照招标文件的要求提交投标文件，并对所提供的全部资料的真实性承担法律责任。</w:t>
      </w:r>
    </w:p>
    <w:p w14:paraId="6C41370E">
      <w:pPr>
        <w:keepNext/>
        <w:keepLines/>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8.3投标人在投标活动中提供任何虚假材料，将报监管部门查处；中标后发现的，中标人须依照《中华人民共和国消费者权益保护法》规定赔偿采购人，且民事赔偿并不免除违法投标人的行政与刑事责任。</w:t>
      </w:r>
    </w:p>
    <w:p w14:paraId="47678589">
      <w:pPr>
        <w:keepNext/>
        <w:keepLines/>
        <w:spacing w:line="360" w:lineRule="auto"/>
        <w:ind w:firstLine="482" w:firstLineChars="200"/>
        <w:outlineLvl w:val="3"/>
        <w:rPr>
          <w:rFonts w:ascii="宋体" w:hAnsi="宋体" w:cs="宋体"/>
          <w:b/>
          <w:color w:val="auto"/>
          <w:sz w:val="24"/>
          <w:highlight w:val="none"/>
        </w:rPr>
      </w:pPr>
      <w:r>
        <w:rPr>
          <w:rFonts w:hint="eastAsia" w:ascii="宋体" w:hAnsi="宋体" w:cs="宋体"/>
          <w:b/>
          <w:color w:val="auto"/>
          <w:sz w:val="24"/>
          <w:highlight w:val="none"/>
        </w:rPr>
        <w:t>9.回避与串通投标</w:t>
      </w:r>
    </w:p>
    <w:p w14:paraId="0F8935E7">
      <w:pPr>
        <w:keepNext/>
        <w:keepLines/>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9.1在政府采购活动中，采购人员及相关人员与供应商有下列利害关系之一的，应当回避：</w:t>
      </w:r>
    </w:p>
    <w:p w14:paraId="78F05387">
      <w:pPr>
        <w:keepNext/>
        <w:keepLines/>
        <w:spacing w:line="360" w:lineRule="auto"/>
        <w:ind w:firstLine="420" w:firstLineChars="200"/>
        <w:rPr>
          <w:rFonts w:ascii="宋体" w:hAnsi="宋体" w:cs="宋体"/>
          <w:color w:val="auto"/>
          <w:highlight w:val="none"/>
        </w:rPr>
      </w:pPr>
      <w:r>
        <w:rPr>
          <w:rFonts w:hint="eastAsia" w:ascii="宋体" w:hAnsi="宋体" w:cs="宋体"/>
          <w:color w:val="auto"/>
          <w:highlight w:val="none"/>
        </w:rPr>
        <w:t>（1）参加采购活动前3年内与供应商存在劳动关系；</w:t>
      </w:r>
    </w:p>
    <w:p w14:paraId="309C19F7">
      <w:pPr>
        <w:keepNext/>
        <w:keepLines/>
        <w:spacing w:line="360" w:lineRule="auto"/>
        <w:ind w:firstLine="420" w:firstLineChars="200"/>
        <w:rPr>
          <w:rFonts w:ascii="宋体" w:hAnsi="宋体" w:cs="宋体"/>
          <w:color w:val="auto"/>
          <w:highlight w:val="none"/>
        </w:rPr>
      </w:pPr>
      <w:r>
        <w:rPr>
          <w:rFonts w:hint="eastAsia" w:ascii="宋体" w:hAnsi="宋体" w:cs="宋体"/>
          <w:color w:val="auto"/>
          <w:highlight w:val="none"/>
        </w:rPr>
        <w:t>（2）参加采购活动前3年内担任供应商的董事、监事；</w:t>
      </w:r>
    </w:p>
    <w:p w14:paraId="39A44893">
      <w:pPr>
        <w:keepNext/>
        <w:keepLines/>
        <w:spacing w:line="360" w:lineRule="auto"/>
        <w:ind w:firstLine="420" w:firstLineChars="200"/>
        <w:rPr>
          <w:rFonts w:ascii="宋体" w:hAnsi="宋体" w:cs="宋体"/>
          <w:color w:val="auto"/>
          <w:highlight w:val="none"/>
        </w:rPr>
      </w:pPr>
      <w:r>
        <w:rPr>
          <w:rFonts w:hint="eastAsia" w:ascii="宋体" w:hAnsi="宋体" w:cs="宋体"/>
          <w:color w:val="auto"/>
          <w:highlight w:val="none"/>
        </w:rPr>
        <w:t>（3）参加采购活动前3年内是供应商的控股股东或者实际控制人；</w:t>
      </w:r>
    </w:p>
    <w:p w14:paraId="17991BAC">
      <w:pPr>
        <w:keepNext/>
        <w:keepLines/>
        <w:spacing w:line="360" w:lineRule="auto"/>
        <w:ind w:firstLine="420" w:firstLineChars="200"/>
        <w:rPr>
          <w:rFonts w:ascii="宋体" w:hAnsi="宋体" w:cs="宋体"/>
          <w:color w:val="auto"/>
          <w:highlight w:val="none"/>
        </w:rPr>
      </w:pPr>
      <w:r>
        <w:rPr>
          <w:rFonts w:hint="eastAsia" w:ascii="宋体" w:hAnsi="宋体" w:cs="宋体"/>
          <w:color w:val="auto"/>
          <w:highlight w:val="none"/>
        </w:rPr>
        <w:t>（4）与供应商的法定代表人或者负责人有夫妻、直系血亲、三代以内旁系血亲或者近姻亲关系；</w:t>
      </w:r>
    </w:p>
    <w:p w14:paraId="49BF3A63">
      <w:pPr>
        <w:keepNext/>
        <w:keepLines/>
        <w:spacing w:line="360" w:lineRule="auto"/>
        <w:ind w:firstLine="420" w:firstLineChars="200"/>
        <w:rPr>
          <w:rFonts w:ascii="宋体" w:hAnsi="宋体" w:cs="宋体"/>
          <w:color w:val="auto"/>
          <w:highlight w:val="none"/>
        </w:rPr>
      </w:pPr>
      <w:r>
        <w:rPr>
          <w:rFonts w:hint="eastAsia" w:ascii="宋体" w:hAnsi="宋体" w:cs="宋体"/>
          <w:color w:val="auto"/>
          <w:highlight w:val="none"/>
        </w:rPr>
        <w:t>（5）与供应商有其他可能影响政府采购活动公平、公正进行的关系。</w:t>
      </w:r>
    </w:p>
    <w:p w14:paraId="77BFC64D">
      <w:pPr>
        <w:keepNext/>
        <w:keepLines/>
        <w:spacing w:line="360" w:lineRule="auto"/>
        <w:ind w:firstLine="420" w:firstLineChars="200"/>
        <w:rPr>
          <w:rFonts w:ascii="宋体" w:hAnsi="宋体" w:cs="宋体"/>
          <w:color w:val="auto"/>
          <w:highlight w:val="none"/>
        </w:rPr>
      </w:pPr>
      <w:r>
        <w:rPr>
          <w:rFonts w:hint="eastAsia" w:ascii="宋体" w:hAnsi="宋体" w:cs="宋体"/>
          <w:color w:val="auto"/>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32B90F1A">
      <w:pPr>
        <w:keepNext/>
        <w:keepLines/>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9.2有下列情形之一的视为投标人相互串通投标，投标文件将被视为无效：</w:t>
      </w:r>
    </w:p>
    <w:p w14:paraId="7C4D64C6">
      <w:pPr>
        <w:keepNext/>
        <w:keepLines/>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（1）不同投标人的投标文件由同一单位或者个人编制；或者不同投标人报名的IP地址一致的；或者编制标书硬件设备CPU编号、硬盘编号、网卡地址一致的情况。</w:t>
      </w:r>
    </w:p>
    <w:p w14:paraId="67C7DF26">
      <w:pPr>
        <w:keepNext/>
        <w:keepLines/>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（2）不同投标人委托同一单位或者个人办理投标事宜；</w:t>
      </w:r>
    </w:p>
    <w:p w14:paraId="1E6B0998">
      <w:pPr>
        <w:keepNext/>
        <w:keepLines/>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（3）不同的投标人的投标文件载明的项目管理员为同一个人；</w:t>
      </w:r>
    </w:p>
    <w:p w14:paraId="1292D107">
      <w:pPr>
        <w:keepNext/>
        <w:keepLines/>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（4）不同投标人的电子或纸质投标文件异常一致或者投标报价呈规律性差异；</w:t>
      </w:r>
    </w:p>
    <w:p w14:paraId="2B5F1C7B">
      <w:pPr>
        <w:keepNext/>
        <w:keepLines/>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（5）不同投标人的纸质投标文件相互混装；</w:t>
      </w:r>
    </w:p>
    <w:p w14:paraId="40890438">
      <w:pPr>
        <w:keepNext/>
        <w:keepLines/>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（6）不同投标人的投标保证金从同一单位或者个人账户转出。</w:t>
      </w:r>
    </w:p>
    <w:p w14:paraId="22DCB0A7">
      <w:pPr>
        <w:keepNext/>
        <w:keepLines/>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9.3供应商有下列情形之一的，属于恶意串通行为，将报同级监督管理部门：</w:t>
      </w:r>
    </w:p>
    <w:p w14:paraId="2AA6425A">
      <w:pPr>
        <w:keepNext/>
        <w:keepLines/>
        <w:spacing w:line="360" w:lineRule="auto"/>
        <w:ind w:firstLine="420" w:firstLineChars="200"/>
        <w:rPr>
          <w:rFonts w:ascii="宋体" w:hAnsi="宋体" w:cs="宋体"/>
          <w:color w:val="auto"/>
          <w:highlight w:val="none"/>
        </w:rPr>
      </w:pPr>
      <w:r>
        <w:rPr>
          <w:rFonts w:hint="eastAsia" w:ascii="宋体" w:hAnsi="宋体" w:cs="宋体"/>
          <w:color w:val="auto"/>
          <w:highlight w:val="none"/>
        </w:rPr>
        <w:t>（1）供应商直接或者间接从采购人或者采购代理机构处获得其他供应商的相关信息并修改其投标文件；</w:t>
      </w:r>
    </w:p>
    <w:p w14:paraId="02C01E10">
      <w:pPr>
        <w:keepNext/>
        <w:keepLines/>
        <w:spacing w:line="360" w:lineRule="auto"/>
        <w:ind w:firstLine="420" w:firstLineChars="200"/>
        <w:rPr>
          <w:rFonts w:ascii="宋体" w:hAnsi="宋体" w:cs="宋体"/>
          <w:color w:val="auto"/>
          <w:highlight w:val="none"/>
        </w:rPr>
      </w:pPr>
      <w:r>
        <w:rPr>
          <w:rFonts w:hint="eastAsia" w:ascii="宋体" w:hAnsi="宋体" w:cs="宋体"/>
          <w:color w:val="auto"/>
          <w:highlight w:val="none"/>
        </w:rPr>
        <w:t>（2）供应商按照采购人或者采购代理机构的授意撤换、修改投标文件；</w:t>
      </w:r>
    </w:p>
    <w:p w14:paraId="7EC1033B">
      <w:pPr>
        <w:keepNext/>
        <w:keepLines/>
        <w:spacing w:line="360" w:lineRule="auto"/>
        <w:ind w:firstLine="420" w:firstLineChars="200"/>
        <w:rPr>
          <w:rFonts w:ascii="宋体" w:hAnsi="宋体" w:cs="宋体"/>
          <w:color w:val="auto"/>
          <w:highlight w:val="none"/>
        </w:rPr>
      </w:pPr>
      <w:r>
        <w:rPr>
          <w:rFonts w:hint="eastAsia" w:ascii="宋体" w:hAnsi="宋体" w:cs="宋体"/>
          <w:color w:val="auto"/>
          <w:highlight w:val="none"/>
        </w:rPr>
        <w:t>（3）供应商之间协商报价、技术方案等投标文件或者投标文件的实质性内容；</w:t>
      </w:r>
    </w:p>
    <w:p w14:paraId="4C747210">
      <w:pPr>
        <w:keepNext/>
        <w:keepLines/>
        <w:spacing w:line="360" w:lineRule="auto"/>
        <w:ind w:firstLine="420" w:firstLineChars="200"/>
        <w:rPr>
          <w:rFonts w:ascii="宋体" w:hAnsi="宋体" w:cs="宋体"/>
          <w:color w:val="auto"/>
          <w:highlight w:val="none"/>
        </w:rPr>
      </w:pPr>
      <w:r>
        <w:rPr>
          <w:rFonts w:hint="eastAsia" w:ascii="宋体" w:hAnsi="宋体" w:cs="宋体"/>
          <w:color w:val="auto"/>
          <w:highlight w:val="none"/>
        </w:rPr>
        <w:t>（4）属于同一集团、协会、商会等组织成员的供应商按照该组织要求协同参加政府采购活动；</w:t>
      </w:r>
    </w:p>
    <w:p w14:paraId="4DB7A543">
      <w:pPr>
        <w:keepNext/>
        <w:keepLines/>
        <w:spacing w:line="360" w:lineRule="auto"/>
        <w:ind w:firstLine="420" w:firstLineChars="200"/>
        <w:rPr>
          <w:rFonts w:ascii="宋体" w:hAnsi="宋体" w:cs="宋体"/>
          <w:color w:val="auto"/>
          <w:highlight w:val="none"/>
        </w:rPr>
      </w:pPr>
      <w:r>
        <w:rPr>
          <w:rFonts w:hint="eastAsia" w:ascii="宋体" w:hAnsi="宋体" w:cs="宋体"/>
          <w:color w:val="auto"/>
          <w:highlight w:val="none"/>
        </w:rPr>
        <w:t>（5）供应商之间事先约定一致抬高或者压低投标报价，或者在招标项目中事先约定轮流以高价位或者低价位中标，或者事先约定由某一特定供应商中标，然后再参加投标；</w:t>
      </w:r>
    </w:p>
    <w:p w14:paraId="22D14380">
      <w:pPr>
        <w:keepNext/>
        <w:keepLines/>
        <w:spacing w:line="360" w:lineRule="auto"/>
        <w:ind w:firstLine="420" w:firstLineChars="200"/>
        <w:rPr>
          <w:rFonts w:ascii="宋体" w:hAnsi="宋体" w:cs="宋体"/>
          <w:color w:val="auto"/>
          <w:highlight w:val="none"/>
        </w:rPr>
      </w:pPr>
      <w:r>
        <w:rPr>
          <w:rFonts w:hint="eastAsia" w:ascii="宋体" w:hAnsi="宋体" w:cs="宋体"/>
          <w:color w:val="auto"/>
          <w:highlight w:val="none"/>
        </w:rPr>
        <w:t>（6）供应商之间商定部分供应商放弃参加政府采购活动或者放弃中标；</w:t>
      </w:r>
    </w:p>
    <w:p w14:paraId="3BFDABB8">
      <w:pPr>
        <w:keepNext/>
        <w:keepLines/>
        <w:spacing w:line="360" w:lineRule="auto"/>
        <w:ind w:firstLine="420" w:firstLineChars="200"/>
        <w:rPr>
          <w:rFonts w:ascii="宋体" w:hAnsi="宋体" w:cs="宋体"/>
          <w:color w:val="auto"/>
          <w:highlight w:val="none"/>
        </w:rPr>
      </w:pPr>
      <w:r>
        <w:rPr>
          <w:rFonts w:hint="eastAsia" w:ascii="宋体" w:hAnsi="宋体" w:cs="宋体"/>
          <w:color w:val="auto"/>
          <w:highlight w:val="none"/>
        </w:rPr>
        <w:t>（7）供应商与采购人或者采购代理机构之间、供应商相互之间，为谋求特定供应商中标或者排斥其他供应商的其他串通行为。</w:t>
      </w:r>
    </w:p>
    <w:p w14:paraId="154744BC">
      <w:pPr>
        <w:pStyle w:val="4"/>
        <w:keepNext/>
        <w:keepLines/>
        <w:rPr>
          <w:color w:val="auto"/>
          <w:highlight w:val="none"/>
        </w:rPr>
      </w:pPr>
      <w:bookmarkStart w:id="73" w:name="_Toc254970675"/>
      <w:bookmarkStart w:id="74" w:name="_Toc18652"/>
      <w:bookmarkStart w:id="75" w:name="_Toc1206"/>
      <w:bookmarkStart w:id="76" w:name="_Toc254970534"/>
      <w:bookmarkStart w:id="77" w:name="_Toc177716507"/>
      <w:r>
        <w:rPr>
          <w:rFonts w:hint="eastAsia"/>
          <w:color w:val="auto"/>
          <w:highlight w:val="none"/>
        </w:rPr>
        <w:t>二、招标文件</w:t>
      </w:r>
      <w:bookmarkEnd w:id="73"/>
      <w:bookmarkEnd w:id="74"/>
      <w:bookmarkEnd w:id="75"/>
      <w:bookmarkEnd w:id="76"/>
      <w:bookmarkEnd w:id="77"/>
    </w:p>
    <w:p w14:paraId="5E4A8DA6">
      <w:pPr>
        <w:keepNext/>
        <w:keepLines/>
        <w:spacing w:line="360" w:lineRule="auto"/>
        <w:ind w:firstLine="482" w:firstLineChars="200"/>
        <w:outlineLvl w:val="3"/>
        <w:rPr>
          <w:rFonts w:ascii="宋体" w:hAnsi="宋体" w:cs="宋体"/>
          <w:b/>
          <w:color w:val="auto"/>
          <w:sz w:val="24"/>
          <w:highlight w:val="none"/>
        </w:rPr>
      </w:pPr>
      <w:r>
        <w:rPr>
          <w:rFonts w:hint="eastAsia" w:ascii="宋体" w:hAnsi="宋体" w:cs="宋体"/>
          <w:b/>
          <w:color w:val="auto"/>
          <w:sz w:val="24"/>
          <w:highlight w:val="none"/>
        </w:rPr>
        <w:t>10.招标文件的组成</w:t>
      </w:r>
    </w:p>
    <w:p w14:paraId="77C47950">
      <w:pPr>
        <w:keepNext/>
        <w:keepLine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第一章 招标公告；</w:t>
      </w:r>
    </w:p>
    <w:p w14:paraId="1122476D">
      <w:pPr>
        <w:keepNext/>
        <w:keepLine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第二章 采购需求；</w:t>
      </w:r>
    </w:p>
    <w:p w14:paraId="3D3D3850">
      <w:pPr>
        <w:keepNext/>
        <w:keepLine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第三章 投标人须知；</w:t>
      </w:r>
    </w:p>
    <w:p w14:paraId="40065E0E">
      <w:pPr>
        <w:keepNext/>
        <w:keepLine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第四章 评标方法及评分标准；</w:t>
      </w:r>
    </w:p>
    <w:p w14:paraId="73AA9F1F">
      <w:pPr>
        <w:keepNext/>
        <w:keepLine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第五章 拟签订的合同文本；</w:t>
      </w:r>
    </w:p>
    <w:p w14:paraId="2D685389">
      <w:pPr>
        <w:keepNext/>
        <w:keepLine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第六章 投标文件格式；</w:t>
      </w:r>
    </w:p>
    <w:p w14:paraId="4FA10EF4">
      <w:pPr>
        <w:keepNext/>
        <w:keepLine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第七章 质疑、投诉证明材料格式；</w:t>
      </w:r>
    </w:p>
    <w:p w14:paraId="6C86DEC1">
      <w:pPr>
        <w:keepNext/>
        <w:keepLines/>
        <w:spacing w:line="360" w:lineRule="auto"/>
        <w:ind w:firstLine="420" w:firstLineChars="200"/>
        <w:rPr>
          <w:rFonts w:ascii="宋体" w:hAnsi="宋体" w:cs="宋体"/>
          <w:color w:val="auto"/>
          <w:highlight w:val="none"/>
        </w:rPr>
      </w:pPr>
      <w:r>
        <w:rPr>
          <w:rFonts w:hint="eastAsia" w:ascii="宋体" w:hAnsi="宋体" w:cs="宋体"/>
          <w:color w:val="auto"/>
          <w:highlight w:val="none"/>
        </w:rPr>
        <w:t>根据本章第11.1项的规定对公开招标文件所做的澄清、修改，构成招标文件的组成部分。当公开招标文件与招标文件的澄清和修改就同一内容的表述不一致时，以最后澄清或修改公告为准。</w:t>
      </w:r>
    </w:p>
    <w:p w14:paraId="42756A52">
      <w:pPr>
        <w:keepNext/>
        <w:keepLines/>
        <w:spacing w:line="360" w:lineRule="auto"/>
        <w:ind w:firstLine="482" w:firstLineChars="200"/>
        <w:outlineLvl w:val="3"/>
        <w:rPr>
          <w:rFonts w:ascii="宋体" w:hAnsi="宋体" w:cs="宋体"/>
          <w:b/>
          <w:color w:val="auto"/>
          <w:sz w:val="24"/>
          <w:highlight w:val="none"/>
        </w:rPr>
      </w:pPr>
      <w:r>
        <w:rPr>
          <w:rFonts w:hint="eastAsia" w:ascii="宋体" w:hAnsi="宋体" w:cs="宋体"/>
          <w:b/>
          <w:color w:val="auto"/>
          <w:sz w:val="24"/>
          <w:highlight w:val="none"/>
        </w:rPr>
        <w:t>11.招标文件的澄清、修改 、现场考察和答疑会</w:t>
      </w:r>
    </w:p>
    <w:p w14:paraId="2A6A0DA7">
      <w:pPr>
        <w:keepNext/>
        <w:keepLines/>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11.1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4AAB59BA">
      <w:pPr>
        <w:keepNext/>
        <w:keepLines/>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11.2 投标人应认真审阅本公开招标文件，如有疑问，或发现其中有误或有要求不合理的，应在投标人须知前附表规定的投标截止时间前以书面形式要求采购人或采购代理机构对招标文件予以澄清；否则，由此产生的后果由投标人自行负责。</w:t>
      </w:r>
    </w:p>
    <w:p w14:paraId="35F17BA1">
      <w:pPr>
        <w:keepNext/>
        <w:keepLines/>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11.3 采购人或者采购代理机构可以对已发出的招标文件进行必要的澄清或者修改。澄清或者修改的内容可能影响投标文件编制的，采购人或者采购代理机构应当在投标截止时间至少15日前，以书面形式通知（在“投标人须知前附表”规定的政府采购信息发布媒体上发布更正公告及平台短信通知）所有获取招标文件的潜在投标人；不足15日的，采购人或者采购代理机构应当顺延提交投标文件的截止时间。发出的澄清或者修改不影响投标文件编制的也应在截标前3日发出。</w:t>
      </w:r>
    </w:p>
    <w:p w14:paraId="032CA4B5">
      <w:pPr>
        <w:keepNext/>
        <w:keepLines/>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11.4 采购人和采购代理机构可以视采购具体情况，变更投标截止时间和开标时间，将变更时间将在“投标人须知前附表”规定的政府采购信息发布媒体上发布更正公告。</w:t>
      </w:r>
    </w:p>
    <w:p w14:paraId="32F562D4">
      <w:pPr>
        <w:keepNext/>
        <w:keepLines/>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11.</w:t>
      </w:r>
      <w:bookmarkStart w:id="78" w:name="_Hlk53134511"/>
      <w:r>
        <w:rPr>
          <w:rFonts w:hint="eastAsia" w:ascii="宋体" w:hAnsi="宋体" w:cs="宋体"/>
          <w:bCs/>
          <w:color w:val="auto"/>
          <w:szCs w:val="21"/>
          <w:highlight w:val="none"/>
        </w:rPr>
        <w:t>5采购人或者采购代理机构可以在招标文件提供期限截止后，组织已获取招标文件的潜在投标人现场考察或者召开开标前答疑会，具体详见“投标人须知前附表”。</w:t>
      </w:r>
    </w:p>
    <w:bookmarkEnd w:id="78"/>
    <w:p w14:paraId="29D0CBB8">
      <w:pPr>
        <w:pStyle w:val="4"/>
        <w:keepNext/>
        <w:keepLines/>
        <w:rPr>
          <w:color w:val="auto"/>
          <w:highlight w:val="none"/>
        </w:rPr>
      </w:pPr>
      <w:bookmarkStart w:id="79" w:name="_Toc254970676"/>
      <w:bookmarkStart w:id="80" w:name="_Toc12447"/>
      <w:bookmarkStart w:id="81" w:name="_Toc254970535"/>
      <w:bookmarkStart w:id="82" w:name="_Toc177716508"/>
      <w:bookmarkStart w:id="83" w:name="_Toc20017"/>
      <w:r>
        <w:rPr>
          <w:rFonts w:hint="eastAsia"/>
          <w:color w:val="auto"/>
          <w:highlight w:val="none"/>
        </w:rPr>
        <w:t>三、投标文件的编制</w:t>
      </w:r>
      <w:bookmarkEnd w:id="79"/>
      <w:bookmarkEnd w:id="80"/>
      <w:bookmarkEnd w:id="81"/>
      <w:bookmarkEnd w:id="82"/>
      <w:bookmarkEnd w:id="83"/>
    </w:p>
    <w:p w14:paraId="516FEC30">
      <w:pPr>
        <w:keepNext/>
        <w:keepLines/>
        <w:spacing w:line="360" w:lineRule="auto"/>
        <w:ind w:firstLine="482" w:firstLineChars="200"/>
        <w:outlineLvl w:val="3"/>
        <w:rPr>
          <w:rFonts w:ascii="宋体" w:hAnsi="宋体" w:cs="宋体"/>
          <w:b/>
          <w:color w:val="auto"/>
          <w:sz w:val="24"/>
          <w:highlight w:val="none"/>
        </w:rPr>
      </w:pPr>
      <w:bookmarkStart w:id="84" w:name="_Toc254970677"/>
      <w:bookmarkStart w:id="85" w:name="_Toc254970536"/>
      <w:r>
        <w:rPr>
          <w:rFonts w:hint="eastAsia" w:ascii="宋体" w:hAnsi="宋体" w:cs="宋体"/>
          <w:b/>
          <w:color w:val="auto"/>
          <w:sz w:val="24"/>
          <w:highlight w:val="none"/>
        </w:rPr>
        <w:t>12.投标文件的编制原则</w:t>
      </w:r>
    </w:p>
    <w:p w14:paraId="47590738">
      <w:pPr>
        <w:keepNext/>
        <w:keepLine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12.1投标人必须按照招标文件的要求编制投标文件。投标文件必须对招标文件提出的要求和条件作出明确响应。</w:t>
      </w:r>
    </w:p>
    <w:p w14:paraId="1577ED85">
      <w:pPr>
        <w:keepNext/>
        <w:keepLine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12.2投标人应根据自身实际情况如实响应招标文件，不得仅将招标文件内容简单复制粘贴作为投标响应，还应当提供相关证明材料，否则将作无效响应处理（定制采购项目不适用本条款）。对于重要技术条款或技术参数应当在投标文件中提供技术支持资料，技术支持资料以招标文件中规定的形式为准，否则将视为无效技术支持资料。</w:t>
      </w:r>
    </w:p>
    <w:p w14:paraId="1D24827F">
      <w:pPr>
        <w:keepNext/>
        <w:keepLines/>
        <w:spacing w:line="360" w:lineRule="auto"/>
        <w:ind w:firstLine="482" w:firstLineChars="200"/>
        <w:outlineLvl w:val="3"/>
        <w:rPr>
          <w:rFonts w:ascii="宋体" w:hAnsi="宋体" w:cs="宋体"/>
          <w:b/>
          <w:color w:val="auto"/>
          <w:sz w:val="24"/>
          <w:highlight w:val="none"/>
        </w:rPr>
      </w:pPr>
      <w:r>
        <w:rPr>
          <w:rFonts w:hint="eastAsia" w:ascii="宋体" w:hAnsi="宋体" w:cs="宋体"/>
          <w:b/>
          <w:color w:val="auto"/>
          <w:sz w:val="24"/>
          <w:highlight w:val="none"/>
        </w:rPr>
        <w:t>13.投标文件的组成</w:t>
      </w:r>
      <w:bookmarkEnd w:id="84"/>
      <w:bookmarkEnd w:id="85"/>
    </w:p>
    <w:p w14:paraId="6A9A52F4">
      <w:pPr>
        <w:keepNext/>
        <w:keepLine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13.1投标文件由资格证明文件、报价文件、商务技术文件三部分组成。</w:t>
      </w:r>
    </w:p>
    <w:p w14:paraId="55641CCC">
      <w:pPr>
        <w:keepNext/>
        <w:keepLines/>
        <w:spacing w:line="360" w:lineRule="auto"/>
        <w:ind w:firstLine="420" w:firstLineChars="200"/>
        <w:rPr>
          <w:rFonts w:ascii="宋体" w:hAnsi="宋体" w:cs="宋体"/>
          <w:bCs/>
          <w:color w:val="auto"/>
          <w:szCs w:val="21"/>
          <w:highlight w:val="none"/>
        </w:rPr>
      </w:pPr>
      <w:bookmarkStart w:id="86" w:name="_13.1报价文件:_具体材料见“投标人须知前附表”。"/>
      <w:bookmarkEnd w:id="86"/>
      <w:bookmarkStart w:id="87" w:name="_13.2资格证明文件：具体材料见“投标人须知前附表”。"/>
      <w:bookmarkEnd w:id="87"/>
      <w:r>
        <w:rPr>
          <w:rFonts w:hint="eastAsia" w:ascii="宋体" w:hAnsi="宋体" w:cs="宋体"/>
          <w:bCs/>
          <w:color w:val="auto"/>
          <w:szCs w:val="21"/>
          <w:highlight w:val="none"/>
        </w:rPr>
        <w:t>（1）资格证明文件：具体材料见“投标人须知前附表”。</w:t>
      </w:r>
    </w:p>
    <w:p w14:paraId="2B156553">
      <w:pPr>
        <w:keepNext/>
        <w:keepLines/>
        <w:spacing w:line="360" w:lineRule="auto"/>
        <w:ind w:firstLine="420" w:firstLineChars="200"/>
        <w:rPr>
          <w:rFonts w:ascii="宋体" w:hAnsi="宋体" w:cs="宋体"/>
          <w:bCs/>
          <w:color w:val="auto"/>
          <w:szCs w:val="21"/>
          <w:highlight w:val="none"/>
        </w:rPr>
      </w:pPr>
      <w:bookmarkStart w:id="88" w:name="_13.3商务文件:_具体材料见“投标人须知前附表”。"/>
      <w:bookmarkEnd w:id="88"/>
      <w:r>
        <w:rPr>
          <w:rFonts w:hint="eastAsia" w:ascii="宋体" w:hAnsi="宋体" w:cs="宋体"/>
          <w:bCs/>
          <w:color w:val="auto"/>
          <w:szCs w:val="21"/>
          <w:highlight w:val="none"/>
        </w:rPr>
        <w:t>（2）报价文件： 具体材料见“投标人须知前附表”。</w:t>
      </w:r>
    </w:p>
    <w:p w14:paraId="73B6D49F">
      <w:pPr>
        <w:keepNext/>
        <w:keepLines/>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（3）商务技术文件：具体材料见“投标人须知前附表”。</w:t>
      </w:r>
    </w:p>
    <w:p w14:paraId="7767B324">
      <w:pPr>
        <w:keepNext/>
        <w:keepLines/>
        <w:spacing w:line="360" w:lineRule="auto"/>
        <w:ind w:firstLine="420" w:firstLineChars="200"/>
        <w:outlineLvl w:val="4"/>
        <w:rPr>
          <w:rFonts w:ascii="宋体" w:hAnsi="宋体" w:cs="宋体"/>
          <w:bCs/>
          <w:color w:val="auto"/>
          <w:szCs w:val="21"/>
          <w:highlight w:val="none"/>
        </w:rPr>
      </w:pPr>
      <w:bookmarkStart w:id="89" w:name="_13.4技术文件：具体材料见“投标人须知前附表”。"/>
      <w:bookmarkEnd w:id="89"/>
      <w:bookmarkStart w:id="90" w:name="_13.5投标文件电子版：具体材料见“投标人须知前附表”。"/>
      <w:bookmarkEnd w:id="90"/>
      <w:r>
        <w:rPr>
          <w:rFonts w:hint="eastAsia" w:ascii="宋体" w:hAnsi="宋体" w:cs="宋体"/>
          <w:bCs/>
          <w:color w:val="auto"/>
          <w:szCs w:val="21"/>
          <w:highlight w:val="none"/>
        </w:rPr>
        <w:t>13.2投标文件电子版：具体要求见本节19.投标文件编制。</w:t>
      </w:r>
    </w:p>
    <w:p w14:paraId="4A3F0FD8">
      <w:pPr>
        <w:keepNext/>
        <w:keepLines/>
        <w:spacing w:line="360" w:lineRule="auto"/>
        <w:ind w:firstLine="482" w:firstLineChars="200"/>
        <w:outlineLvl w:val="3"/>
        <w:rPr>
          <w:rFonts w:ascii="宋体" w:hAnsi="宋体" w:cs="宋体"/>
          <w:b/>
          <w:color w:val="auto"/>
          <w:sz w:val="24"/>
          <w:highlight w:val="none"/>
        </w:rPr>
      </w:pPr>
      <w:bookmarkStart w:id="91" w:name="_Toc254970537"/>
      <w:bookmarkStart w:id="92" w:name="_Toc254970678"/>
      <w:r>
        <w:rPr>
          <w:rFonts w:hint="eastAsia" w:ascii="宋体" w:hAnsi="宋体" w:cs="宋体"/>
          <w:b/>
          <w:color w:val="auto"/>
          <w:sz w:val="24"/>
          <w:highlight w:val="none"/>
        </w:rPr>
        <w:t>14.投标文件的语言及计量</w:t>
      </w:r>
      <w:bookmarkEnd w:id="91"/>
      <w:bookmarkEnd w:id="92"/>
    </w:p>
    <w:p w14:paraId="186A93F1">
      <w:pPr>
        <w:keepNext/>
        <w:keepLines/>
        <w:spacing w:line="360" w:lineRule="auto"/>
        <w:ind w:firstLine="420" w:firstLineChars="200"/>
        <w:outlineLvl w:val="4"/>
        <w:rPr>
          <w:rFonts w:ascii="宋体" w:hAnsi="宋体" w:cs="宋体"/>
          <w:bCs/>
          <w:color w:val="auto"/>
          <w:szCs w:val="21"/>
          <w:highlight w:val="none"/>
        </w:rPr>
      </w:pPr>
      <w:r>
        <w:rPr>
          <w:rFonts w:hint="eastAsia" w:ascii="宋体" w:hAnsi="宋体" w:cs="宋体"/>
          <w:bCs/>
          <w:color w:val="auto"/>
          <w:szCs w:val="21"/>
          <w:highlight w:val="none"/>
        </w:rPr>
        <w:t>14.1语言文字</w:t>
      </w:r>
    </w:p>
    <w:p w14:paraId="74F26955">
      <w:pPr>
        <w:keepNext/>
        <w:keepLines/>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031E1388">
      <w:pPr>
        <w:keepNext/>
        <w:keepLines/>
        <w:spacing w:line="360" w:lineRule="auto"/>
        <w:ind w:firstLine="420" w:firstLineChars="200"/>
        <w:outlineLvl w:val="4"/>
        <w:rPr>
          <w:rFonts w:ascii="宋体" w:hAnsi="宋体" w:cs="宋体"/>
          <w:bCs/>
          <w:color w:val="auto"/>
          <w:szCs w:val="21"/>
          <w:highlight w:val="none"/>
        </w:rPr>
      </w:pPr>
      <w:r>
        <w:rPr>
          <w:rFonts w:hint="eastAsia" w:ascii="宋体" w:hAnsi="宋体" w:cs="宋体"/>
          <w:bCs/>
          <w:color w:val="auto"/>
          <w:szCs w:val="21"/>
          <w:highlight w:val="none"/>
        </w:rPr>
        <w:t>14.2投标计量单位</w:t>
      </w:r>
    </w:p>
    <w:p w14:paraId="7C09EE65">
      <w:pPr>
        <w:keepNext/>
        <w:keepLines/>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招标文件已有明确规定的，使用招标文件规定的计量单位；招标文件没有规定的，应采用中华人民共和国法定计量单位，货币种类为人民币，否则视同未响应。</w:t>
      </w:r>
    </w:p>
    <w:p w14:paraId="3AFAFD53">
      <w:pPr>
        <w:keepNext/>
        <w:keepLines/>
        <w:spacing w:line="360" w:lineRule="auto"/>
        <w:ind w:firstLine="482" w:firstLineChars="200"/>
        <w:outlineLvl w:val="3"/>
        <w:rPr>
          <w:rFonts w:ascii="宋体" w:hAnsi="宋体" w:cs="宋体"/>
          <w:b/>
          <w:color w:val="auto"/>
          <w:sz w:val="24"/>
          <w:highlight w:val="none"/>
        </w:rPr>
      </w:pPr>
      <w:r>
        <w:rPr>
          <w:rFonts w:hint="eastAsia" w:ascii="宋体" w:hAnsi="宋体" w:cs="宋体"/>
          <w:b/>
          <w:color w:val="auto"/>
          <w:sz w:val="24"/>
          <w:highlight w:val="none"/>
        </w:rPr>
        <w:t>15.投标文件提交的风险</w:t>
      </w:r>
    </w:p>
    <w:p w14:paraId="362A4EE7">
      <w:pPr>
        <w:keepNext/>
        <w:keepLines/>
        <w:spacing w:line="360" w:lineRule="auto"/>
        <w:ind w:firstLine="420" w:firstLineChars="200"/>
        <w:rPr>
          <w:rFonts w:ascii="宋体" w:hAnsi="宋体" w:cs="宋体"/>
          <w:b/>
          <w:bCs/>
          <w:color w:val="auto"/>
          <w:highlight w:val="none"/>
        </w:rPr>
      </w:pPr>
      <w:r>
        <w:rPr>
          <w:rFonts w:hint="eastAsia" w:ascii="宋体" w:hAnsi="宋体" w:cs="宋体"/>
          <w:color w:val="auto"/>
          <w:highlight w:val="none"/>
        </w:rPr>
        <w:t>投标文件分为资格文件、报价文件、商务技术文件三部分。各投标人在编制投标文件时请按照招标文件规定的编排格式进行，不按要求提交齐全的文件、混乱的编排导致投标文件被误读或评标委员会查找不到有效文件是造成投标人投标文件无效的风险。▲</w:t>
      </w:r>
      <w:r>
        <w:rPr>
          <w:rFonts w:hint="eastAsia" w:ascii="宋体" w:hAnsi="宋体" w:cs="宋体"/>
          <w:b/>
          <w:bCs/>
          <w:color w:val="auto"/>
          <w:highlight w:val="none"/>
        </w:rPr>
        <w:t>投标文件内容不齐全、未按规定的文件格式编制的（如条款中标明“格式后附”等）、没有对招标文件作出实质性响应，投标无效。</w:t>
      </w:r>
    </w:p>
    <w:p w14:paraId="7DA313FD">
      <w:pPr>
        <w:keepNext/>
        <w:keepLines/>
        <w:spacing w:line="360" w:lineRule="auto"/>
        <w:ind w:firstLine="482" w:firstLineChars="200"/>
        <w:outlineLvl w:val="3"/>
        <w:rPr>
          <w:rFonts w:ascii="宋体" w:hAnsi="宋体" w:cs="宋体"/>
          <w:b/>
          <w:color w:val="auto"/>
          <w:sz w:val="24"/>
          <w:highlight w:val="none"/>
        </w:rPr>
      </w:pPr>
      <w:bookmarkStart w:id="93" w:name="_Toc254970679"/>
      <w:bookmarkStart w:id="94" w:name="_Toc254970538"/>
      <w:r>
        <w:rPr>
          <w:rFonts w:hint="eastAsia" w:ascii="宋体" w:hAnsi="宋体" w:cs="宋体"/>
          <w:b/>
          <w:color w:val="auto"/>
          <w:sz w:val="24"/>
          <w:highlight w:val="none"/>
        </w:rPr>
        <w:t>16.投标报价</w:t>
      </w:r>
      <w:bookmarkEnd w:id="93"/>
      <w:bookmarkEnd w:id="94"/>
    </w:p>
    <w:p w14:paraId="55F1D8A9">
      <w:pPr>
        <w:keepNext/>
        <w:keepLines/>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16.1投标报价应</w:t>
      </w:r>
      <w:r>
        <w:rPr>
          <w:rFonts w:hint="eastAsia" w:ascii="宋体" w:hAnsi="宋体" w:cs="宋体"/>
          <w:bCs/>
          <w:color w:val="auto"/>
          <w:szCs w:val="20"/>
          <w:highlight w:val="none"/>
        </w:rPr>
        <w:t>按“第六章　投标文件格式”中“开标一览表”格式填写。</w:t>
      </w:r>
    </w:p>
    <w:p w14:paraId="27B76591">
      <w:pPr>
        <w:keepNext/>
        <w:keepLines/>
        <w:spacing w:line="360" w:lineRule="auto"/>
        <w:ind w:firstLine="420" w:firstLineChars="200"/>
        <w:outlineLvl w:val="4"/>
        <w:rPr>
          <w:rFonts w:ascii="宋体" w:hAnsi="宋体" w:cs="宋体"/>
          <w:bCs/>
          <w:color w:val="auto"/>
          <w:szCs w:val="21"/>
          <w:highlight w:val="none"/>
        </w:rPr>
      </w:pPr>
      <w:bookmarkStart w:id="95" w:name="_16.2投标报价具体定义见投标人须知前附表。"/>
      <w:bookmarkEnd w:id="95"/>
      <w:r>
        <w:rPr>
          <w:rFonts w:hint="eastAsia" w:ascii="宋体" w:hAnsi="宋体" w:cs="宋体"/>
          <w:bCs/>
          <w:color w:val="auto"/>
          <w:szCs w:val="21"/>
          <w:highlight w:val="none"/>
        </w:rPr>
        <w:t>16.2投标报价具体包括内容详见“投标人须知前附表”。</w:t>
      </w:r>
    </w:p>
    <w:p w14:paraId="4A58049D">
      <w:pPr>
        <w:keepNext/>
        <w:keepLines/>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16.3投标人必须就所投每个分标的全部内容分别作完整唯一总价报价，不得存在漏项报价；投标人必须就所投分标的单项内容作唯一报价。</w:t>
      </w:r>
    </w:p>
    <w:p w14:paraId="24A3217D">
      <w:pPr>
        <w:keepNext/>
        <w:keepLines/>
        <w:spacing w:line="360" w:lineRule="auto"/>
        <w:ind w:firstLine="482" w:firstLineChars="200"/>
        <w:outlineLvl w:val="3"/>
        <w:rPr>
          <w:rFonts w:ascii="宋体" w:hAnsi="宋体" w:cs="宋体"/>
          <w:b/>
          <w:color w:val="auto"/>
          <w:sz w:val="24"/>
          <w:highlight w:val="none"/>
        </w:rPr>
      </w:pPr>
      <w:r>
        <w:rPr>
          <w:rFonts w:hint="eastAsia" w:ascii="宋体" w:hAnsi="宋体" w:cs="宋体"/>
          <w:b/>
          <w:color w:val="auto"/>
          <w:sz w:val="24"/>
          <w:highlight w:val="none"/>
        </w:rPr>
        <w:t>17.投标有效期</w:t>
      </w:r>
    </w:p>
    <w:p w14:paraId="71653B04">
      <w:pPr>
        <w:keepNext/>
        <w:keepLines/>
        <w:spacing w:line="360" w:lineRule="auto"/>
        <w:ind w:firstLine="420" w:firstLineChars="200"/>
        <w:rPr>
          <w:rFonts w:ascii="宋体" w:hAnsi="宋体" w:cs="宋体"/>
          <w:bCs/>
          <w:color w:val="auto"/>
          <w:szCs w:val="21"/>
          <w:highlight w:val="none"/>
        </w:rPr>
      </w:pPr>
      <w:bookmarkStart w:id="96" w:name="_17.1投标有效期应按“投标人须知中的前附表”规定的期限。"/>
      <w:bookmarkEnd w:id="96"/>
      <w:r>
        <w:rPr>
          <w:rFonts w:hint="eastAsia" w:ascii="宋体" w:hAnsi="宋体" w:cs="宋体"/>
          <w:bCs/>
          <w:color w:val="auto"/>
          <w:szCs w:val="21"/>
          <w:highlight w:val="none"/>
        </w:rPr>
        <w:t>17.1投标有效期是指为保证采购人有足够的时间在开标后完成评标、定标、合同签订等工作而要求投标人提交的投标文件在一定时间内保持有效的期限。</w:t>
      </w:r>
    </w:p>
    <w:p w14:paraId="1CF74540">
      <w:pPr>
        <w:keepNext/>
        <w:keepLines/>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17.2</w:t>
      </w:r>
      <w:bookmarkStart w:id="97" w:name="_Toc254970540"/>
      <w:bookmarkStart w:id="98" w:name="_Toc254970681"/>
      <w:r>
        <w:rPr>
          <w:rFonts w:hint="eastAsia" w:ascii="宋体" w:hAnsi="宋体" w:cs="宋体"/>
          <w:bCs/>
          <w:color w:val="auto"/>
          <w:szCs w:val="21"/>
          <w:highlight w:val="none"/>
        </w:rPr>
        <w:t xml:space="preserve"> 投标有效期应按规定的期限作出承诺，具体详见“投标人须知前附表”。</w:t>
      </w:r>
    </w:p>
    <w:p w14:paraId="1B42519A">
      <w:pPr>
        <w:keepNext/>
        <w:keepLines/>
        <w:spacing w:line="360" w:lineRule="auto"/>
        <w:ind w:firstLine="420" w:firstLineChars="200"/>
        <w:outlineLvl w:val="4"/>
        <w:rPr>
          <w:rFonts w:ascii="宋体" w:hAnsi="宋体" w:cs="宋体"/>
          <w:bCs/>
          <w:color w:val="auto"/>
          <w:szCs w:val="21"/>
          <w:highlight w:val="none"/>
        </w:rPr>
      </w:pPr>
      <w:r>
        <w:rPr>
          <w:rFonts w:hint="eastAsia" w:ascii="宋体" w:hAnsi="宋体" w:cs="宋体"/>
          <w:bCs/>
          <w:color w:val="auto"/>
          <w:szCs w:val="21"/>
          <w:highlight w:val="none"/>
        </w:rPr>
        <w:t>17.3投标人的投标文件在投标有效期内均保持有效。</w:t>
      </w:r>
      <w:bookmarkEnd w:id="97"/>
      <w:bookmarkEnd w:id="98"/>
    </w:p>
    <w:p w14:paraId="78303823">
      <w:pPr>
        <w:keepNext/>
        <w:keepLines/>
        <w:spacing w:line="360" w:lineRule="auto"/>
        <w:ind w:firstLine="482" w:firstLineChars="200"/>
        <w:outlineLvl w:val="3"/>
        <w:rPr>
          <w:rFonts w:ascii="宋体" w:hAnsi="宋体" w:cs="宋体"/>
          <w:b/>
          <w:color w:val="auto"/>
          <w:sz w:val="24"/>
          <w:highlight w:val="none"/>
        </w:rPr>
      </w:pPr>
      <w:bookmarkStart w:id="99" w:name="_18.投标保证金"/>
      <w:bookmarkEnd w:id="99"/>
      <w:bookmarkStart w:id="100" w:name="_Toc254970682"/>
      <w:bookmarkStart w:id="101" w:name="_Toc254970541"/>
      <w:r>
        <w:rPr>
          <w:rFonts w:hint="eastAsia" w:ascii="宋体" w:hAnsi="宋体" w:cs="宋体"/>
          <w:b/>
          <w:color w:val="auto"/>
          <w:sz w:val="24"/>
          <w:highlight w:val="none"/>
        </w:rPr>
        <w:t>18.投标保证金</w:t>
      </w:r>
      <w:bookmarkEnd w:id="100"/>
      <w:bookmarkEnd w:id="101"/>
    </w:p>
    <w:p w14:paraId="4A2DF9C9">
      <w:pPr>
        <w:keepNext/>
        <w:keepLines/>
        <w:spacing w:line="360" w:lineRule="auto"/>
        <w:ind w:firstLine="420" w:firstLineChars="200"/>
        <w:rPr>
          <w:rFonts w:ascii="宋体" w:hAnsi="宋体" w:cs="宋体"/>
          <w:bCs/>
          <w:color w:val="auto"/>
          <w:szCs w:val="21"/>
          <w:highlight w:val="none"/>
        </w:rPr>
      </w:pPr>
      <w:bookmarkStart w:id="102" w:name="_Toc254970683"/>
      <w:bookmarkStart w:id="103" w:name="_Toc254970542"/>
      <w:r>
        <w:rPr>
          <w:rFonts w:hint="eastAsia" w:ascii="宋体" w:hAnsi="宋体" w:cs="宋体"/>
          <w:bCs/>
          <w:color w:val="auto"/>
          <w:szCs w:val="21"/>
          <w:highlight w:val="none"/>
        </w:rPr>
        <w:t>18.1投标人须按“投标人须知前附表”的规定提交投标保证金。</w:t>
      </w:r>
    </w:p>
    <w:p w14:paraId="0000164F">
      <w:pPr>
        <w:keepNext/>
        <w:keepLines/>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18.2投标保证金的退还</w:t>
      </w:r>
    </w:p>
    <w:p w14:paraId="4372807D">
      <w:pPr>
        <w:keepNext/>
        <w:keepLines/>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18.2.1未中标人的投标保证金自中标通知书发出之日起5个工作日内退还，退还方式如下：</w:t>
      </w:r>
    </w:p>
    <w:p w14:paraId="3422D1CD">
      <w:pPr>
        <w:keepNext/>
        <w:keepLines/>
        <w:spacing w:line="360" w:lineRule="auto"/>
        <w:ind w:firstLine="420" w:firstLineChars="200"/>
        <w:outlineLvl w:val="4"/>
        <w:rPr>
          <w:rFonts w:ascii="宋体" w:hAnsi="宋体" w:cs="宋体"/>
          <w:bCs/>
          <w:color w:val="auto"/>
          <w:szCs w:val="21"/>
          <w:highlight w:val="none"/>
        </w:rPr>
      </w:pPr>
      <w:r>
        <w:rPr>
          <w:rFonts w:hint="eastAsia" w:ascii="宋体" w:hAnsi="宋体" w:cs="宋体"/>
          <w:bCs/>
          <w:color w:val="auto"/>
          <w:szCs w:val="21"/>
          <w:highlight w:val="none"/>
        </w:rPr>
        <w:t>（1）采用银行转账方式的，以转账方式退回到投标人银行账户。</w:t>
      </w:r>
    </w:p>
    <w:p w14:paraId="795E295B">
      <w:pPr>
        <w:keepNext/>
        <w:keepLines/>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（2）采用支票、汇票、本票或者金融、担保机构出具的保函方式的，由投标人代表持相关授权证明材料至采购人或者采购代理机构办理支票、汇票、本票或者金融、担保机构出具的保函原件退还手续。</w:t>
      </w:r>
    </w:p>
    <w:p w14:paraId="68A3A472">
      <w:pPr>
        <w:keepNext/>
        <w:keepLines/>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18.2.2中标人的投标保证金自采购合同签订之日起5个工作日内退还，退还方式同本须知正文第18.2.1。</w:t>
      </w:r>
    </w:p>
    <w:p w14:paraId="6865235F">
      <w:pPr>
        <w:keepNext/>
        <w:keepLines/>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18.3除逾期退还投标保证金和终止招标的情形以外，投标保证金不计息。</w:t>
      </w:r>
    </w:p>
    <w:p w14:paraId="7ACFA5F7">
      <w:pPr>
        <w:keepNext/>
        <w:keepLines/>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18.4投标人有下列情形之一的，投标保证金将不予退还：</w:t>
      </w:r>
    </w:p>
    <w:p w14:paraId="30B78918">
      <w:pPr>
        <w:keepNext/>
        <w:keepLines/>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（1）投标人在投标有效期内撤销投标文件的；</w:t>
      </w:r>
    </w:p>
    <w:p w14:paraId="5AC0C29F">
      <w:pPr>
        <w:keepNext/>
        <w:keepLines/>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（2）未按规定提交履约保证金的；</w:t>
      </w:r>
    </w:p>
    <w:p w14:paraId="54975227">
      <w:pPr>
        <w:keepNext/>
        <w:keepLines/>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（3）投标人在投标过程中弄虚作假，提供虚假材料的；</w:t>
      </w:r>
    </w:p>
    <w:p w14:paraId="42892739">
      <w:pPr>
        <w:keepNext/>
        <w:keepLines/>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（4）中标人无正当理由不与采购人签订合同的；</w:t>
      </w:r>
    </w:p>
    <w:p w14:paraId="461F7123">
      <w:pPr>
        <w:keepNext/>
        <w:keepLines/>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（5）投标人出现本章第9.2、9.3情形的；</w:t>
      </w:r>
    </w:p>
    <w:p w14:paraId="5C2E6D8A">
      <w:pPr>
        <w:keepNext/>
        <w:keepLines/>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（6）其他严重扰乱招投标程序的。</w:t>
      </w:r>
    </w:p>
    <w:p w14:paraId="5A219716">
      <w:pPr>
        <w:keepNext/>
        <w:keepLines/>
        <w:spacing w:line="360" w:lineRule="auto"/>
        <w:ind w:firstLine="482" w:firstLineChars="200"/>
        <w:outlineLvl w:val="3"/>
        <w:rPr>
          <w:rFonts w:ascii="宋体" w:hAnsi="宋体" w:cs="宋体"/>
          <w:b/>
          <w:color w:val="auto"/>
          <w:sz w:val="24"/>
          <w:highlight w:val="none"/>
        </w:rPr>
      </w:pPr>
      <w:r>
        <w:rPr>
          <w:rFonts w:hint="eastAsia" w:ascii="宋体" w:hAnsi="宋体" w:cs="宋体"/>
          <w:b/>
          <w:color w:val="auto"/>
          <w:sz w:val="24"/>
          <w:highlight w:val="none"/>
        </w:rPr>
        <w:t>19.投标文件的</w:t>
      </w:r>
      <w:bookmarkEnd w:id="102"/>
      <w:bookmarkEnd w:id="103"/>
      <w:r>
        <w:rPr>
          <w:rFonts w:hint="eastAsia" w:ascii="宋体" w:hAnsi="宋体" w:cs="宋体"/>
          <w:b/>
          <w:color w:val="auto"/>
          <w:sz w:val="24"/>
          <w:highlight w:val="none"/>
        </w:rPr>
        <w:t>编制</w:t>
      </w:r>
    </w:p>
    <w:p w14:paraId="0BFDD908">
      <w:pPr>
        <w:keepNext/>
        <w:keepLine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19.1投标文件编制要求详见“投标人须知前附表”。投标人应按本招标文件规定的格式和顺序编制、装订投标文件并标注页码，投标文件内容不完整、编排混乱导致投标文件被误读、漏读或者查找不到相关内容的，由此引发的后果由投标人承担。</w:t>
      </w:r>
      <w:bookmarkStart w:id="104" w:name="_19.2投标文件应按报价文件、资格证明文件、商务文件、技术文件分别编制"/>
      <w:bookmarkEnd w:id="104"/>
    </w:p>
    <w:p w14:paraId="64E308CE">
      <w:pPr>
        <w:keepNext/>
        <w:keepLine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19.2投标文件须由投标人在规定位置签字（或者电子签名）、盖章（具体以投标人须知前附表或投标文件格式规定为准），</w:t>
      </w:r>
      <w:r>
        <w:rPr>
          <w:rFonts w:hint="eastAsia" w:ascii="宋体" w:hAnsi="宋体" w:cs="宋体"/>
          <w:b/>
          <w:bCs/>
          <w:color w:val="auto"/>
          <w:szCs w:val="21"/>
          <w:highlight w:val="none"/>
        </w:rPr>
        <w:t>否则其投标无效</w:t>
      </w:r>
      <w:r>
        <w:rPr>
          <w:rFonts w:hint="eastAsia" w:ascii="宋体" w:hAnsi="宋体" w:cs="宋体"/>
          <w:color w:val="auto"/>
          <w:szCs w:val="21"/>
          <w:highlight w:val="none"/>
        </w:rPr>
        <w:t>。</w:t>
      </w:r>
    </w:p>
    <w:p w14:paraId="0CD9A76F">
      <w:pPr>
        <w:keepNext/>
        <w:keepLine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19.3为确保网上操作合法、有效和安全，投标人应当在投标截止时间前完成在“广西政府采购云平台”的身份认证，确保在电子投标过程中能够对相关数据电文进行加密和使用电子签章。</w:t>
      </w:r>
    </w:p>
    <w:p w14:paraId="5AD564C7">
      <w:pPr>
        <w:keepNext/>
        <w:keepLine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19.4投标文件中标注的投标人名称应与主体资格证明（如营业执照、事业单位法人证书、执业许可证、自然人身份证等）及公章一致，并与广西政府采购云平台中获取招标文件的投标人名称一致，投标人为自然人的，标注的投标人名称应与身份证姓名及签名一致，</w:t>
      </w:r>
      <w:r>
        <w:rPr>
          <w:rFonts w:hint="eastAsia" w:ascii="宋体" w:hAnsi="宋体"/>
          <w:b/>
          <w:color w:val="auto"/>
          <w:szCs w:val="21"/>
          <w:highlight w:val="none"/>
        </w:rPr>
        <w:t>否则其投标无效</w:t>
      </w:r>
      <w:r>
        <w:rPr>
          <w:rFonts w:hint="eastAsia" w:ascii="宋体" w:hAnsi="宋体" w:cs="宋体"/>
          <w:color w:val="auto"/>
          <w:szCs w:val="21"/>
          <w:highlight w:val="none"/>
        </w:rPr>
        <w:t>。</w:t>
      </w:r>
    </w:p>
    <w:p w14:paraId="2AAFACB8">
      <w:pPr>
        <w:keepNext/>
        <w:keepLine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19.5</w:t>
      </w:r>
      <w:r>
        <w:rPr>
          <w:rFonts w:hint="eastAsia" w:ascii="宋体" w:hAnsi="宋体"/>
          <w:color w:val="auto"/>
          <w:szCs w:val="21"/>
          <w:highlight w:val="none"/>
        </w:rPr>
        <w:t>投标文件应尽量避免涂改、行间插字或者删除。如果出现上述情况，改动之处应由投标人的法定代表人或者其委托代理人签字（或者电子签名）或者加盖公章或者加盖电子签章。投标文件因字迹潦草或者表达不清所引起的后果由投标人承担。</w:t>
      </w:r>
    </w:p>
    <w:p w14:paraId="6A243489">
      <w:pPr>
        <w:keepNext/>
        <w:keepLines/>
        <w:spacing w:line="360" w:lineRule="auto"/>
        <w:ind w:firstLine="420" w:firstLineChars="200"/>
        <w:rPr>
          <w:rFonts w:ascii="宋体" w:hAnsi="宋体" w:cs="宋体"/>
          <w:color w:val="auto"/>
          <w:highlight w:val="none"/>
        </w:rPr>
      </w:pPr>
      <w:r>
        <w:rPr>
          <w:rFonts w:hint="eastAsia" w:ascii="宋体" w:hAnsi="宋体" w:cs="宋体"/>
          <w:color w:val="auto"/>
          <w:highlight w:val="none"/>
        </w:rPr>
        <w:t>19.6 对</w:t>
      </w:r>
      <w:r>
        <w:rPr>
          <w:rFonts w:hint="eastAsia" w:ascii="宋体" w:hAnsi="宋体" w:cs="宋体"/>
          <w:color w:val="auto"/>
          <w:szCs w:val="21"/>
          <w:highlight w:val="none"/>
        </w:rPr>
        <w:t>招标</w:t>
      </w:r>
      <w:r>
        <w:rPr>
          <w:rFonts w:hint="eastAsia" w:ascii="宋体" w:hAnsi="宋体" w:cs="宋体"/>
          <w:color w:val="auto"/>
          <w:highlight w:val="none"/>
        </w:rPr>
        <w:t>文件的实质性要求和条件做出响应是指投标人必须对招标文件中标注为实质性要求和条件的</w:t>
      </w:r>
      <w:r>
        <w:rPr>
          <w:rFonts w:hint="eastAsia" w:ascii="宋体" w:hAnsi="宋体" w:cs="宋体"/>
          <w:color w:val="auto"/>
          <w:szCs w:val="21"/>
          <w:highlight w:val="none"/>
        </w:rPr>
        <w:t>服务内容及要求</w:t>
      </w:r>
      <w:r>
        <w:rPr>
          <w:rFonts w:hint="eastAsia" w:ascii="宋体" w:hAnsi="宋体" w:cs="宋体"/>
          <w:color w:val="auto"/>
          <w:highlight w:val="none"/>
        </w:rPr>
        <w:t>、商务条款及其他内容作出满足或者优于原要求和条件的承诺。</w:t>
      </w:r>
    </w:p>
    <w:p w14:paraId="478DD38F">
      <w:pPr>
        <w:keepNext/>
        <w:keepLines/>
        <w:spacing w:line="360" w:lineRule="auto"/>
        <w:ind w:firstLine="422" w:firstLineChars="200"/>
        <w:rPr>
          <w:rFonts w:ascii="宋体" w:hAnsi="宋体" w:cs="宋体"/>
          <w:b/>
          <w:color w:val="auto"/>
          <w:szCs w:val="21"/>
          <w:highlight w:val="none"/>
          <w:u w:val="single"/>
        </w:rPr>
      </w:pPr>
      <w:r>
        <w:rPr>
          <w:rFonts w:hint="eastAsia" w:ascii="宋体" w:hAnsi="宋体" w:cs="宋体"/>
          <w:b/>
          <w:color w:val="auto"/>
          <w:szCs w:val="21"/>
          <w:highlight w:val="none"/>
          <w:u w:val="single"/>
        </w:rPr>
        <w:t>19.7本项目为全流程电子化项目，异常情况见“第二节 投标人须知正文”中“四、开标……24.2开标程序”。</w:t>
      </w:r>
    </w:p>
    <w:p w14:paraId="796C9263">
      <w:pPr>
        <w:keepNext/>
        <w:keepLines/>
        <w:spacing w:line="360" w:lineRule="auto"/>
        <w:ind w:firstLine="482" w:firstLineChars="200"/>
        <w:outlineLvl w:val="3"/>
        <w:rPr>
          <w:rFonts w:ascii="宋体" w:hAnsi="宋体" w:cs="宋体"/>
          <w:b/>
          <w:color w:val="auto"/>
          <w:sz w:val="24"/>
          <w:highlight w:val="none"/>
        </w:rPr>
      </w:pPr>
      <w:r>
        <w:rPr>
          <w:rFonts w:hint="eastAsia" w:ascii="宋体" w:hAnsi="宋体" w:cs="宋体"/>
          <w:b/>
          <w:color w:val="auto"/>
          <w:sz w:val="24"/>
          <w:highlight w:val="none"/>
        </w:rPr>
        <w:t>20.备份投标文件</w:t>
      </w:r>
    </w:p>
    <w:p w14:paraId="386A3757">
      <w:pPr>
        <w:keepNext/>
        <w:keepLines/>
        <w:spacing w:line="360" w:lineRule="auto"/>
        <w:ind w:firstLine="420" w:firstLineChars="200"/>
        <w:rPr>
          <w:rFonts w:ascii="宋体" w:hAnsi="宋体" w:cs="宋体"/>
          <w:color w:val="auto"/>
          <w:sz w:val="24"/>
          <w:highlight w:val="none"/>
        </w:rPr>
      </w:pPr>
      <w:r>
        <w:rPr>
          <w:rFonts w:hint="eastAsia" w:ascii="宋体" w:hAnsi="宋体" w:cs="宋体"/>
          <w:bCs/>
          <w:color w:val="auto"/>
          <w:szCs w:val="21"/>
          <w:highlight w:val="none"/>
        </w:rPr>
        <w:t>详见“投标人须知前附表”。</w:t>
      </w:r>
    </w:p>
    <w:p w14:paraId="0A22D4E3">
      <w:pPr>
        <w:keepNext/>
        <w:keepLines/>
        <w:spacing w:line="360" w:lineRule="auto"/>
        <w:ind w:firstLine="482" w:firstLineChars="200"/>
        <w:outlineLvl w:val="3"/>
        <w:rPr>
          <w:rFonts w:ascii="宋体" w:hAnsi="宋体" w:cs="宋体"/>
          <w:b/>
          <w:color w:val="auto"/>
          <w:sz w:val="24"/>
          <w:highlight w:val="none"/>
        </w:rPr>
      </w:pPr>
      <w:r>
        <w:rPr>
          <w:rFonts w:hint="eastAsia" w:ascii="宋体" w:hAnsi="宋体" w:cs="宋体"/>
          <w:b/>
          <w:color w:val="auto"/>
          <w:sz w:val="24"/>
          <w:highlight w:val="none"/>
        </w:rPr>
        <w:t>21.投标文件的提交</w:t>
      </w:r>
    </w:p>
    <w:p w14:paraId="417DD60B">
      <w:pPr>
        <w:keepNext/>
        <w:keepLines/>
        <w:spacing w:line="360" w:lineRule="auto"/>
        <w:ind w:firstLine="420" w:firstLineChars="200"/>
        <w:rPr>
          <w:rFonts w:ascii="宋体" w:hAnsi="宋体" w:cs="宋体"/>
          <w:b/>
          <w:color w:val="auto"/>
          <w:highlight w:val="none"/>
        </w:rPr>
      </w:pPr>
      <w:bookmarkStart w:id="105" w:name="_21.1投标人必须在“投标人须知中的前附表”规定的投标文件接收时间和投"/>
      <w:bookmarkEnd w:id="105"/>
      <w:r>
        <w:rPr>
          <w:rFonts w:hint="eastAsia" w:ascii="宋体" w:hAnsi="宋体" w:cs="宋体"/>
          <w:bCs/>
          <w:color w:val="auto"/>
          <w:szCs w:val="21"/>
          <w:highlight w:val="none"/>
        </w:rPr>
        <w:t>21.1投标人必须在“投标人须知前附表”规定的投标文件接收时间和投标地点提交电子版投标文件。电子投标文件应在制作完成后，在投标截止时间前通过有效数字证书（CA认证锁）进行电子签章、加密，然后通过网络将加密的电子投标文件递交至“广西政府采购云平台”。</w:t>
      </w:r>
    </w:p>
    <w:p w14:paraId="1119C211">
      <w:pPr>
        <w:keepNext/>
        <w:keepLines/>
        <w:spacing w:line="360" w:lineRule="auto"/>
        <w:ind w:firstLine="422" w:firstLineChars="200"/>
        <w:rPr>
          <w:rFonts w:ascii="宋体" w:hAnsi="宋体" w:cs="宋体"/>
          <w:b/>
          <w:color w:val="auto"/>
          <w:szCs w:val="20"/>
          <w:highlight w:val="none"/>
        </w:rPr>
      </w:pPr>
      <w:r>
        <w:rPr>
          <w:rFonts w:hint="eastAsia" w:ascii="宋体" w:hAnsi="宋体" w:cs="宋体"/>
          <w:b/>
          <w:color w:val="auto"/>
          <w:szCs w:val="21"/>
          <w:highlight w:val="none"/>
        </w:rPr>
        <w:t>21.2未在规定时间内提交或者未按照招标文件要求密封或者标记的电子投标文件，“广西政府采购云平台”将拒收。</w:t>
      </w:r>
    </w:p>
    <w:p w14:paraId="1AB43B5A">
      <w:pPr>
        <w:keepNext/>
        <w:keepLine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21.3电子版投标文件提交方式见“招标公告”中“四、提交投标文件截止时间、开标时间和地点”</w:t>
      </w:r>
      <w:r>
        <w:rPr>
          <w:rFonts w:hint="eastAsia" w:ascii="宋体" w:hAnsi="宋体" w:cs="宋体"/>
          <w:b/>
          <w:color w:val="auto"/>
          <w:szCs w:val="21"/>
          <w:highlight w:val="none"/>
        </w:rPr>
        <w:t xml:space="preserve"> 。</w:t>
      </w:r>
    </w:p>
    <w:p w14:paraId="4BB5F29C">
      <w:pPr>
        <w:keepNext/>
        <w:keepLines/>
        <w:spacing w:line="360" w:lineRule="auto"/>
        <w:ind w:firstLine="482" w:firstLineChars="200"/>
        <w:outlineLvl w:val="3"/>
        <w:rPr>
          <w:rFonts w:ascii="宋体" w:hAnsi="宋体" w:cs="宋体"/>
          <w:b/>
          <w:color w:val="auto"/>
          <w:sz w:val="24"/>
          <w:highlight w:val="none"/>
        </w:rPr>
      </w:pPr>
      <w:r>
        <w:rPr>
          <w:rFonts w:hint="eastAsia" w:ascii="宋体" w:hAnsi="宋体" w:cs="宋体"/>
          <w:b/>
          <w:color w:val="auto"/>
          <w:sz w:val="24"/>
          <w:highlight w:val="none"/>
        </w:rPr>
        <w:t>22.投标文件的补充、修改、撤回与退回</w:t>
      </w:r>
      <w:bookmarkStart w:id="106" w:name="_Toc254970543"/>
      <w:bookmarkStart w:id="107" w:name="_Toc254970684"/>
    </w:p>
    <w:p w14:paraId="7144756A">
      <w:pPr>
        <w:keepNext/>
        <w:keepLines/>
        <w:spacing w:line="360" w:lineRule="auto"/>
        <w:ind w:firstLine="420" w:firstLineChars="200"/>
        <w:rPr>
          <w:rFonts w:ascii="宋体" w:hAnsi="宋体" w:cs="宋体"/>
          <w:color w:val="auto"/>
          <w:sz w:val="24"/>
          <w:highlight w:val="none"/>
        </w:rPr>
      </w:pPr>
      <w:r>
        <w:rPr>
          <w:rFonts w:hint="eastAsia" w:ascii="宋体" w:hAnsi="宋体" w:cs="宋体"/>
          <w:color w:val="auto"/>
          <w:szCs w:val="21"/>
          <w:highlight w:val="none"/>
        </w:rPr>
        <w:t>22.1 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广西政府采购云平台”将拒收。</w:t>
      </w:r>
    </w:p>
    <w:p w14:paraId="4F144636">
      <w:pPr>
        <w:pStyle w:val="40"/>
        <w:keepNext/>
        <w:keepLines/>
        <w:spacing w:before="0"/>
        <w:ind w:firstLine="420"/>
        <w:rPr>
          <w:rFonts w:ascii="宋体" w:hAnsi="宋体" w:cs="宋体"/>
          <w:color w:val="auto"/>
          <w:sz w:val="21"/>
          <w:szCs w:val="21"/>
          <w:highlight w:val="none"/>
        </w:rPr>
      </w:pPr>
      <w:r>
        <w:rPr>
          <w:rFonts w:hint="eastAsia" w:ascii="宋体" w:hAnsi="宋体" w:cs="宋体"/>
          <w:color w:val="auto"/>
          <w:sz w:val="21"/>
          <w:szCs w:val="21"/>
          <w:highlight w:val="none"/>
        </w:rPr>
        <w:t>22.2“广西政府采购云平台”收到投标文件，将妥善保存并即时向供应商发出确认回执通知。在投标截止时间前，除供应商补充、修改或者撤回投标文件外，任何单位和个人不得解密或提取投标文件。</w:t>
      </w:r>
    </w:p>
    <w:bookmarkEnd w:id="106"/>
    <w:bookmarkEnd w:id="107"/>
    <w:p w14:paraId="29A2AB6F">
      <w:pPr>
        <w:keepNext/>
        <w:keepLines/>
        <w:spacing w:line="360" w:lineRule="auto"/>
        <w:ind w:firstLine="420" w:firstLineChars="200"/>
        <w:rPr>
          <w:rFonts w:hAnsi="宋体" w:cs="宋体"/>
          <w:snapToGrid w:val="0"/>
          <w:color w:val="auto"/>
          <w:szCs w:val="21"/>
          <w:highlight w:val="none"/>
        </w:rPr>
      </w:pPr>
      <w:r>
        <w:rPr>
          <w:rFonts w:hint="eastAsia" w:ascii="宋体" w:hAnsi="宋体" w:cs="宋体"/>
          <w:color w:val="auto"/>
          <w:szCs w:val="21"/>
          <w:highlight w:val="none"/>
        </w:rPr>
        <w:t>22.3在投标截止时间止提交电子版投标文件的投标人不足3家时，电子版投标文件由代理机构在“广西政府采购云平台”操作退回，除此之外采购人和采购代理机构对已提交的投标文件概不退回。</w:t>
      </w:r>
    </w:p>
    <w:p w14:paraId="5C56E704">
      <w:pPr>
        <w:pStyle w:val="4"/>
        <w:keepNext/>
        <w:keepLines/>
        <w:rPr>
          <w:color w:val="auto"/>
          <w:highlight w:val="none"/>
        </w:rPr>
      </w:pPr>
      <w:bookmarkStart w:id="108" w:name="_Toc17973"/>
      <w:bookmarkStart w:id="109" w:name="_Toc177716509"/>
      <w:bookmarkStart w:id="110" w:name="_Toc254970685"/>
      <w:bookmarkStart w:id="111" w:name="_Toc254970544"/>
      <w:bookmarkStart w:id="112" w:name="_Toc15545"/>
      <w:r>
        <w:rPr>
          <w:rFonts w:hint="eastAsia"/>
          <w:color w:val="auto"/>
          <w:highlight w:val="none"/>
        </w:rPr>
        <w:t>四、开标</w:t>
      </w:r>
      <w:bookmarkEnd w:id="108"/>
      <w:bookmarkEnd w:id="109"/>
      <w:bookmarkEnd w:id="110"/>
      <w:bookmarkEnd w:id="111"/>
      <w:bookmarkEnd w:id="112"/>
    </w:p>
    <w:p w14:paraId="4FB7CE67">
      <w:pPr>
        <w:keepNext/>
        <w:keepLines/>
        <w:spacing w:line="360" w:lineRule="auto"/>
        <w:ind w:firstLine="482" w:firstLineChars="200"/>
        <w:outlineLvl w:val="3"/>
        <w:rPr>
          <w:rFonts w:ascii="宋体" w:hAnsi="宋体" w:cs="宋体"/>
          <w:b/>
          <w:color w:val="auto"/>
          <w:sz w:val="24"/>
          <w:highlight w:val="none"/>
        </w:rPr>
      </w:pPr>
      <w:bookmarkStart w:id="113" w:name="_23.开标时间和地点"/>
      <w:bookmarkEnd w:id="113"/>
      <w:r>
        <w:rPr>
          <w:rFonts w:hint="eastAsia" w:ascii="宋体" w:hAnsi="宋体" w:cs="宋体"/>
          <w:b/>
          <w:color w:val="auto"/>
          <w:sz w:val="24"/>
          <w:highlight w:val="none"/>
        </w:rPr>
        <w:t>23.开标时间和地点</w:t>
      </w:r>
    </w:p>
    <w:p w14:paraId="22492575">
      <w:pPr>
        <w:keepNext/>
        <w:keepLines/>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23.1开标时间及地点详见“投标人须知前附表”</w:t>
      </w:r>
    </w:p>
    <w:p w14:paraId="1EE98230">
      <w:pPr>
        <w:keepNext/>
        <w:keepLines/>
        <w:spacing w:line="360" w:lineRule="auto"/>
        <w:ind w:firstLine="420" w:firstLineChars="200"/>
        <w:rPr>
          <w:rFonts w:ascii="宋体" w:hAnsi="宋体" w:cs="宋体"/>
          <w:color w:val="auto"/>
          <w:highlight w:val="none"/>
        </w:rPr>
      </w:pPr>
      <w:r>
        <w:rPr>
          <w:rFonts w:hint="eastAsia" w:ascii="宋体" w:hAnsi="宋体" w:cs="宋体"/>
          <w:color w:val="auto"/>
          <w:highlight w:val="none"/>
        </w:rPr>
        <w:t>23.2如</w:t>
      </w:r>
      <w:r>
        <w:rPr>
          <w:rFonts w:hint="eastAsia" w:ascii="宋体" w:hAnsi="宋体" w:cs="宋体"/>
          <w:bCs/>
          <w:color w:val="auto"/>
          <w:highlight w:val="none"/>
        </w:rPr>
        <w:t>投标人成功解密投标文件，但未在“广西政府采购云平台”电子开标大厅参加开标的，视同认可开标过程和结果，</w:t>
      </w:r>
      <w:r>
        <w:rPr>
          <w:rFonts w:hint="eastAsia" w:ascii="宋体" w:hAnsi="宋体" w:cs="宋体"/>
          <w:color w:val="auto"/>
          <w:highlight w:val="none"/>
        </w:rPr>
        <w:t>由此产生的后果由投标人自行负责。投标人不足3家的，不得开标。</w:t>
      </w:r>
    </w:p>
    <w:p w14:paraId="24B8E73D">
      <w:pPr>
        <w:keepNext/>
        <w:keepLines/>
        <w:spacing w:line="360" w:lineRule="auto"/>
        <w:ind w:firstLine="482" w:firstLineChars="200"/>
        <w:outlineLvl w:val="3"/>
        <w:rPr>
          <w:rFonts w:ascii="宋体" w:hAnsi="宋体" w:cs="宋体"/>
          <w:b/>
          <w:color w:val="auto"/>
          <w:sz w:val="24"/>
          <w:highlight w:val="none"/>
        </w:rPr>
      </w:pPr>
      <w:r>
        <w:rPr>
          <w:rFonts w:hint="eastAsia" w:ascii="宋体" w:hAnsi="宋体" w:cs="宋体"/>
          <w:b/>
          <w:color w:val="auto"/>
          <w:sz w:val="24"/>
          <w:highlight w:val="none"/>
        </w:rPr>
        <w:t>24.开标程序</w:t>
      </w:r>
    </w:p>
    <w:p w14:paraId="3C7071EB">
      <w:pPr>
        <w:keepNext/>
        <w:keepLines/>
        <w:spacing w:line="360" w:lineRule="auto"/>
        <w:ind w:firstLine="420" w:firstLineChars="200"/>
        <w:rPr>
          <w:rFonts w:ascii="宋体" w:hAnsi="宋体" w:cs="宋体"/>
          <w:color w:val="auto"/>
          <w:kern w:val="0"/>
          <w:szCs w:val="21"/>
          <w:highlight w:val="none"/>
        </w:rPr>
      </w:pPr>
      <w:r>
        <w:rPr>
          <w:rFonts w:hint="eastAsia" w:ascii="宋体" w:hAnsi="宋体" w:cs="宋体"/>
          <w:bCs/>
          <w:color w:val="auto"/>
          <w:szCs w:val="21"/>
          <w:highlight w:val="none"/>
        </w:rPr>
        <w:t>24.1</w:t>
      </w:r>
      <w:r>
        <w:rPr>
          <w:rFonts w:hint="eastAsia" w:ascii="宋体" w:hAnsi="宋体" w:cs="宋体"/>
          <w:color w:val="auto"/>
          <w:kern w:val="0"/>
          <w:szCs w:val="21"/>
          <w:highlight w:val="none"/>
        </w:rPr>
        <w:t>开标形式：</w:t>
      </w:r>
    </w:p>
    <w:p w14:paraId="0882A259">
      <w:pPr>
        <w:keepNext/>
        <w:keepLines/>
        <w:autoSpaceDE w:val="0"/>
        <w:autoSpaceDN w:val="0"/>
        <w:spacing w:line="360" w:lineRule="auto"/>
        <w:ind w:firstLine="420" w:firstLineChars="200"/>
        <w:rPr>
          <w:rFonts w:ascii="宋体" w:hAnsi="宋体" w:cs="宋体"/>
          <w:bCs/>
          <w:color w:val="auto"/>
          <w:szCs w:val="21"/>
          <w:highlight w:val="none"/>
        </w:rPr>
      </w:pPr>
      <w:r>
        <w:rPr>
          <w:rFonts w:hint="eastAsia" w:ascii="宋体" w:hAnsi="宋体" w:cs="宋体"/>
          <w:color w:val="auto"/>
          <w:szCs w:val="21"/>
          <w:highlight w:val="none"/>
        </w:rPr>
        <w:t>（1）</w:t>
      </w:r>
      <w:r>
        <w:rPr>
          <w:rFonts w:hint="eastAsia" w:ascii="宋体" w:hAnsi="宋体" w:cs="宋体"/>
          <w:bCs/>
          <w:color w:val="auto"/>
          <w:szCs w:val="21"/>
          <w:highlight w:val="none"/>
        </w:rPr>
        <w:t>开标的准备工作由采购代理机构负责落实，采购代理机构必须基于“广西政府采购云平台”选取评审专家，如采购代理机构未按规定选取专家的，视为本次开评标无效，应当重新采购；</w:t>
      </w:r>
    </w:p>
    <w:p w14:paraId="5934E71D">
      <w:pPr>
        <w:keepNext/>
        <w:keepLines/>
        <w:autoSpaceDE w:val="0"/>
        <w:autoSpaceDN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采购代理机构将按照招标文件规定的时间通过“广西政府采购云平台”组织线上开标活动、开启投标文件，所有供应商均应当准时在线参加。投标人如不参加开标大会的，视同认可开标结果，事后不得对采购相关人员、开标过程和开标结果提出异议，同时投标人因未在线参加开标而导致投标文件无法按时解密等一切后果由投标人自己承担。</w:t>
      </w:r>
    </w:p>
    <w:p w14:paraId="18E8DCA6">
      <w:pPr>
        <w:keepNext/>
        <w:keepLines/>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24.2开标程序：</w:t>
      </w:r>
    </w:p>
    <w:p w14:paraId="03497912">
      <w:pPr>
        <w:pStyle w:val="16"/>
        <w:keepNext/>
        <w:keepLines/>
        <w:spacing w:line="360" w:lineRule="auto"/>
        <w:ind w:firstLine="422" w:firstLineChars="200"/>
        <w:rPr>
          <w:rFonts w:cs="宋体"/>
          <w:color w:val="auto"/>
          <w:szCs w:val="21"/>
          <w:highlight w:val="none"/>
        </w:rPr>
      </w:pPr>
      <w:r>
        <w:rPr>
          <w:rFonts w:hint="eastAsia" w:cs="宋体"/>
          <w:b/>
          <w:color w:val="auto"/>
          <w:szCs w:val="21"/>
          <w:highlight w:val="none"/>
        </w:rPr>
        <w:t>（1）解密电子投标文件。</w:t>
      </w:r>
      <w:r>
        <w:rPr>
          <w:rFonts w:hint="eastAsia" w:cs="宋体"/>
          <w:color w:val="auto"/>
          <w:szCs w:val="21"/>
          <w:highlight w:val="none"/>
        </w:rPr>
        <w:t>“广西政府采购云平台”按开标时间自动提取所有投标文件。采购代理机构依托“广西政府采购云平台”平台向各投标人发出电子加密投标文件【开始解密】通知，由投标人按招标文件规定的时间内自行进行投标文件解密。投标人的法定代表人或其委托代理人</w:t>
      </w:r>
      <w:r>
        <w:rPr>
          <w:rFonts w:hint="eastAsia" w:cs="宋体"/>
          <w:b/>
          <w:color w:val="auto"/>
          <w:szCs w:val="21"/>
          <w:highlight w:val="none"/>
        </w:rPr>
        <w:t>须携带加密时所用的CA锁准时登录到“广西政府采购云平台”电子开标大厅签到并对电子投标文件解密</w:t>
      </w:r>
      <w:r>
        <w:rPr>
          <w:rFonts w:hint="eastAsia" w:cs="宋体"/>
          <w:color w:val="auto"/>
          <w:szCs w:val="21"/>
          <w:highlight w:val="none"/>
        </w:rPr>
        <w:t>。开标后5分钟投标人还未进行解密的，代理机构要通知投标人。通知后，投标文件仍未按时解密，或者投标人没有预留联系方式或预留联系方式无效，导致代理机构无法联系到投标人进行解密的，</w:t>
      </w:r>
      <w:r>
        <w:rPr>
          <w:rFonts w:hint="eastAsia" w:cs="宋体"/>
          <w:b/>
          <w:color w:val="auto"/>
          <w:szCs w:val="21"/>
          <w:highlight w:val="none"/>
        </w:rPr>
        <w:t>均视为无效投标。</w:t>
      </w:r>
    </w:p>
    <w:p w14:paraId="43A7FCBD">
      <w:pPr>
        <w:pStyle w:val="16"/>
        <w:keepNext/>
        <w:keepLines/>
        <w:spacing w:line="360" w:lineRule="auto"/>
        <w:ind w:firstLine="420" w:firstLineChars="200"/>
        <w:rPr>
          <w:rFonts w:cs="宋体"/>
          <w:color w:val="auto"/>
          <w:szCs w:val="21"/>
          <w:highlight w:val="none"/>
        </w:rPr>
      </w:pPr>
      <w:r>
        <w:rPr>
          <w:rFonts w:hint="eastAsia" w:cs="宋体"/>
          <w:color w:val="auto"/>
          <w:szCs w:val="21"/>
          <w:highlight w:val="none"/>
        </w:rPr>
        <w:t>（解密</w:t>
      </w:r>
      <w:r>
        <w:rPr>
          <w:rFonts w:hint="eastAsia" w:cs="宋体"/>
          <w:bCs/>
          <w:color w:val="auto"/>
          <w:szCs w:val="21"/>
          <w:highlight w:val="none"/>
        </w:rPr>
        <w:t>异常情况处理：详见本章</w:t>
      </w:r>
      <w:r>
        <w:rPr>
          <w:rFonts w:hint="eastAsia" w:cs="宋体"/>
          <w:color w:val="auto"/>
          <w:highlight w:val="none"/>
        </w:rPr>
        <w:t>29.3 电子交易活动的中止</w:t>
      </w:r>
      <w:r>
        <w:rPr>
          <w:rFonts w:hint="eastAsia" w:cs="宋体"/>
          <w:color w:val="auto"/>
          <w:szCs w:val="21"/>
          <w:highlight w:val="none"/>
        </w:rPr>
        <w:t>）</w:t>
      </w:r>
    </w:p>
    <w:p w14:paraId="1BB99596">
      <w:pPr>
        <w:keepNext/>
        <w:keepLines/>
        <w:spacing w:line="360" w:lineRule="auto"/>
        <w:ind w:firstLine="422" w:firstLineChars="200"/>
        <w:rPr>
          <w:rFonts w:ascii="宋体" w:hAnsi="宋体" w:cs="宋体"/>
          <w:color w:val="auto"/>
          <w:szCs w:val="21"/>
          <w:highlight w:val="none"/>
        </w:rPr>
      </w:pPr>
      <w:r>
        <w:rPr>
          <w:rFonts w:hint="eastAsia" w:ascii="宋体" w:hAnsi="宋体" w:cs="宋体"/>
          <w:b/>
          <w:bCs/>
          <w:color w:val="auto"/>
          <w:szCs w:val="21"/>
          <w:highlight w:val="none"/>
        </w:rPr>
        <w:t>（2）电子唱标。</w:t>
      </w:r>
      <w:r>
        <w:rPr>
          <w:rFonts w:hint="eastAsia" w:ascii="宋体" w:hAnsi="宋体" w:cs="宋体"/>
          <w:color w:val="auto"/>
          <w:szCs w:val="21"/>
          <w:highlight w:val="none"/>
        </w:rPr>
        <w:t>投标文件解密结束，各投标供应商报价均在“广西政府采购云平台”远程不见面开标大厅展示。</w:t>
      </w:r>
    </w:p>
    <w:p w14:paraId="60F49839">
      <w:pPr>
        <w:keepNext/>
        <w:keepLine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b/>
          <w:color w:val="auto"/>
          <w:szCs w:val="21"/>
          <w:highlight w:val="none"/>
        </w:rPr>
        <w:t>签署电子《政府采购活动现场确认声明书》。</w:t>
      </w:r>
      <w:r>
        <w:rPr>
          <w:rFonts w:hint="eastAsia" w:ascii="宋体" w:hAnsi="宋体" w:cs="宋体"/>
          <w:color w:val="auto"/>
          <w:szCs w:val="21"/>
          <w:highlight w:val="none"/>
        </w:rPr>
        <w:t>通过邮件形式在远程不见面开标大厅发送各投标人签署电子《政府采购活动现场确认声明书》。</w:t>
      </w:r>
    </w:p>
    <w:p w14:paraId="50257E23">
      <w:pPr>
        <w:keepNext/>
        <w:keepLines/>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（4）开标过程由采购代理机构如实记录，并电子留痕，由参加电子开标的各投标人代表对电子开标记录在开标记录公布后15分钟内进行当场校核及勘误，并线上确认，未确认的视同认可开标结果。</w:t>
      </w:r>
    </w:p>
    <w:p w14:paraId="67FD2216">
      <w:pPr>
        <w:keepNext/>
        <w:keepLines/>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5）投标人代表对开标过程和开标记录有疑义，以及认为采购人、采购代理机构相关工作人员有需要回避的情形的，应当场提出在线询问或者回避申请。采购人、采购代理机构对投标人代表提出的询问或者回避申请应当及时处理。</w:t>
      </w:r>
    </w:p>
    <w:p w14:paraId="58CF852B">
      <w:pPr>
        <w:keepNext/>
        <w:keepLines/>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（6）开标结束。</w:t>
      </w:r>
    </w:p>
    <w:p w14:paraId="0F948766">
      <w:pPr>
        <w:pStyle w:val="16"/>
        <w:keepNext/>
        <w:keepLines/>
        <w:spacing w:line="360" w:lineRule="auto"/>
        <w:ind w:firstLine="422" w:firstLineChars="200"/>
        <w:rPr>
          <w:rFonts w:cs="宋体"/>
          <w:color w:val="auto"/>
          <w:highlight w:val="none"/>
        </w:rPr>
      </w:pPr>
      <w:r>
        <w:rPr>
          <w:rFonts w:hint="eastAsia" w:cs="宋体"/>
          <w:b/>
          <w:bCs/>
          <w:color w:val="auto"/>
          <w:szCs w:val="21"/>
          <w:highlight w:val="none"/>
        </w:rPr>
        <w:t>特别说明：</w:t>
      </w:r>
      <w:r>
        <w:rPr>
          <w:rFonts w:hint="eastAsia" w:cs="宋体"/>
          <w:color w:val="auto"/>
          <w:szCs w:val="21"/>
          <w:highlight w:val="none"/>
        </w:rPr>
        <w:t>如遇“广西政府采购云平台”电子化开标或评审程序调整的，按调整后执行。</w:t>
      </w:r>
    </w:p>
    <w:p w14:paraId="49A0F23D">
      <w:pPr>
        <w:pStyle w:val="4"/>
        <w:keepNext/>
        <w:keepLines/>
        <w:rPr>
          <w:color w:val="auto"/>
          <w:highlight w:val="none"/>
        </w:rPr>
      </w:pPr>
      <w:bookmarkStart w:id="114" w:name="_Toc5499"/>
      <w:bookmarkStart w:id="115" w:name="_Toc3697"/>
      <w:bookmarkStart w:id="116" w:name="_Toc177716510"/>
      <w:r>
        <w:rPr>
          <w:rFonts w:hint="eastAsia"/>
          <w:color w:val="auto"/>
          <w:highlight w:val="none"/>
        </w:rPr>
        <w:t>五、资格审查</w:t>
      </w:r>
      <w:bookmarkEnd w:id="114"/>
      <w:bookmarkEnd w:id="115"/>
      <w:bookmarkEnd w:id="116"/>
    </w:p>
    <w:p w14:paraId="105FAE91">
      <w:pPr>
        <w:keepNext/>
        <w:keepLines/>
        <w:spacing w:line="360" w:lineRule="auto"/>
        <w:ind w:firstLine="482" w:firstLineChars="200"/>
        <w:outlineLvl w:val="3"/>
        <w:rPr>
          <w:rFonts w:ascii="宋体" w:hAnsi="宋体" w:cs="宋体"/>
          <w:b/>
          <w:color w:val="auto"/>
          <w:sz w:val="24"/>
          <w:highlight w:val="none"/>
        </w:rPr>
      </w:pPr>
      <w:r>
        <w:rPr>
          <w:rFonts w:hint="eastAsia" w:ascii="宋体" w:hAnsi="宋体" w:cs="宋体"/>
          <w:b/>
          <w:color w:val="auto"/>
          <w:sz w:val="24"/>
          <w:highlight w:val="none"/>
        </w:rPr>
        <w:t>25.资格审查</w:t>
      </w:r>
    </w:p>
    <w:p w14:paraId="0C1BCAC3">
      <w:pPr>
        <w:keepNext/>
        <w:keepLines/>
        <w:spacing w:line="360" w:lineRule="auto"/>
        <w:ind w:firstLine="420" w:firstLineChars="200"/>
        <w:rPr>
          <w:rFonts w:ascii="宋体" w:hAnsi="宋体" w:cs="宋体"/>
          <w:color w:val="auto"/>
          <w:szCs w:val="20"/>
          <w:highlight w:val="none"/>
        </w:rPr>
      </w:pPr>
      <w:r>
        <w:rPr>
          <w:rFonts w:hint="eastAsia" w:ascii="宋体" w:hAnsi="宋体" w:cs="宋体"/>
          <w:color w:val="auto"/>
          <w:szCs w:val="20"/>
          <w:highlight w:val="none"/>
        </w:rPr>
        <w:t xml:space="preserve"> 25.1开标结束后，采购人或采购机构依法通过电子投标文件对投标人的资格进行线上审查。</w:t>
      </w:r>
    </w:p>
    <w:p w14:paraId="0310BABF">
      <w:pPr>
        <w:keepNext/>
        <w:keepLines/>
        <w:spacing w:line="360" w:lineRule="auto"/>
        <w:ind w:firstLine="420" w:firstLineChars="200"/>
        <w:rPr>
          <w:rFonts w:ascii="宋体" w:hAnsi="宋体" w:cs="宋体"/>
          <w:color w:val="auto"/>
          <w:szCs w:val="20"/>
          <w:highlight w:val="none"/>
        </w:rPr>
      </w:pPr>
      <w:r>
        <w:rPr>
          <w:rFonts w:hint="eastAsia" w:ascii="宋体" w:hAnsi="宋体" w:cs="宋体"/>
          <w:color w:val="auto"/>
          <w:szCs w:val="20"/>
          <w:highlight w:val="none"/>
        </w:rPr>
        <w:t xml:space="preserve"> 25.2采购人或采购机构依据法律法规和招标文件的规定，对投标人的基本资格条件、特定资格条件进行审查。</w:t>
      </w:r>
    </w:p>
    <w:p w14:paraId="69F96041">
      <w:pPr>
        <w:keepNext/>
        <w:keepLines/>
        <w:spacing w:line="360" w:lineRule="auto"/>
        <w:ind w:firstLine="420" w:firstLineChars="200"/>
        <w:rPr>
          <w:rFonts w:ascii="宋体" w:hAnsi="宋体" w:cs="宋体"/>
          <w:color w:val="auto"/>
          <w:highlight w:val="none"/>
        </w:rPr>
      </w:pPr>
      <w:r>
        <w:rPr>
          <w:rFonts w:hint="eastAsia" w:ascii="宋体" w:hAnsi="宋体" w:cs="宋体"/>
          <w:color w:val="auto"/>
          <w:highlight w:val="none"/>
        </w:rPr>
        <w:t>25.3资格审查标准</w:t>
      </w:r>
      <w:r>
        <w:rPr>
          <w:rFonts w:hint="eastAsia" w:ascii="宋体" w:hAnsi="宋体"/>
          <w:color w:val="auto"/>
          <w:szCs w:val="21"/>
          <w:highlight w:val="none"/>
        </w:rPr>
        <w:t>为本招标文件中载明对投标人资格要求的条件</w:t>
      </w:r>
      <w:r>
        <w:rPr>
          <w:rFonts w:hint="eastAsia" w:ascii="宋体" w:hAnsi="宋体" w:cs="宋体"/>
          <w:color w:val="auto"/>
          <w:highlight w:val="none"/>
        </w:rPr>
        <w:t>。本项目资格审查采用合格制，凡符合招标文件规定的投标人资格要求的投标人均通过资格审查。</w:t>
      </w:r>
    </w:p>
    <w:p w14:paraId="56C8A179">
      <w:pPr>
        <w:keepNext/>
        <w:keepLines/>
        <w:spacing w:line="360" w:lineRule="auto"/>
        <w:ind w:firstLine="422" w:firstLineChars="200"/>
        <w:rPr>
          <w:rFonts w:ascii="宋体" w:hAnsi="宋体" w:cs="宋体"/>
          <w:b/>
          <w:bCs/>
          <w:color w:val="auto"/>
          <w:szCs w:val="20"/>
          <w:highlight w:val="none"/>
        </w:rPr>
      </w:pPr>
      <w:bookmarkStart w:id="117" w:name="_25.3_投标人有下列情形之一的，资格审查不通过而导致其投标无效："/>
      <w:bookmarkEnd w:id="117"/>
      <w:r>
        <w:rPr>
          <w:rFonts w:hint="eastAsia" w:ascii="宋体" w:hAnsi="宋体" w:cs="宋体"/>
          <w:b/>
          <w:bCs/>
          <w:color w:val="auto"/>
          <w:szCs w:val="20"/>
          <w:highlight w:val="none"/>
        </w:rPr>
        <w:t>25.4投标人有下列情形之一的，资格审查不通过，作无效投标处理：</w:t>
      </w:r>
    </w:p>
    <w:p w14:paraId="587C6CBB">
      <w:pPr>
        <w:keepNext/>
        <w:keepLines/>
        <w:spacing w:line="360" w:lineRule="auto"/>
        <w:ind w:firstLine="420" w:firstLineChars="200"/>
        <w:rPr>
          <w:rFonts w:ascii="宋体" w:hAnsi="宋体" w:cs="宋体"/>
          <w:color w:val="auto"/>
          <w:highlight w:val="none"/>
        </w:rPr>
      </w:pPr>
      <w:r>
        <w:rPr>
          <w:rFonts w:hint="eastAsia" w:ascii="宋体" w:hAnsi="宋体" w:cs="宋体"/>
          <w:color w:val="auto"/>
          <w:highlight w:val="none"/>
        </w:rPr>
        <w:t>（1）不具备招标文件中规定的资格要求的；（注：其中信用查询规则见“投标人须知前附表”“广西政府采购云平台”已与“信用中国”平台做接口，审查专家可直接在线查询）</w:t>
      </w:r>
    </w:p>
    <w:p w14:paraId="71D305BE">
      <w:pPr>
        <w:keepNext/>
        <w:keepLines/>
        <w:spacing w:line="360" w:lineRule="auto"/>
        <w:ind w:firstLine="420" w:firstLineChars="200"/>
        <w:rPr>
          <w:rFonts w:ascii="宋体" w:hAnsi="宋体" w:cs="宋体"/>
          <w:color w:val="auto"/>
          <w:highlight w:val="none"/>
        </w:rPr>
      </w:pPr>
      <w:r>
        <w:rPr>
          <w:rFonts w:hint="eastAsia" w:ascii="宋体" w:hAnsi="宋体" w:cs="宋体"/>
          <w:color w:val="auto"/>
          <w:highlight w:val="none"/>
        </w:rPr>
        <w:t>（2）投标文件未提供任一项“投标人须知前附表”资格证明文件规定的“必须提供”的文件资料的；</w:t>
      </w:r>
    </w:p>
    <w:p w14:paraId="5127D0E5">
      <w:pPr>
        <w:keepNext/>
        <w:keepLines/>
        <w:spacing w:line="360" w:lineRule="auto"/>
        <w:ind w:firstLine="420" w:firstLineChars="200"/>
        <w:rPr>
          <w:rFonts w:ascii="宋体" w:hAnsi="宋体" w:cs="宋体"/>
          <w:color w:val="auto"/>
          <w:highlight w:val="none"/>
        </w:rPr>
      </w:pPr>
      <w:r>
        <w:rPr>
          <w:rFonts w:hint="eastAsia" w:ascii="宋体" w:hAnsi="宋体" w:cs="宋体"/>
          <w:color w:val="auto"/>
          <w:highlight w:val="none"/>
        </w:rPr>
        <w:t>（3）投标文件提供的资格证明文件出现任一项不符合“投标人须知前附表”资格证明文件规定的“必须提供”的文件资料要求或者无效的。</w:t>
      </w:r>
    </w:p>
    <w:p w14:paraId="2D4D94EA">
      <w:pPr>
        <w:keepNext/>
        <w:keepLines/>
        <w:spacing w:line="360" w:lineRule="auto"/>
        <w:ind w:firstLine="420" w:firstLineChars="200"/>
        <w:rPr>
          <w:rFonts w:ascii="宋体" w:hAnsi="宋体" w:cs="宋体"/>
          <w:color w:val="auto"/>
          <w:szCs w:val="20"/>
          <w:highlight w:val="none"/>
        </w:rPr>
      </w:pPr>
      <w:r>
        <w:rPr>
          <w:rFonts w:hint="eastAsia" w:ascii="宋体" w:hAnsi="宋体" w:cs="宋体"/>
          <w:color w:val="auto"/>
          <w:szCs w:val="20"/>
          <w:highlight w:val="none"/>
        </w:rPr>
        <w:t>25.5资格</w:t>
      </w:r>
      <w:r>
        <w:rPr>
          <w:rFonts w:hint="eastAsia" w:ascii="宋体" w:hAnsi="宋体" w:cs="宋体"/>
          <w:color w:val="auto"/>
          <w:highlight w:val="none"/>
        </w:rPr>
        <w:t>审查</w:t>
      </w:r>
      <w:r>
        <w:rPr>
          <w:rFonts w:hint="eastAsia" w:ascii="宋体" w:hAnsi="宋体" w:cs="宋体"/>
          <w:color w:val="auto"/>
          <w:szCs w:val="20"/>
          <w:highlight w:val="none"/>
        </w:rPr>
        <w:t>的合格投标人不足3家的，不得评标。</w:t>
      </w:r>
    </w:p>
    <w:p w14:paraId="16B191A2">
      <w:pPr>
        <w:pStyle w:val="4"/>
        <w:keepNext/>
        <w:keepLines/>
        <w:rPr>
          <w:color w:val="auto"/>
          <w:highlight w:val="none"/>
        </w:rPr>
      </w:pPr>
      <w:bookmarkStart w:id="118" w:name="_Toc32340"/>
      <w:bookmarkStart w:id="119" w:name="_Toc23538"/>
      <w:bookmarkStart w:id="120" w:name="_Toc177716511"/>
      <w:r>
        <w:rPr>
          <w:rFonts w:hint="eastAsia"/>
          <w:color w:val="auto"/>
          <w:highlight w:val="none"/>
        </w:rPr>
        <w:t>六、评   标</w:t>
      </w:r>
      <w:bookmarkEnd w:id="118"/>
      <w:bookmarkEnd w:id="119"/>
      <w:bookmarkEnd w:id="120"/>
    </w:p>
    <w:p w14:paraId="7E23ED27">
      <w:pPr>
        <w:keepNext/>
        <w:keepLines/>
        <w:spacing w:line="360" w:lineRule="auto"/>
        <w:ind w:firstLine="482" w:firstLineChars="200"/>
        <w:outlineLvl w:val="3"/>
        <w:rPr>
          <w:rFonts w:ascii="宋体" w:hAnsi="宋体" w:cs="宋体"/>
          <w:b/>
          <w:color w:val="auto"/>
          <w:sz w:val="24"/>
          <w:highlight w:val="none"/>
        </w:rPr>
      </w:pPr>
      <w:bookmarkStart w:id="121" w:name="_26.组建评标委员会"/>
      <w:bookmarkEnd w:id="121"/>
      <w:r>
        <w:rPr>
          <w:rFonts w:hint="eastAsia" w:ascii="宋体" w:hAnsi="宋体" w:cs="宋体"/>
          <w:b/>
          <w:color w:val="auto"/>
          <w:sz w:val="24"/>
          <w:highlight w:val="none"/>
        </w:rPr>
        <w:t>26.组建评标委员会</w:t>
      </w:r>
    </w:p>
    <w:p w14:paraId="105291E6">
      <w:pPr>
        <w:keepNext/>
        <w:keepLines/>
        <w:spacing w:line="360" w:lineRule="auto"/>
        <w:ind w:firstLine="420" w:firstLineChars="200"/>
        <w:rPr>
          <w:rFonts w:ascii="宋体" w:hAnsi="宋体" w:cs="宋体"/>
          <w:color w:val="auto"/>
          <w:highlight w:val="none"/>
        </w:rPr>
      </w:pPr>
      <w:r>
        <w:rPr>
          <w:rFonts w:hint="eastAsia" w:ascii="宋体" w:hAnsi="宋体" w:cs="宋体"/>
          <w:color w:val="auto"/>
          <w:highlight w:val="none"/>
        </w:rPr>
        <w:t>26.1评标委员会由采购人代表和评审专家组成，</w:t>
      </w:r>
      <w:r>
        <w:rPr>
          <w:rFonts w:hint="eastAsia" w:hAnsi="宋体"/>
          <w:color w:val="auto"/>
          <w:highlight w:val="none"/>
        </w:rPr>
        <w:t>具体人数详见“投标人须知前附表”</w:t>
      </w:r>
      <w:r>
        <w:rPr>
          <w:rFonts w:hint="eastAsia" w:ascii="宋体" w:hAnsi="宋体" w:cs="宋体"/>
          <w:color w:val="auto"/>
          <w:highlight w:val="none"/>
        </w:rPr>
        <w:t>，其中评审专家不得少于成员总数的三分之二。</w:t>
      </w:r>
    </w:p>
    <w:p w14:paraId="31246EB5">
      <w:pPr>
        <w:keepNext/>
        <w:keepLines/>
        <w:spacing w:line="360" w:lineRule="auto"/>
        <w:ind w:firstLine="420" w:firstLineChars="200"/>
        <w:rPr>
          <w:rFonts w:ascii="宋体" w:hAnsi="宋体" w:cs="宋体"/>
          <w:color w:val="auto"/>
          <w:highlight w:val="none"/>
        </w:rPr>
      </w:pPr>
      <w:r>
        <w:rPr>
          <w:rFonts w:hint="eastAsia" w:ascii="宋体" w:hAnsi="宋体" w:cs="宋体"/>
          <w:color w:val="auto"/>
          <w:highlight w:val="none"/>
        </w:rPr>
        <w:t>26.2参加过采购项目前期咨询论证的专家，不得参加该采购项目的评审活动。</w:t>
      </w:r>
    </w:p>
    <w:p w14:paraId="7021DCE2">
      <w:pPr>
        <w:keepNext/>
        <w:keepLines/>
        <w:spacing w:line="360" w:lineRule="auto"/>
        <w:ind w:firstLine="482" w:firstLineChars="200"/>
        <w:outlineLvl w:val="3"/>
        <w:rPr>
          <w:rFonts w:ascii="宋体" w:hAnsi="宋体" w:cs="宋体"/>
          <w:b/>
          <w:color w:val="auto"/>
          <w:sz w:val="24"/>
          <w:highlight w:val="none"/>
        </w:rPr>
      </w:pPr>
      <w:r>
        <w:rPr>
          <w:rFonts w:hint="eastAsia" w:ascii="宋体" w:hAnsi="宋体" w:cs="宋体"/>
          <w:b/>
          <w:color w:val="auto"/>
          <w:sz w:val="24"/>
          <w:highlight w:val="none"/>
        </w:rPr>
        <w:t>27.评标的依据</w:t>
      </w:r>
    </w:p>
    <w:p w14:paraId="62D632FA">
      <w:pPr>
        <w:keepNext/>
        <w:keepLines/>
        <w:spacing w:line="360" w:lineRule="auto"/>
        <w:ind w:firstLine="420" w:firstLineChars="200"/>
        <w:rPr>
          <w:rFonts w:ascii="宋体" w:hAnsi="宋体" w:cs="宋体"/>
          <w:color w:val="auto"/>
          <w:highlight w:val="none"/>
        </w:rPr>
      </w:pPr>
      <w:r>
        <w:rPr>
          <w:rFonts w:hint="eastAsia" w:ascii="宋体" w:hAnsi="宋体" w:cs="宋体"/>
          <w:color w:val="auto"/>
          <w:highlight w:val="none"/>
        </w:rPr>
        <w:t>评标委员会以招标文件为依据对投标文件进行评审，“第四章 评标方法及评分标准”没有规定的方法、评审因素和标准，不作为评标依据。</w:t>
      </w:r>
    </w:p>
    <w:p w14:paraId="6D088C8A">
      <w:pPr>
        <w:keepNext/>
        <w:keepLines/>
        <w:spacing w:line="360" w:lineRule="auto"/>
        <w:ind w:firstLine="482" w:firstLineChars="200"/>
        <w:outlineLvl w:val="3"/>
        <w:rPr>
          <w:rFonts w:ascii="宋体" w:hAnsi="宋体" w:cs="宋体"/>
          <w:b/>
          <w:color w:val="auto"/>
          <w:sz w:val="24"/>
          <w:highlight w:val="none"/>
        </w:rPr>
      </w:pPr>
      <w:r>
        <w:rPr>
          <w:rFonts w:hint="eastAsia" w:ascii="宋体" w:hAnsi="宋体" w:cs="宋体"/>
          <w:b/>
          <w:color w:val="auto"/>
          <w:sz w:val="24"/>
          <w:highlight w:val="none"/>
        </w:rPr>
        <w:t>28.评标原则</w:t>
      </w:r>
    </w:p>
    <w:p w14:paraId="5BA2CF2E">
      <w:pPr>
        <w:keepNext/>
        <w:keepLines/>
        <w:spacing w:line="360" w:lineRule="auto"/>
        <w:ind w:firstLine="420" w:firstLineChars="200"/>
        <w:rPr>
          <w:rFonts w:ascii="宋体" w:hAnsi="宋体" w:cs="宋体"/>
          <w:color w:val="auto"/>
          <w:highlight w:val="none"/>
        </w:rPr>
      </w:pPr>
      <w:r>
        <w:rPr>
          <w:rFonts w:hint="eastAsia" w:ascii="宋体" w:hAnsi="宋体" w:cs="宋体"/>
          <w:color w:val="auto"/>
          <w:highlight w:val="none"/>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52D40947">
      <w:pPr>
        <w:keepNext/>
        <w:keepLines/>
        <w:spacing w:line="360" w:lineRule="auto"/>
        <w:ind w:firstLine="420" w:firstLineChars="200"/>
        <w:rPr>
          <w:rFonts w:ascii="宋体" w:hAnsi="宋体" w:cs="宋体"/>
          <w:color w:val="auto"/>
          <w:highlight w:val="none"/>
        </w:rPr>
      </w:pPr>
      <w:r>
        <w:rPr>
          <w:rFonts w:hint="eastAsia" w:ascii="宋体" w:hAnsi="宋体" w:cs="宋体"/>
          <w:color w:val="auto"/>
          <w:highlight w:val="none"/>
        </w:rPr>
        <w:t>28.2评委表决。在评标过程中出现法律法规和招标文件均没有明确规定的情形时，由评标委员会现场协商解决，协商不一致的，由全体评委投票表决，以得票率二分之一以上专家的意见为准并由采购代理机构做记录。</w:t>
      </w:r>
      <w:bookmarkStart w:id="122" w:name="_28.3评标方法。本项目将按须知前附表规定的评标办法进行评标，具体评标"/>
      <w:bookmarkEnd w:id="122"/>
    </w:p>
    <w:p w14:paraId="2E01466F">
      <w:pPr>
        <w:keepNext/>
        <w:keepLines/>
        <w:spacing w:line="360" w:lineRule="auto"/>
        <w:ind w:firstLine="420" w:firstLineChars="200"/>
        <w:rPr>
          <w:rFonts w:ascii="宋体" w:hAnsi="宋体" w:cs="宋体"/>
          <w:color w:val="auto"/>
          <w:highlight w:val="none"/>
        </w:rPr>
      </w:pPr>
      <w:r>
        <w:rPr>
          <w:rFonts w:hint="eastAsia" w:ascii="宋体" w:hAnsi="宋体" w:cs="宋体"/>
          <w:color w:val="auto"/>
          <w:highlight w:val="none"/>
        </w:rPr>
        <w:t>28.3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39C95782">
      <w:pPr>
        <w:keepNext/>
        <w:keepLines/>
        <w:spacing w:line="360" w:lineRule="auto"/>
        <w:ind w:firstLine="420" w:firstLineChars="200"/>
        <w:rPr>
          <w:rFonts w:ascii="宋体" w:hAnsi="宋体" w:cs="宋体"/>
          <w:color w:val="auto"/>
          <w:highlight w:val="none"/>
        </w:rPr>
      </w:pPr>
      <w:r>
        <w:rPr>
          <w:rFonts w:hint="eastAsia" w:ascii="宋体" w:hAnsi="宋体" w:cs="宋体"/>
          <w:color w:val="auto"/>
          <w:highlight w:val="none"/>
        </w:rPr>
        <w:t>28.4评标过程的监控。本项目电子评标过程实行网上留痕、全程录音、录像监控，投标人在评标过程中所进行的试图影响评标结果的不公正活动，可能导致其投标按无效处理。</w:t>
      </w:r>
    </w:p>
    <w:p w14:paraId="01A5740C">
      <w:pPr>
        <w:keepNext/>
        <w:keepLines/>
        <w:spacing w:line="360" w:lineRule="auto"/>
        <w:ind w:firstLine="420" w:firstLineChars="200"/>
        <w:rPr>
          <w:rFonts w:ascii="宋体" w:hAnsi="宋体" w:cs="宋体"/>
          <w:color w:val="auto"/>
          <w:sz w:val="24"/>
          <w:highlight w:val="none"/>
        </w:rPr>
      </w:pPr>
      <w:r>
        <w:rPr>
          <w:rFonts w:hint="eastAsia" w:ascii="宋体" w:hAnsi="宋体" w:cs="宋体"/>
          <w:color w:val="auto"/>
          <w:highlight w:val="none"/>
        </w:rPr>
        <w:t>28.5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697AFB41">
      <w:pPr>
        <w:keepNext/>
        <w:keepLines/>
        <w:spacing w:line="360" w:lineRule="auto"/>
        <w:ind w:firstLine="482" w:firstLineChars="200"/>
        <w:outlineLvl w:val="3"/>
        <w:rPr>
          <w:rFonts w:ascii="宋体" w:hAnsi="宋体" w:cs="宋体"/>
          <w:b/>
          <w:color w:val="auto"/>
          <w:sz w:val="24"/>
          <w:highlight w:val="none"/>
        </w:rPr>
      </w:pPr>
      <w:r>
        <w:rPr>
          <w:rFonts w:hint="eastAsia" w:ascii="宋体" w:hAnsi="宋体" w:cs="宋体"/>
          <w:b/>
          <w:color w:val="auto"/>
          <w:sz w:val="24"/>
          <w:highlight w:val="none"/>
        </w:rPr>
        <w:t>29.评标方法及评标标准</w:t>
      </w:r>
    </w:p>
    <w:p w14:paraId="59D9E9AB">
      <w:pPr>
        <w:keepNext/>
        <w:keepLines/>
        <w:spacing w:line="360" w:lineRule="auto"/>
        <w:ind w:firstLine="420" w:firstLineChars="200"/>
        <w:rPr>
          <w:rFonts w:ascii="宋体" w:hAnsi="宋体" w:cs="宋体"/>
          <w:color w:val="auto"/>
          <w:highlight w:val="none"/>
        </w:rPr>
      </w:pPr>
      <w:r>
        <w:rPr>
          <w:rFonts w:hint="eastAsia" w:ascii="宋体" w:hAnsi="宋体" w:cs="宋体"/>
          <w:color w:val="auto"/>
          <w:highlight w:val="none"/>
        </w:rPr>
        <w:t>29.1本项目的评标方法详见“投标人须知前附表”。</w:t>
      </w:r>
    </w:p>
    <w:p w14:paraId="21C6F05A">
      <w:pPr>
        <w:keepNext/>
        <w:keepLines/>
        <w:spacing w:line="360" w:lineRule="auto"/>
        <w:ind w:firstLine="420" w:firstLineChars="200"/>
        <w:rPr>
          <w:rFonts w:ascii="宋体" w:hAnsi="宋体" w:cs="宋体"/>
          <w:color w:val="auto"/>
          <w:highlight w:val="none"/>
        </w:rPr>
      </w:pPr>
      <w:r>
        <w:rPr>
          <w:rFonts w:hint="eastAsia" w:ascii="宋体" w:hAnsi="宋体" w:cs="宋体"/>
          <w:color w:val="auto"/>
          <w:highlight w:val="none"/>
        </w:rPr>
        <w:t>29.2 评标委员会按照</w:t>
      </w:r>
      <w:r>
        <w:rPr>
          <w:rFonts w:hint="eastAsia" w:ascii="宋体" w:hAnsi="宋体" w:cs="宋体"/>
          <w:b/>
          <w:color w:val="auto"/>
          <w:highlight w:val="none"/>
        </w:rPr>
        <w:t>“第四章 评标方法及评分标准”</w:t>
      </w:r>
      <w:r>
        <w:rPr>
          <w:rFonts w:hint="eastAsia" w:ascii="宋体" w:hAnsi="宋体" w:cs="宋体"/>
          <w:color w:val="auto"/>
          <w:highlight w:val="none"/>
        </w:rPr>
        <w:t>规定的方法、评审因素、标准和程序对投标文件进行评审。</w:t>
      </w:r>
    </w:p>
    <w:p w14:paraId="207D318C">
      <w:pPr>
        <w:keepNext/>
        <w:keepLines/>
        <w:spacing w:line="360" w:lineRule="auto"/>
        <w:ind w:firstLine="420" w:firstLineChars="200"/>
        <w:rPr>
          <w:rFonts w:ascii="宋体" w:hAnsi="宋体" w:cs="宋体"/>
          <w:color w:val="auto"/>
          <w:highlight w:val="none"/>
        </w:rPr>
      </w:pPr>
      <w:r>
        <w:rPr>
          <w:rFonts w:hint="eastAsia" w:ascii="宋体" w:hAnsi="宋体" w:cs="宋体"/>
          <w:color w:val="auto"/>
          <w:highlight w:val="none"/>
        </w:rPr>
        <w:t>29.3 电子交易活动的中止。采购过程中出现以下情形，导致电子交易平台无法正常运行，或者无法保证电子交易的公平、公正和安全时，采购机构可中止电子交易活动：</w:t>
      </w:r>
    </w:p>
    <w:p w14:paraId="377601E6">
      <w:pPr>
        <w:keepNext/>
        <w:keepLines/>
        <w:spacing w:line="360" w:lineRule="auto"/>
        <w:ind w:firstLine="420" w:firstLineChars="200"/>
        <w:rPr>
          <w:rFonts w:ascii="宋体" w:hAnsi="宋体" w:cs="宋体"/>
          <w:color w:val="auto"/>
          <w:highlight w:val="none"/>
        </w:rPr>
      </w:pPr>
      <w:r>
        <w:rPr>
          <w:rFonts w:hint="eastAsia" w:ascii="宋体" w:hAnsi="宋体" w:cs="宋体"/>
          <w:color w:val="auto"/>
          <w:highlight w:val="none"/>
        </w:rPr>
        <w:t xml:space="preserve">（1）电子交易平台发生故障而无法登录访问的； </w:t>
      </w:r>
    </w:p>
    <w:p w14:paraId="427545AE">
      <w:pPr>
        <w:keepNext/>
        <w:keepLines/>
        <w:spacing w:line="360" w:lineRule="auto"/>
        <w:ind w:firstLine="420" w:firstLineChars="200"/>
        <w:rPr>
          <w:rFonts w:ascii="宋体" w:hAnsi="宋体" w:cs="宋体"/>
          <w:color w:val="auto"/>
          <w:highlight w:val="none"/>
        </w:rPr>
      </w:pPr>
      <w:r>
        <w:rPr>
          <w:rFonts w:hint="eastAsia" w:ascii="宋体" w:hAnsi="宋体" w:cs="宋体"/>
          <w:color w:val="auto"/>
          <w:highlight w:val="none"/>
        </w:rPr>
        <w:t>（2）电子交易平台应用或数据库出现错误，不能进行正常操作的；</w:t>
      </w:r>
    </w:p>
    <w:p w14:paraId="4DAEECC0">
      <w:pPr>
        <w:keepNext/>
        <w:keepLines/>
        <w:spacing w:line="360" w:lineRule="auto"/>
        <w:ind w:firstLine="420" w:firstLineChars="200"/>
        <w:rPr>
          <w:rFonts w:ascii="宋体" w:hAnsi="宋体" w:cs="宋体"/>
          <w:color w:val="auto"/>
          <w:highlight w:val="none"/>
        </w:rPr>
      </w:pPr>
      <w:r>
        <w:rPr>
          <w:rFonts w:hint="eastAsia" w:ascii="宋体" w:hAnsi="宋体" w:cs="宋体"/>
          <w:color w:val="auto"/>
          <w:highlight w:val="none"/>
        </w:rPr>
        <w:t>（3）电子交易平台发现严重安全漏洞，有潜在泄密危险的；</w:t>
      </w:r>
    </w:p>
    <w:p w14:paraId="6B85990C">
      <w:pPr>
        <w:keepNext/>
        <w:keepLines/>
        <w:spacing w:line="360" w:lineRule="auto"/>
        <w:ind w:firstLine="420" w:firstLineChars="200"/>
        <w:rPr>
          <w:rFonts w:ascii="宋体" w:hAnsi="宋体" w:cs="宋体"/>
          <w:color w:val="auto"/>
          <w:highlight w:val="none"/>
        </w:rPr>
      </w:pPr>
      <w:r>
        <w:rPr>
          <w:rFonts w:hint="eastAsia" w:ascii="宋体" w:hAnsi="宋体" w:cs="宋体"/>
          <w:color w:val="auto"/>
          <w:highlight w:val="none"/>
        </w:rPr>
        <w:t xml:space="preserve">（4）病毒发作导致不能进行正常操作的； </w:t>
      </w:r>
    </w:p>
    <w:p w14:paraId="4EAFA600">
      <w:pPr>
        <w:keepNext/>
        <w:keepLines/>
        <w:spacing w:line="360" w:lineRule="auto"/>
        <w:ind w:firstLine="420" w:firstLineChars="200"/>
        <w:rPr>
          <w:rFonts w:ascii="宋体" w:hAnsi="宋体" w:cs="宋体"/>
          <w:color w:val="auto"/>
          <w:highlight w:val="none"/>
        </w:rPr>
      </w:pPr>
      <w:r>
        <w:rPr>
          <w:rFonts w:hint="eastAsia" w:ascii="宋体" w:hAnsi="宋体" w:cs="宋体"/>
          <w:color w:val="auto"/>
          <w:highlight w:val="none"/>
        </w:rPr>
        <w:t>（5）其他无法保证电子交易的公平、公正和安全的情况。</w:t>
      </w:r>
    </w:p>
    <w:p w14:paraId="08627254">
      <w:pPr>
        <w:keepNext/>
        <w:keepLines/>
        <w:spacing w:line="360" w:lineRule="auto"/>
        <w:ind w:firstLine="420" w:firstLineChars="200"/>
        <w:rPr>
          <w:rFonts w:cs="宋体"/>
          <w:color w:val="auto"/>
          <w:highlight w:val="none"/>
        </w:rPr>
      </w:pPr>
      <w:r>
        <w:rPr>
          <w:rFonts w:hint="eastAsia" w:ascii="宋体" w:hAnsi="宋体" w:cs="宋体"/>
          <w:color w:val="auto"/>
          <w:highlight w:val="none"/>
        </w:rPr>
        <w:t>29.4出现以上情形，不影响采购公平、公正性的，采购组织机构可以待上述情形消除后继续组织电子交易活动；影响或可能影响采购公平、公正性的，经采购代理机构确认后，应当重新采购。采购代理机构必须对原有的资料及信息做出妥善保密处理，并报财政部门备案。</w:t>
      </w:r>
    </w:p>
    <w:p w14:paraId="4EE0DC9E">
      <w:pPr>
        <w:pStyle w:val="4"/>
        <w:keepNext/>
        <w:keepLines/>
        <w:rPr>
          <w:color w:val="auto"/>
          <w:highlight w:val="none"/>
        </w:rPr>
      </w:pPr>
      <w:bookmarkStart w:id="123" w:name="_Toc254970687"/>
      <w:bookmarkStart w:id="124" w:name="_Toc254970546"/>
      <w:bookmarkStart w:id="125" w:name="_Toc32067"/>
      <w:bookmarkStart w:id="126" w:name="_Toc177716512"/>
      <w:bookmarkStart w:id="127" w:name="_Toc2518"/>
      <w:r>
        <w:rPr>
          <w:rFonts w:hint="eastAsia"/>
          <w:color w:val="auto"/>
          <w:highlight w:val="none"/>
        </w:rPr>
        <w:t>七、</w:t>
      </w:r>
      <w:bookmarkEnd w:id="123"/>
      <w:bookmarkEnd w:id="124"/>
      <w:r>
        <w:rPr>
          <w:rFonts w:hint="eastAsia"/>
          <w:color w:val="auto"/>
          <w:highlight w:val="none"/>
        </w:rPr>
        <w:t>中标和合同</w:t>
      </w:r>
      <w:bookmarkEnd w:id="125"/>
      <w:bookmarkEnd w:id="126"/>
      <w:bookmarkEnd w:id="127"/>
    </w:p>
    <w:p w14:paraId="5BCC75B0">
      <w:pPr>
        <w:keepNext/>
        <w:keepLines/>
        <w:spacing w:line="360" w:lineRule="auto"/>
        <w:ind w:firstLine="482" w:firstLineChars="200"/>
        <w:outlineLvl w:val="3"/>
        <w:rPr>
          <w:rFonts w:ascii="宋体" w:hAnsi="宋体" w:cs="宋体"/>
          <w:b/>
          <w:color w:val="auto"/>
          <w:sz w:val="24"/>
          <w:highlight w:val="none"/>
        </w:rPr>
      </w:pPr>
      <w:r>
        <w:rPr>
          <w:rFonts w:hint="eastAsia" w:ascii="宋体" w:hAnsi="宋体" w:cs="宋体"/>
          <w:b/>
          <w:color w:val="auto"/>
          <w:sz w:val="24"/>
          <w:highlight w:val="none"/>
        </w:rPr>
        <w:t>30.确定中标人</w:t>
      </w:r>
    </w:p>
    <w:p w14:paraId="427BF15A">
      <w:pPr>
        <w:keepNext/>
        <w:keepLines/>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30.1采购代理机构在评标结束之日起2个工作日内将评标报告送采购人，采购人在收到评标报告之日起5个工作日内，在评标报告确定的中标候选人名单中按顺序确定中标人。中标候选人并列的，按照“投标人须知前附表”规定的方式确定中标人。采购人也可以事先授权评标委员会直接确定中标人。</w:t>
      </w:r>
    </w:p>
    <w:p w14:paraId="0C3385EC">
      <w:pPr>
        <w:keepNext/>
        <w:keepLines/>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30.2采购人在收到评标报告5个工作日内未按评标报告推荐的中标候选人顺序确定中标人，又不能说明合法理由的，视同按评标报告推荐的顺序确定排名第一的中标候选人为中标人。</w:t>
      </w:r>
    </w:p>
    <w:p w14:paraId="30C8B6AB">
      <w:pPr>
        <w:keepNext/>
        <w:keepLines/>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30.3采购人、采购代理机构认为供应商对采购过程、中标结果提出的质疑成立且影响或者可能影响中标结果的，合格供应商符合法定数量时，可以从合格的中标候选人中另行确定中标人的，应当依法另行确定中标人；否则应当重新开展采购活动。</w:t>
      </w:r>
    </w:p>
    <w:p w14:paraId="61332B89">
      <w:pPr>
        <w:keepNext/>
        <w:keepLines/>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30.4排名第一的中标候选人放弃中标、因不可抗力提出不能履行合同，采购人可以确定排名第二的中标候选人为中标人。排名第二的中标候选人因前款规定的同样原因不能签订合同的，采购人可以确定排名第三的中标候选人为中标人，以此类推。</w:t>
      </w:r>
    </w:p>
    <w:p w14:paraId="15FECD51">
      <w:pPr>
        <w:keepNext/>
        <w:keepLines/>
        <w:spacing w:line="360" w:lineRule="auto"/>
        <w:ind w:firstLine="482" w:firstLineChars="200"/>
        <w:outlineLvl w:val="3"/>
        <w:rPr>
          <w:rFonts w:ascii="宋体" w:hAnsi="宋体" w:cs="宋体"/>
          <w:b/>
          <w:color w:val="auto"/>
          <w:sz w:val="24"/>
          <w:highlight w:val="none"/>
        </w:rPr>
      </w:pPr>
      <w:r>
        <w:rPr>
          <w:rFonts w:hint="eastAsia" w:ascii="宋体" w:hAnsi="宋体" w:cs="宋体"/>
          <w:b/>
          <w:color w:val="auto"/>
          <w:sz w:val="24"/>
          <w:highlight w:val="none"/>
        </w:rPr>
        <w:t>31. 结果公告</w:t>
      </w:r>
    </w:p>
    <w:p w14:paraId="1D3ED066">
      <w:pPr>
        <w:keepNext/>
        <w:keepLines/>
        <w:spacing w:line="360" w:lineRule="auto"/>
        <w:ind w:firstLine="420" w:firstLineChars="200"/>
        <w:rPr>
          <w:rFonts w:ascii="宋体" w:hAnsi="宋体" w:cs="宋体"/>
          <w:color w:val="auto"/>
          <w:highlight w:val="none"/>
        </w:rPr>
      </w:pPr>
      <w:r>
        <w:rPr>
          <w:rFonts w:hint="eastAsia" w:ascii="宋体" w:hAnsi="宋体" w:cs="宋体"/>
          <w:color w:val="auto"/>
          <w:szCs w:val="21"/>
          <w:highlight w:val="none"/>
        </w:rPr>
        <w:t>31.1</w:t>
      </w:r>
      <w:r>
        <w:rPr>
          <w:rFonts w:hint="eastAsia" w:ascii="宋体" w:hAnsi="宋体" w:cs="宋体"/>
          <w:color w:val="auto"/>
          <w:highlight w:val="none"/>
        </w:rPr>
        <w:t>在中标人确定之日起2个工作日内，由采购代理机构</w:t>
      </w:r>
      <w:r>
        <w:rPr>
          <w:rFonts w:hint="eastAsia" w:ascii="宋体" w:hAnsi="宋体" w:cs="宋体"/>
          <w:color w:val="auto"/>
          <w:szCs w:val="21"/>
          <w:highlight w:val="none"/>
        </w:rPr>
        <w:t>在招标公告发布媒体上</w:t>
      </w:r>
      <w:r>
        <w:rPr>
          <w:rFonts w:hint="eastAsia" w:ascii="宋体" w:hAnsi="宋体" w:cs="宋体"/>
          <w:color w:val="auto"/>
          <w:highlight w:val="none"/>
        </w:rPr>
        <w:t>发布中标结果公告，中标结果公告期限为1个工作日，发布中标结果公告的同时向中标人发出中标通知书。</w:t>
      </w:r>
      <w:r>
        <w:rPr>
          <w:rFonts w:hint="eastAsia" w:ascii="宋体" w:hAnsi="宋体" w:cs="宋体"/>
          <w:color w:val="auto"/>
          <w:szCs w:val="21"/>
          <w:highlight w:val="none"/>
        </w:rPr>
        <w:t>采购代理机构发出中标通知书前，应当对中标人信用进行核实，对列入失信被执行人、重大税收违法失信主体、政府采购严重违法失信行为记录名单其他不符合《中华人民共和国政府采购法》第二十二条规定条件的投标人，取消其中标资格，并确定排名第二的中标候选人为中标人。排名第二的中标候选人因前款规定的同样原因被取消中标资格的，授权的评标委员会可以确定排名第三的中标候选人为中标人，以此类推。</w:t>
      </w:r>
    </w:p>
    <w:p w14:paraId="3C898FFE">
      <w:pPr>
        <w:keepNext/>
        <w:keepLine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以上信息查询记录及相关证据与采购文件一并保存。</w:t>
      </w:r>
    </w:p>
    <w:p w14:paraId="53933FC6">
      <w:pPr>
        <w:keepNext/>
        <w:keepLine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31.2中小企业在政府采购活动过程中，请根据企业的真实情况出具《中小企业声明函》。依法享受中小企业优惠政策的，采购人或者采购代理机构在公告中标结果时，同时公告其《中小企业声明函》，接受社会监督。</w:t>
      </w:r>
    </w:p>
    <w:p w14:paraId="5ED7980F">
      <w:pPr>
        <w:keepNext/>
        <w:keepLines/>
        <w:spacing w:line="360" w:lineRule="auto"/>
        <w:ind w:firstLine="482" w:firstLineChars="200"/>
        <w:outlineLvl w:val="3"/>
        <w:rPr>
          <w:rFonts w:ascii="宋体" w:hAnsi="宋体" w:cs="宋体"/>
          <w:b/>
          <w:color w:val="auto"/>
          <w:sz w:val="24"/>
          <w:highlight w:val="none"/>
        </w:rPr>
      </w:pPr>
      <w:r>
        <w:rPr>
          <w:rFonts w:hint="eastAsia" w:ascii="宋体" w:hAnsi="宋体" w:cs="宋体"/>
          <w:b/>
          <w:color w:val="auto"/>
          <w:sz w:val="24"/>
          <w:highlight w:val="none"/>
        </w:rPr>
        <w:t>32.发出中标通知书</w:t>
      </w:r>
    </w:p>
    <w:p w14:paraId="03BE6003">
      <w:pPr>
        <w:keepNext/>
        <w:keepLines/>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32.1在发布中标公告的同时，采购代理机构向中标人通过“广西政府采购云平台”发出电子中标通知书。</w:t>
      </w:r>
    </w:p>
    <w:p w14:paraId="1D298C48">
      <w:pPr>
        <w:keepNext/>
        <w:keepLines/>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32.2对未通过资格审查的投标人，采购人或采购机构应当告知其未通过的原因；采用综合评分办法评审的，采购人或采购机构还应当告知未中标人本人的评审得分与排序。</w:t>
      </w:r>
    </w:p>
    <w:p w14:paraId="4979220F">
      <w:pPr>
        <w:keepNext/>
        <w:keepLines/>
        <w:spacing w:line="360" w:lineRule="auto"/>
        <w:ind w:firstLine="482" w:firstLineChars="200"/>
        <w:outlineLvl w:val="3"/>
        <w:rPr>
          <w:rFonts w:ascii="宋体" w:hAnsi="宋体" w:cs="宋体"/>
          <w:b/>
          <w:color w:val="auto"/>
          <w:sz w:val="24"/>
          <w:highlight w:val="none"/>
        </w:rPr>
      </w:pPr>
      <w:r>
        <w:rPr>
          <w:rFonts w:hint="eastAsia" w:ascii="宋体" w:hAnsi="宋体" w:cs="宋体"/>
          <w:b/>
          <w:color w:val="auto"/>
          <w:sz w:val="24"/>
          <w:highlight w:val="none"/>
        </w:rPr>
        <w:t>33.无义务解释未中标原因</w:t>
      </w:r>
    </w:p>
    <w:p w14:paraId="35BED4F5">
      <w:pPr>
        <w:keepNext/>
        <w:keepLines/>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采购代理机构无义务向未中标的投标人解释未中标原因和退还投标文件。</w:t>
      </w:r>
    </w:p>
    <w:p w14:paraId="4106DA95">
      <w:pPr>
        <w:keepNext/>
        <w:keepLines/>
        <w:spacing w:line="360" w:lineRule="auto"/>
        <w:ind w:firstLine="482" w:firstLineChars="200"/>
        <w:outlineLvl w:val="3"/>
        <w:rPr>
          <w:rFonts w:ascii="宋体" w:hAnsi="宋体" w:cs="宋体"/>
          <w:b/>
          <w:color w:val="auto"/>
          <w:sz w:val="24"/>
          <w:highlight w:val="none"/>
        </w:rPr>
      </w:pPr>
      <w:r>
        <w:rPr>
          <w:rFonts w:hint="eastAsia" w:ascii="宋体" w:hAnsi="宋体" w:cs="宋体"/>
          <w:b/>
          <w:color w:val="auto"/>
          <w:sz w:val="24"/>
          <w:highlight w:val="none"/>
        </w:rPr>
        <w:t>34.合同授予标准</w:t>
      </w:r>
    </w:p>
    <w:p w14:paraId="68FB4C04">
      <w:pPr>
        <w:keepNext/>
        <w:keepLine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合同将授予被确定实质上响应招标文件要求，具备履行合同能力的中标人（招标文件另有约定多名中标人的除外）。</w:t>
      </w:r>
    </w:p>
    <w:p w14:paraId="7EB4CD2F">
      <w:pPr>
        <w:keepNext/>
        <w:keepLines/>
        <w:spacing w:line="360" w:lineRule="auto"/>
        <w:ind w:firstLine="482" w:firstLineChars="200"/>
        <w:outlineLvl w:val="3"/>
        <w:rPr>
          <w:rFonts w:ascii="宋体" w:hAnsi="宋体" w:cs="宋体"/>
          <w:b/>
          <w:color w:val="auto"/>
          <w:sz w:val="24"/>
          <w:highlight w:val="none"/>
        </w:rPr>
      </w:pPr>
      <w:r>
        <w:rPr>
          <w:rFonts w:hint="eastAsia" w:ascii="宋体" w:hAnsi="宋体" w:cs="宋体"/>
          <w:b/>
          <w:color w:val="auto"/>
          <w:sz w:val="24"/>
          <w:highlight w:val="none"/>
        </w:rPr>
        <w:t>35.履约保证金</w:t>
      </w:r>
    </w:p>
    <w:p w14:paraId="4E9F258D">
      <w:pPr>
        <w:keepNext/>
        <w:keepLines/>
        <w:spacing w:line="360" w:lineRule="auto"/>
        <w:ind w:firstLine="420" w:firstLineChars="200"/>
        <w:rPr>
          <w:rFonts w:ascii="宋体" w:hAnsi="宋体" w:cs="宋体"/>
          <w:color w:val="auto"/>
          <w:szCs w:val="21"/>
          <w:highlight w:val="none"/>
        </w:rPr>
      </w:pPr>
      <w:bookmarkStart w:id="128" w:name="_39.1中标人须于签订合同前按本须知前附表规定的金额转账或电汇到指定账"/>
      <w:bookmarkEnd w:id="128"/>
      <w:r>
        <w:rPr>
          <w:rFonts w:hint="eastAsia" w:ascii="宋体" w:hAnsi="宋体" w:cs="宋体"/>
          <w:color w:val="auto"/>
          <w:szCs w:val="21"/>
          <w:highlight w:val="none"/>
        </w:rPr>
        <w:t>见“投标人须知前附表”。</w:t>
      </w:r>
    </w:p>
    <w:p w14:paraId="07406164">
      <w:pPr>
        <w:keepNext/>
        <w:keepLines/>
        <w:spacing w:line="360" w:lineRule="auto"/>
        <w:ind w:firstLine="482" w:firstLineChars="200"/>
        <w:outlineLvl w:val="3"/>
        <w:rPr>
          <w:rFonts w:ascii="宋体" w:hAnsi="宋体" w:cs="宋体"/>
          <w:b/>
          <w:color w:val="auto"/>
          <w:sz w:val="24"/>
          <w:highlight w:val="none"/>
        </w:rPr>
      </w:pPr>
      <w:r>
        <w:rPr>
          <w:rFonts w:hint="eastAsia" w:ascii="宋体" w:hAnsi="宋体" w:cs="宋体"/>
          <w:b/>
          <w:color w:val="auto"/>
          <w:sz w:val="24"/>
          <w:highlight w:val="none"/>
        </w:rPr>
        <w:t>36.签订合同</w:t>
      </w:r>
    </w:p>
    <w:p w14:paraId="006053A1">
      <w:pPr>
        <w:keepNext/>
        <w:keepLines/>
        <w:spacing w:line="360" w:lineRule="auto"/>
        <w:ind w:firstLine="420" w:firstLineChars="200"/>
        <w:rPr>
          <w:rFonts w:ascii="宋体" w:hAnsi="宋体" w:cs="宋体"/>
          <w:color w:val="auto"/>
          <w:szCs w:val="21"/>
          <w:highlight w:val="none"/>
          <w:lang w:val="zh-CN"/>
        </w:rPr>
      </w:pPr>
      <w:bookmarkStart w:id="129" w:name="_40.1投标人接到中标通知书后，按须知前附表规定向采购人出示相关资格证"/>
      <w:bookmarkEnd w:id="129"/>
      <w:r>
        <w:rPr>
          <w:rFonts w:hint="eastAsia" w:ascii="宋体" w:hAnsi="宋体" w:cs="宋体"/>
          <w:bCs/>
          <w:color w:val="auto"/>
          <w:szCs w:val="21"/>
          <w:highlight w:val="none"/>
        </w:rPr>
        <w:t xml:space="preserve"> </w:t>
      </w:r>
      <w:r>
        <w:rPr>
          <w:rFonts w:hint="eastAsia" w:ascii="宋体" w:hAnsi="宋体" w:cs="宋体"/>
          <w:color w:val="auto"/>
          <w:szCs w:val="21"/>
          <w:highlight w:val="none"/>
        </w:rPr>
        <w:t>36.1中标人领取电子中标通知书后，</w:t>
      </w:r>
      <w:r>
        <w:rPr>
          <w:rFonts w:hint="eastAsia" w:ascii="宋体" w:hAnsi="宋体" w:cs="宋体"/>
          <w:color w:val="auto"/>
          <w:szCs w:val="21"/>
          <w:highlight w:val="none"/>
          <w:lang w:val="zh-CN"/>
        </w:rPr>
        <w:t>按规定的日期、时间、地点，由法定代表人或其授权代表与采购人代表签订电子采购合同。如中标人为联合体的，由联合体成员各方法定代表人或其授权代表与采购人代表签订合同，签订携带资料详见“投标人须知前附表”。</w:t>
      </w:r>
    </w:p>
    <w:p w14:paraId="73C41D62">
      <w:pPr>
        <w:keepNext/>
        <w:keepLines/>
        <w:spacing w:line="360" w:lineRule="auto"/>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36.2</w:t>
      </w:r>
      <w:r>
        <w:rPr>
          <w:rFonts w:hint="eastAsia" w:ascii="宋体" w:hAnsi="宋体" w:cs="宋体"/>
          <w:color w:val="auto"/>
          <w:szCs w:val="21"/>
          <w:highlight w:val="none"/>
        </w:rPr>
        <w:t>采购合同由采购人与中标人根据招标文件、投标文件等内容通过政府采购电子交易平台在线签订，自动备案。</w:t>
      </w:r>
    </w:p>
    <w:p w14:paraId="53A71214">
      <w:pPr>
        <w:keepNext/>
        <w:keepLine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36.3签订合同时间：按中标通知书规定的时间与采购人签订合同（最长不能超过25日）。</w:t>
      </w:r>
    </w:p>
    <w:p w14:paraId="34B53F52">
      <w:pPr>
        <w:keepNext/>
        <w:keepLine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36.4中标人拒绝与采购人签订合同的，采购人可以按照评审报告推荐的中标候选人名单排序，确定下一候选人为中标人，也可以重新开展政府采购活动。如采购人无正当理由拒签合同的，给中标人造成损失的，中标人可追究采购人承担相应的法律责任。</w:t>
      </w:r>
    </w:p>
    <w:p w14:paraId="23420226">
      <w:pPr>
        <w:keepNext/>
        <w:keepLine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36.5政府采购合同是政府采购项目验收的依据，中标人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01231138">
      <w:pPr>
        <w:keepNext/>
        <w:keepLine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36.6采购人或中标人不得单方面向合同另一方提出任何招标文件没有约定的条件或不合理的要求，作为签订合同的条件；也不得协商另行订立背离招标文件和合同实质性内容的协议。</w:t>
      </w:r>
    </w:p>
    <w:p w14:paraId="4BE34327">
      <w:pPr>
        <w:keepNext/>
        <w:keepLine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36.7如签订合同并生效后，供应商无故拒绝或延期，除按照合同条款处理外，将承担相应的法律责任。</w:t>
      </w:r>
    </w:p>
    <w:p w14:paraId="277D1AC8">
      <w:pPr>
        <w:keepNext/>
        <w:keepLines/>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36.8采购人需追加与合同标的相同的货物或者服务的，在不改变原合同条款且已报财政部门批准落实资金的前提下，可从原中标人处添购，所签订的补充添置合同的采购资金总额不超过原采购合同金额的10%。</w:t>
      </w:r>
    </w:p>
    <w:p w14:paraId="391B57FA">
      <w:pPr>
        <w:keepNext/>
        <w:keepLines/>
        <w:spacing w:line="360" w:lineRule="auto"/>
        <w:ind w:firstLine="482" w:firstLineChars="200"/>
        <w:outlineLvl w:val="3"/>
        <w:rPr>
          <w:rFonts w:ascii="宋体" w:hAnsi="宋体" w:cs="宋体"/>
          <w:b/>
          <w:color w:val="auto"/>
          <w:sz w:val="24"/>
          <w:highlight w:val="none"/>
        </w:rPr>
      </w:pPr>
      <w:bookmarkStart w:id="130" w:name="_41.政府采购合同公告"/>
      <w:bookmarkEnd w:id="130"/>
      <w:r>
        <w:rPr>
          <w:rFonts w:hint="eastAsia" w:ascii="宋体" w:hAnsi="宋体" w:cs="宋体"/>
          <w:b/>
          <w:color w:val="auto"/>
          <w:sz w:val="24"/>
          <w:highlight w:val="none"/>
        </w:rPr>
        <w:t>37.政府采购合同公告</w:t>
      </w:r>
    </w:p>
    <w:p w14:paraId="5CAE176B">
      <w:pPr>
        <w:keepNext/>
        <w:keepLines/>
        <w:spacing w:line="360" w:lineRule="auto"/>
        <w:ind w:firstLine="420" w:firstLineChars="200"/>
        <w:rPr>
          <w:rFonts w:ascii="宋体" w:hAnsi="宋体" w:cs="宋体"/>
          <w:color w:val="auto"/>
          <w:highlight w:val="none"/>
        </w:rPr>
      </w:pPr>
      <w:r>
        <w:rPr>
          <w:rFonts w:hint="eastAsia" w:ascii="宋体" w:hAnsi="宋体" w:cs="宋体"/>
          <w:color w:val="auto"/>
          <w:highlight w:val="none"/>
        </w:rPr>
        <w:t>采购人或者受托采购代理机构应当自政府采购合同签订之日起2个工作日内，将政府采购合同</w:t>
      </w:r>
      <w:r>
        <w:rPr>
          <w:rFonts w:hint="eastAsia" w:ascii="宋体" w:hAnsi="宋体" w:cs="宋体"/>
          <w:bCs/>
          <w:color w:val="auto"/>
          <w:highlight w:val="none"/>
        </w:rPr>
        <w:t>在以下媒体上发布</w:t>
      </w:r>
      <w:r>
        <w:rPr>
          <w:rFonts w:hint="eastAsia" w:ascii="宋体" w:hAnsi="宋体" w:cs="宋体"/>
          <w:color w:val="auto"/>
          <w:kern w:val="0"/>
          <w:szCs w:val="21"/>
          <w:highlight w:val="none"/>
        </w:rPr>
        <w:t xml:space="preserve"> “广西政府采购网”（http://zfcg.gxzf.gov.cn）</w:t>
      </w:r>
      <w:r>
        <w:rPr>
          <w:rFonts w:hint="eastAsia" w:ascii="宋体" w:hAnsi="宋体" w:cs="宋体"/>
          <w:color w:val="auto"/>
          <w:highlight w:val="none"/>
        </w:rPr>
        <w:t>上公告，但政府采购合同中涉及国家秘密、商业秘密的内容除外。</w:t>
      </w:r>
    </w:p>
    <w:p w14:paraId="71AC26C2">
      <w:pPr>
        <w:keepNext/>
        <w:keepLines/>
        <w:spacing w:line="360" w:lineRule="auto"/>
        <w:ind w:firstLine="482" w:firstLineChars="200"/>
        <w:outlineLvl w:val="3"/>
        <w:rPr>
          <w:rFonts w:ascii="宋体" w:hAnsi="宋体" w:cs="宋体"/>
          <w:b/>
          <w:color w:val="auto"/>
          <w:sz w:val="24"/>
          <w:highlight w:val="none"/>
        </w:rPr>
      </w:pPr>
      <w:r>
        <w:rPr>
          <w:rFonts w:hint="eastAsia" w:ascii="宋体" w:hAnsi="宋体" w:cs="宋体"/>
          <w:b/>
          <w:color w:val="auto"/>
          <w:sz w:val="24"/>
          <w:highlight w:val="none"/>
        </w:rPr>
        <w:t>38. 询问、质疑和投诉</w:t>
      </w:r>
    </w:p>
    <w:p w14:paraId="2FBBDA6B">
      <w:pPr>
        <w:keepNext/>
        <w:keepLine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38.1询问</w:t>
      </w:r>
    </w:p>
    <w:p w14:paraId="59DBE97E">
      <w:pPr>
        <w:keepNext/>
        <w:keepLine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38.1.1供应商在开标前对政府采购活动事项有疑问的，可以向采购人或采购代理机构项目负责人提出询问。</w:t>
      </w:r>
    </w:p>
    <w:p w14:paraId="2A9D7566">
      <w:pPr>
        <w:keepNext/>
        <w:keepLine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38.1.2采购人或采购人委托的采购代理机构自受理询问之日起3个工作日内对供应商依法提出的询问作出答复，但答复内容不得涉及商业秘密。</w:t>
      </w:r>
    </w:p>
    <w:p w14:paraId="695F6097">
      <w:pPr>
        <w:keepNext/>
        <w:keepLine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38.1.3 询问事项可能影响中标、成交结果的，采购人应当暂停签订合同，已经签订合同的，应当中止履行合同。</w:t>
      </w:r>
    </w:p>
    <w:p w14:paraId="4643D891">
      <w:pPr>
        <w:keepNext/>
        <w:keepLine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38.2质疑</w:t>
      </w:r>
    </w:p>
    <w:p w14:paraId="082C8A2C">
      <w:pPr>
        <w:keepNext/>
        <w:keepLines/>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 xml:space="preserve">38.2.1供应商认为招标文件、采购过程或者中标结果使自己的合法权益受到损害的，必须在知道或者应知其权益受到损害之日起7个工作日内，以书面形式向采购人、采购代理机构提出质疑，质疑有效期结束后，采购人或采购代理机构不再受理该项目质疑。采购人、采购代理机构接收质疑函的方式、联系部门、联系电话和通讯地址等信息详见“投标人须知前附表”。具体质疑起算时间及处理方式如下： </w:t>
      </w:r>
    </w:p>
    <w:p w14:paraId="2602FEF7">
      <w:pPr>
        <w:keepNext/>
        <w:keepLines/>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（1）潜在供应商依法获取公开招标文件后，认为采购文件使自己的权益受到损害的，应当在公开招标文件公告期限届满之日起7个工作日内提出质疑。</w:t>
      </w:r>
      <w:r>
        <w:rPr>
          <w:rFonts w:hint="eastAsia" w:ascii="宋体" w:hAnsi="宋体" w:cs="宋体"/>
          <w:color w:val="auto"/>
          <w:highlight w:val="none"/>
        </w:rPr>
        <w:t>委托代理协议无特殊约定的，</w:t>
      </w:r>
      <w:r>
        <w:rPr>
          <w:rFonts w:hint="eastAsia" w:ascii="宋体" w:hAnsi="宋体" w:cs="宋体"/>
          <w:bCs/>
          <w:color w:val="auto"/>
          <w:highlight w:val="none"/>
        </w:rPr>
        <w:t>对公开招标文件中采购需求（含资格要求、采购预算和评分办法）的质疑由采购人受理并负责答复；对公开招标文件中的采购执行程序的质疑由采购代理机构受理并负责答复。</w:t>
      </w:r>
    </w:p>
    <w:p w14:paraId="7ED97C1F">
      <w:pPr>
        <w:keepNext/>
        <w:keepLines/>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2）供应商认为采购过程使自己的权益受到损害的，应当在各采购程序环节结束之日起7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048CC9C9">
      <w:pPr>
        <w:keepNext/>
        <w:keepLines/>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（3）供应商认为中标或者成交结果使自己的权益受到损害的，应当在中标或者成交结果公告期限届满之日起7个工作日内提出质疑，由采购人受理并负责答复。</w:t>
      </w:r>
    </w:p>
    <w:p w14:paraId="7839B911">
      <w:pPr>
        <w:keepNext/>
        <w:keepLine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38.2.2供应商质疑实行实名制，其质疑应当有具体的质疑事项及事实根据，质疑应当坚持依法依规、诚实信用原则，不得进行虚假、恶意质疑。</w:t>
      </w:r>
    </w:p>
    <w:p w14:paraId="1A6D5753">
      <w:pPr>
        <w:keepNext/>
        <w:keepLine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38.2.3 质疑供应商可以委托代理人办理质疑事务。委托代理人应熟悉相关业务情况。代理人办理质疑事务时，除提交质疑书外，还应当提交质疑供应商的授权委托书和委托代理人身份证明复印件。</w:t>
      </w:r>
    </w:p>
    <w:p w14:paraId="2788D576">
      <w:pPr>
        <w:keepNext/>
        <w:keepLines/>
        <w:spacing w:line="360" w:lineRule="auto"/>
        <w:ind w:firstLine="422" w:firstLineChars="200"/>
        <w:rPr>
          <w:rFonts w:ascii="宋体" w:hAnsi="宋体" w:cs="宋体"/>
          <w:b/>
          <w:bCs/>
          <w:color w:val="auto"/>
          <w:highlight w:val="none"/>
        </w:rPr>
      </w:pPr>
      <w:r>
        <w:rPr>
          <w:rFonts w:hint="eastAsia" w:ascii="宋体" w:hAnsi="宋体" w:cs="宋体"/>
          <w:b/>
          <w:bCs/>
          <w:color w:val="auto"/>
          <w:highlight w:val="none"/>
        </w:rPr>
        <w:t>38.2.4 质疑供应商提起质疑应当符合下列条件：</w:t>
      </w:r>
    </w:p>
    <w:p w14:paraId="27EF7480">
      <w:pPr>
        <w:keepNext/>
        <w:keepLines/>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（1）质疑供应商是参与所质疑</w:t>
      </w:r>
      <w:r>
        <w:rPr>
          <w:rFonts w:hint="eastAsia" w:ascii="宋体" w:hAnsi="宋体" w:cs="宋体"/>
          <w:bCs/>
          <w:color w:val="auto"/>
          <w:szCs w:val="21"/>
          <w:highlight w:val="none"/>
        </w:rPr>
        <w:t>项目</w:t>
      </w:r>
      <w:r>
        <w:rPr>
          <w:rFonts w:hint="eastAsia" w:ascii="宋体" w:hAnsi="宋体" w:cs="宋体"/>
          <w:bCs/>
          <w:color w:val="auto"/>
          <w:highlight w:val="none"/>
        </w:rPr>
        <w:t>采购活动的供应商（潜在供应商已依法获取可质疑的采购文件的，可以对该采购文件质疑）；</w:t>
      </w:r>
    </w:p>
    <w:p w14:paraId="42798CB4">
      <w:pPr>
        <w:keepNext/>
        <w:keepLines/>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（2）质疑函内容符合本章第38.2.5项的规定；</w:t>
      </w:r>
    </w:p>
    <w:p w14:paraId="3BA8E2B1">
      <w:pPr>
        <w:keepNext/>
        <w:keepLines/>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（3）在质疑有效期限内提起质疑；</w:t>
      </w:r>
    </w:p>
    <w:p w14:paraId="14452B75">
      <w:pPr>
        <w:keepNext/>
        <w:keepLines/>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（4）属于所质疑的采购人或采购人委托的采购代理机构组织的采购活动；</w:t>
      </w:r>
    </w:p>
    <w:p w14:paraId="58CF8293">
      <w:pPr>
        <w:keepNext/>
        <w:keepLines/>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 xml:space="preserve">（5）同一质疑事项未经采购人或采购人委托的采购代理机构质疑处理； </w:t>
      </w:r>
    </w:p>
    <w:p w14:paraId="593D87DE">
      <w:pPr>
        <w:keepNext/>
        <w:keepLines/>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（6）供应商对同一采购程序环节的质疑应当在质疑有效期内一次性提出；</w:t>
      </w:r>
    </w:p>
    <w:p w14:paraId="21DDF6F7">
      <w:pPr>
        <w:keepNext/>
        <w:keepLines/>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（7）供应商提交质疑应当提交必要的证明材料，证明材料应以合法手段取得；</w:t>
      </w:r>
    </w:p>
    <w:p w14:paraId="0F3ADF83">
      <w:pPr>
        <w:keepNext/>
        <w:keepLines/>
        <w:spacing w:line="360" w:lineRule="auto"/>
        <w:ind w:firstLine="420" w:firstLineChars="200"/>
        <w:rPr>
          <w:rFonts w:ascii="宋体" w:hAnsi="宋体" w:cs="宋体"/>
          <w:color w:val="auto"/>
          <w:highlight w:val="none"/>
        </w:rPr>
      </w:pPr>
      <w:r>
        <w:rPr>
          <w:rFonts w:hint="eastAsia" w:ascii="宋体" w:hAnsi="宋体" w:cs="宋体"/>
          <w:bCs/>
          <w:color w:val="auto"/>
          <w:highlight w:val="none"/>
        </w:rPr>
        <w:t>（8）财政部门规定的其他条件。</w:t>
      </w:r>
    </w:p>
    <w:p w14:paraId="36FE55FE">
      <w:pPr>
        <w:keepNext/>
        <w:keepLines/>
        <w:spacing w:line="360" w:lineRule="auto"/>
        <w:ind w:firstLine="420" w:firstLineChars="200"/>
        <w:rPr>
          <w:rFonts w:ascii="宋体" w:hAnsi="宋体" w:cs="宋体"/>
          <w:b/>
          <w:color w:val="auto"/>
          <w:szCs w:val="21"/>
          <w:highlight w:val="none"/>
        </w:rPr>
      </w:pPr>
      <w:bookmarkStart w:id="131" w:name="_9.2质疑、投诉应当采用书面形式，质疑函、投诉书均应明确阐述招标文件、"/>
      <w:bookmarkEnd w:id="131"/>
      <w:r>
        <w:rPr>
          <w:rFonts w:hint="eastAsia" w:ascii="宋体" w:hAnsi="宋体" w:cs="宋体"/>
          <w:color w:val="auto"/>
          <w:szCs w:val="21"/>
          <w:highlight w:val="none"/>
        </w:rPr>
        <w:t xml:space="preserve"> 38.2.5 </w:t>
      </w:r>
      <w:r>
        <w:rPr>
          <w:rFonts w:hint="eastAsia" w:ascii="宋体" w:hAnsi="宋体" w:cs="宋体"/>
          <w:bCs/>
          <w:color w:val="auto"/>
          <w:highlight w:val="none"/>
        </w:rPr>
        <w:t>供应商提出质疑应当提交质疑函和必要的证明材料，针对同一采购程序环节的质疑必须在法定质疑期内一次性提出。质疑函应当包括下列内容（质疑函格式后附）：</w:t>
      </w:r>
    </w:p>
    <w:p w14:paraId="324003F1">
      <w:pPr>
        <w:keepNext/>
        <w:keepLines/>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（1）供应商的姓名或者名称、地址、邮编、联系人及联系电话；</w:t>
      </w:r>
    </w:p>
    <w:p w14:paraId="47A99B82">
      <w:pPr>
        <w:keepNext/>
        <w:keepLines/>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（2）质疑项目的名称、编号；</w:t>
      </w:r>
    </w:p>
    <w:p w14:paraId="64A79C6F">
      <w:pPr>
        <w:keepNext/>
        <w:keepLines/>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（3）具体、明确的质疑事项和与质疑事项相关的请求；</w:t>
      </w:r>
    </w:p>
    <w:p w14:paraId="31970BCA">
      <w:pPr>
        <w:keepNext/>
        <w:keepLines/>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（4）事实依据（列明权益受到损害的事实和理由）；</w:t>
      </w:r>
    </w:p>
    <w:p w14:paraId="22673C31">
      <w:pPr>
        <w:keepNext/>
        <w:keepLines/>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（5）必要的法律依据；</w:t>
      </w:r>
    </w:p>
    <w:p w14:paraId="48243785">
      <w:pPr>
        <w:keepNext/>
        <w:keepLines/>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（6）提出质疑的日期。</w:t>
      </w:r>
    </w:p>
    <w:p w14:paraId="612280A0">
      <w:pPr>
        <w:keepNext/>
        <w:keepLines/>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供应商为自然人的，应当由本人签字；供应商为法人或者其他组织的，应当由法定代表人、主要负责人，或者其委托代理人签字或者盖章，并加盖公章。</w:t>
      </w:r>
    </w:p>
    <w:p w14:paraId="524F140A">
      <w:pPr>
        <w:keepNext/>
        <w:keepLines/>
        <w:spacing w:line="360" w:lineRule="auto"/>
        <w:ind w:firstLine="422" w:firstLineChars="200"/>
        <w:rPr>
          <w:rFonts w:ascii="宋体" w:hAnsi="宋体" w:cs="宋体"/>
          <w:b/>
          <w:color w:val="auto"/>
          <w:szCs w:val="20"/>
          <w:highlight w:val="none"/>
        </w:rPr>
      </w:pPr>
      <w:r>
        <w:rPr>
          <w:rFonts w:hint="eastAsia" w:ascii="宋体" w:hAnsi="宋体" w:cs="宋体"/>
          <w:b/>
          <w:color w:val="auto"/>
          <w:szCs w:val="20"/>
          <w:highlight w:val="none"/>
        </w:rPr>
        <w:t>38.2.6采购人或采购人委托的采购代理机构在收到质疑函后7个工作日内作出答复，并以书面形式通知质疑供应商及其他有关供应商。对不符合质疑条件的质疑，答复不予受理，并说明理由；对符合质疑条件的质疑，对质疑事项作出答复</w:t>
      </w:r>
    </w:p>
    <w:p w14:paraId="08E29D7B">
      <w:pPr>
        <w:keepNext/>
        <w:keepLines/>
        <w:spacing w:line="360" w:lineRule="auto"/>
        <w:ind w:firstLine="420" w:firstLineChars="200"/>
        <w:rPr>
          <w:rFonts w:ascii="宋体" w:hAnsi="宋体" w:cs="宋体"/>
          <w:bCs/>
          <w:color w:val="auto"/>
          <w:szCs w:val="21"/>
          <w:highlight w:val="none"/>
        </w:rPr>
      </w:pPr>
      <w:r>
        <w:rPr>
          <w:rFonts w:hint="eastAsia" w:ascii="宋体" w:hAnsi="宋体" w:cs="宋体"/>
          <w:color w:val="auto"/>
          <w:szCs w:val="21"/>
          <w:highlight w:val="none"/>
        </w:rPr>
        <w:t>3</w:t>
      </w:r>
      <w:r>
        <w:rPr>
          <w:rFonts w:hint="eastAsia" w:ascii="宋体" w:hAnsi="宋体" w:cs="宋体"/>
          <w:bCs/>
          <w:color w:val="auto"/>
          <w:szCs w:val="21"/>
          <w:highlight w:val="none"/>
        </w:rPr>
        <w:t>8.2.7采购人、采购代理机构认为供应商质疑不成立，或者成立但未对中标结果构成影响的，继续开展采购活动；认为供应商质疑成立且影响或者可能影响中标结果的，按照下列情况处理：</w:t>
      </w:r>
    </w:p>
    <w:p w14:paraId="61CE704A">
      <w:pPr>
        <w:keepNext/>
        <w:keepLines/>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（一）对招标文件提出的质疑，依法通过澄清或者修改可以继续开展采购活动的，澄清或者修改招标文件后继续开展采购活动；否则应当修改招标文件后重新开展采购活动。</w:t>
      </w:r>
    </w:p>
    <w:p w14:paraId="698CFEE0">
      <w:pPr>
        <w:keepNext/>
        <w:keepLines/>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（二）对采购过程、中标结果提出的质疑，合格供应商符合法定数量时，可以从合格的中标候选人中另行确定中标人的，应当依法另行确定中标人；否则应当重新开展采购活动。</w:t>
      </w:r>
    </w:p>
    <w:p w14:paraId="6F6E4893">
      <w:pPr>
        <w:keepNext/>
        <w:keepLines/>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质疑答复导致中标结果改变的，采购人或者采购代理机构应当将有关情况书面报告本级财政部门。</w:t>
      </w:r>
    </w:p>
    <w:p w14:paraId="128F0372">
      <w:pPr>
        <w:keepNext/>
        <w:keepLines/>
        <w:spacing w:line="360" w:lineRule="auto"/>
        <w:ind w:firstLine="422" w:firstLineChars="200"/>
        <w:rPr>
          <w:rFonts w:ascii="宋体" w:hAnsi="宋体" w:cs="宋体"/>
          <w:b/>
          <w:color w:val="auto"/>
          <w:highlight w:val="none"/>
        </w:rPr>
      </w:pPr>
      <w:r>
        <w:rPr>
          <w:rFonts w:hint="eastAsia" w:ascii="宋体" w:hAnsi="宋体" w:cs="宋体"/>
          <w:b/>
          <w:color w:val="auto"/>
          <w:highlight w:val="none"/>
        </w:rPr>
        <w:t>38.3投诉</w:t>
      </w:r>
    </w:p>
    <w:p w14:paraId="50A80419">
      <w:pPr>
        <w:keepNext/>
        <w:keepLines/>
        <w:spacing w:line="360" w:lineRule="auto"/>
        <w:ind w:firstLine="420" w:firstLineChars="200"/>
        <w:rPr>
          <w:rFonts w:ascii="宋体" w:hAnsi="宋体" w:cs="宋体"/>
          <w:bCs/>
          <w:color w:val="auto"/>
          <w:highlight w:val="none"/>
        </w:rPr>
      </w:pPr>
      <w:r>
        <w:rPr>
          <w:rFonts w:hint="eastAsia" w:ascii="宋体" w:hAnsi="宋体" w:cs="宋体"/>
          <w:color w:val="auto"/>
          <w:highlight w:val="none"/>
        </w:rPr>
        <w:t>38.3</w:t>
      </w:r>
      <w:r>
        <w:rPr>
          <w:rFonts w:hint="eastAsia" w:ascii="宋体" w:hAnsi="宋体" w:cs="宋体"/>
          <w:bCs/>
          <w:color w:val="auto"/>
          <w:highlight w:val="none"/>
        </w:rPr>
        <w:t>.1  供应商认为采购文件、采购过程、中标和成交结果使自己的合法权益受到损害的，应当首先依法向采购人或采购人委托的</w:t>
      </w:r>
      <w:r>
        <w:rPr>
          <w:rFonts w:hint="eastAsia" w:ascii="宋体" w:hAnsi="宋体" w:cs="宋体"/>
          <w:color w:val="auto"/>
          <w:highlight w:val="none"/>
        </w:rPr>
        <w:t>采购代理机构</w:t>
      </w:r>
      <w:r>
        <w:rPr>
          <w:rFonts w:hint="eastAsia" w:ascii="宋体" w:hAnsi="宋体" w:cs="宋体"/>
          <w:bCs/>
          <w:color w:val="auto"/>
          <w:highlight w:val="none"/>
        </w:rPr>
        <w:t>提出质疑。对采购人、</w:t>
      </w:r>
      <w:r>
        <w:rPr>
          <w:rFonts w:hint="eastAsia" w:ascii="宋体" w:hAnsi="宋体" w:cs="宋体"/>
          <w:color w:val="auto"/>
          <w:highlight w:val="none"/>
        </w:rPr>
        <w:t>采购代理机构</w:t>
      </w:r>
      <w:r>
        <w:rPr>
          <w:rFonts w:hint="eastAsia" w:ascii="宋体" w:hAnsi="宋体" w:cs="宋体"/>
          <w:bCs/>
          <w:color w:val="auto"/>
          <w:highlight w:val="none"/>
        </w:rPr>
        <w:t>的答复不满意，或者采购人、</w:t>
      </w:r>
      <w:r>
        <w:rPr>
          <w:rFonts w:hint="eastAsia" w:ascii="宋体" w:hAnsi="宋体" w:cs="宋体"/>
          <w:color w:val="auto"/>
          <w:highlight w:val="none"/>
        </w:rPr>
        <w:t>采购代理机构</w:t>
      </w:r>
      <w:r>
        <w:rPr>
          <w:rFonts w:hint="eastAsia" w:ascii="宋体" w:hAnsi="宋体" w:cs="宋体"/>
          <w:bCs/>
          <w:color w:val="auto"/>
          <w:highlight w:val="none"/>
        </w:rPr>
        <w:t>未在规定期限内作出答复的，供应商可以在答复期满后15个工作日内向广西壮族自治区财政厅政府采购监督管理处提起投诉，投诉联系方式见“投标人须知前附表”。</w:t>
      </w:r>
    </w:p>
    <w:p w14:paraId="33BA7B83">
      <w:pPr>
        <w:keepNext/>
        <w:keepLines/>
        <w:spacing w:line="360" w:lineRule="auto"/>
        <w:ind w:firstLine="420" w:firstLineChars="200"/>
        <w:rPr>
          <w:rFonts w:ascii="宋体" w:hAnsi="宋体" w:cs="宋体"/>
          <w:bCs/>
          <w:color w:val="auto"/>
          <w:highlight w:val="none"/>
        </w:rPr>
      </w:pPr>
      <w:r>
        <w:rPr>
          <w:rFonts w:hint="eastAsia" w:ascii="宋体" w:hAnsi="宋体" w:cs="宋体"/>
          <w:color w:val="auto"/>
          <w:highlight w:val="none"/>
        </w:rPr>
        <w:t>38.3.2  投诉人投诉时，应当提交投诉书，并按照被投诉采购人、采购代理机构和与投诉事项有关的供应商数量提供投诉书的副本。投诉书</w:t>
      </w:r>
      <w:r>
        <w:rPr>
          <w:rFonts w:hint="eastAsia" w:ascii="宋体" w:hAnsi="宋体" w:cs="宋体"/>
          <w:color w:val="auto"/>
          <w:szCs w:val="21"/>
          <w:highlight w:val="none"/>
        </w:rPr>
        <w:t>应当包括下列主要内容</w:t>
      </w:r>
      <w:r>
        <w:rPr>
          <w:rFonts w:hint="eastAsia" w:ascii="宋体" w:hAnsi="宋体" w:cs="宋体"/>
          <w:color w:val="auto"/>
          <w:highlight w:val="none"/>
        </w:rPr>
        <w:t>（如材料中有外文资料应同时附上对应的中文译本）</w:t>
      </w:r>
      <w:r>
        <w:rPr>
          <w:rFonts w:hint="eastAsia" w:ascii="宋体" w:hAnsi="宋体" w:cs="宋体"/>
          <w:bCs/>
          <w:color w:val="auto"/>
          <w:highlight w:val="none"/>
        </w:rPr>
        <w:t>（投诉书格式后附）</w:t>
      </w:r>
      <w:r>
        <w:rPr>
          <w:rFonts w:hint="eastAsia" w:ascii="宋体" w:hAnsi="宋体" w:cs="宋体"/>
          <w:color w:val="auto"/>
          <w:szCs w:val="21"/>
          <w:highlight w:val="none"/>
        </w:rPr>
        <w:t>：</w:t>
      </w:r>
    </w:p>
    <w:p w14:paraId="1F1FD162">
      <w:pPr>
        <w:keepNext/>
        <w:keepLines/>
        <w:spacing w:line="360" w:lineRule="auto"/>
        <w:ind w:firstLine="420" w:firstLineChars="200"/>
        <w:rPr>
          <w:rFonts w:ascii="宋体" w:hAnsi="宋体" w:cs="宋体"/>
          <w:color w:val="auto"/>
          <w:highlight w:val="none"/>
        </w:rPr>
      </w:pPr>
      <w:r>
        <w:rPr>
          <w:rFonts w:hint="eastAsia" w:ascii="宋体" w:hAnsi="宋体" w:cs="宋体"/>
          <w:color w:val="auto"/>
          <w:highlight w:val="none"/>
        </w:rPr>
        <w:t xml:space="preserve">（1）投诉人和被投诉人的名称、地址、邮编、联系人及联系电话等； </w:t>
      </w:r>
    </w:p>
    <w:p w14:paraId="03D34D58">
      <w:pPr>
        <w:keepNext/>
        <w:keepLines/>
        <w:spacing w:line="360" w:lineRule="auto"/>
        <w:ind w:firstLine="420" w:firstLineChars="200"/>
        <w:rPr>
          <w:rFonts w:ascii="宋体" w:hAnsi="宋体" w:cs="宋体"/>
          <w:color w:val="auto"/>
          <w:highlight w:val="none"/>
        </w:rPr>
      </w:pPr>
      <w:r>
        <w:rPr>
          <w:rFonts w:hint="eastAsia" w:ascii="宋体" w:hAnsi="宋体" w:cs="宋体"/>
          <w:color w:val="auto"/>
          <w:highlight w:val="none"/>
        </w:rPr>
        <w:t xml:space="preserve">（2）质疑和质疑答复情况及相关证明材料； </w:t>
      </w:r>
    </w:p>
    <w:p w14:paraId="430EBCC7">
      <w:pPr>
        <w:keepNext/>
        <w:keepLines/>
        <w:spacing w:line="360" w:lineRule="auto"/>
        <w:ind w:firstLine="420" w:firstLineChars="200"/>
        <w:rPr>
          <w:rFonts w:ascii="宋体" w:hAnsi="宋体" w:cs="宋体"/>
          <w:color w:val="auto"/>
          <w:highlight w:val="none"/>
        </w:rPr>
      </w:pPr>
      <w:r>
        <w:rPr>
          <w:rFonts w:hint="eastAsia" w:ascii="宋体" w:hAnsi="宋体" w:cs="宋体"/>
          <w:color w:val="auto"/>
          <w:highlight w:val="none"/>
        </w:rPr>
        <w:t>（3）具体、明确的投诉事项和与投诉事项相关的投诉请求；</w:t>
      </w:r>
    </w:p>
    <w:p w14:paraId="4B1B5064">
      <w:pPr>
        <w:keepNext/>
        <w:keepLines/>
        <w:spacing w:line="360" w:lineRule="auto"/>
        <w:ind w:firstLine="420" w:firstLineChars="200"/>
        <w:rPr>
          <w:rFonts w:ascii="宋体" w:hAnsi="宋体" w:cs="宋体"/>
          <w:color w:val="auto"/>
          <w:highlight w:val="none"/>
        </w:rPr>
      </w:pPr>
      <w:r>
        <w:rPr>
          <w:rFonts w:hint="eastAsia" w:ascii="宋体" w:hAnsi="宋体" w:cs="宋体"/>
          <w:color w:val="auto"/>
          <w:highlight w:val="none"/>
        </w:rPr>
        <w:t>（4）事实依据；</w:t>
      </w:r>
    </w:p>
    <w:p w14:paraId="5700AE75">
      <w:pPr>
        <w:keepNext/>
        <w:keepLines/>
        <w:spacing w:line="360" w:lineRule="auto"/>
        <w:ind w:firstLine="420" w:firstLineChars="200"/>
        <w:rPr>
          <w:rFonts w:ascii="宋体" w:hAnsi="宋体" w:cs="宋体"/>
          <w:color w:val="auto"/>
          <w:highlight w:val="none"/>
        </w:rPr>
      </w:pPr>
      <w:r>
        <w:rPr>
          <w:rFonts w:hint="eastAsia" w:ascii="宋体" w:hAnsi="宋体" w:cs="宋体"/>
          <w:color w:val="auto"/>
          <w:highlight w:val="none"/>
        </w:rPr>
        <w:t>（5）法律依据；</w:t>
      </w:r>
    </w:p>
    <w:p w14:paraId="7BD80206">
      <w:pPr>
        <w:keepNext/>
        <w:keepLines/>
        <w:spacing w:line="360" w:lineRule="auto"/>
        <w:ind w:firstLine="420" w:firstLineChars="200"/>
        <w:rPr>
          <w:rFonts w:ascii="宋体" w:hAnsi="宋体" w:cs="宋体"/>
          <w:color w:val="auto"/>
          <w:highlight w:val="none"/>
        </w:rPr>
      </w:pPr>
      <w:r>
        <w:rPr>
          <w:rFonts w:hint="eastAsia" w:ascii="宋体" w:hAnsi="宋体" w:cs="宋体"/>
          <w:color w:val="auto"/>
          <w:highlight w:val="none"/>
        </w:rPr>
        <w:t>（6）提起投诉的日期。</w:t>
      </w:r>
    </w:p>
    <w:p w14:paraId="47B4D57E">
      <w:pPr>
        <w:keepNext/>
        <w:keepLines/>
        <w:spacing w:line="360" w:lineRule="auto"/>
        <w:ind w:firstLine="420" w:firstLineChars="200"/>
        <w:rPr>
          <w:rFonts w:ascii="宋体" w:hAnsi="宋体" w:cs="宋体"/>
          <w:color w:val="auto"/>
          <w:highlight w:val="none"/>
        </w:rPr>
      </w:pPr>
      <w:r>
        <w:rPr>
          <w:rFonts w:hint="eastAsia" w:ascii="宋体" w:hAnsi="宋体" w:cs="宋体"/>
          <w:color w:val="auto"/>
          <w:highlight w:val="none"/>
        </w:rPr>
        <w:t>（7）附件材料：营业执照副本内页复印件【要求证件有效并清晰反映企业法人经营范围；近期连续三个月依法缴纳税收和在职职工社会保障资金证明材料（复印件）】。</w:t>
      </w:r>
      <w:r>
        <w:rPr>
          <w:rFonts w:hint="eastAsia" w:ascii="宋体" w:hAnsi="宋体" w:cs="宋体"/>
          <w:color w:val="auto"/>
          <w:highlight w:val="none"/>
        </w:rPr>
        <w:tab/>
      </w:r>
    </w:p>
    <w:p w14:paraId="5DC19CCD">
      <w:pPr>
        <w:keepNext/>
        <w:keepLines/>
        <w:spacing w:line="360" w:lineRule="auto"/>
        <w:ind w:firstLine="420" w:firstLineChars="200"/>
        <w:rPr>
          <w:rFonts w:ascii="宋体" w:hAnsi="宋体" w:cs="宋体"/>
          <w:bCs/>
          <w:color w:val="auto"/>
          <w:highlight w:val="none"/>
        </w:rPr>
      </w:pPr>
      <w:r>
        <w:rPr>
          <w:rFonts w:hint="eastAsia" w:ascii="宋体" w:hAnsi="宋体" w:cs="宋体"/>
          <w:color w:val="auto"/>
          <w:highlight w:val="none"/>
        </w:rPr>
        <w:t>38.3.3  投诉人可以委托代理人办理投诉事务。</w:t>
      </w:r>
      <w:r>
        <w:rPr>
          <w:rFonts w:hint="eastAsia" w:ascii="宋体" w:hAnsi="宋体" w:cs="宋体"/>
          <w:bCs/>
          <w:color w:val="auto"/>
          <w:highlight w:val="none"/>
        </w:rPr>
        <w:t>委托代理人应熟悉相关业务情况。</w:t>
      </w:r>
      <w:r>
        <w:rPr>
          <w:rFonts w:hint="eastAsia" w:ascii="宋体" w:hAnsi="宋体" w:cs="宋体"/>
          <w:color w:val="auto"/>
          <w:highlight w:val="none"/>
        </w:rPr>
        <w:t>代理人办理投诉事务时，除提交投诉书外，还应当提交投诉人的授权委托书和委托代理人身份证明复印件。</w:t>
      </w:r>
    </w:p>
    <w:p w14:paraId="4E5D0B61">
      <w:pPr>
        <w:keepNext/>
        <w:keepLines/>
        <w:spacing w:line="360" w:lineRule="auto"/>
        <w:ind w:firstLine="420" w:firstLineChars="200"/>
        <w:rPr>
          <w:rFonts w:ascii="宋体" w:hAnsi="宋体" w:cs="宋体"/>
          <w:color w:val="auto"/>
          <w:highlight w:val="none"/>
        </w:rPr>
      </w:pPr>
      <w:r>
        <w:rPr>
          <w:rFonts w:hint="eastAsia" w:ascii="宋体" w:hAnsi="宋体" w:cs="宋体"/>
          <w:color w:val="auto"/>
          <w:highlight w:val="none"/>
        </w:rPr>
        <w:t>38.3.4  投诉人提起投诉应当符合下列条件：</w:t>
      </w:r>
    </w:p>
    <w:p w14:paraId="741A72FA">
      <w:pPr>
        <w:keepNext/>
        <w:keepLines/>
        <w:spacing w:line="360" w:lineRule="auto"/>
        <w:ind w:firstLine="420" w:firstLineChars="200"/>
        <w:rPr>
          <w:rFonts w:ascii="宋体" w:hAnsi="宋体" w:cs="宋体"/>
          <w:color w:val="auto"/>
          <w:highlight w:val="none"/>
        </w:rPr>
      </w:pPr>
      <w:r>
        <w:rPr>
          <w:rFonts w:hint="eastAsia" w:ascii="宋体" w:hAnsi="宋体" w:cs="宋体"/>
          <w:color w:val="auto"/>
          <w:highlight w:val="none"/>
        </w:rPr>
        <w:t>（1）投诉人是参与所投诉政府采购活动的供应商；</w:t>
      </w:r>
    </w:p>
    <w:p w14:paraId="1F56455E">
      <w:pPr>
        <w:keepNext/>
        <w:keepLines/>
        <w:spacing w:line="360" w:lineRule="auto"/>
        <w:ind w:firstLine="420" w:firstLineChars="200"/>
        <w:rPr>
          <w:rFonts w:ascii="宋体" w:hAnsi="宋体" w:cs="宋体"/>
          <w:color w:val="auto"/>
          <w:highlight w:val="none"/>
        </w:rPr>
      </w:pPr>
      <w:r>
        <w:rPr>
          <w:rFonts w:hint="eastAsia" w:ascii="宋体" w:hAnsi="宋体" w:cs="宋体"/>
          <w:color w:val="auto"/>
          <w:highlight w:val="none"/>
        </w:rPr>
        <w:t>（2）提起投诉前已依法进行质疑；</w:t>
      </w:r>
    </w:p>
    <w:p w14:paraId="057093AD">
      <w:pPr>
        <w:keepNext/>
        <w:keepLines/>
        <w:spacing w:line="360" w:lineRule="auto"/>
        <w:ind w:firstLine="420" w:firstLineChars="200"/>
        <w:rPr>
          <w:rFonts w:ascii="宋体" w:hAnsi="宋体" w:cs="宋体"/>
          <w:color w:val="auto"/>
          <w:highlight w:val="none"/>
        </w:rPr>
      </w:pPr>
      <w:r>
        <w:rPr>
          <w:rFonts w:hint="eastAsia" w:ascii="宋体" w:hAnsi="宋体" w:cs="宋体"/>
          <w:color w:val="auto"/>
          <w:highlight w:val="none"/>
        </w:rPr>
        <w:t>（3）投诉书内容符合本章第38.3.2项的规定；</w:t>
      </w:r>
    </w:p>
    <w:p w14:paraId="2DEED623">
      <w:pPr>
        <w:keepNext/>
        <w:keepLines/>
        <w:spacing w:line="360" w:lineRule="auto"/>
        <w:ind w:firstLine="420" w:firstLineChars="200"/>
        <w:rPr>
          <w:rFonts w:ascii="宋体" w:hAnsi="宋体" w:cs="宋体"/>
          <w:color w:val="auto"/>
          <w:highlight w:val="none"/>
        </w:rPr>
      </w:pPr>
      <w:r>
        <w:rPr>
          <w:rFonts w:hint="eastAsia" w:ascii="宋体" w:hAnsi="宋体" w:cs="宋体"/>
          <w:color w:val="auto"/>
          <w:highlight w:val="none"/>
        </w:rPr>
        <w:t>（4）在投诉有效期限内提起投诉；</w:t>
      </w:r>
    </w:p>
    <w:p w14:paraId="6C288E68">
      <w:pPr>
        <w:keepNext/>
        <w:keepLines/>
        <w:spacing w:line="360" w:lineRule="auto"/>
        <w:ind w:firstLine="420" w:firstLineChars="200"/>
        <w:rPr>
          <w:rFonts w:ascii="宋体" w:hAnsi="宋体" w:cs="宋体"/>
          <w:color w:val="auto"/>
          <w:highlight w:val="none"/>
        </w:rPr>
      </w:pPr>
      <w:r>
        <w:rPr>
          <w:rFonts w:hint="eastAsia" w:ascii="宋体" w:hAnsi="宋体" w:cs="宋体"/>
          <w:color w:val="auto"/>
          <w:highlight w:val="none"/>
        </w:rPr>
        <w:t>（5）属于广西壮族自治区财政厅政府采购监督管理处管辖；</w:t>
      </w:r>
    </w:p>
    <w:p w14:paraId="1E2460B7">
      <w:pPr>
        <w:keepNext/>
        <w:keepLines/>
        <w:spacing w:line="360" w:lineRule="auto"/>
        <w:ind w:firstLine="420" w:firstLineChars="200"/>
        <w:rPr>
          <w:rFonts w:ascii="宋体" w:hAnsi="宋体" w:cs="宋体"/>
          <w:color w:val="auto"/>
          <w:highlight w:val="none"/>
        </w:rPr>
      </w:pPr>
      <w:r>
        <w:rPr>
          <w:rFonts w:hint="eastAsia" w:ascii="宋体" w:hAnsi="宋体" w:cs="宋体"/>
          <w:color w:val="auto"/>
          <w:highlight w:val="none"/>
        </w:rPr>
        <w:t>（6）同一投诉事项未经</w:t>
      </w:r>
      <w:r>
        <w:rPr>
          <w:rFonts w:hint="eastAsia" w:ascii="宋体" w:hAnsi="宋体" w:cs="宋体"/>
          <w:bCs/>
          <w:color w:val="auto"/>
          <w:highlight w:val="none"/>
        </w:rPr>
        <w:t>广西壮族自治区财政厅政府采购监督管理处</w:t>
      </w:r>
      <w:r>
        <w:rPr>
          <w:rFonts w:hint="eastAsia" w:ascii="宋体" w:hAnsi="宋体" w:cs="宋体"/>
          <w:color w:val="auto"/>
          <w:highlight w:val="none"/>
        </w:rPr>
        <w:t>投诉处理；</w:t>
      </w:r>
    </w:p>
    <w:p w14:paraId="38A56E25">
      <w:pPr>
        <w:keepNext/>
        <w:keepLines/>
        <w:spacing w:line="360" w:lineRule="auto"/>
        <w:ind w:firstLine="420" w:firstLineChars="200"/>
        <w:rPr>
          <w:rFonts w:ascii="宋体" w:hAnsi="宋体" w:cs="宋体"/>
          <w:color w:val="auto"/>
          <w:highlight w:val="none"/>
        </w:rPr>
      </w:pPr>
      <w:r>
        <w:rPr>
          <w:rFonts w:hint="eastAsia" w:ascii="宋体" w:hAnsi="宋体" w:cs="宋体"/>
          <w:color w:val="auto"/>
          <w:highlight w:val="none"/>
        </w:rPr>
        <w:t>（7）国务院财政部门规定的其他条件。</w:t>
      </w:r>
    </w:p>
    <w:p w14:paraId="5734BB62">
      <w:pPr>
        <w:keepNext/>
        <w:keepLines/>
        <w:spacing w:line="360" w:lineRule="auto"/>
        <w:ind w:firstLine="420" w:firstLineChars="200"/>
        <w:rPr>
          <w:rFonts w:ascii="宋体" w:hAnsi="宋体" w:cs="宋体"/>
          <w:color w:val="auto"/>
          <w:highlight w:val="none"/>
        </w:rPr>
      </w:pPr>
      <w:r>
        <w:rPr>
          <w:rFonts w:hint="eastAsia" w:ascii="宋体" w:hAnsi="宋体" w:cs="宋体"/>
          <w:color w:val="auto"/>
          <w:highlight w:val="none"/>
        </w:rPr>
        <w:t>38.3.5  广西壮族自治区财政厅政府采购监督管理处自受理投诉之日起30个工作日内，对投诉事项作出处理决定，并以书面形式通知投诉人、被投诉人及其他与投诉处理结果有利害关系的政府采购当事人。并将投诉结果在</w:t>
      </w:r>
      <w:r>
        <w:rPr>
          <w:rFonts w:hint="eastAsia" w:ascii="宋体" w:hAnsi="宋体" w:cs="宋体"/>
          <w:color w:val="auto"/>
          <w:kern w:val="0"/>
          <w:szCs w:val="21"/>
          <w:highlight w:val="none"/>
        </w:rPr>
        <w:t>“广西政府采购网”（http://zfcg.gxzf.gov.cn）</w:t>
      </w:r>
      <w:r>
        <w:rPr>
          <w:rFonts w:hint="eastAsia" w:ascii="宋体" w:hAnsi="宋体" w:cs="宋体"/>
          <w:color w:val="auto"/>
          <w:highlight w:val="none"/>
        </w:rPr>
        <w:t>发布。</w:t>
      </w:r>
    </w:p>
    <w:p w14:paraId="7D65BBDA">
      <w:pPr>
        <w:keepNext/>
        <w:keepLines/>
        <w:spacing w:line="360" w:lineRule="auto"/>
        <w:ind w:firstLine="420" w:firstLineChars="200"/>
        <w:rPr>
          <w:rFonts w:ascii="宋体" w:hAnsi="宋体" w:cs="宋体"/>
          <w:color w:val="auto"/>
          <w:highlight w:val="none"/>
        </w:rPr>
      </w:pPr>
      <w:r>
        <w:rPr>
          <w:rFonts w:hint="eastAsia" w:ascii="宋体" w:hAnsi="宋体" w:cs="宋体"/>
          <w:color w:val="auto"/>
          <w:highlight w:val="none"/>
        </w:rPr>
        <w:t>38.3.6  广西壮族自治区财政厅政府采购监督管理处在处理投诉事项期间，可以视具体情况暂停采购活动。</w:t>
      </w:r>
    </w:p>
    <w:p w14:paraId="4A3288A7">
      <w:pPr>
        <w:pStyle w:val="4"/>
        <w:keepNext/>
        <w:keepLines/>
        <w:rPr>
          <w:color w:val="auto"/>
          <w:highlight w:val="none"/>
        </w:rPr>
      </w:pPr>
      <w:bookmarkStart w:id="132" w:name="_Toc177716513"/>
      <w:bookmarkStart w:id="133" w:name="_Toc18055"/>
      <w:bookmarkStart w:id="134" w:name="_Toc30426"/>
      <w:r>
        <w:rPr>
          <w:rFonts w:hint="eastAsia"/>
          <w:color w:val="auto"/>
          <w:highlight w:val="none"/>
        </w:rPr>
        <w:t>八、验收</w:t>
      </w:r>
      <w:bookmarkEnd w:id="132"/>
      <w:bookmarkEnd w:id="133"/>
      <w:bookmarkEnd w:id="134"/>
    </w:p>
    <w:p w14:paraId="364DC285">
      <w:pPr>
        <w:keepNext/>
        <w:keepLines/>
        <w:spacing w:line="360" w:lineRule="auto"/>
        <w:ind w:firstLine="422" w:firstLineChars="200"/>
        <w:outlineLvl w:val="3"/>
        <w:rPr>
          <w:rFonts w:ascii="宋体" w:hAnsi="宋体" w:cs="宋体"/>
          <w:b/>
          <w:color w:val="auto"/>
          <w:highlight w:val="none"/>
        </w:rPr>
      </w:pPr>
      <w:r>
        <w:rPr>
          <w:rFonts w:hint="eastAsia" w:ascii="宋体" w:hAnsi="宋体" w:cs="宋体"/>
          <w:b/>
          <w:color w:val="auto"/>
          <w:highlight w:val="none"/>
        </w:rPr>
        <w:t>39.验收</w:t>
      </w:r>
    </w:p>
    <w:p w14:paraId="69D82B2C">
      <w:pPr>
        <w:keepNext/>
        <w:keepLines/>
        <w:tabs>
          <w:tab w:val="left" w:pos="0"/>
        </w:tabs>
        <w:spacing w:line="360" w:lineRule="auto"/>
        <w:ind w:firstLine="480"/>
        <w:rPr>
          <w:rFonts w:ascii="宋体" w:hAnsi="宋体" w:cs="宋体"/>
          <w:color w:val="auto"/>
          <w:highlight w:val="none"/>
        </w:rPr>
      </w:pPr>
      <w:r>
        <w:rPr>
          <w:rFonts w:hint="eastAsia" w:ascii="宋体" w:hAnsi="宋体" w:cs="宋体"/>
          <w:color w:val="auto"/>
          <w:highlight w:val="none"/>
        </w:rPr>
        <w:t>39.1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048822F1">
      <w:pPr>
        <w:keepNext/>
        <w:keepLines/>
        <w:tabs>
          <w:tab w:val="left" w:pos="0"/>
        </w:tabs>
        <w:spacing w:line="360" w:lineRule="auto"/>
        <w:ind w:firstLine="480"/>
        <w:rPr>
          <w:rFonts w:ascii="宋体" w:hAnsi="宋体" w:cs="宋体"/>
          <w:color w:val="auto"/>
          <w:highlight w:val="none"/>
        </w:rPr>
      </w:pPr>
      <w:r>
        <w:rPr>
          <w:rFonts w:hint="eastAsia" w:ascii="宋体" w:hAnsi="宋体" w:cs="宋体"/>
          <w:color w:val="auto"/>
          <w:highlight w:val="none"/>
        </w:rPr>
        <w:t>39.2采购人可以邀请参加本项目的其他投标人或者第三方机构参与验收。参与验收的投标人或者第三方机构的意见作为验收书的参考资料一并存档。</w:t>
      </w:r>
    </w:p>
    <w:p w14:paraId="3A2ADF26">
      <w:pPr>
        <w:keepNext/>
        <w:keepLines/>
        <w:tabs>
          <w:tab w:val="left" w:pos="0"/>
        </w:tabs>
        <w:spacing w:line="360" w:lineRule="auto"/>
        <w:ind w:firstLine="480"/>
        <w:rPr>
          <w:rFonts w:ascii="宋体" w:hAnsi="宋体" w:cs="宋体"/>
          <w:color w:val="auto"/>
          <w:highlight w:val="none"/>
        </w:rPr>
      </w:pPr>
      <w:r>
        <w:rPr>
          <w:rFonts w:hint="eastAsia" w:ascii="宋体" w:hAnsi="宋体" w:cs="宋体"/>
          <w:color w:val="auto"/>
          <w:highlight w:val="none"/>
        </w:rPr>
        <w:t>39.3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35F7F6BE">
      <w:pPr>
        <w:keepNext/>
        <w:keepLines/>
        <w:tabs>
          <w:tab w:val="left" w:pos="0"/>
        </w:tabs>
        <w:spacing w:line="360" w:lineRule="auto"/>
        <w:ind w:firstLine="480"/>
        <w:rPr>
          <w:rFonts w:cs="宋体"/>
          <w:color w:val="auto"/>
          <w:highlight w:val="none"/>
        </w:rPr>
      </w:pPr>
      <w:r>
        <w:rPr>
          <w:rFonts w:hint="eastAsia" w:ascii="宋体" w:hAnsi="宋体" w:cs="宋体"/>
          <w:color w:val="auto"/>
          <w:highlight w:val="none"/>
        </w:rPr>
        <w:t>39.4验收合格的项目，采购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5ADAB937">
      <w:pPr>
        <w:pStyle w:val="4"/>
        <w:keepNext/>
        <w:keepLines/>
        <w:rPr>
          <w:color w:val="auto"/>
          <w:highlight w:val="none"/>
        </w:rPr>
      </w:pPr>
      <w:bookmarkStart w:id="135" w:name="_八、其他事项"/>
      <w:bookmarkEnd w:id="135"/>
      <w:bookmarkStart w:id="136" w:name="_Toc17157"/>
      <w:bookmarkStart w:id="137" w:name="_Toc177716514"/>
      <w:bookmarkStart w:id="138" w:name="_Toc7200"/>
      <w:r>
        <w:rPr>
          <w:rFonts w:hint="eastAsia"/>
          <w:color w:val="auto"/>
          <w:highlight w:val="none"/>
        </w:rPr>
        <w:t>九、其他事项</w:t>
      </w:r>
      <w:bookmarkEnd w:id="136"/>
      <w:bookmarkEnd w:id="137"/>
      <w:bookmarkEnd w:id="138"/>
    </w:p>
    <w:p w14:paraId="1CE2DA18">
      <w:pPr>
        <w:keepNext/>
        <w:keepLines/>
        <w:spacing w:line="360" w:lineRule="auto"/>
        <w:ind w:firstLine="482" w:firstLineChars="200"/>
        <w:outlineLvl w:val="3"/>
        <w:rPr>
          <w:rFonts w:ascii="宋体" w:hAnsi="宋体" w:cs="宋体"/>
          <w:b/>
          <w:color w:val="auto"/>
          <w:sz w:val="24"/>
          <w:highlight w:val="none"/>
        </w:rPr>
      </w:pPr>
      <w:bookmarkStart w:id="139" w:name="_42.代理服务费"/>
      <w:bookmarkEnd w:id="139"/>
      <w:r>
        <w:rPr>
          <w:rFonts w:hint="eastAsia" w:ascii="宋体" w:hAnsi="宋体" w:cs="宋体"/>
          <w:b/>
          <w:color w:val="auto"/>
          <w:sz w:val="24"/>
          <w:highlight w:val="none"/>
        </w:rPr>
        <w:t>40.代理服务费</w:t>
      </w:r>
    </w:p>
    <w:p w14:paraId="234AE274">
      <w:pPr>
        <w:keepNext/>
        <w:keepLines/>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40.1代理服务收费标准及缴费账户详见“投标人须知前附表”，投标人为联合体的，可以由联合体中的一方或者多方共同缴纳代理服务费。</w:t>
      </w:r>
    </w:p>
    <w:p w14:paraId="74CCED6D">
      <w:pPr>
        <w:keepNext/>
        <w:keepLines/>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40.2代理服务收费标准：</w:t>
      </w:r>
    </w:p>
    <w:tbl>
      <w:tblPr>
        <w:tblStyle w:val="30"/>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687"/>
        <w:gridCol w:w="1659"/>
      </w:tblGrid>
      <w:tr w14:paraId="31237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l2br w:val="single" w:color="auto" w:sz="4" w:space="0"/>
            </w:tcBorders>
          </w:tcPr>
          <w:p w14:paraId="39FAE7A0">
            <w:pPr>
              <w:keepNext/>
              <w:keepLines/>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费率</w:t>
            </w:r>
          </w:p>
          <w:p w14:paraId="53223009">
            <w:pPr>
              <w:keepNext/>
              <w:keepLines/>
              <w:spacing w:line="360" w:lineRule="auto"/>
              <w:rPr>
                <w:rFonts w:ascii="宋体" w:hAnsi="宋体" w:cs="宋体"/>
                <w:color w:val="auto"/>
                <w:szCs w:val="21"/>
                <w:highlight w:val="none"/>
              </w:rPr>
            </w:pPr>
            <w:r>
              <w:rPr>
                <w:rFonts w:hint="eastAsia" w:ascii="宋体" w:hAnsi="宋体" w:cs="宋体"/>
                <w:color w:val="auto"/>
                <w:szCs w:val="21"/>
                <w:highlight w:val="none"/>
              </w:rPr>
              <w:t>中标金额</w:t>
            </w:r>
          </w:p>
        </w:tc>
        <w:tc>
          <w:tcPr>
            <w:tcW w:w="1659" w:type="dxa"/>
            <w:vAlign w:val="center"/>
          </w:tcPr>
          <w:p w14:paraId="430FB7D8">
            <w:pPr>
              <w:keepNext/>
              <w:keepLines/>
              <w:spacing w:line="360" w:lineRule="auto"/>
              <w:ind w:firstLine="105" w:firstLineChars="50"/>
              <w:jc w:val="center"/>
              <w:rPr>
                <w:rFonts w:ascii="宋体" w:hAnsi="宋体" w:cs="宋体"/>
                <w:color w:val="auto"/>
                <w:szCs w:val="21"/>
                <w:highlight w:val="none"/>
              </w:rPr>
            </w:pPr>
            <w:r>
              <w:rPr>
                <w:rFonts w:hint="eastAsia" w:ascii="宋体" w:hAnsi="宋体" w:cs="宋体"/>
                <w:color w:val="auto"/>
                <w:szCs w:val="21"/>
                <w:highlight w:val="none"/>
              </w:rPr>
              <w:t>货物招标</w:t>
            </w:r>
          </w:p>
        </w:tc>
        <w:tc>
          <w:tcPr>
            <w:tcW w:w="1687" w:type="dxa"/>
            <w:vAlign w:val="center"/>
          </w:tcPr>
          <w:p w14:paraId="00CBEC1F">
            <w:pPr>
              <w:keepNext/>
              <w:keepLines/>
              <w:spacing w:line="360" w:lineRule="auto"/>
              <w:jc w:val="center"/>
              <w:rPr>
                <w:rFonts w:ascii="宋体" w:hAnsi="宋体" w:cs="宋体"/>
                <w:color w:val="auto"/>
                <w:szCs w:val="21"/>
                <w:highlight w:val="none"/>
              </w:rPr>
            </w:pPr>
            <w:r>
              <w:rPr>
                <w:rFonts w:hint="eastAsia" w:ascii="宋体" w:hAnsi="宋体" w:cs="宋体"/>
                <w:color w:val="auto"/>
                <w:szCs w:val="21"/>
                <w:highlight w:val="none"/>
              </w:rPr>
              <w:t>服务招标</w:t>
            </w:r>
          </w:p>
        </w:tc>
        <w:tc>
          <w:tcPr>
            <w:tcW w:w="1659" w:type="dxa"/>
            <w:vAlign w:val="center"/>
          </w:tcPr>
          <w:p w14:paraId="58D0601C">
            <w:pPr>
              <w:keepNext/>
              <w:keepLines/>
              <w:spacing w:line="360" w:lineRule="auto"/>
              <w:jc w:val="center"/>
              <w:rPr>
                <w:rFonts w:ascii="宋体" w:hAnsi="宋体" w:cs="宋体"/>
                <w:color w:val="auto"/>
                <w:szCs w:val="21"/>
                <w:highlight w:val="none"/>
              </w:rPr>
            </w:pPr>
            <w:r>
              <w:rPr>
                <w:rFonts w:hint="eastAsia" w:ascii="宋体" w:hAnsi="宋体" w:cs="宋体"/>
                <w:color w:val="auto"/>
                <w:szCs w:val="21"/>
                <w:highlight w:val="none"/>
              </w:rPr>
              <w:t>工程招标</w:t>
            </w:r>
          </w:p>
        </w:tc>
      </w:tr>
      <w:tr w14:paraId="4C951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7D004EFA">
            <w:pPr>
              <w:keepNext/>
              <w:keepLines/>
              <w:spacing w:line="360" w:lineRule="auto"/>
              <w:rPr>
                <w:rFonts w:ascii="宋体" w:hAnsi="宋体" w:cs="宋体"/>
                <w:color w:val="auto"/>
                <w:szCs w:val="21"/>
                <w:highlight w:val="none"/>
              </w:rPr>
            </w:pPr>
            <w:r>
              <w:rPr>
                <w:rFonts w:hint="eastAsia" w:ascii="宋体" w:hAnsi="宋体" w:cs="宋体"/>
                <w:color w:val="auto"/>
                <w:szCs w:val="21"/>
                <w:highlight w:val="none"/>
              </w:rPr>
              <w:t>100万元以下</w:t>
            </w:r>
          </w:p>
        </w:tc>
        <w:tc>
          <w:tcPr>
            <w:tcW w:w="1659" w:type="dxa"/>
          </w:tcPr>
          <w:p w14:paraId="11D5508B">
            <w:pPr>
              <w:keepNext/>
              <w:keepLines/>
              <w:spacing w:line="360" w:lineRule="auto"/>
              <w:jc w:val="center"/>
              <w:rPr>
                <w:rFonts w:ascii="宋体" w:hAnsi="宋体" w:cs="宋体"/>
                <w:color w:val="auto"/>
                <w:szCs w:val="21"/>
                <w:highlight w:val="none"/>
              </w:rPr>
            </w:pPr>
            <w:r>
              <w:rPr>
                <w:rFonts w:hint="eastAsia" w:ascii="宋体" w:hAnsi="宋体" w:cs="宋体"/>
                <w:color w:val="auto"/>
                <w:kern w:val="0"/>
                <w:szCs w:val="21"/>
                <w:highlight w:val="none"/>
              </w:rPr>
              <w:t>1.5%</w:t>
            </w:r>
          </w:p>
        </w:tc>
        <w:tc>
          <w:tcPr>
            <w:tcW w:w="1687" w:type="dxa"/>
          </w:tcPr>
          <w:p w14:paraId="4B8A0B34">
            <w:pPr>
              <w:keepNext/>
              <w:keepLines/>
              <w:spacing w:line="360" w:lineRule="auto"/>
              <w:jc w:val="center"/>
              <w:rPr>
                <w:rFonts w:ascii="宋体" w:hAnsi="宋体" w:cs="宋体"/>
                <w:color w:val="auto"/>
                <w:szCs w:val="21"/>
                <w:highlight w:val="none"/>
              </w:rPr>
            </w:pPr>
            <w:r>
              <w:rPr>
                <w:rFonts w:hint="eastAsia" w:ascii="宋体" w:hAnsi="宋体" w:cs="宋体"/>
                <w:color w:val="auto"/>
                <w:kern w:val="0"/>
                <w:szCs w:val="21"/>
                <w:highlight w:val="none"/>
              </w:rPr>
              <w:t>1.5%</w:t>
            </w:r>
          </w:p>
        </w:tc>
        <w:tc>
          <w:tcPr>
            <w:tcW w:w="1659" w:type="dxa"/>
          </w:tcPr>
          <w:p w14:paraId="3D6762BF">
            <w:pPr>
              <w:keepNext/>
              <w:keepLines/>
              <w:spacing w:line="360" w:lineRule="auto"/>
              <w:jc w:val="center"/>
              <w:rPr>
                <w:rFonts w:ascii="宋体" w:hAnsi="宋体" w:cs="宋体"/>
                <w:color w:val="auto"/>
                <w:szCs w:val="21"/>
                <w:highlight w:val="none"/>
              </w:rPr>
            </w:pPr>
            <w:r>
              <w:rPr>
                <w:rFonts w:hint="eastAsia" w:ascii="宋体" w:hAnsi="宋体" w:cs="宋体"/>
                <w:color w:val="auto"/>
                <w:kern w:val="0"/>
                <w:szCs w:val="21"/>
                <w:highlight w:val="none"/>
              </w:rPr>
              <w:t>1.0%</w:t>
            </w:r>
          </w:p>
        </w:tc>
      </w:tr>
      <w:tr w14:paraId="0EBEF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224B4CF5">
            <w:pPr>
              <w:keepNext/>
              <w:keepLines/>
              <w:spacing w:line="360" w:lineRule="auto"/>
              <w:rPr>
                <w:rFonts w:ascii="宋体" w:hAnsi="宋体" w:cs="宋体"/>
                <w:color w:val="auto"/>
                <w:szCs w:val="21"/>
                <w:highlight w:val="none"/>
              </w:rPr>
            </w:pPr>
            <w:r>
              <w:rPr>
                <w:rFonts w:hint="eastAsia" w:ascii="宋体" w:hAnsi="宋体" w:cs="宋体"/>
                <w:color w:val="auto"/>
                <w:szCs w:val="21"/>
                <w:highlight w:val="none"/>
              </w:rPr>
              <w:t>100～500万元</w:t>
            </w:r>
          </w:p>
        </w:tc>
        <w:tc>
          <w:tcPr>
            <w:tcW w:w="1659" w:type="dxa"/>
          </w:tcPr>
          <w:p w14:paraId="0838871E">
            <w:pPr>
              <w:keepNext/>
              <w:keepLines/>
              <w:spacing w:line="360" w:lineRule="auto"/>
              <w:jc w:val="center"/>
              <w:rPr>
                <w:rFonts w:ascii="宋体" w:hAnsi="宋体" w:cs="宋体"/>
                <w:color w:val="auto"/>
                <w:szCs w:val="21"/>
                <w:highlight w:val="none"/>
              </w:rPr>
            </w:pPr>
            <w:r>
              <w:rPr>
                <w:rFonts w:hint="eastAsia" w:ascii="宋体" w:hAnsi="宋体" w:cs="宋体"/>
                <w:color w:val="auto"/>
                <w:kern w:val="0"/>
                <w:szCs w:val="21"/>
                <w:highlight w:val="none"/>
              </w:rPr>
              <w:t>1.1%</w:t>
            </w:r>
          </w:p>
        </w:tc>
        <w:tc>
          <w:tcPr>
            <w:tcW w:w="1687" w:type="dxa"/>
          </w:tcPr>
          <w:p w14:paraId="4DCB9A19">
            <w:pPr>
              <w:keepNext/>
              <w:keepLines/>
              <w:spacing w:line="360" w:lineRule="auto"/>
              <w:jc w:val="center"/>
              <w:rPr>
                <w:rFonts w:ascii="宋体" w:hAnsi="宋体" w:cs="宋体"/>
                <w:color w:val="auto"/>
                <w:szCs w:val="21"/>
                <w:highlight w:val="none"/>
              </w:rPr>
            </w:pPr>
            <w:r>
              <w:rPr>
                <w:rFonts w:hint="eastAsia" w:ascii="宋体" w:hAnsi="宋体" w:cs="宋体"/>
                <w:color w:val="auto"/>
                <w:kern w:val="0"/>
                <w:szCs w:val="21"/>
                <w:highlight w:val="none"/>
              </w:rPr>
              <w:t>0.8%</w:t>
            </w:r>
          </w:p>
        </w:tc>
        <w:tc>
          <w:tcPr>
            <w:tcW w:w="1659" w:type="dxa"/>
          </w:tcPr>
          <w:p w14:paraId="0CEC9B24">
            <w:pPr>
              <w:keepNext/>
              <w:keepLines/>
              <w:spacing w:line="360" w:lineRule="auto"/>
              <w:jc w:val="center"/>
              <w:rPr>
                <w:rFonts w:ascii="宋体" w:hAnsi="宋体" w:cs="宋体"/>
                <w:color w:val="auto"/>
                <w:szCs w:val="21"/>
                <w:highlight w:val="none"/>
              </w:rPr>
            </w:pPr>
            <w:r>
              <w:rPr>
                <w:rFonts w:hint="eastAsia" w:ascii="宋体" w:hAnsi="宋体" w:cs="宋体"/>
                <w:color w:val="auto"/>
                <w:kern w:val="0"/>
                <w:szCs w:val="21"/>
                <w:highlight w:val="none"/>
              </w:rPr>
              <w:t>0.7%</w:t>
            </w:r>
          </w:p>
        </w:tc>
      </w:tr>
      <w:tr w14:paraId="12D33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3957D753">
            <w:pPr>
              <w:keepNext/>
              <w:keepLines/>
              <w:spacing w:line="360" w:lineRule="auto"/>
              <w:rPr>
                <w:rFonts w:ascii="宋体" w:hAnsi="宋体" w:cs="宋体"/>
                <w:color w:val="auto"/>
                <w:szCs w:val="21"/>
                <w:highlight w:val="none"/>
              </w:rPr>
            </w:pPr>
            <w:r>
              <w:rPr>
                <w:rFonts w:hint="eastAsia" w:ascii="宋体" w:hAnsi="宋体" w:cs="宋体"/>
                <w:color w:val="auto"/>
                <w:szCs w:val="21"/>
                <w:highlight w:val="none"/>
              </w:rPr>
              <w:t>500～1000万元</w:t>
            </w:r>
          </w:p>
        </w:tc>
        <w:tc>
          <w:tcPr>
            <w:tcW w:w="1659" w:type="dxa"/>
          </w:tcPr>
          <w:p w14:paraId="6AF1A7EF">
            <w:pPr>
              <w:keepNext/>
              <w:keepLines/>
              <w:spacing w:line="360" w:lineRule="auto"/>
              <w:jc w:val="center"/>
              <w:rPr>
                <w:rFonts w:ascii="宋体" w:hAnsi="宋体" w:cs="宋体"/>
                <w:color w:val="auto"/>
                <w:szCs w:val="21"/>
                <w:highlight w:val="none"/>
              </w:rPr>
            </w:pPr>
            <w:r>
              <w:rPr>
                <w:rFonts w:hint="eastAsia" w:ascii="宋体" w:hAnsi="宋体" w:cs="宋体"/>
                <w:color w:val="auto"/>
                <w:kern w:val="0"/>
                <w:szCs w:val="21"/>
                <w:highlight w:val="none"/>
              </w:rPr>
              <w:t>0.8%</w:t>
            </w:r>
          </w:p>
        </w:tc>
        <w:tc>
          <w:tcPr>
            <w:tcW w:w="1687" w:type="dxa"/>
          </w:tcPr>
          <w:p w14:paraId="2E2285DF">
            <w:pPr>
              <w:keepNext/>
              <w:keepLines/>
              <w:spacing w:line="360" w:lineRule="auto"/>
              <w:jc w:val="center"/>
              <w:rPr>
                <w:rFonts w:ascii="宋体" w:hAnsi="宋体" w:cs="宋体"/>
                <w:color w:val="auto"/>
                <w:szCs w:val="21"/>
                <w:highlight w:val="none"/>
              </w:rPr>
            </w:pPr>
            <w:r>
              <w:rPr>
                <w:rFonts w:hint="eastAsia" w:ascii="宋体" w:hAnsi="宋体" w:cs="宋体"/>
                <w:color w:val="auto"/>
                <w:kern w:val="0"/>
                <w:szCs w:val="21"/>
                <w:highlight w:val="none"/>
              </w:rPr>
              <w:t>0.45%</w:t>
            </w:r>
          </w:p>
        </w:tc>
        <w:tc>
          <w:tcPr>
            <w:tcW w:w="1659" w:type="dxa"/>
          </w:tcPr>
          <w:p w14:paraId="40DDC97E">
            <w:pPr>
              <w:keepNext/>
              <w:keepLines/>
              <w:spacing w:line="360" w:lineRule="auto"/>
              <w:jc w:val="center"/>
              <w:rPr>
                <w:rFonts w:ascii="宋体" w:hAnsi="宋体" w:cs="宋体"/>
                <w:color w:val="auto"/>
                <w:szCs w:val="21"/>
                <w:highlight w:val="none"/>
              </w:rPr>
            </w:pPr>
            <w:r>
              <w:rPr>
                <w:rFonts w:hint="eastAsia" w:ascii="宋体" w:hAnsi="宋体" w:cs="宋体"/>
                <w:color w:val="auto"/>
                <w:kern w:val="0"/>
                <w:szCs w:val="21"/>
                <w:highlight w:val="none"/>
              </w:rPr>
              <w:t>0.55%</w:t>
            </w:r>
          </w:p>
        </w:tc>
      </w:tr>
      <w:tr w14:paraId="7AD7B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36309A4E">
            <w:pPr>
              <w:keepNext/>
              <w:keepLines/>
              <w:spacing w:line="360" w:lineRule="auto"/>
              <w:rPr>
                <w:rFonts w:ascii="宋体" w:hAnsi="宋体" w:cs="宋体"/>
                <w:color w:val="auto"/>
                <w:szCs w:val="21"/>
                <w:highlight w:val="none"/>
              </w:rPr>
            </w:pPr>
            <w:r>
              <w:rPr>
                <w:rFonts w:hint="eastAsia" w:ascii="宋体" w:hAnsi="宋体" w:cs="宋体"/>
                <w:color w:val="auto"/>
                <w:szCs w:val="21"/>
                <w:highlight w:val="none"/>
              </w:rPr>
              <w:t>1000～5000万元</w:t>
            </w:r>
          </w:p>
        </w:tc>
        <w:tc>
          <w:tcPr>
            <w:tcW w:w="1659" w:type="dxa"/>
          </w:tcPr>
          <w:p w14:paraId="28C6D274">
            <w:pPr>
              <w:keepNext/>
              <w:keepLines/>
              <w:spacing w:line="360" w:lineRule="auto"/>
              <w:jc w:val="center"/>
              <w:rPr>
                <w:rFonts w:ascii="宋体" w:hAnsi="宋体" w:cs="宋体"/>
                <w:color w:val="auto"/>
                <w:szCs w:val="21"/>
                <w:highlight w:val="none"/>
              </w:rPr>
            </w:pPr>
            <w:r>
              <w:rPr>
                <w:rFonts w:hint="eastAsia" w:ascii="宋体" w:hAnsi="宋体" w:cs="宋体"/>
                <w:color w:val="auto"/>
                <w:kern w:val="0"/>
                <w:szCs w:val="21"/>
                <w:highlight w:val="none"/>
              </w:rPr>
              <w:t>0.5%</w:t>
            </w:r>
          </w:p>
        </w:tc>
        <w:tc>
          <w:tcPr>
            <w:tcW w:w="1687" w:type="dxa"/>
          </w:tcPr>
          <w:p w14:paraId="40EDE215">
            <w:pPr>
              <w:keepNext/>
              <w:keepLines/>
              <w:spacing w:line="360" w:lineRule="auto"/>
              <w:jc w:val="center"/>
              <w:rPr>
                <w:rFonts w:ascii="宋体" w:hAnsi="宋体" w:cs="宋体"/>
                <w:color w:val="auto"/>
                <w:szCs w:val="21"/>
                <w:highlight w:val="none"/>
              </w:rPr>
            </w:pPr>
            <w:r>
              <w:rPr>
                <w:rFonts w:hint="eastAsia" w:ascii="宋体" w:hAnsi="宋体" w:cs="宋体"/>
                <w:color w:val="auto"/>
                <w:kern w:val="0"/>
                <w:szCs w:val="21"/>
                <w:highlight w:val="none"/>
              </w:rPr>
              <w:t>0.25%</w:t>
            </w:r>
          </w:p>
        </w:tc>
        <w:tc>
          <w:tcPr>
            <w:tcW w:w="1659" w:type="dxa"/>
          </w:tcPr>
          <w:p w14:paraId="67A5706A">
            <w:pPr>
              <w:keepNext/>
              <w:keepLines/>
              <w:spacing w:line="360" w:lineRule="auto"/>
              <w:jc w:val="center"/>
              <w:rPr>
                <w:rFonts w:ascii="宋体" w:hAnsi="宋体" w:cs="宋体"/>
                <w:color w:val="auto"/>
                <w:szCs w:val="21"/>
                <w:highlight w:val="none"/>
              </w:rPr>
            </w:pPr>
            <w:r>
              <w:rPr>
                <w:rFonts w:hint="eastAsia" w:ascii="宋体" w:hAnsi="宋体" w:cs="宋体"/>
                <w:color w:val="auto"/>
                <w:kern w:val="0"/>
                <w:szCs w:val="21"/>
                <w:highlight w:val="none"/>
              </w:rPr>
              <w:t>0.35%</w:t>
            </w:r>
          </w:p>
        </w:tc>
      </w:tr>
      <w:tr w14:paraId="3D40F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17F606C3">
            <w:pPr>
              <w:keepNext/>
              <w:keepLines/>
              <w:spacing w:line="360" w:lineRule="auto"/>
              <w:rPr>
                <w:rFonts w:ascii="宋体" w:hAnsi="宋体" w:cs="宋体"/>
                <w:color w:val="auto"/>
                <w:szCs w:val="21"/>
                <w:highlight w:val="none"/>
              </w:rPr>
            </w:pPr>
            <w:r>
              <w:rPr>
                <w:rFonts w:hint="eastAsia" w:ascii="宋体" w:hAnsi="宋体" w:cs="宋体"/>
                <w:color w:val="auto"/>
                <w:szCs w:val="21"/>
                <w:highlight w:val="none"/>
              </w:rPr>
              <w:t>5000万元～1亿元</w:t>
            </w:r>
          </w:p>
        </w:tc>
        <w:tc>
          <w:tcPr>
            <w:tcW w:w="1659" w:type="dxa"/>
          </w:tcPr>
          <w:p w14:paraId="609FA227">
            <w:pPr>
              <w:keepNext/>
              <w:keepLines/>
              <w:spacing w:line="360" w:lineRule="auto"/>
              <w:jc w:val="center"/>
              <w:rPr>
                <w:rFonts w:ascii="宋体" w:hAnsi="宋体" w:cs="宋体"/>
                <w:color w:val="auto"/>
                <w:szCs w:val="21"/>
                <w:highlight w:val="none"/>
              </w:rPr>
            </w:pPr>
            <w:r>
              <w:rPr>
                <w:rFonts w:hint="eastAsia" w:ascii="宋体" w:hAnsi="宋体" w:cs="宋体"/>
                <w:color w:val="auto"/>
                <w:kern w:val="0"/>
                <w:szCs w:val="21"/>
                <w:highlight w:val="none"/>
              </w:rPr>
              <w:t>0.25%</w:t>
            </w:r>
          </w:p>
        </w:tc>
        <w:tc>
          <w:tcPr>
            <w:tcW w:w="1687" w:type="dxa"/>
          </w:tcPr>
          <w:p w14:paraId="39698DDD">
            <w:pPr>
              <w:keepNext/>
              <w:keepLines/>
              <w:spacing w:line="360" w:lineRule="auto"/>
              <w:jc w:val="center"/>
              <w:rPr>
                <w:rFonts w:ascii="宋体" w:hAnsi="宋体" w:cs="宋体"/>
                <w:color w:val="auto"/>
                <w:szCs w:val="21"/>
                <w:highlight w:val="none"/>
              </w:rPr>
            </w:pPr>
            <w:r>
              <w:rPr>
                <w:rFonts w:hint="eastAsia" w:ascii="宋体" w:hAnsi="宋体" w:cs="宋体"/>
                <w:color w:val="auto"/>
                <w:kern w:val="0"/>
                <w:szCs w:val="21"/>
                <w:highlight w:val="none"/>
              </w:rPr>
              <w:t>0.1%</w:t>
            </w:r>
          </w:p>
        </w:tc>
        <w:tc>
          <w:tcPr>
            <w:tcW w:w="1659" w:type="dxa"/>
          </w:tcPr>
          <w:p w14:paraId="05A65172">
            <w:pPr>
              <w:keepNext/>
              <w:keepLines/>
              <w:spacing w:line="360" w:lineRule="auto"/>
              <w:jc w:val="center"/>
              <w:rPr>
                <w:rFonts w:ascii="宋体" w:hAnsi="宋体" w:cs="宋体"/>
                <w:color w:val="auto"/>
                <w:szCs w:val="21"/>
                <w:highlight w:val="none"/>
              </w:rPr>
            </w:pPr>
            <w:r>
              <w:rPr>
                <w:rFonts w:hint="eastAsia" w:ascii="宋体" w:hAnsi="宋体" w:cs="宋体"/>
                <w:color w:val="auto"/>
                <w:kern w:val="0"/>
                <w:szCs w:val="21"/>
                <w:highlight w:val="none"/>
              </w:rPr>
              <w:t>0.2%</w:t>
            </w:r>
          </w:p>
        </w:tc>
      </w:tr>
      <w:tr w14:paraId="580A1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1A298EFD">
            <w:pPr>
              <w:keepNext/>
              <w:keepLines/>
              <w:spacing w:line="360" w:lineRule="auto"/>
              <w:rPr>
                <w:rFonts w:ascii="宋体" w:hAnsi="宋体" w:cs="宋体"/>
                <w:color w:val="auto"/>
                <w:szCs w:val="21"/>
                <w:highlight w:val="none"/>
              </w:rPr>
            </w:pPr>
            <w:r>
              <w:rPr>
                <w:rFonts w:hint="eastAsia" w:ascii="宋体" w:hAnsi="宋体" w:cs="宋体"/>
                <w:color w:val="auto"/>
                <w:szCs w:val="21"/>
                <w:highlight w:val="none"/>
              </w:rPr>
              <w:t>1～5亿元</w:t>
            </w:r>
          </w:p>
        </w:tc>
        <w:tc>
          <w:tcPr>
            <w:tcW w:w="1659" w:type="dxa"/>
          </w:tcPr>
          <w:p w14:paraId="7554FDCB">
            <w:pPr>
              <w:keepNext/>
              <w:keepLines/>
              <w:spacing w:line="360" w:lineRule="auto"/>
              <w:jc w:val="center"/>
              <w:rPr>
                <w:rFonts w:ascii="宋体" w:hAnsi="宋体" w:cs="宋体"/>
                <w:color w:val="auto"/>
                <w:szCs w:val="21"/>
                <w:highlight w:val="none"/>
              </w:rPr>
            </w:pPr>
            <w:r>
              <w:rPr>
                <w:rFonts w:hint="eastAsia" w:ascii="宋体" w:hAnsi="宋体" w:cs="宋体"/>
                <w:color w:val="auto"/>
                <w:szCs w:val="21"/>
                <w:highlight w:val="none"/>
              </w:rPr>
              <w:t>0.05%</w:t>
            </w:r>
          </w:p>
        </w:tc>
        <w:tc>
          <w:tcPr>
            <w:tcW w:w="1687" w:type="dxa"/>
          </w:tcPr>
          <w:p w14:paraId="6CDD9C88">
            <w:pPr>
              <w:keepNext/>
              <w:keepLines/>
              <w:spacing w:line="360" w:lineRule="auto"/>
              <w:jc w:val="center"/>
              <w:rPr>
                <w:rFonts w:ascii="宋体" w:hAnsi="宋体" w:cs="宋体"/>
                <w:color w:val="auto"/>
                <w:szCs w:val="21"/>
                <w:highlight w:val="none"/>
              </w:rPr>
            </w:pPr>
            <w:r>
              <w:rPr>
                <w:rFonts w:hint="eastAsia" w:ascii="宋体" w:hAnsi="宋体" w:cs="宋体"/>
                <w:color w:val="auto"/>
                <w:szCs w:val="21"/>
                <w:highlight w:val="none"/>
              </w:rPr>
              <w:t>0.05%</w:t>
            </w:r>
          </w:p>
        </w:tc>
        <w:tc>
          <w:tcPr>
            <w:tcW w:w="1659" w:type="dxa"/>
          </w:tcPr>
          <w:p w14:paraId="09C93EED">
            <w:pPr>
              <w:keepNext/>
              <w:keepLines/>
              <w:spacing w:line="360" w:lineRule="auto"/>
              <w:jc w:val="center"/>
              <w:rPr>
                <w:rFonts w:ascii="宋体" w:hAnsi="宋体" w:cs="宋体"/>
                <w:color w:val="auto"/>
                <w:szCs w:val="21"/>
                <w:highlight w:val="none"/>
              </w:rPr>
            </w:pPr>
            <w:r>
              <w:rPr>
                <w:rFonts w:hint="eastAsia" w:ascii="宋体" w:hAnsi="宋体" w:cs="宋体"/>
                <w:color w:val="auto"/>
                <w:szCs w:val="21"/>
                <w:highlight w:val="none"/>
              </w:rPr>
              <w:t>0.05%</w:t>
            </w:r>
          </w:p>
        </w:tc>
      </w:tr>
      <w:tr w14:paraId="37494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702A6895">
            <w:pPr>
              <w:keepNext/>
              <w:keepLines/>
              <w:spacing w:line="360" w:lineRule="auto"/>
              <w:rPr>
                <w:rFonts w:ascii="宋体" w:hAnsi="宋体" w:cs="宋体"/>
                <w:color w:val="auto"/>
                <w:szCs w:val="21"/>
                <w:highlight w:val="none"/>
              </w:rPr>
            </w:pPr>
            <w:r>
              <w:rPr>
                <w:rFonts w:hint="eastAsia" w:ascii="宋体" w:hAnsi="宋体" w:cs="宋体"/>
                <w:color w:val="auto"/>
                <w:szCs w:val="21"/>
                <w:highlight w:val="none"/>
              </w:rPr>
              <w:t>5～10亿元</w:t>
            </w:r>
          </w:p>
        </w:tc>
        <w:tc>
          <w:tcPr>
            <w:tcW w:w="1659" w:type="dxa"/>
          </w:tcPr>
          <w:p w14:paraId="511A952E">
            <w:pPr>
              <w:keepNext/>
              <w:keepLines/>
              <w:spacing w:line="360" w:lineRule="auto"/>
              <w:jc w:val="center"/>
              <w:rPr>
                <w:rFonts w:ascii="宋体" w:hAnsi="宋体" w:cs="宋体"/>
                <w:color w:val="auto"/>
                <w:szCs w:val="21"/>
                <w:highlight w:val="none"/>
              </w:rPr>
            </w:pPr>
            <w:r>
              <w:rPr>
                <w:rFonts w:hint="eastAsia" w:ascii="宋体" w:hAnsi="宋体" w:cs="宋体"/>
                <w:color w:val="auto"/>
                <w:szCs w:val="21"/>
                <w:highlight w:val="none"/>
              </w:rPr>
              <w:t>0.035%</w:t>
            </w:r>
          </w:p>
        </w:tc>
        <w:tc>
          <w:tcPr>
            <w:tcW w:w="1687" w:type="dxa"/>
          </w:tcPr>
          <w:p w14:paraId="141AA5D1">
            <w:pPr>
              <w:keepNext/>
              <w:keepLines/>
              <w:spacing w:line="360" w:lineRule="auto"/>
              <w:jc w:val="center"/>
              <w:rPr>
                <w:rFonts w:ascii="宋体" w:hAnsi="宋体" w:cs="宋体"/>
                <w:color w:val="auto"/>
                <w:szCs w:val="21"/>
                <w:highlight w:val="none"/>
              </w:rPr>
            </w:pPr>
            <w:r>
              <w:rPr>
                <w:rFonts w:hint="eastAsia" w:ascii="宋体" w:hAnsi="宋体" w:cs="宋体"/>
                <w:color w:val="auto"/>
                <w:szCs w:val="21"/>
                <w:highlight w:val="none"/>
              </w:rPr>
              <w:t>0.035%</w:t>
            </w:r>
          </w:p>
        </w:tc>
        <w:tc>
          <w:tcPr>
            <w:tcW w:w="1659" w:type="dxa"/>
          </w:tcPr>
          <w:p w14:paraId="79870E01">
            <w:pPr>
              <w:keepNext/>
              <w:keepLines/>
              <w:spacing w:line="360" w:lineRule="auto"/>
              <w:jc w:val="center"/>
              <w:rPr>
                <w:rFonts w:ascii="宋体" w:hAnsi="宋体" w:cs="宋体"/>
                <w:color w:val="auto"/>
                <w:szCs w:val="21"/>
                <w:highlight w:val="none"/>
              </w:rPr>
            </w:pPr>
            <w:r>
              <w:rPr>
                <w:rFonts w:hint="eastAsia" w:ascii="宋体" w:hAnsi="宋体" w:cs="宋体"/>
                <w:color w:val="auto"/>
                <w:szCs w:val="21"/>
                <w:highlight w:val="none"/>
              </w:rPr>
              <w:t>0.035%</w:t>
            </w:r>
          </w:p>
        </w:tc>
      </w:tr>
      <w:tr w14:paraId="0B471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0E80D214">
            <w:pPr>
              <w:keepNext/>
              <w:keepLines/>
              <w:spacing w:line="360" w:lineRule="auto"/>
              <w:rPr>
                <w:rFonts w:ascii="宋体" w:hAnsi="宋体" w:cs="宋体"/>
                <w:color w:val="auto"/>
                <w:szCs w:val="21"/>
                <w:highlight w:val="none"/>
              </w:rPr>
            </w:pPr>
            <w:r>
              <w:rPr>
                <w:rFonts w:hint="eastAsia" w:ascii="宋体" w:hAnsi="宋体" w:cs="宋体"/>
                <w:color w:val="auto"/>
                <w:szCs w:val="21"/>
                <w:highlight w:val="none"/>
              </w:rPr>
              <w:t>10～50亿元</w:t>
            </w:r>
          </w:p>
        </w:tc>
        <w:tc>
          <w:tcPr>
            <w:tcW w:w="1659" w:type="dxa"/>
          </w:tcPr>
          <w:p w14:paraId="4CD1046F">
            <w:pPr>
              <w:keepNext/>
              <w:keepLines/>
              <w:spacing w:line="360" w:lineRule="auto"/>
              <w:jc w:val="center"/>
              <w:rPr>
                <w:rFonts w:ascii="宋体" w:hAnsi="宋体" w:cs="宋体"/>
                <w:color w:val="auto"/>
                <w:szCs w:val="21"/>
                <w:highlight w:val="none"/>
              </w:rPr>
            </w:pPr>
            <w:r>
              <w:rPr>
                <w:rFonts w:hint="eastAsia" w:ascii="宋体" w:hAnsi="宋体" w:cs="宋体"/>
                <w:color w:val="auto"/>
                <w:szCs w:val="21"/>
                <w:highlight w:val="none"/>
              </w:rPr>
              <w:t>0.008%</w:t>
            </w:r>
          </w:p>
        </w:tc>
        <w:tc>
          <w:tcPr>
            <w:tcW w:w="1687" w:type="dxa"/>
          </w:tcPr>
          <w:p w14:paraId="7FECA94F">
            <w:pPr>
              <w:keepNext/>
              <w:keepLines/>
              <w:spacing w:line="360" w:lineRule="auto"/>
              <w:jc w:val="center"/>
              <w:rPr>
                <w:rFonts w:ascii="宋体" w:hAnsi="宋体" w:cs="宋体"/>
                <w:color w:val="auto"/>
                <w:szCs w:val="21"/>
                <w:highlight w:val="none"/>
              </w:rPr>
            </w:pPr>
            <w:r>
              <w:rPr>
                <w:rFonts w:hint="eastAsia" w:ascii="宋体" w:hAnsi="宋体" w:cs="宋体"/>
                <w:color w:val="auto"/>
                <w:szCs w:val="21"/>
                <w:highlight w:val="none"/>
              </w:rPr>
              <w:t>0.008%</w:t>
            </w:r>
          </w:p>
        </w:tc>
        <w:tc>
          <w:tcPr>
            <w:tcW w:w="1659" w:type="dxa"/>
          </w:tcPr>
          <w:p w14:paraId="5C7536DA">
            <w:pPr>
              <w:keepNext/>
              <w:keepLines/>
              <w:spacing w:line="360" w:lineRule="auto"/>
              <w:jc w:val="center"/>
              <w:rPr>
                <w:rFonts w:ascii="宋体" w:hAnsi="宋体" w:cs="宋体"/>
                <w:color w:val="auto"/>
                <w:szCs w:val="21"/>
                <w:highlight w:val="none"/>
              </w:rPr>
            </w:pPr>
            <w:r>
              <w:rPr>
                <w:rFonts w:hint="eastAsia" w:ascii="宋体" w:hAnsi="宋体" w:cs="宋体"/>
                <w:color w:val="auto"/>
                <w:szCs w:val="21"/>
                <w:highlight w:val="none"/>
              </w:rPr>
              <w:t>0.008%</w:t>
            </w:r>
          </w:p>
        </w:tc>
      </w:tr>
      <w:tr w14:paraId="2384D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1D738503">
            <w:pPr>
              <w:keepNext/>
              <w:keepLines/>
              <w:spacing w:line="360" w:lineRule="auto"/>
              <w:rPr>
                <w:rFonts w:ascii="宋体" w:hAnsi="宋体" w:cs="宋体"/>
                <w:color w:val="auto"/>
                <w:szCs w:val="21"/>
                <w:highlight w:val="none"/>
              </w:rPr>
            </w:pPr>
            <w:r>
              <w:rPr>
                <w:rFonts w:hint="eastAsia" w:ascii="宋体" w:hAnsi="宋体" w:cs="宋体"/>
                <w:color w:val="auto"/>
                <w:szCs w:val="21"/>
                <w:highlight w:val="none"/>
              </w:rPr>
              <w:t>50～100亿元</w:t>
            </w:r>
          </w:p>
        </w:tc>
        <w:tc>
          <w:tcPr>
            <w:tcW w:w="1659" w:type="dxa"/>
          </w:tcPr>
          <w:p w14:paraId="3735DCBA">
            <w:pPr>
              <w:keepNext/>
              <w:keepLines/>
              <w:spacing w:line="360" w:lineRule="auto"/>
              <w:jc w:val="center"/>
              <w:rPr>
                <w:rFonts w:ascii="宋体" w:hAnsi="宋体" w:cs="宋体"/>
                <w:color w:val="auto"/>
                <w:szCs w:val="21"/>
                <w:highlight w:val="none"/>
              </w:rPr>
            </w:pPr>
            <w:r>
              <w:rPr>
                <w:rFonts w:hint="eastAsia" w:ascii="宋体" w:hAnsi="宋体" w:cs="宋体"/>
                <w:color w:val="auto"/>
                <w:szCs w:val="21"/>
                <w:highlight w:val="none"/>
              </w:rPr>
              <w:t>0.0010%</w:t>
            </w:r>
          </w:p>
        </w:tc>
        <w:tc>
          <w:tcPr>
            <w:tcW w:w="1687" w:type="dxa"/>
          </w:tcPr>
          <w:p w14:paraId="2D5BEEF2">
            <w:pPr>
              <w:keepNext/>
              <w:keepLines/>
              <w:spacing w:line="360" w:lineRule="auto"/>
              <w:jc w:val="center"/>
              <w:rPr>
                <w:rFonts w:ascii="宋体" w:hAnsi="宋体" w:cs="宋体"/>
                <w:color w:val="auto"/>
                <w:szCs w:val="21"/>
                <w:highlight w:val="none"/>
              </w:rPr>
            </w:pPr>
            <w:r>
              <w:rPr>
                <w:rFonts w:hint="eastAsia" w:ascii="宋体" w:hAnsi="宋体" w:cs="宋体"/>
                <w:color w:val="auto"/>
                <w:szCs w:val="21"/>
                <w:highlight w:val="none"/>
              </w:rPr>
              <w:t>0.0010%</w:t>
            </w:r>
          </w:p>
        </w:tc>
        <w:tc>
          <w:tcPr>
            <w:tcW w:w="1659" w:type="dxa"/>
          </w:tcPr>
          <w:p w14:paraId="18424C01">
            <w:pPr>
              <w:keepNext/>
              <w:keepLines/>
              <w:spacing w:line="360" w:lineRule="auto"/>
              <w:jc w:val="center"/>
              <w:rPr>
                <w:rFonts w:ascii="宋体" w:hAnsi="宋体" w:cs="宋体"/>
                <w:color w:val="auto"/>
                <w:szCs w:val="21"/>
                <w:highlight w:val="none"/>
              </w:rPr>
            </w:pPr>
            <w:r>
              <w:rPr>
                <w:rFonts w:hint="eastAsia" w:ascii="宋体" w:hAnsi="宋体" w:cs="宋体"/>
                <w:color w:val="auto"/>
                <w:szCs w:val="21"/>
                <w:highlight w:val="none"/>
              </w:rPr>
              <w:t>0.0010%</w:t>
            </w:r>
          </w:p>
        </w:tc>
      </w:tr>
      <w:tr w14:paraId="18478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7D8829CB">
            <w:pPr>
              <w:keepNext/>
              <w:keepLines/>
              <w:spacing w:line="360" w:lineRule="auto"/>
              <w:rPr>
                <w:rFonts w:ascii="宋体" w:hAnsi="宋体" w:cs="宋体"/>
                <w:color w:val="auto"/>
                <w:szCs w:val="21"/>
                <w:highlight w:val="none"/>
              </w:rPr>
            </w:pPr>
            <w:r>
              <w:rPr>
                <w:rFonts w:hint="eastAsia" w:ascii="宋体" w:hAnsi="宋体" w:cs="宋体"/>
                <w:color w:val="auto"/>
                <w:szCs w:val="21"/>
                <w:highlight w:val="none"/>
              </w:rPr>
              <w:t>100亿以上</w:t>
            </w:r>
          </w:p>
        </w:tc>
        <w:tc>
          <w:tcPr>
            <w:tcW w:w="1659" w:type="dxa"/>
          </w:tcPr>
          <w:p w14:paraId="42956A23">
            <w:pPr>
              <w:keepNext/>
              <w:keepLines/>
              <w:spacing w:line="360" w:lineRule="auto"/>
              <w:jc w:val="center"/>
              <w:rPr>
                <w:rFonts w:ascii="宋体" w:hAnsi="宋体" w:cs="宋体"/>
                <w:color w:val="auto"/>
                <w:szCs w:val="21"/>
                <w:highlight w:val="none"/>
              </w:rPr>
            </w:pPr>
            <w:r>
              <w:rPr>
                <w:rFonts w:hint="eastAsia" w:ascii="宋体" w:hAnsi="宋体" w:cs="宋体"/>
                <w:color w:val="auto"/>
                <w:szCs w:val="21"/>
                <w:highlight w:val="none"/>
              </w:rPr>
              <w:t>0.004%</w:t>
            </w:r>
          </w:p>
        </w:tc>
        <w:tc>
          <w:tcPr>
            <w:tcW w:w="1687" w:type="dxa"/>
          </w:tcPr>
          <w:p w14:paraId="7B6CF5CC">
            <w:pPr>
              <w:keepNext/>
              <w:keepLines/>
              <w:spacing w:line="360" w:lineRule="auto"/>
              <w:jc w:val="center"/>
              <w:rPr>
                <w:rFonts w:ascii="宋体" w:hAnsi="宋体" w:cs="宋体"/>
                <w:color w:val="auto"/>
                <w:szCs w:val="21"/>
                <w:highlight w:val="none"/>
              </w:rPr>
            </w:pPr>
            <w:r>
              <w:rPr>
                <w:rFonts w:hint="eastAsia" w:ascii="宋体" w:hAnsi="宋体" w:cs="宋体"/>
                <w:color w:val="auto"/>
                <w:szCs w:val="21"/>
                <w:highlight w:val="none"/>
              </w:rPr>
              <w:t>0.004%</w:t>
            </w:r>
          </w:p>
        </w:tc>
        <w:tc>
          <w:tcPr>
            <w:tcW w:w="1659" w:type="dxa"/>
          </w:tcPr>
          <w:p w14:paraId="1C0E2515">
            <w:pPr>
              <w:keepNext/>
              <w:keepLines/>
              <w:spacing w:line="360" w:lineRule="auto"/>
              <w:jc w:val="center"/>
              <w:rPr>
                <w:rFonts w:ascii="宋体" w:hAnsi="宋体" w:cs="宋体"/>
                <w:color w:val="auto"/>
                <w:szCs w:val="21"/>
                <w:highlight w:val="none"/>
              </w:rPr>
            </w:pPr>
            <w:r>
              <w:rPr>
                <w:rFonts w:hint="eastAsia" w:ascii="宋体" w:hAnsi="宋体" w:cs="宋体"/>
                <w:color w:val="auto"/>
                <w:szCs w:val="21"/>
                <w:highlight w:val="none"/>
              </w:rPr>
              <w:t>0.004%</w:t>
            </w:r>
          </w:p>
        </w:tc>
      </w:tr>
    </w:tbl>
    <w:p w14:paraId="29C59ABF">
      <w:pPr>
        <w:keepNext/>
        <w:keepLines/>
        <w:snapToGrid w:val="0"/>
        <w:spacing w:line="360" w:lineRule="auto"/>
        <w:ind w:firstLine="420" w:firstLineChars="200"/>
        <w:rPr>
          <w:rFonts w:ascii="宋体" w:hAnsi="宋体" w:cs="宋体"/>
          <w:bCs/>
          <w:color w:val="auto"/>
          <w:kern w:val="0"/>
          <w:szCs w:val="21"/>
          <w:highlight w:val="none"/>
        </w:rPr>
      </w:pPr>
      <w:r>
        <w:rPr>
          <w:rFonts w:hint="eastAsia" w:ascii="宋体" w:hAnsi="宋体" w:cs="宋体"/>
          <w:bCs/>
          <w:color w:val="auto"/>
          <w:kern w:val="0"/>
          <w:szCs w:val="21"/>
          <w:highlight w:val="none"/>
        </w:rPr>
        <w:t xml:space="preserve">注： </w:t>
      </w:r>
    </w:p>
    <w:p w14:paraId="0F22F4BF">
      <w:pPr>
        <w:keepNext/>
        <w:keepLines/>
        <w:snapToGrid w:val="0"/>
        <w:spacing w:line="360" w:lineRule="auto"/>
        <w:ind w:firstLine="420" w:firstLineChars="200"/>
        <w:rPr>
          <w:rFonts w:ascii="宋体" w:hAnsi="宋体" w:cs="宋体"/>
          <w:bCs/>
          <w:color w:val="auto"/>
          <w:kern w:val="0"/>
          <w:szCs w:val="21"/>
          <w:highlight w:val="none"/>
        </w:rPr>
      </w:pPr>
      <w:r>
        <w:rPr>
          <w:rFonts w:hint="eastAsia" w:ascii="宋体" w:hAnsi="宋体" w:cs="宋体"/>
          <w:bCs/>
          <w:color w:val="auto"/>
          <w:kern w:val="0"/>
          <w:szCs w:val="21"/>
          <w:highlight w:val="none"/>
        </w:rPr>
        <w:t>（1）按本表费率计算的收费为采购代理的收费基准价格；</w:t>
      </w:r>
    </w:p>
    <w:p w14:paraId="38237F3B">
      <w:pPr>
        <w:keepNext/>
        <w:keepLines/>
        <w:snapToGrid w:val="0"/>
        <w:spacing w:line="360" w:lineRule="auto"/>
        <w:ind w:firstLine="420" w:firstLineChars="200"/>
        <w:rPr>
          <w:rFonts w:ascii="宋体" w:hAnsi="宋体" w:cs="宋体"/>
          <w:bCs/>
          <w:color w:val="auto"/>
          <w:kern w:val="0"/>
          <w:szCs w:val="21"/>
          <w:highlight w:val="none"/>
        </w:rPr>
      </w:pPr>
      <w:r>
        <w:rPr>
          <w:rFonts w:hint="eastAsia" w:ascii="宋体" w:hAnsi="宋体" w:cs="宋体"/>
          <w:bCs/>
          <w:color w:val="auto"/>
          <w:kern w:val="0"/>
          <w:szCs w:val="21"/>
          <w:highlight w:val="none"/>
        </w:rPr>
        <w:t>（2）采购代理收费按差额定率累进法计算。</w:t>
      </w:r>
    </w:p>
    <w:p w14:paraId="6E818575">
      <w:pPr>
        <w:keepNext/>
        <w:keepLines/>
        <w:snapToGrid w:val="0"/>
        <w:spacing w:line="360" w:lineRule="auto"/>
        <w:ind w:firstLine="420" w:firstLineChars="200"/>
        <w:rPr>
          <w:rFonts w:ascii="宋体" w:hAnsi="宋体" w:cs="宋体"/>
          <w:bCs/>
          <w:color w:val="auto"/>
          <w:kern w:val="0"/>
          <w:szCs w:val="21"/>
          <w:highlight w:val="none"/>
        </w:rPr>
      </w:pPr>
      <w:r>
        <w:rPr>
          <w:rFonts w:hint="eastAsia" w:ascii="宋体" w:hAnsi="宋体" w:cs="宋体"/>
          <w:bCs/>
          <w:color w:val="auto"/>
          <w:kern w:val="0"/>
          <w:szCs w:val="21"/>
          <w:highlight w:val="none"/>
        </w:rPr>
        <w:t>例如：某服务采购代理业务中标金额或者暂定价为200万元，计算采购代理收费额如下：</w:t>
      </w:r>
    </w:p>
    <w:p w14:paraId="46E4FF8F">
      <w:pPr>
        <w:keepNext/>
        <w:keepLines/>
        <w:snapToGrid w:val="0"/>
        <w:spacing w:line="360" w:lineRule="auto"/>
        <w:ind w:firstLine="420" w:firstLineChars="200"/>
        <w:rPr>
          <w:rFonts w:ascii="宋体" w:hAnsi="宋体" w:cs="宋体"/>
          <w:bCs/>
          <w:color w:val="auto"/>
          <w:kern w:val="0"/>
          <w:szCs w:val="21"/>
          <w:highlight w:val="none"/>
        </w:rPr>
      </w:pPr>
      <w:r>
        <w:rPr>
          <w:rFonts w:hint="eastAsia" w:ascii="宋体" w:hAnsi="宋体" w:cs="宋体"/>
          <w:bCs/>
          <w:color w:val="auto"/>
          <w:kern w:val="0"/>
          <w:szCs w:val="21"/>
          <w:highlight w:val="none"/>
        </w:rPr>
        <w:t>100万元×l.5％＝1.5万元</w:t>
      </w:r>
    </w:p>
    <w:p w14:paraId="2BBE8E4D">
      <w:pPr>
        <w:keepNext/>
        <w:keepLines/>
        <w:snapToGrid w:val="0"/>
        <w:spacing w:line="360" w:lineRule="auto"/>
        <w:ind w:firstLine="420" w:firstLineChars="200"/>
        <w:rPr>
          <w:rFonts w:ascii="宋体" w:hAnsi="宋体" w:cs="宋体"/>
          <w:bCs/>
          <w:color w:val="auto"/>
          <w:kern w:val="0"/>
          <w:szCs w:val="21"/>
          <w:highlight w:val="none"/>
        </w:rPr>
      </w:pPr>
      <w:r>
        <w:rPr>
          <w:rFonts w:hint="eastAsia" w:ascii="宋体" w:hAnsi="宋体" w:cs="宋体"/>
          <w:bCs/>
          <w:color w:val="auto"/>
          <w:kern w:val="0"/>
          <w:szCs w:val="21"/>
          <w:highlight w:val="none"/>
        </w:rPr>
        <w:t>（200－100）万元×0.8％＝0.8万元</w:t>
      </w:r>
    </w:p>
    <w:p w14:paraId="1FE36F40">
      <w:pPr>
        <w:keepNext/>
        <w:keepLines/>
        <w:snapToGrid w:val="0"/>
        <w:spacing w:line="360" w:lineRule="auto"/>
        <w:ind w:firstLine="420" w:firstLineChars="200"/>
        <w:rPr>
          <w:rFonts w:ascii="宋体" w:hAnsi="宋体" w:cs="宋体"/>
          <w:color w:val="auto"/>
          <w:szCs w:val="21"/>
          <w:highlight w:val="none"/>
        </w:rPr>
      </w:pPr>
      <w:r>
        <w:rPr>
          <w:rFonts w:hint="eastAsia" w:ascii="宋体" w:hAnsi="宋体" w:cs="宋体"/>
          <w:bCs/>
          <w:color w:val="auto"/>
          <w:kern w:val="0"/>
          <w:szCs w:val="21"/>
          <w:highlight w:val="none"/>
        </w:rPr>
        <w:t>合计收费＝1.5+0.8＝2.3（万元）</w:t>
      </w:r>
    </w:p>
    <w:p w14:paraId="7BFF9311">
      <w:pPr>
        <w:keepNext/>
        <w:keepLines/>
        <w:spacing w:line="360" w:lineRule="auto"/>
        <w:ind w:firstLine="482" w:firstLineChars="200"/>
        <w:outlineLvl w:val="3"/>
        <w:rPr>
          <w:rFonts w:ascii="宋体" w:hAnsi="宋体" w:cs="宋体"/>
          <w:b/>
          <w:color w:val="auto"/>
          <w:sz w:val="24"/>
          <w:highlight w:val="none"/>
        </w:rPr>
      </w:pPr>
      <w:r>
        <w:rPr>
          <w:rFonts w:hint="eastAsia" w:ascii="宋体" w:hAnsi="宋体" w:cs="宋体"/>
          <w:b/>
          <w:color w:val="auto"/>
          <w:sz w:val="24"/>
          <w:highlight w:val="none"/>
        </w:rPr>
        <w:t>41. 需要补充的其他内容</w:t>
      </w:r>
    </w:p>
    <w:p w14:paraId="0A27B19E">
      <w:pPr>
        <w:keepNext/>
        <w:keepLines/>
        <w:spacing w:line="360" w:lineRule="auto"/>
        <w:ind w:firstLine="420" w:firstLineChars="200"/>
        <w:rPr>
          <w:rFonts w:ascii="宋体" w:hAnsi="宋体" w:cs="宋体"/>
          <w:color w:val="auto"/>
          <w:highlight w:val="none"/>
        </w:rPr>
      </w:pPr>
      <w:r>
        <w:rPr>
          <w:rFonts w:hint="eastAsia" w:ascii="宋体" w:hAnsi="宋体" w:cs="宋体"/>
          <w:color w:val="auto"/>
          <w:highlight w:val="none"/>
        </w:rPr>
        <w:t>41.1本招标文件解释规则详见“投标人须知前附表”。</w:t>
      </w:r>
    </w:p>
    <w:p w14:paraId="0095489E">
      <w:pPr>
        <w:keepNext/>
        <w:keepLines/>
        <w:spacing w:line="360" w:lineRule="auto"/>
        <w:ind w:firstLine="420" w:firstLineChars="200"/>
        <w:rPr>
          <w:rFonts w:ascii="宋体" w:hAnsi="宋体" w:cs="宋体"/>
          <w:color w:val="auto"/>
          <w:highlight w:val="none"/>
        </w:rPr>
      </w:pPr>
      <w:r>
        <w:rPr>
          <w:rFonts w:hint="eastAsia" w:ascii="宋体" w:hAnsi="宋体" w:cs="宋体"/>
          <w:color w:val="auto"/>
          <w:highlight w:val="none"/>
        </w:rPr>
        <w:t>41.2 其他事项详见“投标人须知前附表”。</w:t>
      </w:r>
    </w:p>
    <w:p w14:paraId="24B7A6A1">
      <w:pPr>
        <w:keepNext/>
        <w:keepLines/>
        <w:spacing w:line="360" w:lineRule="auto"/>
        <w:ind w:firstLine="420" w:firstLineChars="200"/>
        <w:rPr>
          <w:rFonts w:ascii="宋体" w:hAnsi="宋体" w:cs="宋体"/>
          <w:color w:val="auto"/>
          <w:highlight w:val="none"/>
        </w:rPr>
      </w:pPr>
      <w:r>
        <w:rPr>
          <w:rFonts w:hint="eastAsia" w:ascii="宋体" w:hAnsi="宋体" w:cs="宋体"/>
          <w:color w:val="auto"/>
          <w:highlight w:val="none"/>
        </w:rPr>
        <w:t>41.3本文件所称中小企业，是指在中华人民共和国境内依法设立，依据国务院批准的中小企业划分标准确定的中型企业、小型企业和微型企业，</w:t>
      </w:r>
      <w:r>
        <w:rPr>
          <w:rFonts w:hint="eastAsia" w:ascii="宋体" w:hAnsi="宋体" w:cs="宋体"/>
          <w:b/>
          <w:bCs/>
          <w:color w:val="auto"/>
          <w:highlight w:val="none"/>
        </w:rPr>
        <w:t>但与大企业的负责人为同一人，或者与大企业存在直接控股、管理关系的除外。</w:t>
      </w:r>
      <w:r>
        <w:rPr>
          <w:rFonts w:hint="eastAsia" w:ascii="宋体" w:hAnsi="宋体" w:cs="宋体"/>
          <w:color w:val="auto"/>
          <w:highlight w:val="none"/>
        </w:rPr>
        <w:t>符合中小企业划分标准的个体工商户，在政府采购活动中视同中小企业。在政府采购活动中，供应商提供的服务的人员为中小企业依照《中华人民共和国劳动合同法》订立劳动合同的从业人员，不对其中涉及的货物的制造商和工程承建商做出要求的，享受本文件规定的中小企业扶持政策。</w:t>
      </w:r>
    </w:p>
    <w:p w14:paraId="37116C64">
      <w:pPr>
        <w:keepNext/>
        <w:keepLines/>
        <w:spacing w:line="360" w:lineRule="auto"/>
        <w:ind w:firstLine="420" w:firstLineChars="200"/>
        <w:rPr>
          <w:rFonts w:ascii="宋体" w:hAnsi="宋体" w:cs="宋体"/>
          <w:color w:val="auto"/>
          <w:highlight w:val="none"/>
        </w:rPr>
      </w:pPr>
      <w:r>
        <w:rPr>
          <w:rFonts w:hint="eastAsia" w:ascii="宋体" w:hAnsi="宋体" w:cs="宋体"/>
          <w:color w:val="auto"/>
          <w:highlight w:val="none"/>
        </w:rPr>
        <w:t>以联合体形式参加政府采购活动，联合体各方均为中小企业的，联合体视同中小企业。其中，联合体各方均为小微企业的，联合体视同小微企业。</w:t>
      </w:r>
    </w:p>
    <w:p w14:paraId="7A46AB49">
      <w:pPr>
        <w:keepNext/>
        <w:keepLines/>
        <w:spacing w:line="360" w:lineRule="auto"/>
        <w:ind w:firstLine="420" w:firstLineChars="200"/>
        <w:rPr>
          <w:rFonts w:ascii="宋体" w:hAnsi="宋体" w:cs="宋体"/>
          <w:color w:val="auto"/>
          <w:highlight w:val="none"/>
        </w:rPr>
      </w:pPr>
      <w:r>
        <w:rPr>
          <w:rFonts w:hint="eastAsia" w:ascii="宋体" w:hAnsi="宋体" w:cs="宋体"/>
          <w:color w:val="auto"/>
          <w:highlight w:val="none"/>
        </w:rPr>
        <w:t>依据本文件规定享受扶持政策获得政府采购合同的，小微企业不得将合同分包给大中型企业，中型企业不得将合同分包给大型企业。</w:t>
      </w:r>
    </w:p>
    <w:p w14:paraId="1C10BDC5">
      <w:pPr>
        <w:keepNext/>
        <w:keepLines/>
        <w:spacing w:line="360" w:lineRule="auto"/>
        <w:ind w:firstLine="420" w:firstLineChars="200"/>
        <w:jc w:val="left"/>
        <w:rPr>
          <w:rFonts w:ascii="宋体" w:hAnsi="宋体" w:cs="宋体"/>
          <w:color w:val="auto"/>
          <w:highlight w:val="none"/>
        </w:rPr>
      </w:pPr>
      <w:bookmarkStart w:id="140" w:name="_Toc532545043"/>
    </w:p>
    <w:p w14:paraId="287DE22B">
      <w:pPr>
        <w:pStyle w:val="16"/>
        <w:keepNext/>
        <w:keepLines/>
        <w:spacing w:line="360" w:lineRule="auto"/>
        <w:ind w:firstLine="723"/>
        <w:jc w:val="center"/>
        <w:rPr>
          <w:rFonts w:cs="宋体"/>
          <w:b/>
          <w:color w:val="auto"/>
          <w:sz w:val="36"/>
          <w:highlight w:val="none"/>
        </w:rPr>
        <w:sectPr>
          <w:pgSz w:w="11906" w:h="16838"/>
          <w:pgMar w:top="1440" w:right="1080" w:bottom="1440" w:left="1080" w:header="720" w:footer="720" w:gutter="0"/>
          <w:pgBorders>
            <w:top w:val="none" w:sz="0" w:space="0"/>
            <w:left w:val="none" w:sz="0" w:space="0"/>
            <w:bottom w:val="none" w:sz="0" w:space="0"/>
            <w:right w:val="none" w:sz="0" w:space="0"/>
          </w:pgBorders>
          <w:cols w:space="720" w:num="1"/>
          <w:docGrid w:linePitch="331" w:charSpace="0"/>
        </w:sectPr>
      </w:pPr>
    </w:p>
    <w:p w14:paraId="11761120">
      <w:pPr>
        <w:pStyle w:val="16"/>
        <w:keepNext/>
        <w:keepLines/>
        <w:spacing w:line="360" w:lineRule="auto"/>
        <w:jc w:val="center"/>
        <w:outlineLvl w:val="0"/>
        <w:rPr>
          <w:rFonts w:cs="宋体"/>
          <w:b/>
          <w:color w:val="auto"/>
          <w:sz w:val="36"/>
          <w:highlight w:val="none"/>
        </w:rPr>
      </w:pPr>
      <w:bookmarkStart w:id="141" w:name="_Toc25820"/>
      <w:bookmarkStart w:id="142" w:name="_Toc177716515"/>
      <w:r>
        <w:rPr>
          <w:rFonts w:hint="eastAsia" w:cs="宋体"/>
          <w:b/>
          <w:color w:val="auto"/>
          <w:sz w:val="36"/>
          <w:highlight w:val="none"/>
        </w:rPr>
        <w:t>第四章  评标方法</w:t>
      </w:r>
      <w:bookmarkEnd w:id="140"/>
      <w:r>
        <w:rPr>
          <w:rFonts w:hint="eastAsia" w:cs="宋体"/>
          <w:b/>
          <w:color w:val="auto"/>
          <w:sz w:val="36"/>
          <w:highlight w:val="none"/>
        </w:rPr>
        <w:t>及评分标准</w:t>
      </w:r>
      <w:bookmarkEnd w:id="141"/>
      <w:bookmarkEnd w:id="142"/>
    </w:p>
    <w:p w14:paraId="2625EC71">
      <w:pPr>
        <w:pStyle w:val="3"/>
        <w:spacing w:before="120" w:beforeLines="50" w:after="120" w:afterLines="50" w:line="360" w:lineRule="auto"/>
        <w:jc w:val="center"/>
        <w:rPr>
          <w:rFonts w:ascii="宋体" w:hAnsi="宋体" w:eastAsia="宋体" w:cs="宋体"/>
          <w:b w:val="0"/>
          <w:color w:val="auto"/>
          <w:sz w:val="30"/>
          <w:szCs w:val="30"/>
          <w:highlight w:val="none"/>
        </w:rPr>
      </w:pPr>
      <w:bookmarkStart w:id="143" w:name="_Toc177716516"/>
      <w:bookmarkStart w:id="144" w:name="_Toc6356"/>
      <w:bookmarkStart w:id="145" w:name="_Toc6932"/>
      <w:r>
        <w:rPr>
          <w:rFonts w:hint="eastAsia" w:ascii="宋体" w:hAnsi="宋体" w:eastAsia="宋体" w:cs="宋体"/>
          <w:b w:val="0"/>
          <w:color w:val="auto"/>
          <w:sz w:val="30"/>
          <w:szCs w:val="30"/>
          <w:highlight w:val="none"/>
        </w:rPr>
        <w:t>第一节 评标方法</w:t>
      </w:r>
      <w:bookmarkEnd w:id="143"/>
      <w:bookmarkEnd w:id="144"/>
      <w:bookmarkEnd w:id="145"/>
    </w:p>
    <w:p w14:paraId="5BDD10AF">
      <w:pPr>
        <w:pStyle w:val="16"/>
        <w:keepNext/>
        <w:keepLines/>
        <w:tabs>
          <w:tab w:val="left" w:pos="2472"/>
        </w:tabs>
        <w:spacing w:line="360" w:lineRule="auto"/>
        <w:ind w:firstLine="420" w:firstLineChars="200"/>
        <w:rPr>
          <w:rFonts w:cs="宋体"/>
          <w:color w:val="auto"/>
          <w:szCs w:val="21"/>
          <w:highlight w:val="none"/>
        </w:rPr>
      </w:pPr>
      <w:r>
        <w:rPr>
          <w:rFonts w:hint="eastAsia" w:cs="宋体"/>
          <w:color w:val="auto"/>
          <w:szCs w:val="21"/>
          <w:highlight w:val="none"/>
        </w:rPr>
        <w:t>本项目采用</w:t>
      </w:r>
      <w:r>
        <w:rPr>
          <w:rFonts w:hint="eastAsia" w:cs="宋体"/>
          <w:color w:val="auto"/>
          <w:szCs w:val="21"/>
          <w:highlight w:val="none"/>
          <w:u w:val="single"/>
        </w:rPr>
        <w:t xml:space="preserve"> 以下勾选的方式 </w:t>
      </w:r>
      <w:r>
        <w:rPr>
          <w:rFonts w:hint="eastAsia" w:cs="宋体"/>
          <w:color w:val="auto"/>
          <w:szCs w:val="21"/>
          <w:highlight w:val="none"/>
        </w:rPr>
        <w:t>进行评审。</w:t>
      </w:r>
    </w:p>
    <w:p w14:paraId="222861B3">
      <w:pPr>
        <w:pStyle w:val="16"/>
        <w:keepNext/>
        <w:keepLines/>
        <w:spacing w:line="360" w:lineRule="auto"/>
        <w:ind w:firstLine="420"/>
        <w:rPr>
          <w:rFonts w:cs="宋体"/>
          <w:color w:val="auto"/>
          <w:highlight w:val="none"/>
        </w:rPr>
      </w:pPr>
      <w:r>
        <w:rPr>
          <w:rFonts w:hint="eastAsia" w:cs="宋体"/>
          <w:color w:val="auto"/>
          <w:szCs w:val="21"/>
          <w:highlight w:val="none"/>
        </w:rPr>
        <w:t>□最低评标价法，是指投标文件满足招标文件</w:t>
      </w:r>
      <w:r>
        <w:rPr>
          <w:rFonts w:hint="eastAsia" w:cs="宋体"/>
          <w:color w:val="auto"/>
          <w:highlight w:val="none"/>
        </w:rPr>
        <w:t>全部实质性要求，且投标报价最低的投标人为中标候选人的评标方法。</w:t>
      </w:r>
    </w:p>
    <w:p w14:paraId="38BD1D91">
      <w:pPr>
        <w:keepNext/>
        <w:keepLines/>
        <w:autoSpaceDE w:val="0"/>
        <w:autoSpaceDN w:val="0"/>
        <w:spacing w:line="360" w:lineRule="auto"/>
        <w:ind w:firstLine="420" w:firstLineChars="200"/>
        <w:rPr>
          <w:rFonts w:cs="宋体"/>
          <w:color w:val="auto"/>
          <w:highlight w:val="none"/>
        </w:rPr>
      </w:pPr>
      <w:r>
        <w:rPr>
          <w:rFonts w:hint="eastAsia" w:ascii="MS PGothic" w:hAnsi="MS PGothic" w:eastAsia="MS PGothic" w:cs="MS PGothic"/>
          <w:color w:val="auto"/>
          <w:highlight w:val="none"/>
        </w:rPr>
        <w:t>☑</w:t>
      </w:r>
      <w:r>
        <w:rPr>
          <w:rFonts w:hint="eastAsia" w:ascii="宋体" w:hAnsi="宋体" w:cs="宋体"/>
          <w:color w:val="auto"/>
          <w:highlight w:val="none"/>
        </w:rPr>
        <w:t>综合评分法，</w:t>
      </w:r>
      <w:r>
        <w:rPr>
          <w:rFonts w:hint="eastAsia" w:ascii="宋体" w:hAnsi="宋体" w:cs="宋体"/>
          <w:color w:val="auto"/>
          <w:szCs w:val="20"/>
          <w:highlight w:val="none"/>
        </w:rPr>
        <w:t xml:space="preserve">是指投标文件满足招标文件全部实质性要求，且按照评审因素的量化指标评审得分最高的投标人为中标候选人的评标方法。评标委员会将对各投标人的投标报价、技术、商务等方面进行综合评审，对实质上响应招标文件的投标人，由各评委独立记名打分。经统计，得出各投标人的综合得分，按综合得分由高到低顺序排列。若综合得分相同的，按投标报价由低到高顺序排列。若综合得分且投标报价相同的，货物类采购项目以技术性能得分较高者为先；服务类采购项目以技术分得分较高者为先，若技术得分相同的，则以综合实力及业绩得分较高者为先。 </w:t>
      </w:r>
    </w:p>
    <w:p w14:paraId="4F48C10B">
      <w:pPr>
        <w:pStyle w:val="3"/>
        <w:spacing w:before="120" w:beforeLines="50" w:after="120" w:afterLines="50" w:line="360" w:lineRule="auto"/>
        <w:jc w:val="center"/>
        <w:rPr>
          <w:rFonts w:ascii="宋体" w:hAnsi="宋体" w:eastAsia="宋体" w:cs="宋体"/>
          <w:b w:val="0"/>
          <w:color w:val="auto"/>
          <w:sz w:val="30"/>
          <w:szCs w:val="30"/>
          <w:highlight w:val="none"/>
        </w:rPr>
      </w:pPr>
      <w:bookmarkStart w:id="146" w:name="_Toc177716517"/>
      <w:bookmarkStart w:id="147" w:name="_Toc23256"/>
      <w:bookmarkStart w:id="148" w:name="_Toc21031"/>
      <w:r>
        <w:rPr>
          <w:rFonts w:hint="eastAsia" w:ascii="宋体" w:hAnsi="宋体" w:eastAsia="宋体" w:cs="宋体"/>
          <w:b w:val="0"/>
          <w:color w:val="auto"/>
          <w:sz w:val="30"/>
          <w:szCs w:val="30"/>
          <w:highlight w:val="none"/>
        </w:rPr>
        <w:t>第二节 评标程序</w:t>
      </w:r>
      <w:bookmarkEnd w:id="146"/>
      <w:bookmarkEnd w:id="147"/>
      <w:bookmarkEnd w:id="148"/>
    </w:p>
    <w:p w14:paraId="456EE51F">
      <w:pPr>
        <w:keepNext/>
        <w:keepLines/>
        <w:spacing w:line="360" w:lineRule="auto"/>
        <w:ind w:firstLine="422" w:firstLineChars="200"/>
        <w:outlineLvl w:val="2"/>
        <w:rPr>
          <w:rFonts w:ascii="宋体" w:hAnsi="宋体" w:cs="宋体"/>
          <w:b/>
          <w:color w:val="auto"/>
          <w:szCs w:val="21"/>
          <w:highlight w:val="none"/>
        </w:rPr>
      </w:pPr>
      <w:bookmarkStart w:id="149" w:name="_Toc177716518"/>
      <w:r>
        <w:rPr>
          <w:rFonts w:hint="eastAsia" w:ascii="宋体" w:hAnsi="宋体" w:cs="宋体"/>
          <w:b/>
          <w:color w:val="auto"/>
          <w:szCs w:val="21"/>
          <w:highlight w:val="none"/>
        </w:rPr>
        <w:t>1.符合性审查</w:t>
      </w:r>
      <w:bookmarkEnd w:id="149"/>
    </w:p>
    <w:p w14:paraId="7EF63BB4">
      <w:pPr>
        <w:keepNext/>
        <w:keepLines/>
        <w:spacing w:line="360" w:lineRule="auto"/>
        <w:ind w:firstLine="420" w:firstLineChars="200"/>
        <w:rPr>
          <w:rFonts w:ascii="宋体" w:hAnsi="宋体" w:cs="宋体"/>
          <w:color w:val="auto"/>
          <w:highlight w:val="none"/>
        </w:rPr>
      </w:pPr>
      <w:r>
        <w:rPr>
          <w:rFonts w:hint="eastAsia" w:ascii="宋体" w:hAnsi="宋体" w:cs="宋体"/>
          <w:color w:val="auto"/>
          <w:highlight w:val="none"/>
        </w:rPr>
        <w:t>评标委员会应当对符合资格的投标人的投标文件进行投标报价、商务技术等实质性内容符合性审查，以确定其是否满足招标文件的实质性要求。</w:t>
      </w:r>
    </w:p>
    <w:p w14:paraId="3A3E2C11">
      <w:pPr>
        <w:keepNext/>
        <w:keepLines/>
        <w:spacing w:line="360" w:lineRule="auto"/>
        <w:ind w:firstLine="422" w:firstLineChars="200"/>
        <w:outlineLvl w:val="2"/>
        <w:rPr>
          <w:rFonts w:ascii="宋体" w:hAnsi="宋体" w:cs="宋体"/>
          <w:b/>
          <w:color w:val="auto"/>
          <w:szCs w:val="21"/>
          <w:highlight w:val="none"/>
        </w:rPr>
      </w:pPr>
      <w:bookmarkStart w:id="150" w:name="_Toc177716519"/>
      <w:r>
        <w:rPr>
          <w:rFonts w:hint="eastAsia" w:ascii="宋体" w:hAnsi="宋体" w:cs="宋体"/>
          <w:b/>
          <w:color w:val="auto"/>
          <w:szCs w:val="21"/>
          <w:highlight w:val="none"/>
        </w:rPr>
        <w:t>2.符合性审查不通过而导致投标无效的情形</w:t>
      </w:r>
      <w:bookmarkEnd w:id="150"/>
    </w:p>
    <w:p w14:paraId="593464D1">
      <w:pPr>
        <w:keepNext/>
        <w:keepLine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投标人的投标文件中存在对招标文件的任何实质性要求和条件的负偏离，将被视为投标无效。</w:t>
      </w:r>
    </w:p>
    <w:p w14:paraId="6E580264">
      <w:pPr>
        <w:keepNext/>
        <w:keepLines/>
        <w:spacing w:line="360" w:lineRule="auto"/>
        <w:ind w:firstLine="422" w:firstLineChars="200"/>
        <w:outlineLvl w:val="3"/>
        <w:rPr>
          <w:rFonts w:ascii="宋体" w:hAnsi="宋体" w:cs="宋体"/>
          <w:b/>
          <w:bCs/>
          <w:color w:val="auto"/>
          <w:szCs w:val="21"/>
          <w:highlight w:val="none"/>
        </w:rPr>
      </w:pPr>
      <w:r>
        <w:rPr>
          <w:rFonts w:hint="eastAsia" w:ascii="宋体" w:hAnsi="宋体" w:cs="宋体"/>
          <w:b/>
          <w:bCs/>
          <w:color w:val="auto"/>
          <w:szCs w:val="21"/>
          <w:highlight w:val="none"/>
        </w:rPr>
        <w:t>2.1在报价评审时，如发现下列情形之一的，将被视为投标无效：</w:t>
      </w:r>
    </w:p>
    <w:p w14:paraId="2A1471BA">
      <w:pPr>
        <w:keepNext/>
        <w:keepLine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（1）投标文件未提供“投标人须知前附表”第13.1条规定中“必须提供”的文件资料的；</w:t>
      </w:r>
    </w:p>
    <w:p w14:paraId="2D1A3296">
      <w:pPr>
        <w:keepNext/>
        <w:keepLine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（2）未采用人民币报价或者未按照招标文件标明的币种报价的；</w:t>
      </w:r>
    </w:p>
    <w:p w14:paraId="3AB1B1EC">
      <w:pPr>
        <w:keepNext/>
        <w:keepLine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（3）报价超出招标文件规定最高限价，或者超出采购预算金额（包括分项预算）的；</w:t>
      </w:r>
    </w:p>
    <w:p w14:paraId="2D1C7553">
      <w:pPr>
        <w:keepNext/>
        <w:keepLine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投标人未就所投分标进行报价或者存在漏项报价；投标人未就所投分标的单项内容作唯一报价；投标人未就所投分标的全部内容作唯一总价报价；存在有选择、有条件报价的（招标文件允许有备选方案或者其他约定的除外）；</w:t>
      </w:r>
    </w:p>
    <w:p w14:paraId="17F9FBFA">
      <w:pPr>
        <w:keepNext/>
        <w:keepLine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（5）修正后的报价，投标人不确认的；</w:t>
      </w:r>
    </w:p>
    <w:p w14:paraId="7B5E84D6">
      <w:pPr>
        <w:keepNext/>
        <w:keepLine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（6）投标人属于本章第5条第（2）项情形的。</w:t>
      </w:r>
    </w:p>
    <w:p w14:paraId="00DDBE3B">
      <w:pPr>
        <w:keepNext/>
        <w:keepLines/>
        <w:spacing w:line="360" w:lineRule="auto"/>
        <w:ind w:firstLine="422" w:firstLineChars="200"/>
        <w:outlineLvl w:val="3"/>
        <w:rPr>
          <w:rFonts w:ascii="宋体" w:hAnsi="宋体" w:cs="宋体"/>
          <w:b/>
          <w:bCs/>
          <w:color w:val="auto"/>
          <w:szCs w:val="21"/>
          <w:highlight w:val="none"/>
        </w:rPr>
      </w:pPr>
      <w:r>
        <w:rPr>
          <w:rFonts w:hint="eastAsia" w:ascii="宋体" w:hAnsi="宋体" w:cs="宋体"/>
          <w:b/>
          <w:bCs/>
          <w:color w:val="auto"/>
          <w:szCs w:val="21"/>
          <w:highlight w:val="none"/>
        </w:rPr>
        <w:t>2.2在商务评审时，如发现下列情形之一的，将被视为投标无效：</w:t>
      </w:r>
    </w:p>
    <w:p w14:paraId="3928412B">
      <w:pPr>
        <w:keepNext/>
        <w:keepLine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（1）投标文件未按招标文件要求签署、盖章的；</w:t>
      </w:r>
    </w:p>
    <w:p w14:paraId="475D2DFC">
      <w:pPr>
        <w:keepNext/>
        <w:keepLine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（2）委托代理人未能出具有效身份证明或者出具的身份证明与授权委托书中的信息不符的； </w:t>
      </w:r>
    </w:p>
    <w:p w14:paraId="63B1DEE0">
      <w:pPr>
        <w:keepNext/>
        <w:keepLine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（3）投标文件未提供“投标人须知前附表”第13.1条规定中“必须提供”或者“委托时必须提供”的文件资料的；</w:t>
      </w:r>
    </w:p>
    <w:p w14:paraId="55EB7E83">
      <w:pPr>
        <w:keepNext/>
        <w:keepLine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（4）投标有效期、项目完成时间（交货时间、服务完成时间或者服务期等）、</w:t>
      </w:r>
      <w:r>
        <w:rPr>
          <w:rFonts w:hint="eastAsia" w:ascii="宋体" w:hAnsi="宋体" w:cs="宋体"/>
          <w:color w:val="auto"/>
          <w:szCs w:val="21"/>
          <w:highlight w:val="none"/>
          <w:lang w:eastAsia="zh-CN"/>
        </w:rPr>
        <w:t>质保期（</w:t>
      </w:r>
      <w:r>
        <w:rPr>
          <w:rFonts w:hint="eastAsia" w:ascii="宋体" w:hAnsi="宋体" w:cs="宋体"/>
          <w:color w:val="auto"/>
          <w:kern w:val="0"/>
          <w:sz w:val="21"/>
          <w:szCs w:val="21"/>
          <w:highlight w:val="none"/>
          <w:lang w:val="en-US" w:eastAsia="zh-CN"/>
        </w:rPr>
        <w:t>系统运维服务期</w:t>
      </w:r>
      <w:r>
        <w:rPr>
          <w:rFonts w:hint="eastAsia" w:ascii="宋体" w:hAnsi="宋体" w:cs="宋体"/>
          <w:color w:val="auto"/>
          <w:szCs w:val="21"/>
          <w:highlight w:val="none"/>
          <w:lang w:eastAsia="zh-CN"/>
        </w:rPr>
        <w:t>）</w:t>
      </w:r>
      <w:r>
        <w:rPr>
          <w:rFonts w:hint="eastAsia" w:ascii="宋体" w:hAnsi="宋体" w:cs="宋体"/>
          <w:color w:val="auto"/>
          <w:szCs w:val="21"/>
          <w:highlight w:val="none"/>
        </w:rPr>
        <w:t>、售后服务等招标文件中标“▲”的商务条款发生负偏离的；</w:t>
      </w:r>
    </w:p>
    <w:p w14:paraId="798B43CC">
      <w:pPr>
        <w:keepNext/>
        <w:keepLine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（5）商务条款评审允许负偏离的条款数超过“投标人须知前附表”规定项数的。</w:t>
      </w:r>
    </w:p>
    <w:p w14:paraId="1FFB0C52">
      <w:pPr>
        <w:keepNext/>
        <w:keepLine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（6）投标文件的实质性内容未使用中文表述、使用计量单位不符合招标文件要求的；</w:t>
      </w:r>
    </w:p>
    <w:p w14:paraId="6C23BFE5">
      <w:pPr>
        <w:keepNext/>
        <w:keepLine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（7）投标文件中的文件资料因填写不齐全或者内容虚假或者出现其他情形而导致被评标委员会认定无效的；</w:t>
      </w:r>
    </w:p>
    <w:p w14:paraId="1B88DB6A">
      <w:pPr>
        <w:keepNext/>
        <w:keepLine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（8）投标文件含有采购人不能接受的附加条件的；</w:t>
      </w:r>
    </w:p>
    <w:p w14:paraId="2E0728F1">
      <w:pPr>
        <w:keepNext/>
        <w:keepLine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（9）未响应招标文件实质性要求的；</w:t>
      </w:r>
    </w:p>
    <w:p w14:paraId="37165ED0">
      <w:pPr>
        <w:keepNext/>
        <w:keepLine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（10）属于投标人须知正文第9.2条情形的；</w:t>
      </w:r>
    </w:p>
    <w:p w14:paraId="3BACD9BF">
      <w:pPr>
        <w:keepNext/>
        <w:keepLine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（11）法律法规和招标文件规定的其他无效情形。</w:t>
      </w:r>
    </w:p>
    <w:p w14:paraId="330BECFF">
      <w:pPr>
        <w:keepNext/>
        <w:keepLines/>
        <w:spacing w:line="360" w:lineRule="auto"/>
        <w:ind w:firstLine="422" w:firstLineChars="200"/>
        <w:outlineLvl w:val="3"/>
        <w:rPr>
          <w:rFonts w:ascii="宋体" w:hAnsi="宋体" w:cs="宋体"/>
          <w:b/>
          <w:bCs/>
          <w:color w:val="auto"/>
          <w:szCs w:val="21"/>
          <w:highlight w:val="none"/>
        </w:rPr>
      </w:pPr>
      <w:r>
        <w:rPr>
          <w:rFonts w:hint="eastAsia" w:ascii="宋体" w:hAnsi="宋体" w:cs="宋体"/>
          <w:b/>
          <w:bCs/>
          <w:color w:val="auto"/>
          <w:szCs w:val="21"/>
          <w:highlight w:val="none"/>
        </w:rPr>
        <w:t>2.3在技术评审时，如发现下列情形之一的，将被视为投标无效：</w:t>
      </w:r>
    </w:p>
    <w:p w14:paraId="459F0089">
      <w:pPr>
        <w:keepNext/>
        <w:keepLine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（1）不满足招标文件要求的服务内容、技术要求、安全、质量标准，或者与招标文件中标“▲”的技术需求发生负偏离的；</w:t>
      </w:r>
    </w:p>
    <w:p w14:paraId="4AEC9160">
      <w:pPr>
        <w:keepNext/>
        <w:keepLine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（2）技术需求评审允许负偏离的条款数超过“投标人须知前附表”规定项数的；</w:t>
      </w:r>
    </w:p>
    <w:p w14:paraId="135BF9F4">
      <w:pPr>
        <w:keepNext/>
        <w:keepLine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（3）投标文件未提供“投标人须知前附表”第13.1条规定中“必须提供”的文件资料的；</w:t>
      </w:r>
    </w:p>
    <w:p w14:paraId="3DD5E026">
      <w:pPr>
        <w:keepNext/>
        <w:keepLine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（4）虚假投标，或者出现其他情形而导致被评标委员会认定无效的；</w:t>
      </w:r>
    </w:p>
    <w:p w14:paraId="5E1B88D9">
      <w:pPr>
        <w:keepNext/>
        <w:keepLine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（5）如招标文件需要提供技术方案的，投标技术方案不明确，招标文件未允许但存在一个或者一个以上备选（替代）投标方案的。</w:t>
      </w:r>
    </w:p>
    <w:p w14:paraId="71D45907">
      <w:pPr>
        <w:keepNext/>
        <w:keepLines/>
        <w:spacing w:line="360" w:lineRule="auto"/>
        <w:ind w:firstLine="422" w:firstLineChars="200"/>
        <w:outlineLvl w:val="2"/>
        <w:rPr>
          <w:rFonts w:ascii="宋体" w:hAnsi="宋体" w:cs="宋体"/>
          <w:b/>
          <w:color w:val="auto"/>
          <w:szCs w:val="21"/>
          <w:highlight w:val="none"/>
        </w:rPr>
      </w:pPr>
      <w:bookmarkStart w:id="151" w:name="_Toc177716520"/>
      <w:r>
        <w:rPr>
          <w:rFonts w:hint="eastAsia" w:ascii="宋体" w:hAnsi="宋体" w:cs="宋体"/>
          <w:b/>
          <w:color w:val="auto"/>
          <w:szCs w:val="21"/>
          <w:highlight w:val="none"/>
        </w:rPr>
        <w:t>3.澄清补正、说明或者补正</w:t>
      </w:r>
      <w:bookmarkEnd w:id="151"/>
    </w:p>
    <w:p w14:paraId="5411E149">
      <w:pPr>
        <w:keepNext/>
        <w:keepLine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对投标文件中含义不明确、同类问题表述不一致或者有明显文字和计算错误的内容，评标委员会应在“广西政府采购云平台”发布电子澄清函，要求投标人在规定时间内作出必要的澄清、说明或者补正。投标人在“广西政府采购云平台”接收到电子澄清函后根据澄清函内容上传PDF格式回函，电子澄清答复函使用CA证书加盖</w:t>
      </w:r>
      <w:r>
        <w:rPr>
          <w:rFonts w:hint="eastAsia" w:ascii="宋体" w:hAnsi="宋体" w:cs="Courier New"/>
          <w:color w:val="auto"/>
          <w:szCs w:val="21"/>
          <w:highlight w:val="none"/>
        </w:rPr>
        <w:t>投标人电子签章</w:t>
      </w:r>
      <w:r>
        <w:rPr>
          <w:rFonts w:hint="eastAsia" w:ascii="宋体" w:hAnsi="宋体" w:cs="宋体"/>
          <w:color w:val="auto"/>
          <w:szCs w:val="21"/>
          <w:highlight w:val="none"/>
        </w:rPr>
        <w:t>后在线上传至评标委员会。投标人的澄清、说明或者补正不得超出投标文件的范围或者改变投标文件的实质性内容。投标人未在规定时间内进行澄清、说明或者补正的，按无效投标处理。</w:t>
      </w:r>
    </w:p>
    <w:p w14:paraId="5D21ADBC">
      <w:pPr>
        <w:keepNext/>
        <w:keepLine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14:paraId="06D05C5E">
      <w:pPr>
        <w:keepNext/>
        <w:keepLines/>
        <w:spacing w:line="360" w:lineRule="auto"/>
        <w:ind w:firstLine="422" w:firstLineChars="200"/>
        <w:outlineLvl w:val="2"/>
        <w:rPr>
          <w:rFonts w:ascii="宋体" w:hAnsi="宋体" w:cs="宋体"/>
          <w:b/>
          <w:color w:val="auto"/>
          <w:szCs w:val="21"/>
          <w:highlight w:val="none"/>
        </w:rPr>
      </w:pPr>
      <w:bookmarkStart w:id="152" w:name="_Toc177716521"/>
      <w:r>
        <w:rPr>
          <w:rFonts w:hint="eastAsia" w:ascii="宋体" w:hAnsi="宋体" w:cs="宋体"/>
          <w:b/>
          <w:color w:val="auto"/>
          <w:szCs w:val="21"/>
          <w:highlight w:val="none"/>
        </w:rPr>
        <w:t>4.投标文件修正</w:t>
      </w:r>
      <w:bookmarkEnd w:id="152"/>
    </w:p>
    <w:p w14:paraId="186A8254">
      <w:pPr>
        <w:keepNext/>
        <w:keepLine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4.1投标文件报价出现前后不一致的，按照下列规定修正： </w:t>
      </w:r>
    </w:p>
    <w:p w14:paraId="1DBF2104">
      <w:pPr>
        <w:keepNext/>
        <w:keepLines/>
        <w:spacing w:line="360" w:lineRule="auto"/>
        <w:ind w:firstLine="420" w:firstLineChars="200"/>
        <w:rPr>
          <w:rFonts w:ascii="宋体" w:hAnsi="宋体" w:cs="宋体"/>
          <w:color w:val="auto"/>
          <w:highlight w:val="none"/>
        </w:rPr>
      </w:pPr>
      <w:r>
        <w:rPr>
          <w:rFonts w:hint="eastAsia" w:ascii="宋体" w:hAnsi="宋体" w:cs="宋体"/>
          <w:color w:val="auto"/>
          <w:highlight w:val="none"/>
        </w:rPr>
        <w:t>（1）报价文件中“开标一览表”内容与投标文件中相应内容不一致的，以“开标一览表”为准；</w:t>
      </w:r>
    </w:p>
    <w:p w14:paraId="7C0F2CA8">
      <w:pPr>
        <w:keepNext/>
        <w:keepLines/>
        <w:spacing w:line="360" w:lineRule="auto"/>
        <w:ind w:firstLine="420" w:firstLineChars="200"/>
        <w:rPr>
          <w:rFonts w:ascii="宋体" w:hAnsi="宋体" w:cs="宋体"/>
          <w:color w:val="auto"/>
          <w:highlight w:val="none"/>
        </w:rPr>
      </w:pPr>
      <w:r>
        <w:rPr>
          <w:rFonts w:hint="eastAsia" w:ascii="宋体" w:hAnsi="宋体" w:cs="宋体"/>
          <w:color w:val="auto"/>
          <w:highlight w:val="none"/>
        </w:rPr>
        <w:t>（2）大写金额和小写金额不一致的，以大写金额为准；</w:t>
      </w:r>
    </w:p>
    <w:p w14:paraId="7C72853F">
      <w:pPr>
        <w:keepNext/>
        <w:keepLines/>
        <w:spacing w:line="360" w:lineRule="auto"/>
        <w:ind w:firstLine="420" w:firstLineChars="200"/>
        <w:rPr>
          <w:rFonts w:ascii="宋体" w:hAnsi="宋体" w:cs="宋体"/>
          <w:color w:val="auto"/>
          <w:highlight w:val="none"/>
        </w:rPr>
      </w:pPr>
      <w:r>
        <w:rPr>
          <w:rFonts w:hint="eastAsia" w:ascii="宋体" w:hAnsi="宋体" w:cs="宋体"/>
          <w:color w:val="auto"/>
          <w:highlight w:val="none"/>
        </w:rPr>
        <w:t>（3）单价金额小数点或者百分比有明显错位的，以开标一览表的总价为准，并修改单价；</w:t>
      </w:r>
    </w:p>
    <w:p w14:paraId="44276FBA">
      <w:pPr>
        <w:keepNext/>
        <w:keepLines/>
        <w:spacing w:line="360" w:lineRule="auto"/>
        <w:ind w:firstLine="420" w:firstLineChars="200"/>
        <w:rPr>
          <w:rFonts w:ascii="宋体" w:hAnsi="宋体" w:cs="宋体"/>
          <w:color w:val="auto"/>
          <w:highlight w:val="none"/>
        </w:rPr>
      </w:pPr>
      <w:r>
        <w:rPr>
          <w:rFonts w:hint="eastAsia" w:ascii="宋体" w:hAnsi="宋体" w:cs="宋体"/>
          <w:color w:val="auto"/>
          <w:highlight w:val="none"/>
        </w:rPr>
        <w:t>（4）总价金额与按单价汇总金额不一致的，以单价金额计算结果为准。</w:t>
      </w:r>
    </w:p>
    <w:p w14:paraId="26F20127">
      <w:pPr>
        <w:keepNext/>
        <w:keepLines/>
        <w:spacing w:line="360" w:lineRule="auto"/>
        <w:ind w:firstLine="420" w:firstLineChars="200"/>
        <w:rPr>
          <w:rFonts w:ascii="宋体" w:hAnsi="宋体" w:cs="宋体"/>
          <w:color w:val="auto"/>
          <w:highlight w:val="none"/>
        </w:rPr>
      </w:pPr>
      <w:r>
        <w:rPr>
          <w:rFonts w:hint="eastAsia" w:ascii="宋体" w:hAnsi="宋体" w:cs="宋体"/>
          <w:color w:val="auto"/>
          <w:highlight w:val="none"/>
        </w:rPr>
        <w:t>同时出现两种以上不一致的，按照以上（1）-（4）规定的顺序修正。修正后的报价经投标人确认后产生约束力，投标人不确认的，其投标无效。</w:t>
      </w:r>
    </w:p>
    <w:p w14:paraId="2A427CE9">
      <w:pPr>
        <w:keepNext/>
        <w:keepLine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4.2经投标人确认修正后的报价若超过采购预算金额或者最高限价，投标人的投标文件作无效投标处理。</w:t>
      </w:r>
    </w:p>
    <w:p w14:paraId="3062B656">
      <w:pPr>
        <w:keepNext/>
        <w:keepLine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4.3经投标人确认修正后的报价作为签订合同的依据，并以此报价计算价格分。</w:t>
      </w:r>
    </w:p>
    <w:p w14:paraId="5BB5A493">
      <w:pPr>
        <w:keepNext/>
        <w:keepLines/>
        <w:spacing w:line="360" w:lineRule="auto"/>
        <w:ind w:firstLine="422" w:firstLineChars="200"/>
        <w:outlineLvl w:val="2"/>
        <w:rPr>
          <w:rFonts w:ascii="宋体" w:hAnsi="宋体" w:cs="宋体"/>
          <w:b/>
          <w:bCs/>
          <w:color w:val="auto"/>
          <w:szCs w:val="21"/>
          <w:highlight w:val="none"/>
        </w:rPr>
      </w:pPr>
      <w:bookmarkStart w:id="153" w:name="_Toc177716522"/>
      <w:r>
        <w:rPr>
          <w:rFonts w:hint="eastAsia" w:ascii="宋体" w:hAnsi="宋体" w:cs="宋体"/>
          <w:b/>
          <w:bCs/>
          <w:color w:val="auto"/>
          <w:szCs w:val="21"/>
          <w:highlight w:val="none"/>
        </w:rPr>
        <w:t>5.比较与评价</w:t>
      </w:r>
      <w:bookmarkEnd w:id="153"/>
    </w:p>
    <w:p w14:paraId="04D9B273">
      <w:pPr>
        <w:keepNext/>
        <w:keepLines/>
        <w:spacing w:line="360" w:lineRule="auto"/>
        <w:ind w:firstLine="420" w:firstLineChars="200"/>
        <w:rPr>
          <w:rFonts w:ascii="宋体" w:hAnsi="宋体" w:cs="宋体"/>
          <w:color w:val="auto"/>
          <w:highlight w:val="none"/>
        </w:rPr>
      </w:pPr>
      <w:r>
        <w:rPr>
          <w:rFonts w:hint="eastAsia" w:ascii="宋体" w:hAnsi="宋体" w:cs="宋体"/>
          <w:color w:val="auto"/>
          <w:highlight w:val="none"/>
        </w:rPr>
        <w:t>5.1评标委员会按照招标文件中规定的评标方法和评标标准，对符合性审查合格的投标文件进行商务和技术评估，综合比较与评价。</w:t>
      </w:r>
    </w:p>
    <w:p w14:paraId="3D2C0EAE">
      <w:pPr>
        <w:keepNext/>
        <w:keepLines/>
        <w:spacing w:line="360" w:lineRule="auto"/>
        <w:ind w:firstLine="420" w:firstLineChars="200"/>
        <w:rPr>
          <w:rFonts w:ascii="宋体" w:hAnsi="宋体" w:cs="宋体"/>
          <w:color w:val="auto"/>
          <w:highlight w:val="none"/>
        </w:rPr>
      </w:pPr>
      <w:r>
        <w:rPr>
          <w:rFonts w:hint="eastAsia" w:ascii="宋体" w:hAnsi="宋体" w:cs="宋体"/>
          <w:color w:val="auto"/>
          <w:highlight w:val="none"/>
        </w:rPr>
        <w:t>5.2评标委员会独立对每个投标人的投标文件进行评价，并汇总每个投标人的得分。</w:t>
      </w:r>
    </w:p>
    <w:p w14:paraId="77F00DA8">
      <w:pPr>
        <w:keepNext/>
        <w:keepLines/>
        <w:spacing w:line="360" w:lineRule="auto"/>
        <w:ind w:firstLine="420" w:firstLineChars="200"/>
        <w:rPr>
          <w:rFonts w:ascii="宋体" w:hAnsi="宋体" w:cs="宋体"/>
          <w:color w:val="auto"/>
          <w:highlight w:val="none"/>
        </w:rPr>
      </w:pPr>
      <w:r>
        <w:rPr>
          <w:rFonts w:hint="eastAsia" w:ascii="宋体" w:hAnsi="宋体" w:cs="宋体"/>
          <w:color w:val="auto"/>
          <w:highlight w:val="none"/>
        </w:rPr>
        <w:t>（1）评审委员会成员要根据政府采购法律法规和采购文件所载明的评审方法、标准进行评审。对供应商的价格分等客观评分项的评分应当一致，对其他需要借助专业知识评判的主观评分项，应当严格按照评分细则公正评分。</w:t>
      </w:r>
    </w:p>
    <w:p w14:paraId="3451E416">
      <w:pPr>
        <w:keepNext/>
        <w:keepLines/>
        <w:spacing w:line="360" w:lineRule="auto"/>
        <w:ind w:firstLine="420" w:firstLineChars="200"/>
        <w:rPr>
          <w:rFonts w:ascii="宋体" w:hAnsi="宋体" w:cs="宋体"/>
          <w:color w:val="auto"/>
          <w:highlight w:val="none"/>
        </w:rPr>
      </w:pPr>
      <w:r>
        <w:rPr>
          <w:rFonts w:hint="eastAsia" w:ascii="宋体" w:hAnsi="宋体" w:cs="宋体"/>
          <w:color w:val="auto"/>
          <w:highlight w:val="none"/>
        </w:rPr>
        <w:t>（2）评标委员会认为投标人的报价明显低于其他通过符合性审查的投标人的报价，有可能影响产品质量或者不能诚信履约的，应当要求其在评标现场合理的时间内提供书面说明，必要时提交相关证明材料；投标人不能证明其报价合理性的，评标委员会将其作为无效投标处理。</w:t>
      </w:r>
    </w:p>
    <w:p w14:paraId="6CEE84C0">
      <w:pPr>
        <w:keepNext/>
        <w:keepLines/>
        <w:spacing w:line="360" w:lineRule="auto"/>
        <w:ind w:firstLine="420" w:firstLineChars="200"/>
        <w:rPr>
          <w:rFonts w:ascii="宋体" w:hAnsi="宋体" w:cs="宋体"/>
          <w:color w:val="auto"/>
          <w:highlight w:val="none"/>
        </w:rPr>
      </w:pPr>
      <w:r>
        <w:rPr>
          <w:rFonts w:hint="eastAsia" w:ascii="宋体" w:hAnsi="宋体" w:cs="宋体"/>
          <w:color w:val="auto"/>
          <w:highlight w:val="none"/>
        </w:rPr>
        <w:t>5.3评标委员会按照招标文件中规定的评标方法和标准计算各投标人的报价得分。在计算过程中，不得去掉最高报价或者最低报价。</w:t>
      </w:r>
    </w:p>
    <w:p w14:paraId="382F0E1B">
      <w:pPr>
        <w:keepNext/>
        <w:keepLines/>
        <w:spacing w:line="360" w:lineRule="auto"/>
        <w:ind w:firstLine="420" w:firstLineChars="200"/>
        <w:rPr>
          <w:rFonts w:ascii="宋体" w:hAnsi="宋体" w:cs="宋体"/>
          <w:color w:val="auto"/>
          <w:highlight w:val="none"/>
        </w:rPr>
      </w:pPr>
      <w:r>
        <w:rPr>
          <w:rFonts w:hint="eastAsia" w:ascii="宋体" w:hAnsi="宋体" w:cs="宋体"/>
          <w:color w:val="auto"/>
          <w:highlight w:val="none"/>
        </w:rPr>
        <w:t>5.4各投标人的得分为所有评委的有效评分的算术平均数。</w:t>
      </w:r>
    </w:p>
    <w:p w14:paraId="11D54732">
      <w:pPr>
        <w:keepNext/>
        <w:keepLines/>
        <w:spacing w:line="360" w:lineRule="auto"/>
        <w:ind w:firstLine="420" w:firstLineChars="200"/>
        <w:rPr>
          <w:rFonts w:ascii="宋体" w:hAnsi="宋体" w:cs="宋体"/>
          <w:color w:val="auto"/>
          <w:highlight w:val="none"/>
        </w:rPr>
      </w:pPr>
      <w:r>
        <w:rPr>
          <w:rFonts w:hint="eastAsia" w:ascii="宋体" w:hAnsi="宋体" w:cs="宋体"/>
          <w:color w:val="auto"/>
          <w:highlight w:val="none"/>
        </w:rPr>
        <w:t>5.5评标委员会按照招标文件中的规定推荐中标候选人。</w:t>
      </w:r>
    </w:p>
    <w:p w14:paraId="54CDA942">
      <w:pPr>
        <w:keepNext/>
        <w:keepLines/>
        <w:spacing w:line="360" w:lineRule="auto"/>
        <w:ind w:firstLine="420" w:firstLineChars="200"/>
        <w:rPr>
          <w:rFonts w:ascii="宋体" w:hAnsi="宋体" w:cs="宋体"/>
          <w:color w:val="auto"/>
          <w:highlight w:val="none"/>
        </w:rPr>
      </w:pPr>
      <w:r>
        <w:rPr>
          <w:rFonts w:hint="eastAsia" w:ascii="宋体" w:hAnsi="宋体" w:cs="宋体"/>
          <w:color w:val="auto"/>
          <w:highlight w:val="none"/>
        </w:rPr>
        <w:t>5.6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作出结论。持不同意见的评标委员会应当在评标报告上签署不同意见及理由，否则视为同意评标报告。</w:t>
      </w:r>
    </w:p>
    <w:p w14:paraId="45171817">
      <w:pPr>
        <w:pStyle w:val="53"/>
        <w:keepNext/>
        <w:keepLines/>
        <w:spacing w:line="360" w:lineRule="auto"/>
        <w:ind w:firstLine="422"/>
        <w:outlineLvl w:val="2"/>
        <w:rPr>
          <w:rFonts w:ascii="宋体" w:hAnsi="宋体" w:cs="宋体"/>
          <w:b/>
          <w:bCs/>
          <w:color w:val="auto"/>
          <w:highlight w:val="none"/>
        </w:rPr>
      </w:pPr>
      <w:bookmarkStart w:id="154" w:name="_Toc177716523"/>
      <w:r>
        <w:rPr>
          <w:rFonts w:hint="eastAsia" w:ascii="宋体" w:hAnsi="宋体" w:cs="宋体"/>
          <w:b/>
          <w:bCs/>
          <w:color w:val="auto"/>
          <w:highlight w:val="none"/>
        </w:rPr>
        <w:t>6.评审复核</w:t>
      </w:r>
      <w:bookmarkEnd w:id="154"/>
    </w:p>
    <w:p w14:paraId="6F145748">
      <w:pPr>
        <w:keepNext/>
        <w:keepLines/>
        <w:widowControl/>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lang w:bidi="ar"/>
        </w:rPr>
        <w:t xml:space="preserve">6.1 评标报告签署前，评标委员会要对评审结果进行复核，复核意见要体现在评标报告中。 </w:t>
      </w:r>
    </w:p>
    <w:p w14:paraId="3D6AC6D4">
      <w:pPr>
        <w:keepNext/>
        <w:keepLines/>
        <w:widowControl/>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lang w:bidi="ar"/>
        </w:rPr>
        <w:t xml:space="preserve">6.2 评标结果汇总完成后，除下列情形外，任何人不得修改评标结果： </w:t>
      </w:r>
    </w:p>
    <w:p w14:paraId="4E671537">
      <w:pPr>
        <w:keepNext/>
        <w:keepLines/>
        <w:widowControl/>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lang w:bidi="ar"/>
        </w:rPr>
        <w:t xml:space="preserve">  （一）分值汇总计算错误的； </w:t>
      </w:r>
    </w:p>
    <w:p w14:paraId="63CB0346">
      <w:pPr>
        <w:keepNext/>
        <w:keepLines/>
        <w:widowControl/>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lang w:bidi="ar"/>
        </w:rPr>
        <w:t xml:space="preserve">  （二）分项评分超出评分标准范围的； </w:t>
      </w:r>
    </w:p>
    <w:p w14:paraId="53A74FEA">
      <w:pPr>
        <w:keepNext/>
        <w:keepLines/>
        <w:widowControl/>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lang w:bidi="ar"/>
        </w:rPr>
        <w:t xml:space="preserve">  （三）评标委员会成员对客观评审因素评分不一致的； </w:t>
      </w:r>
    </w:p>
    <w:p w14:paraId="27F0539B">
      <w:pPr>
        <w:keepNext/>
        <w:keepLines/>
        <w:widowControl/>
        <w:spacing w:line="360" w:lineRule="auto"/>
        <w:ind w:firstLine="420" w:firstLineChars="200"/>
        <w:jc w:val="left"/>
        <w:rPr>
          <w:rFonts w:ascii="宋体" w:hAnsi="宋体" w:cs="宋体"/>
          <w:color w:val="auto"/>
          <w:highlight w:val="none"/>
          <w:lang w:bidi="ar"/>
        </w:rPr>
      </w:pPr>
      <w:r>
        <w:rPr>
          <w:rFonts w:hint="eastAsia" w:ascii="宋体" w:hAnsi="宋体" w:cs="宋体"/>
          <w:color w:val="auto"/>
          <w:highlight w:val="none"/>
          <w:lang w:bidi="ar"/>
        </w:rPr>
        <w:t xml:space="preserve">  （四）经评标委员会认定评分畸高、畸低的。</w:t>
      </w:r>
    </w:p>
    <w:p w14:paraId="009291EA">
      <w:pPr>
        <w:keepNext/>
        <w:keepLines/>
        <w:spacing w:line="360" w:lineRule="auto"/>
        <w:ind w:firstLine="420" w:firstLineChars="200"/>
        <w:rPr>
          <w:color w:val="auto"/>
          <w:highlight w:val="none"/>
          <w:lang w:bidi="ar"/>
        </w:rPr>
      </w:pPr>
      <w:r>
        <w:rPr>
          <w:rFonts w:hint="eastAsia" w:ascii="宋体" w:hAnsi="宋体" w:cs="宋体"/>
          <w:color w:val="auto"/>
          <w:highlight w:val="none"/>
          <w:lang w:bidi="ar"/>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4E1E7932">
      <w:pPr>
        <w:pStyle w:val="3"/>
        <w:spacing w:before="120" w:beforeLines="50" w:after="120" w:afterLines="50" w:line="360" w:lineRule="auto"/>
        <w:jc w:val="center"/>
        <w:rPr>
          <w:rFonts w:ascii="宋体" w:hAnsi="宋体" w:eastAsia="宋体" w:cs="宋体"/>
          <w:b w:val="0"/>
          <w:color w:val="auto"/>
          <w:sz w:val="30"/>
          <w:szCs w:val="30"/>
          <w:highlight w:val="none"/>
        </w:rPr>
        <w:sectPr>
          <w:pgSz w:w="11906" w:h="16838"/>
          <w:pgMar w:top="1440" w:right="1080" w:bottom="1440" w:left="1080" w:header="720" w:footer="720" w:gutter="0"/>
          <w:pgBorders>
            <w:top w:val="none" w:sz="0" w:space="0"/>
            <w:left w:val="none" w:sz="0" w:space="0"/>
            <w:bottom w:val="none" w:sz="0" w:space="0"/>
            <w:right w:val="none" w:sz="0" w:space="0"/>
          </w:pgBorders>
          <w:cols w:space="720" w:num="1"/>
          <w:docGrid w:linePitch="331" w:charSpace="0"/>
        </w:sectPr>
      </w:pPr>
      <w:bookmarkStart w:id="155" w:name="_Toc31043"/>
      <w:bookmarkStart w:id="156" w:name="_Toc368"/>
      <w:bookmarkStart w:id="157" w:name="_Toc177716524"/>
      <w:bookmarkStart w:id="158" w:name="_Toc4350"/>
    </w:p>
    <w:p w14:paraId="0DC21804">
      <w:pPr>
        <w:pStyle w:val="3"/>
        <w:spacing w:before="120" w:beforeLines="50" w:after="120" w:afterLines="50" w:line="360" w:lineRule="auto"/>
        <w:jc w:val="center"/>
        <w:rPr>
          <w:rFonts w:ascii="宋体" w:hAnsi="宋体" w:eastAsia="宋体" w:cs="宋体"/>
          <w:b w:val="0"/>
          <w:color w:val="auto"/>
          <w:sz w:val="30"/>
          <w:szCs w:val="30"/>
          <w:highlight w:val="none"/>
        </w:rPr>
      </w:pPr>
      <w:r>
        <w:rPr>
          <w:rFonts w:hint="eastAsia" w:ascii="宋体" w:hAnsi="宋体" w:eastAsia="宋体" w:cs="宋体"/>
          <w:b w:val="0"/>
          <w:color w:val="auto"/>
          <w:sz w:val="30"/>
          <w:szCs w:val="30"/>
          <w:highlight w:val="none"/>
        </w:rPr>
        <w:t>第三节 评分标准</w:t>
      </w:r>
      <w:bookmarkEnd w:id="155"/>
      <w:bookmarkEnd w:id="156"/>
      <w:r>
        <w:rPr>
          <w:rFonts w:hint="eastAsia" w:ascii="宋体" w:hAnsi="宋体" w:eastAsia="宋体" w:cs="宋体"/>
          <w:b w:val="0"/>
          <w:color w:val="auto"/>
          <w:sz w:val="30"/>
          <w:szCs w:val="30"/>
          <w:highlight w:val="none"/>
        </w:rPr>
        <w:t>（综合评分法）</w:t>
      </w:r>
      <w:bookmarkEnd w:id="157"/>
    </w:p>
    <w:p w14:paraId="6914A655">
      <w:pPr>
        <w:pStyle w:val="16"/>
        <w:keepNext/>
        <w:keepLines/>
        <w:spacing w:line="360" w:lineRule="auto"/>
        <w:ind w:firstLine="422"/>
        <w:rPr>
          <w:rFonts w:ascii="仿宋" w:hAnsi="仿宋" w:eastAsia="仿宋" w:cs="仿宋"/>
          <w:b/>
          <w:color w:val="auto"/>
          <w:sz w:val="30"/>
          <w:szCs w:val="30"/>
          <w:highlight w:val="none"/>
        </w:rPr>
      </w:pPr>
      <w:r>
        <w:rPr>
          <w:rFonts w:hint="eastAsia" w:ascii="仿宋" w:hAnsi="仿宋" w:eastAsia="仿宋" w:cs="仿宋"/>
          <w:b/>
          <w:color w:val="auto"/>
          <w:szCs w:val="21"/>
          <w:highlight w:val="none"/>
        </w:rPr>
        <w:t>注：计分方法按四舍五入取至百分位。商务技术评审因素为客观评分项的，应在评分项目或评分标准中予以标注为“客观分”。对投标人的客观评分项目，各评标专家评分应当一致。</w:t>
      </w:r>
    </w:p>
    <w:tbl>
      <w:tblPr>
        <w:tblStyle w:val="3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0"/>
        <w:gridCol w:w="7934"/>
      </w:tblGrid>
      <w:tr w14:paraId="0DCF0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920" w:type="dxa"/>
            <w:shd w:val="clear" w:color="auto" w:fill="D7D7D7" w:themeFill="background1" w:themeFillShade="D8"/>
            <w:vAlign w:val="center"/>
          </w:tcPr>
          <w:p w14:paraId="69B60CB6">
            <w:pPr>
              <w:widowControl/>
              <w:spacing w:line="360" w:lineRule="auto"/>
              <w:jc w:val="center"/>
              <w:rPr>
                <w:rFonts w:ascii="宋体" w:hAnsi="宋体" w:cs="宋体"/>
                <w:b/>
                <w:color w:val="auto"/>
                <w:kern w:val="0"/>
                <w:szCs w:val="21"/>
                <w:highlight w:val="none"/>
              </w:rPr>
            </w:pPr>
            <w:bookmarkStart w:id="159" w:name="_Toc13072"/>
            <w:r>
              <w:rPr>
                <w:rFonts w:hint="eastAsia" w:ascii="宋体" w:hAnsi="宋体" w:cs="宋体"/>
                <w:b/>
                <w:color w:val="auto"/>
                <w:kern w:val="0"/>
                <w:szCs w:val="21"/>
                <w:highlight w:val="none"/>
              </w:rPr>
              <w:t>评定项目</w:t>
            </w:r>
          </w:p>
        </w:tc>
        <w:tc>
          <w:tcPr>
            <w:tcW w:w="7934" w:type="dxa"/>
            <w:shd w:val="clear" w:color="auto" w:fill="D7D7D7" w:themeFill="background1" w:themeFillShade="D8"/>
            <w:vAlign w:val="center"/>
          </w:tcPr>
          <w:p w14:paraId="0D330EFB">
            <w:pPr>
              <w:widowControl/>
              <w:spacing w:line="360" w:lineRule="auto"/>
              <w:jc w:val="center"/>
              <w:rPr>
                <w:rFonts w:ascii="宋体" w:hAnsi="宋体" w:cs="宋体"/>
                <w:b/>
                <w:color w:val="auto"/>
                <w:kern w:val="0"/>
                <w:szCs w:val="21"/>
                <w:highlight w:val="none"/>
              </w:rPr>
            </w:pPr>
            <w:r>
              <w:rPr>
                <w:rFonts w:hint="eastAsia" w:ascii="宋体" w:hAnsi="宋体" w:cs="宋体"/>
                <w:b/>
                <w:color w:val="auto"/>
                <w:kern w:val="0"/>
                <w:szCs w:val="21"/>
                <w:highlight w:val="none"/>
              </w:rPr>
              <w:t>评分标准</w:t>
            </w:r>
          </w:p>
        </w:tc>
      </w:tr>
      <w:tr w14:paraId="0D09F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9854" w:type="dxa"/>
            <w:gridSpan w:val="2"/>
            <w:shd w:val="clear" w:color="auto" w:fill="D7D7D7" w:themeFill="background1" w:themeFillShade="D8"/>
            <w:vAlign w:val="center"/>
          </w:tcPr>
          <w:p w14:paraId="06E697BF">
            <w:pPr>
              <w:widowControl/>
              <w:spacing w:line="360" w:lineRule="auto"/>
              <w:jc w:val="left"/>
              <w:rPr>
                <w:rFonts w:ascii="宋体" w:hAnsi="宋体" w:cs="宋体"/>
                <w:b/>
                <w:color w:val="auto"/>
                <w:kern w:val="0"/>
                <w:szCs w:val="21"/>
                <w:highlight w:val="none"/>
              </w:rPr>
            </w:pPr>
            <w:r>
              <w:rPr>
                <w:rFonts w:hint="eastAsia" w:ascii="宋体" w:hAnsi="宋体" w:cs="宋体"/>
                <w:b/>
                <w:color w:val="auto"/>
                <w:kern w:val="0"/>
                <w:szCs w:val="21"/>
                <w:highlight w:val="none"/>
              </w:rPr>
              <w:t>1.价格分（满分10分）</w:t>
            </w:r>
          </w:p>
        </w:tc>
      </w:tr>
      <w:tr w14:paraId="5C10E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4" w:hRule="atLeast"/>
        </w:trPr>
        <w:tc>
          <w:tcPr>
            <w:tcW w:w="1920" w:type="dxa"/>
            <w:shd w:val="clear" w:color="auto" w:fill="auto"/>
            <w:vAlign w:val="center"/>
          </w:tcPr>
          <w:p w14:paraId="3ABE2FD9">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价格分</w:t>
            </w:r>
          </w:p>
          <w:p w14:paraId="5266BAC6">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（满分10分）</w:t>
            </w:r>
          </w:p>
        </w:tc>
        <w:tc>
          <w:tcPr>
            <w:tcW w:w="7934" w:type="dxa"/>
            <w:shd w:val="clear" w:color="auto" w:fill="auto"/>
            <w:vAlign w:val="center"/>
          </w:tcPr>
          <w:p w14:paraId="2049AAEE">
            <w:pPr>
              <w:widowControl/>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（1）评标报价为投标人的投标报价进行政策性扣除后的价格，评标报价只是作为评标时使用。最终中标人的中标金额等于投标报价。</w:t>
            </w:r>
          </w:p>
          <w:p w14:paraId="0997876C">
            <w:pPr>
              <w:widowControl/>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按照《政府采购促进中小企业发展管理办法》（财库〔2020〕46号）和《关于进一步加大政府采购支持中小企业力度的通知》（财库〔2022〕19号）的规定，投标人在其投标文件中提供《中小企业声明函》，且其服务为小型和微型企业承接的，对其投标报价给予10%的扣除。</w:t>
            </w:r>
          </w:p>
          <w:p w14:paraId="254DF88C">
            <w:pPr>
              <w:widowControl/>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监狱企业属于小型、微型企业的，不重复享受政策。</w:t>
            </w:r>
          </w:p>
          <w:p w14:paraId="329308E9">
            <w:pPr>
              <w:widowControl/>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296E4354">
            <w:pPr>
              <w:widowControl/>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（5）政策性扣除计算方法。</w:t>
            </w:r>
          </w:p>
          <w:p w14:paraId="545F2DAD">
            <w:pPr>
              <w:widowControl/>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在服务采购项目中，服务由小微企业承接；对符合上述要求的投标人的投标报价给予10%的扣除，扣除后的价格为评标报价，即评标报价=投标报价×（1-10%）。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4%的扣除，用扣除后的价格参加评审，扣除后的价格为评标报价，即评标报价=投标报价×（1- 4%）。除上述情况外，评标报价=投标报价。</w:t>
            </w:r>
          </w:p>
          <w:p w14:paraId="35C31120">
            <w:pPr>
              <w:widowControl/>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（6）满足招标文件要求且评标报价最低的评标报价为评标基准价，其价格分为满分。</w:t>
            </w:r>
          </w:p>
          <w:p w14:paraId="33A72DE9">
            <w:pPr>
              <w:widowControl/>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（7）价格分计算公式：</w:t>
            </w:r>
          </w:p>
          <w:p w14:paraId="5E9B7C00">
            <w:pPr>
              <w:widowControl/>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某投标人价格分=（评标基准价/某投标人评标报价）×</w:t>
            </w:r>
            <w:r>
              <w:rPr>
                <w:rFonts w:hint="eastAsia" w:ascii="宋体" w:hAnsi="宋体" w:cs="宋体"/>
                <w:color w:val="auto"/>
                <w:kern w:val="0"/>
                <w:szCs w:val="21"/>
                <w:highlight w:val="none"/>
                <w:u w:val="single"/>
              </w:rPr>
              <w:t>10</w:t>
            </w:r>
            <w:r>
              <w:rPr>
                <w:rFonts w:hint="eastAsia" w:ascii="宋体" w:hAnsi="宋体" w:cs="宋体"/>
                <w:color w:val="auto"/>
                <w:kern w:val="0"/>
                <w:szCs w:val="21"/>
                <w:highlight w:val="none"/>
              </w:rPr>
              <w:t>分</w:t>
            </w:r>
          </w:p>
        </w:tc>
      </w:tr>
      <w:tr w14:paraId="38693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9854" w:type="dxa"/>
            <w:gridSpan w:val="2"/>
            <w:shd w:val="clear" w:color="auto" w:fill="D7D7D7" w:themeFill="background1" w:themeFillShade="D8"/>
            <w:vAlign w:val="center"/>
          </w:tcPr>
          <w:p w14:paraId="7406D5C2">
            <w:pPr>
              <w:widowControl/>
              <w:spacing w:line="360" w:lineRule="auto"/>
              <w:jc w:val="left"/>
              <w:rPr>
                <w:rFonts w:ascii="宋体" w:hAnsi="宋体" w:cs="宋体"/>
                <w:b/>
                <w:color w:val="auto"/>
                <w:kern w:val="0"/>
                <w:szCs w:val="21"/>
                <w:highlight w:val="none"/>
              </w:rPr>
            </w:pPr>
            <w:r>
              <w:rPr>
                <w:rFonts w:hint="eastAsia" w:ascii="宋体" w:hAnsi="宋体" w:cs="宋体"/>
                <w:b/>
                <w:color w:val="auto"/>
                <w:kern w:val="0"/>
                <w:szCs w:val="21"/>
                <w:highlight w:val="none"/>
              </w:rPr>
              <w:t>2.技术分（满分80分） </w:t>
            </w:r>
          </w:p>
        </w:tc>
      </w:tr>
      <w:tr w14:paraId="5AAEF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20" w:type="dxa"/>
            <w:shd w:val="clear" w:color="auto" w:fill="auto"/>
            <w:vAlign w:val="center"/>
          </w:tcPr>
          <w:p w14:paraId="0D4F3F8C">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（1）技术能力及指标响应情况</w:t>
            </w:r>
          </w:p>
          <w:p w14:paraId="793C1100">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（满分8分）</w:t>
            </w:r>
          </w:p>
        </w:tc>
        <w:tc>
          <w:tcPr>
            <w:tcW w:w="7934" w:type="dxa"/>
            <w:shd w:val="clear" w:color="auto" w:fill="auto"/>
            <w:vAlign w:val="center"/>
          </w:tcPr>
          <w:p w14:paraId="7F736254">
            <w:pPr>
              <w:widowControl/>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投标人所投产品的技术指标在满足采购文件技术参数、指标需求的基础上，带“◆”重要技术参数指标每有1项能提供相关证书或功能截图</w:t>
            </w:r>
            <w:r>
              <w:rPr>
                <w:rFonts w:hint="eastAsia"/>
                <w:color w:val="auto"/>
                <w:highlight w:val="none"/>
              </w:rPr>
              <w:t>作为</w:t>
            </w:r>
            <w:r>
              <w:rPr>
                <w:rFonts w:hint="eastAsia" w:ascii="宋体" w:hAnsi="宋体" w:cs="宋体"/>
                <w:color w:val="auto"/>
                <w:kern w:val="0"/>
                <w:szCs w:val="21"/>
                <w:highlight w:val="none"/>
              </w:rPr>
              <w:t>证明并加盖投标人公章的计</w:t>
            </w:r>
            <w:r>
              <w:rPr>
                <w:rFonts w:ascii="宋体" w:hAnsi="宋体" w:cs="宋体"/>
                <w:color w:val="auto"/>
                <w:kern w:val="0"/>
                <w:szCs w:val="21"/>
                <w:highlight w:val="none"/>
              </w:rPr>
              <w:t>1</w:t>
            </w:r>
            <w:r>
              <w:rPr>
                <w:rFonts w:hint="eastAsia" w:ascii="宋体" w:hAnsi="宋体" w:cs="宋体"/>
                <w:color w:val="auto"/>
                <w:kern w:val="0"/>
                <w:szCs w:val="21"/>
                <w:highlight w:val="none"/>
              </w:rPr>
              <w:t>分，否则不得分，本项满分8分。</w:t>
            </w:r>
          </w:p>
        </w:tc>
      </w:tr>
      <w:tr w14:paraId="0783C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9" w:hRule="atLeast"/>
        </w:trPr>
        <w:tc>
          <w:tcPr>
            <w:tcW w:w="1920" w:type="dxa"/>
            <w:shd w:val="clear" w:color="auto" w:fill="auto"/>
            <w:vAlign w:val="center"/>
          </w:tcPr>
          <w:p w14:paraId="6B593C85">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（2）整体方案设计</w:t>
            </w:r>
          </w:p>
          <w:p w14:paraId="30CE40B4">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（满分16分）</w:t>
            </w:r>
          </w:p>
        </w:tc>
        <w:tc>
          <w:tcPr>
            <w:tcW w:w="7934" w:type="dxa"/>
            <w:shd w:val="clear" w:color="auto" w:fill="auto"/>
            <w:vAlign w:val="center"/>
          </w:tcPr>
          <w:p w14:paraId="7DEF7DE8">
            <w:pPr>
              <w:widowControl/>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一档（8分）：投标人对本项目需求的理解基本准确。在需求分析方面，对应用现状、业务功能、业务流程及系统性能指标等的分析较为完整且逻辑清晰。在总体建设方案中，投标人对系统架构有一定的理解，设计方案合理可行。系统功能描述符合招标文件要求，逻辑结构较为明确。</w:t>
            </w:r>
          </w:p>
          <w:p w14:paraId="0718D1A5">
            <w:pPr>
              <w:widowControl/>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二档（12分）：在满足一档基础上，投标人对本项目需求的理解全面准确，在需求分析方面，投标人对应用现状、业务功能、业务流程及各类指标进行了全面而系统的分析，确保了分析的充分性、逻辑性和条理性。在总体建设方案方面，投标人对系统总体结构和逻辑结构的设计、与已建/在建系统的关系，以及与外部系统对接的方案均展现出先进、合理、完整且具备可行性的特点。在系统功能描述方面，投标人提供的系统功能内容符合招标文件的要求，逻辑结构明确，能够满足项目的实际需求。</w:t>
            </w:r>
          </w:p>
          <w:p w14:paraId="0FECCDFE">
            <w:pPr>
              <w:widowControl/>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三档（16分）：在满足二档基础上，投标人对本项目在需求分析方面表现出卓越的深度和细致性。在需求分析阶段，对政务业务目标</w:t>
            </w:r>
            <w:r>
              <w:rPr>
                <w:rFonts w:hint="eastAsia" w:ascii="宋体" w:hAnsi="宋体" w:cs="宋体"/>
                <w:color w:val="auto"/>
                <w:kern w:val="0"/>
                <w:szCs w:val="21"/>
                <w:highlight w:val="none"/>
                <w:lang w:val="en-US" w:eastAsia="zh-CN"/>
              </w:rPr>
              <w:t>需求</w:t>
            </w:r>
            <w:r>
              <w:rPr>
                <w:rFonts w:hint="eastAsia" w:ascii="宋体" w:hAnsi="宋体" w:cs="宋体"/>
                <w:color w:val="auto"/>
                <w:kern w:val="0"/>
                <w:szCs w:val="21"/>
                <w:highlight w:val="none"/>
              </w:rPr>
              <w:t>、应用现状的差距及业务量等方面的分析结论全面且深刻，逻辑严谨、条理清晰。在总体建设方案中，投标人在系统总体结构和逻辑结构的设计中详尽地描述了系统的总体框架、网络架构、数据流向和主要技术路线，并详细阐述了与已建/建系统（如打击电诈智能化平台、打击两卡系统、公安厅大数据平台等）之间的关系。并明确了与外部系统对接的职责边界及需对接的系统，技术可行的对接方案。在系统功能描述方面，投标人对各子系统及反电诈综合应用的需求理解深刻，设计方案先进且合理，功能描述详尽，逻辑结构清晰，业务流程图设计简洁高效，全面满足或优于项目建设的实际需求。</w:t>
            </w:r>
          </w:p>
          <w:p w14:paraId="50F2E9A7">
            <w:pPr>
              <w:widowControl/>
              <w:spacing w:line="360" w:lineRule="auto"/>
              <w:rPr>
                <w:rFonts w:ascii="仿宋" w:hAnsi="仿宋" w:eastAsia="仿宋" w:cs="仿宋"/>
                <w:b/>
                <w:bCs/>
                <w:color w:val="auto"/>
                <w:kern w:val="0"/>
                <w:szCs w:val="21"/>
                <w:highlight w:val="none"/>
              </w:rPr>
            </w:pPr>
            <w:r>
              <w:rPr>
                <w:rFonts w:hint="eastAsia" w:ascii="仿宋" w:hAnsi="仿宋" w:eastAsia="仿宋" w:cs="仿宋"/>
                <w:b/>
                <w:bCs/>
                <w:color w:val="auto"/>
                <w:kern w:val="0"/>
                <w:szCs w:val="21"/>
                <w:highlight w:val="none"/>
              </w:rPr>
              <w:t>注：未提整体方案设计或整体方案设计未达到一档标准要求的得0分。</w:t>
            </w:r>
          </w:p>
        </w:tc>
      </w:tr>
      <w:tr w14:paraId="55E9E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20" w:type="dxa"/>
            <w:vMerge w:val="restart"/>
            <w:shd w:val="clear" w:color="auto" w:fill="auto"/>
            <w:vAlign w:val="center"/>
          </w:tcPr>
          <w:p w14:paraId="37148AE7">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（3）整体系统对接方案</w:t>
            </w:r>
          </w:p>
          <w:p w14:paraId="0B757C6C">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（满分18分）</w:t>
            </w:r>
          </w:p>
          <w:p w14:paraId="425322B9">
            <w:pPr>
              <w:widowControl/>
              <w:spacing w:line="360" w:lineRule="auto"/>
              <w:jc w:val="center"/>
              <w:rPr>
                <w:rFonts w:ascii="宋体" w:hAnsi="宋体" w:cs="宋体"/>
                <w:color w:val="auto"/>
                <w:kern w:val="0"/>
                <w:szCs w:val="21"/>
                <w:highlight w:val="none"/>
              </w:rPr>
            </w:pPr>
          </w:p>
          <w:p w14:paraId="528A60C7">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w:t>
            </w:r>
            <w:r>
              <w:rPr>
                <w:rFonts w:hint="eastAsia" w:ascii="仿宋" w:hAnsi="仿宋" w:eastAsia="仿宋" w:cs="仿宋"/>
                <w:b/>
                <w:bCs/>
                <w:color w:val="auto"/>
                <w:kern w:val="0"/>
                <w:szCs w:val="21"/>
                <w:highlight w:val="none"/>
              </w:rPr>
              <w:t>注：未提供整体系统对接方案或整体系统对接方案未达到一档标准要求的得0分</w:t>
            </w:r>
            <w:r>
              <w:rPr>
                <w:rFonts w:hint="eastAsia" w:ascii="宋体" w:hAnsi="宋体" w:cs="宋体"/>
                <w:color w:val="auto"/>
                <w:kern w:val="0"/>
                <w:szCs w:val="21"/>
                <w:highlight w:val="none"/>
              </w:rPr>
              <w:t>）</w:t>
            </w:r>
          </w:p>
        </w:tc>
        <w:tc>
          <w:tcPr>
            <w:tcW w:w="7934" w:type="dxa"/>
            <w:shd w:val="clear" w:color="auto" w:fill="auto"/>
            <w:vAlign w:val="center"/>
          </w:tcPr>
          <w:p w14:paraId="6F092A66">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1、与现有相关系统对接方案，包括但不限于广西政务数据共享交换平台对接方案，对接方案需结合现有系统建设情况，实现系统层级的数据和业务交互对接，通过现有系统将可共享的政务数据进行交换，和各业务系统进行业务协同和数据的交互，本项满分6分：</w:t>
            </w:r>
          </w:p>
          <w:p w14:paraId="483EB4B6">
            <w:pPr>
              <w:widowControl/>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一档（1分）：提供了基本对接方案，满足相关数据进行高效协同、深度融合，生成准确、高效的研判成果，最大程度地转化为打击成果，但方案缺乏可行性。</w:t>
            </w:r>
          </w:p>
          <w:p w14:paraId="26FB8844">
            <w:pPr>
              <w:widowControl/>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二档（3分）：在一档基础上，对数据格式、数据认证、数据隐私、数据接口保护、数据维护，有成熟的对接方案。</w:t>
            </w:r>
          </w:p>
          <w:p w14:paraId="5018280D">
            <w:pPr>
              <w:widowControl/>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三档（6分）：在二档基础上，能够给出详细的数据资源使用方案，进度使用维护计划切实可行。对接方案提供封装标准，对接方案内容清晰、合理、可行性高、落地性强。</w:t>
            </w:r>
          </w:p>
        </w:tc>
      </w:tr>
      <w:tr w14:paraId="75B80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9" w:hRule="atLeast"/>
        </w:trPr>
        <w:tc>
          <w:tcPr>
            <w:tcW w:w="1920" w:type="dxa"/>
            <w:vMerge w:val="continue"/>
            <w:vAlign w:val="center"/>
          </w:tcPr>
          <w:p w14:paraId="7A920379">
            <w:pPr>
              <w:widowControl/>
              <w:spacing w:line="360" w:lineRule="auto"/>
              <w:jc w:val="left"/>
              <w:rPr>
                <w:rFonts w:ascii="宋体" w:hAnsi="宋体" w:cs="宋体"/>
                <w:color w:val="auto"/>
                <w:kern w:val="0"/>
                <w:szCs w:val="21"/>
                <w:highlight w:val="none"/>
              </w:rPr>
            </w:pPr>
          </w:p>
        </w:tc>
        <w:tc>
          <w:tcPr>
            <w:tcW w:w="7934" w:type="dxa"/>
            <w:shd w:val="clear" w:color="auto" w:fill="auto"/>
            <w:vAlign w:val="center"/>
          </w:tcPr>
          <w:p w14:paraId="227C913D">
            <w:pPr>
              <w:widowControl/>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2、与广西公安大数据平台对接方案，对接方案需结合反诈数据专题库建设情况，包括专题库的资源表清单、字段类型、数据存储方式、数据更新频率、对接方式、对接技术要求、数据管理要求、实施计划。满分6分。</w:t>
            </w:r>
          </w:p>
          <w:p w14:paraId="440482FA">
            <w:pPr>
              <w:widowControl/>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一档（1分）：方案内容简略，至少有专题库的资源表清单、字段类型，方案整体缺乏可行性。</w:t>
            </w:r>
          </w:p>
          <w:p w14:paraId="25733417">
            <w:pPr>
              <w:widowControl/>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二档（3分）：在一档基础上，至少有数据存储方式、数据更新频率、对接方式，方案更翔实，具有一定的可行性。</w:t>
            </w:r>
          </w:p>
          <w:p w14:paraId="65BD4EA7">
            <w:pPr>
              <w:widowControl/>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三档（6分）：在二档基础上，至少有对接方案包含对接技术要求、数据管理要求、实施计划，方案内容详细、清晰合理，具有可行性、科学性。</w:t>
            </w:r>
          </w:p>
        </w:tc>
      </w:tr>
      <w:tr w14:paraId="2E788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3" w:hRule="atLeast"/>
        </w:trPr>
        <w:tc>
          <w:tcPr>
            <w:tcW w:w="1920" w:type="dxa"/>
            <w:vMerge w:val="continue"/>
            <w:vAlign w:val="center"/>
          </w:tcPr>
          <w:p w14:paraId="7E095CDB">
            <w:pPr>
              <w:widowControl/>
              <w:spacing w:line="360" w:lineRule="auto"/>
              <w:jc w:val="left"/>
              <w:rPr>
                <w:rFonts w:ascii="宋体" w:hAnsi="宋体" w:cs="宋体"/>
                <w:color w:val="auto"/>
                <w:kern w:val="0"/>
                <w:szCs w:val="21"/>
                <w:highlight w:val="none"/>
              </w:rPr>
            </w:pPr>
          </w:p>
        </w:tc>
        <w:tc>
          <w:tcPr>
            <w:tcW w:w="7934" w:type="dxa"/>
            <w:shd w:val="clear" w:color="auto" w:fill="auto"/>
            <w:vAlign w:val="center"/>
          </w:tcPr>
          <w:p w14:paraId="498E03DE">
            <w:pPr>
              <w:widowControl/>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3、与打击两卡系统对接方案，包括广西公安数字化反电诈应用系统整合了打击两卡系统的公安网联动应用子系统、数据安全交互子系统和联盟两卡管控子系统，除了复用功能外，还作为数据安全交互通道，支持广西境内所有银行的接入，并通过统一接口封装了业务能力和结果，确保接口调用的便捷性，本项满分6分，具体评分标准如下：</w:t>
            </w:r>
          </w:p>
          <w:p w14:paraId="47B5B4F0">
            <w:pPr>
              <w:widowControl/>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一档（1分）：投标人理解系统功能的基本整合要求，广西公安数字化反电诈应用系统能够复用打击两卡系统的核心功能，并通过单点登录实现功能接入，支持与银行的数据交换。</w:t>
            </w:r>
          </w:p>
          <w:p w14:paraId="0A1B9CCF">
            <w:pPr>
              <w:widowControl/>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二档（3分）：在一档基础上，投标人对系统功能整合有较全面的理解，系统复用了打击两卡系统的关键功能，并整合了其他必要功能。系统支持银行数据交换，通过统一接口封装了打击两卡系统的业务能力，确保了功能的有效应用。</w:t>
            </w:r>
          </w:p>
          <w:p w14:paraId="2C159251">
            <w:pPr>
              <w:widowControl/>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三档（6分）：在二档基础上，投标人对系统功能整合的深入理解，系统全面复用并整合了打击两卡系统的所有核心功能，支持全面的数据交换，统一接口封装了业务能力，确保了高效性和系统协调性。</w:t>
            </w:r>
          </w:p>
        </w:tc>
      </w:tr>
      <w:tr w14:paraId="113BC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20" w:type="dxa"/>
            <w:shd w:val="clear" w:color="auto" w:fill="auto"/>
            <w:vAlign w:val="center"/>
          </w:tcPr>
          <w:p w14:paraId="2FFF4328">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（4）实施方案</w:t>
            </w:r>
          </w:p>
          <w:p w14:paraId="0333E458">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（满分5分）</w:t>
            </w:r>
          </w:p>
        </w:tc>
        <w:tc>
          <w:tcPr>
            <w:tcW w:w="7934" w:type="dxa"/>
            <w:shd w:val="clear" w:color="auto" w:fill="auto"/>
            <w:vAlign w:val="center"/>
          </w:tcPr>
          <w:p w14:paraId="54A01B6C">
            <w:pPr>
              <w:widowControl/>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一档（1分）：实施管理方案较简单可行，有项目管理组织机构图，详细说明各个阶段工作安排，能说明人员安排及施工进度。拟投入本项目的技术人员至少5人。</w:t>
            </w:r>
          </w:p>
          <w:p w14:paraId="76404F71">
            <w:pPr>
              <w:widowControl/>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二档（3）：实施方案详细可行，内容完整，理解项目建设需求，有项目管理组织机构图，详细说明各个阶段工作安排，能说明人员安排及施工进度，有实施进度保证措施、质量保障措施。投标人投入技术人员至少7人。</w:t>
            </w:r>
          </w:p>
          <w:p w14:paraId="1AF1EA43">
            <w:pPr>
              <w:widowControl/>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三档（5分）：实施方案充分理解项目建设需求，实施方案具有针对性并切实可行，可操作性强。施工组织方案详实，有项目管理组织机构图，详细说明各个阶段工作安排，能说明人员安排及施工进度，有实施进度和管理措施、质量控制方案和措施、技术培训服务、应急预案等。拟投入本项目的实施人员配备合理，项目实施投入技术人员至少10人。</w:t>
            </w:r>
          </w:p>
          <w:p w14:paraId="208494F7">
            <w:pPr>
              <w:widowControl/>
              <w:spacing w:line="360" w:lineRule="auto"/>
              <w:rPr>
                <w:rFonts w:ascii="宋体" w:hAnsi="宋体" w:cs="宋体"/>
                <w:color w:val="auto"/>
                <w:kern w:val="0"/>
                <w:szCs w:val="21"/>
                <w:highlight w:val="none"/>
              </w:rPr>
            </w:pPr>
            <w:r>
              <w:rPr>
                <w:rFonts w:hint="eastAsia" w:ascii="仿宋" w:hAnsi="仿宋" w:eastAsia="仿宋" w:cs="仿宋"/>
                <w:b/>
                <w:bCs/>
                <w:color w:val="auto"/>
                <w:kern w:val="0"/>
                <w:szCs w:val="21"/>
                <w:highlight w:val="none"/>
              </w:rPr>
              <w:t>注：在投标文件中提供拟投入本项目的技术人员的名单以及投标人在2024年1月至2024年9月内任意</w:t>
            </w:r>
            <w:r>
              <w:rPr>
                <w:rFonts w:hint="eastAsia" w:ascii="仿宋" w:hAnsi="仿宋" w:eastAsia="仿宋" w:cs="仿宋"/>
                <w:b/>
                <w:bCs/>
                <w:color w:val="auto"/>
                <w:kern w:val="0"/>
                <w:szCs w:val="21"/>
                <w:highlight w:val="none"/>
                <w:lang w:val="en-US" w:eastAsia="zh-CN"/>
              </w:rPr>
              <w:t>1</w:t>
            </w:r>
            <w:r>
              <w:rPr>
                <w:rFonts w:hint="eastAsia" w:ascii="仿宋" w:hAnsi="仿宋" w:eastAsia="仿宋" w:cs="仿宋"/>
                <w:b/>
                <w:bCs/>
                <w:color w:val="auto"/>
                <w:kern w:val="0"/>
                <w:szCs w:val="21"/>
                <w:highlight w:val="none"/>
              </w:rPr>
              <w:t>个月为技术人员缴纳社保的证明。未提供实施方案或实施方案未达到一档标准要求的得0分。</w:t>
            </w:r>
          </w:p>
        </w:tc>
      </w:tr>
      <w:tr w14:paraId="68C2A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5" w:hRule="atLeast"/>
        </w:trPr>
        <w:tc>
          <w:tcPr>
            <w:tcW w:w="1920" w:type="dxa"/>
            <w:shd w:val="clear" w:color="auto" w:fill="auto"/>
            <w:vAlign w:val="center"/>
          </w:tcPr>
          <w:p w14:paraId="20CD77C2">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（5）</w:t>
            </w:r>
            <w:r>
              <w:rPr>
                <w:rFonts w:hint="eastAsia" w:ascii="宋体" w:hAnsi="宋体" w:cs="宋体"/>
                <w:color w:val="auto"/>
                <w:kern w:val="0"/>
                <w:szCs w:val="21"/>
                <w:highlight w:val="none"/>
                <w:lang w:eastAsia="zh-CN"/>
              </w:rPr>
              <w:t>运维服务</w:t>
            </w:r>
            <w:r>
              <w:rPr>
                <w:rFonts w:hint="eastAsia" w:ascii="宋体" w:hAnsi="宋体" w:cs="宋体"/>
                <w:color w:val="auto"/>
                <w:kern w:val="0"/>
                <w:szCs w:val="21"/>
                <w:highlight w:val="none"/>
              </w:rPr>
              <w:t>方案（满分3分）</w:t>
            </w:r>
          </w:p>
        </w:tc>
        <w:tc>
          <w:tcPr>
            <w:tcW w:w="7934" w:type="dxa"/>
            <w:shd w:val="clear" w:color="auto" w:fill="auto"/>
            <w:vAlign w:val="center"/>
          </w:tcPr>
          <w:p w14:paraId="0E96D126">
            <w:pPr>
              <w:widowControl/>
              <w:overflowPunct w:val="0"/>
              <w:autoSpaceDE w:val="0"/>
              <w:autoSpaceDN w:val="0"/>
              <w:spacing w:line="360" w:lineRule="auto"/>
              <w:textAlignment w:val="baseline"/>
              <w:rPr>
                <w:rFonts w:ascii="宋体" w:hAnsi="宋体" w:cs="宋体"/>
                <w:color w:val="auto"/>
                <w:szCs w:val="21"/>
                <w:highlight w:val="none"/>
                <w:lang w:val="zh-CN"/>
              </w:rPr>
            </w:pPr>
            <w:r>
              <w:rPr>
                <w:rFonts w:hint="eastAsia" w:ascii="宋体" w:hAnsi="宋体" w:cs="宋体"/>
                <w:color w:val="auto"/>
                <w:szCs w:val="21"/>
                <w:highlight w:val="none"/>
                <w:lang w:val="zh-CN"/>
              </w:rPr>
              <w:t>由评标委员会根据投标人所提供的</w:t>
            </w:r>
            <w:r>
              <w:rPr>
                <w:rFonts w:hint="eastAsia" w:ascii="宋体" w:hAnsi="宋体" w:cs="宋体"/>
                <w:color w:val="auto"/>
                <w:szCs w:val="21"/>
                <w:highlight w:val="none"/>
                <w:lang w:eastAsia="zh-CN"/>
              </w:rPr>
              <w:t>运维服务</w:t>
            </w:r>
            <w:r>
              <w:rPr>
                <w:rFonts w:hint="eastAsia" w:ascii="宋体" w:hAnsi="宋体" w:cs="宋体"/>
                <w:color w:val="auto"/>
                <w:szCs w:val="21"/>
                <w:highlight w:val="none"/>
              </w:rPr>
              <w:t>方案中的</w:t>
            </w:r>
            <w:r>
              <w:rPr>
                <w:rFonts w:hint="eastAsia" w:ascii="宋体" w:hAnsi="宋体" w:cs="宋体"/>
                <w:color w:val="auto"/>
                <w:szCs w:val="21"/>
                <w:highlight w:val="none"/>
                <w:lang w:val="zh-CN"/>
              </w:rPr>
              <w:t>运行维护服务水平、</w:t>
            </w:r>
            <w:r>
              <w:rPr>
                <w:rFonts w:hint="eastAsia" w:ascii="宋体" w:hAnsi="宋体" w:cs="宋体"/>
                <w:color w:val="auto"/>
                <w:szCs w:val="21"/>
                <w:highlight w:val="none"/>
              </w:rPr>
              <w:t>故障</w:t>
            </w:r>
            <w:r>
              <w:rPr>
                <w:rFonts w:hint="eastAsia" w:ascii="宋体" w:hAnsi="宋体" w:cs="宋体"/>
                <w:color w:val="auto"/>
                <w:szCs w:val="21"/>
                <w:highlight w:val="none"/>
                <w:lang w:val="zh-CN"/>
              </w:rPr>
              <w:t>响应时间、解决时限等内容进行</w:t>
            </w:r>
            <w:r>
              <w:rPr>
                <w:rFonts w:hint="eastAsia" w:ascii="宋体" w:hAnsi="宋体" w:cs="宋体"/>
                <w:color w:val="auto"/>
                <w:szCs w:val="21"/>
                <w:highlight w:val="none"/>
              </w:rPr>
              <w:t>评价</w:t>
            </w:r>
            <w:r>
              <w:rPr>
                <w:rFonts w:hint="eastAsia" w:ascii="宋体" w:hAnsi="宋体" w:cs="宋体"/>
                <w:color w:val="auto"/>
                <w:szCs w:val="21"/>
                <w:highlight w:val="none"/>
                <w:lang w:val="zh-CN"/>
              </w:rPr>
              <w:t>：</w:t>
            </w:r>
          </w:p>
          <w:p w14:paraId="6E52F1F2">
            <w:pPr>
              <w:widowControl/>
              <w:overflowPunct w:val="0"/>
              <w:autoSpaceDE w:val="0"/>
              <w:autoSpaceDN w:val="0"/>
              <w:spacing w:line="360" w:lineRule="auto"/>
              <w:ind w:firstLine="420" w:firstLineChars="200"/>
              <w:textAlignment w:val="baseline"/>
              <w:rPr>
                <w:rFonts w:ascii="宋体" w:hAnsi="宋体" w:cs="宋体"/>
                <w:color w:val="auto"/>
                <w:szCs w:val="21"/>
                <w:highlight w:val="none"/>
                <w:lang w:val="zh-CN"/>
              </w:rPr>
            </w:pPr>
            <w:r>
              <w:rPr>
                <w:rFonts w:hint="eastAsia" w:ascii="宋体" w:hAnsi="宋体" w:cs="宋体"/>
                <w:color w:val="auto"/>
                <w:szCs w:val="21"/>
                <w:highlight w:val="none"/>
              </w:rPr>
              <w:t>一档（1分）：投标人根据本项目的实际情况制定</w:t>
            </w:r>
            <w:r>
              <w:rPr>
                <w:rFonts w:hint="eastAsia" w:ascii="宋体" w:hAnsi="宋体" w:cs="宋体"/>
                <w:color w:val="auto"/>
                <w:szCs w:val="21"/>
                <w:highlight w:val="none"/>
                <w:lang w:val="zh-CN"/>
              </w:rPr>
              <w:t>有针对性的运维服务</w:t>
            </w:r>
            <w:r>
              <w:rPr>
                <w:rFonts w:hint="eastAsia" w:ascii="宋体" w:hAnsi="宋体" w:cs="宋体"/>
                <w:color w:val="auto"/>
                <w:szCs w:val="21"/>
                <w:highlight w:val="none"/>
              </w:rPr>
              <w:t>计划</w:t>
            </w:r>
            <w:r>
              <w:rPr>
                <w:rFonts w:hint="eastAsia" w:ascii="宋体" w:hAnsi="宋体" w:cs="宋体"/>
                <w:color w:val="auto"/>
                <w:szCs w:val="21"/>
                <w:highlight w:val="none"/>
                <w:lang w:val="zh-CN"/>
              </w:rPr>
              <w:t>，得</w:t>
            </w:r>
            <w:r>
              <w:rPr>
                <w:rFonts w:hint="eastAsia" w:ascii="宋体" w:hAnsi="宋体" w:cs="宋体"/>
                <w:color w:val="auto"/>
                <w:szCs w:val="21"/>
                <w:highlight w:val="none"/>
              </w:rPr>
              <w:t>1</w:t>
            </w:r>
            <w:r>
              <w:rPr>
                <w:rFonts w:hint="eastAsia" w:ascii="宋体" w:hAnsi="宋体" w:cs="宋体"/>
                <w:color w:val="auto"/>
                <w:szCs w:val="21"/>
                <w:highlight w:val="none"/>
                <w:lang w:val="zh-CN"/>
              </w:rPr>
              <w:t>分；</w:t>
            </w:r>
          </w:p>
          <w:p w14:paraId="585E4A38">
            <w:pPr>
              <w:widowControl/>
              <w:overflowPunct w:val="0"/>
              <w:autoSpaceDE w:val="0"/>
              <w:autoSpaceDN w:val="0"/>
              <w:spacing w:line="360" w:lineRule="auto"/>
              <w:ind w:firstLine="420" w:firstLineChars="200"/>
              <w:textAlignment w:val="baseline"/>
              <w:rPr>
                <w:rFonts w:ascii="宋体" w:hAnsi="宋体" w:cs="宋体"/>
                <w:color w:val="auto"/>
                <w:szCs w:val="21"/>
                <w:highlight w:val="none"/>
                <w:lang w:val="zh-CN"/>
              </w:rPr>
            </w:pPr>
            <w:r>
              <w:rPr>
                <w:rFonts w:hint="eastAsia" w:ascii="宋体" w:hAnsi="宋体" w:cs="宋体"/>
                <w:color w:val="auto"/>
                <w:szCs w:val="21"/>
                <w:highlight w:val="none"/>
              </w:rPr>
              <w:t>二档（2分）：</w:t>
            </w:r>
            <w:r>
              <w:rPr>
                <w:rFonts w:hint="eastAsia" w:ascii="宋体" w:hAnsi="宋体" w:cs="宋体"/>
                <w:color w:val="auto"/>
                <w:szCs w:val="21"/>
                <w:highlight w:val="none"/>
                <w:lang w:val="zh-CN"/>
              </w:rPr>
              <w:t>在满足</w:t>
            </w:r>
            <w:r>
              <w:rPr>
                <w:rFonts w:hint="eastAsia" w:ascii="宋体" w:hAnsi="宋体" w:cs="宋体"/>
                <w:color w:val="auto"/>
                <w:szCs w:val="21"/>
                <w:highlight w:val="none"/>
              </w:rPr>
              <w:t>一档</w:t>
            </w:r>
            <w:r>
              <w:rPr>
                <w:rFonts w:hint="eastAsia" w:ascii="宋体" w:hAnsi="宋体" w:cs="宋体"/>
                <w:color w:val="auto"/>
                <w:szCs w:val="21"/>
                <w:highlight w:val="none"/>
                <w:lang w:val="zh-CN"/>
              </w:rPr>
              <w:t>的基础上，投标人能在</w:t>
            </w:r>
            <w:r>
              <w:rPr>
                <w:rFonts w:hint="eastAsia" w:ascii="宋体" w:hAnsi="宋体" w:cs="宋体"/>
                <w:color w:val="auto"/>
                <w:szCs w:val="21"/>
                <w:highlight w:val="none"/>
              </w:rPr>
              <w:t>招标文件</w:t>
            </w:r>
            <w:r>
              <w:rPr>
                <w:rFonts w:hint="eastAsia" w:ascii="宋体" w:hAnsi="宋体" w:cs="宋体"/>
                <w:color w:val="auto"/>
                <w:szCs w:val="21"/>
                <w:highlight w:val="none"/>
                <w:lang w:eastAsia="zh-CN"/>
              </w:rPr>
              <w:t>运维服务</w:t>
            </w:r>
            <w:r>
              <w:rPr>
                <w:rFonts w:hint="eastAsia" w:ascii="宋体" w:hAnsi="宋体" w:cs="宋体"/>
                <w:color w:val="auto"/>
                <w:szCs w:val="21"/>
                <w:highlight w:val="none"/>
              </w:rPr>
              <w:t>要求的基础上提供更优的</w:t>
            </w:r>
            <w:r>
              <w:rPr>
                <w:rFonts w:hint="eastAsia" w:ascii="宋体" w:hAnsi="宋体" w:cs="宋体"/>
                <w:color w:val="auto"/>
                <w:szCs w:val="21"/>
                <w:highlight w:val="none"/>
                <w:lang w:eastAsia="zh-CN"/>
              </w:rPr>
              <w:t>运维服务</w:t>
            </w:r>
            <w:r>
              <w:rPr>
                <w:rFonts w:hint="eastAsia" w:ascii="宋体" w:hAnsi="宋体" w:cs="宋体"/>
                <w:color w:val="auto"/>
                <w:szCs w:val="21"/>
                <w:highlight w:val="none"/>
              </w:rPr>
              <w:t>，</w:t>
            </w:r>
            <w:r>
              <w:rPr>
                <w:rFonts w:hint="eastAsia" w:ascii="宋体" w:hAnsi="宋体" w:cs="宋体"/>
                <w:color w:val="auto"/>
                <w:szCs w:val="21"/>
                <w:highlight w:val="none"/>
                <w:lang w:val="zh-CN"/>
              </w:rPr>
              <w:t>对运维服务内容进行较为清晰的阐释，能分解项目各部分和各阶段的运维工作任务和目标，明确运维重点难点，能就重点难点制订具体运维措施的，</w:t>
            </w:r>
            <w:r>
              <w:rPr>
                <w:rFonts w:hint="eastAsia" w:ascii="宋体" w:hAnsi="宋体" w:cs="宋体"/>
                <w:color w:val="auto"/>
                <w:szCs w:val="21"/>
                <w:highlight w:val="none"/>
              </w:rPr>
              <w:t>故障</w:t>
            </w:r>
            <w:r>
              <w:rPr>
                <w:rFonts w:hint="eastAsia" w:ascii="宋体" w:hAnsi="宋体" w:cs="宋体"/>
                <w:color w:val="auto"/>
                <w:szCs w:val="21"/>
                <w:highlight w:val="none"/>
                <w:lang w:val="zh-CN"/>
              </w:rPr>
              <w:t>响应时间、解决时限</w:t>
            </w:r>
            <w:r>
              <w:rPr>
                <w:rFonts w:hint="eastAsia" w:ascii="宋体" w:hAnsi="宋体" w:cs="宋体"/>
                <w:color w:val="auto"/>
                <w:szCs w:val="21"/>
                <w:highlight w:val="none"/>
              </w:rPr>
              <w:t>优于招标文件要求，</w:t>
            </w:r>
            <w:r>
              <w:rPr>
                <w:rFonts w:hint="eastAsia" w:ascii="宋体" w:hAnsi="宋体" w:cs="宋体"/>
                <w:color w:val="auto"/>
                <w:szCs w:val="21"/>
                <w:highlight w:val="none"/>
                <w:lang w:val="zh-CN"/>
              </w:rPr>
              <w:t>得</w:t>
            </w:r>
            <w:r>
              <w:rPr>
                <w:rFonts w:hint="eastAsia" w:ascii="宋体" w:hAnsi="宋体" w:cs="宋体"/>
                <w:color w:val="auto"/>
                <w:szCs w:val="21"/>
                <w:highlight w:val="none"/>
              </w:rPr>
              <w:t>2</w:t>
            </w:r>
            <w:r>
              <w:rPr>
                <w:rFonts w:hint="eastAsia" w:ascii="宋体" w:hAnsi="宋体" w:cs="宋体"/>
                <w:color w:val="auto"/>
                <w:szCs w:val="21"/>
                <w:highlight w:val="none"/>
                <w:lang w:val="zh-CN"/>
              </w:rPr>
              <w:t>分；</w:t>
            </w:r>
          </w:p>
          <w:p w14:paraId="3CB7F63E">
            <w:pPr>
              <w:widowControl/>
              <w:overflowPunct w:val="0"/>
              <w:autoSpaceDE w:val="0"/>
              <w:autoSpaceDN w:val="0"/>
              <w:spacing w:line="360" w:lineRule="auto"/>
              <w:ind w:firstLine="420" w:firstLineChars="200"/>
              <w:textAlignment w:val="baseline"/>
              <w:rPr>
                <w:rFonts w:ascii="宋体" w:hAnsi="宋体" w:cs="宋体"/>
                <w:color w:val="auto"/>
                <w:szCs w:val="21"/>
                <w:highlight w:val="none"/>
                <w:lang w:val="zh-CN"/>
              </w:rPr>
            </w:pPr>
            <w:r>
              <w:rPr>
                <w:rFonts w:hint="eastAsia" w:ascii="宋体" w:hAnsi="宋体" w:cs="宋体"/>
                <w:color w:val="auto"/>
                <w:szCs w:val="21"/>
                <w:highlight w:val="none"/>
              </w:rPr>
              <w:t>三档（3分）：</w:t>
            </w:r>
            <w:r>
              <w:rPr>
                <w:rFonts w:hint="eastAsia" w:ascii="宋体" w:hAnsi="宋体" w:cs="宋体"/>
                <w:color w:val="auto"/>
                <w:szCs w:val="21"/>
                <w:highlight w:val="none"/>
                <w:lang w:val="zh-CN"/>
              </w:rPr>
              <w:t>在满足</w:t>
            </w:r>
            <w:r>
              <w:rPr>
                <w:rFonts w:hint="eastAsia" w:ascii="宋体" w:hAnsi="宋体" w:cs="宋体"/>
                <w:color w:val="auto"/>
                <w:szCs w:val="21"/>
                <w:highlight w:val="none"/>
              </w:rPr>
              <w:t>三档的</w:t>
            </w:r>
            <w:r>
              <w:rPr>
                <w:rFonts w:hint="eastAsia" w:ascii="宋体" w:hAnsi="宋体" w:cs="宋体"/>
                <w:color w:val="auto"/>
                <w:szCs w:val="21"/>
                <w:highlight w:val="none"/>
                <w:lang w:val="zh-CN"/>
              </w:rPr>
              <w:t>基础上，投标人提供有针对本项目运行维护服务过程中突发事件应急处置保障措施（包含：采用多种手段完成突发事件的应急处置，保障手段强，突发事件应急处理能力和资源调配能力强），得</w:t>
            </w:r>
            <w:r>
              <w:rPr>
                <w:rFonts w:hint="eastAsia" w:ascii="宋体" w:hAnsi="宋体" w:cs="宋体"/>
                <w:color w:val="auto"/>
                <w:szCs w:val="21"/>
                <w:highlight w:val="none"/>
              </w:rPr>
              <w:t>3</w:t>
            </w:r>
            <w:r>
              <w:rPr>
                <w:rFonts w:hint="eastAsia" w:ascii="宋体" w:hAnsi="宋体" w:cs="宋体"/>
                <w:color w:val="auto"/>
                <w:szCs w:val="21"/>
                <w:highlight w:val="none"/>
                <w:lang w:val="zh-CN"/>
              </w:rPr>
              <w:t>分。</w:t>
            </w:r>
          </w:p>
          <w:p w14:paraId="2E10C541">
            <w:pPr>
              <w:pStyle w:val="12"/>
              <w:rPr>
                <w:rFonts w:ascii="仿宋" w:hAnsi="仿宋" w:eastAsia="仿宋" w:cs="仿宋"/>
                <w:b/>
                <w:bCs/>
                <w:color w:val="auto"/>
                <w:kern w:val="0"/>
                <w:szCs w:val="21"/>
                <w:highlight w:val="none"/>
              </w:rPr>
            </w:pPr>
            <w:r>
              <w:rPr>
                <w:rFonts w:hint="eastAsia" w:ascii="仿宋" w:hAnsi="仿宋" w:eastAsia="仿宋" w:cs="仿宋"/>
                <w:b/>
                <w:color w:val="auto"/>
                <w:szCs w:val="21"/>
                <w:highlight w:val="none"/>
                <w:lang w:val="zh-CN"/>
              </w:rPr>
              <w:t>注：未提供</w:t>
            </w:r>
            <w:r>
              <w:rPr>
                <w:rFonts w:hint="eastAsia" w:ascii="仿宋" w:hAnsi="仿宋" w:eastAsia="仿宋" w:cs="仿宋"/>
                <w:b/>
                <w:color w:val="auto"/>
                <w:szCs w:val="21"/>
                <w:highlight w:val="none"/>
                <w:lang w:eastAsia="zh-CN"/>
              </w:rPr>
              <w:t>运维服务</w:t>
            </w:r>
            <w:r>
              <w:rPr>
                <w:rFonts w:hint="eastAsia" w:ascii="仿宋" w:hAnsi="仿宋" w:eastAsia="仿宋" w:cs="仿宋"/>
                <w:b/>
                <w:color w:val="auto"/>
                <w:szCs w:val="21"/>
                <w:highlight w:val="none"/>
                <w:lang w:val="zh-CN"/>
              </w:rPr>
              <w:t>方案或</w:t>
            </w:r>
            <w:r>
              <w:rPr>
                <w:rFonts w:hint="eastAsia" w:ascii="仿宋" w:hAnsi="仿宋" w:eastAsia="仿宋" w:cs="仿宋"/>
                <w:b/>
                <w:color w:val="auto"/>
                <w:szCs w:val="21"/>
                <w:highlight w:val="none"/>
                <w:lang w:eastAsia="zh-CN"/>
              </w:rPr>
              <w:t>运维服务</w:t>
            </w:r>
            <w:r>
              <w:rPr>
                <w:rFonts w:hint="eastAsia" w:ascii="仿宋" w:hAnsi="仿宋" w:eastAsia="仿宋" w:cs="仿宋"/>
                <w:b/>
                <w:color w:val="auto"/>
                <w:szCs w:val="21"/>
                <w:highlight w:val="none"/>
                <w:lang w:val="zh-CN"/>
              </w:rPr>
              <w:t>方案未达到</w:t>
            </w:r>
            <w:r>
              <w:rPr>
                <w:rFonts w:hint="eastAsia" w:ascii="仿宋" w:hAnsi="仿宋" w:eastAsia="仿宋" w:cs="仿宋"/>
                <w:b/>
                <w:color w:val="auto"/>
                <w:szCs w:val="21"/>
                <w:highlight w:val="none"/>
              </w:rPr>
              <w:t>一档标准</w:t>
            </w:r>
            <w:r>
              <w:rPr>
                <w:rFonts w:hint="eastAsia" w:ascii="仿宋" w:hAnsi="仿宋" w:eastAsia="仿宋" w:cs="仿宋"/>
                <w:b/>
                <w:color w:val="auto"/>
                <w:szCs w:val="21"/>
                <w:highlight w:val="none"/>
                <w:lang w:val="zh-CN"/>
              </w:rPr>
              <w:t>的得0分。</w:t>
            </w:r>
          </w:p>
        </w:tc>
      </w:tr>
      <w:tr w14:paraId="31570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6" w:hRule="atLeast"/>
        </w:trPr>
        <w:tc>
          <w:tcPr>
            <w:tcW w:w="1920" w:type="dxa"/>
            <w:vMerge w:val="restart"/>
            <w:shd w:val="clear" w:color="auto" w:fill="auto"/>
            <w:vAlign w:val="center"/>
          </w:tcPr>
          <w:p w14:paraId="12B58910">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（6）演示分</w:t>
            </w:r>
          </w:p>
          <w:p w14:paraId="31584466">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（满分30分）</w:t>
            </w:r>
          </w:p>
        </w:tc>
        <w:tc>
          <w:tcPr>
            <w:tcW w:w="7934" w:type="dxa"/>
            <w:shd w:val="clear" w:color="auto" w:fill="auto"/>
            <w:vAlign w:val="center"/>
          </w:tcPr>
          <w:p w14:paraId="23C2FF93">
            <w:pPr>
              <w:widowControl/>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评标委员会应根据投标人的产品演示情况进行评审，其中投标人未按第二章的要求进行产品演示的或未提供产品演示的为0分，演示内容为《第二章 采购需求》技术需求中1.1金融行业协同治理、2.2通信流预警劝阻、</w:t>
            </w:r>
            <w:r>
              <w:rPr>
                <w:rFonts w:ascii="宋体" w:hAnsi="宋体" w:cs="宋体"/>
                <w:color w:val="auto"/>
                <w:kern w:val="0"/>
                <w:szCs w:val="21"/>
                <w:highlight w:val="none"/>
              </w:rPr>
              <w:t>2.3通信流技术反制、</w:t>
            </w:r>
            <w:r>
              <w:rPr>
                <w:rFonts w:hint="eastAsia" w:ascii="宋体" w:hAnsi="宋体" w:cs="宋体"/>
                <w:color w:val="auto"/>
                <w:kern w:val="0"/>
                <w:szCs w:val="21"/>
                <w:highlight w:val="none"/>
              </w:rPr>
              <w:t>2.4通信流落地打击、</w:t>
            </w:r>
            <w:r>
              <w:rPr>
                <w:rFonts w:ascii="宋体" w:hAnsi="宋体" w:cs="宋体"/>
                <w:color w:val="auto"/>
                <w:kern w:val="0"/>
                <w:szCs w:val="21"/>
                <w:highlight w:val="none"/>
              </w:rPr>
              <w:t>5.5</w:t>
            </w:r>
            <w:r>
              <w:rPr>
                <w:rFonts w:hint="eastAsia" w:ascii="宋体" w:hAnsi="宋体" w:cs="宋体"/>
                <w:color w:val="auto"/>
                <w:kern w:val="0"/>
                <w:szCs w:val="21"/>
                <w:highlight w:val="none"/>
              </w:rPr>
              <w:t>四流线索研判，本项满分30分，具体评分标准如下：</w:t>
            </w:r>
          </w:p>
        </w:tc>
      </w:tr>
      <w:tr w14:paraId="09742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20" w:type="dxa"/>
            <w:vMerge w:val="continue"/>
            <w:vAlign w:val="center"/>
          </w:tcPr>
          <w:p w14:paraId="6ADECCC9">
            <w:pPr>
              <w:widowControl/>
              <w:spacing w:line="360" w:lineRule="auto"/>
              <w:jc w:val="left"/>
              <w:rPr>
                <w:rFonts w:ascii="宋体" w:hAnsi="宋体" w:cs="宋体"/>
                <w:color w:val="auto"/>
                <w:kern w:val="0"/>
                <w:szCs w:val="21"/>
                <w:highlight w:val="none"/>
              </w:rPr>
            </w:pPr>
          </w:p>
        </w:tc>
        <w:tc>
          <w:tcPr>
            <w:tcW w:w="7934" w:type="dxa"/>
            <w:shd w:val="clear" w:color="auto" w:fill="auto"/>
            <w:vAlign w:val="center"/>
          </w:tcPr>
          <w:p w14:paraId="6287A70C">
            <w:pPr>
              <w:widowControl/>
              <w:spacing w:line="360" w:lineRule="auto"/>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1、金融行业协同治理（技术需求1.1）（满分</w:t>
            </w:r>
            <w:r>
              <w:rPr>
                <w:rFonts w:ascii="宋体" w:hAnsi="宋体" w:cs="宋体"/>
                <w:b/>
                <w:bCs/>
                <w:color w:val="auto"/>
                <w:kern w:val="0"/>
                <w:szCs w:val="21"/>
                <w:highlight w:val="none"/>
              </w:rPr>
              <w:t>4</w:t>
            </w:r>
            <w:r>
              <w:rPr>
                <w:rFonts w:hint="eastAsia" w:ascii="宋体" w:hAnsi="宋体" w:cs="宋体"/>
                <w:b/>
                <w:bCs/>
                <w:color w:val="auto"/>
                <w:kern w:val="0"/>
                <w:szCs w:val="21"/>
                <w:highlight w:val="none"/>
              </w:rPr>
              <w:t>分）</w:t>
            </w:r>
          </w:p>
          <w:p w14:paraId="22DCA453">
            <w:pPr>
              <w:widowControl/>
              <w:spacing w:line="360" w:lineRule="auto"/>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（1）银行柜面警银快速联动（满分</w:t>
            </w:r>
            <w:r>
              <w:rPr>
                <w:rFonts w:ascii="宋体" w:hAnsi="宋体" w:cs="宋体"/>
                <w:b/>
                <w:bCs/>
                <w:color w:val="auto"/>
                <w:kern w:val="0"/>
                <w:szCs w:val="21"/>
                <w:highlight w:val="none"/>
              </w:rPr>
              <w:t>4</w:t>
            </w:r>
            <w:r>
              <w:rPr>
                <w:rFonts w:hint="eastAsia" w:ascii="宋体" w:hAnsi="宋体" w:cs="宋体"/>
                <w:b/>
                <w:bCs/>
                <w:color w:val="auto"/>
                <w:kern w:val="0"/>
                <w:szCs w:val="21"/>
                <w:highlight w:val="none"/>
              </w:rPr>
              <w:t>分）</w:t>
            </w:r>
          </w:p>
          <w:p w14:paraId="030F7DBE">
            <w:pPr>
              <w:widowControl/>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演示内容：①支持银行侧发起一键出</w:t>
            </w:r>
            <w:r>
              <w:rPr>
                <w:rFonts w:hint="eastAsia" w:ascii="宋体" w:hAnsi="宋体" w:cs="宋体"/>
                <w:color w:val="auto"/>
                <w:kern w:val="0"/>
                <w:szCs w:val="21"/>
                <w:highlight w:val="none"/>
                <w:lang w:val="en-US" w:eastAsia="zh-CN"/>
              </w:rPr>
              <w:t>警</w:t>
            </w:r>
            <w:r>
              <w:rPr>
                <w:rFonts w:hint="eastAsia" w:ascii="宋体" w:hAnsi="宋体" w:cs="宋体"/>
                <w:color w:val="auto"/>
                <w:kern w:val="0"/>
                <w:szCs w:val="21"/>
                <w:highlight w:val="none"/>
              </w:rPr>
              <w:t>。②支持出警情形选择。③支持一键出警审批。④根据公安处置结果，对涉事银行卡做出相应止付、管控或解控。</w:t>
            </w:r>
          </w:p>
          <w:p w14:paraId="135AAD16">
            <w:pPr>
              <w:widowControl/>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评分标准：一个序号后内容计为一项</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投标人</w:t>
            </w:r>
            <w:r>
              <w:rPr>
                <w:rFonts w:hint="eastAsia" w:ascii="宋体" w:hAnsi="宋体" w:cs="宋体"/>
                <w:color w:val="auto"/>
                <w:kern w:val="0"/>
                <w:szCs w:val="21"/>
                <w:highlight w:val="none"/>
                <w:lang w:val="en-US" w:eastAsia="zh-CN"/>
              </w:rPr>
              <w:t>每完成一项内容的演示且完全</w:t>
            </w:r>
            <w:r>
              <w:rPr>
                <w:rFonts w:hint="eastAsia" w:ascii="宋体" w:hAnsi="宋体" w:cs="宋体"/>
                <w:color w:val="auto"/>
                <w:kern w:val="0"/>
                <w:szCs w:val="21"/>
                <w:highlight w:val="none"/>
              </w:rPr>
              <w:t>满足技术需求的得</w:t>
            </w:r>
            <w:r>
              <w:rPr>
                <w:rFonts w:hint="eastAsia" w:ascii="宋体" w:hAnsi="宋体" w:cs="宋体"/>
                <w:color w:val="auto"/>
                <w:kern w:val="0"/>
                <w:szCs w:val="21"/>
                <w:highlight w:val="none"/>
                <w:lang w:val="en-US" w:eastAsia="zh-CN"/>
              </w:rPr>
              <w:t>1</w:t>
            </w:r>
            <w:r>
              <w:rPr>
                <w:rFonts w:hint="eastAsia" w:ascii="宋体" w:hAnsi="宋体" w:cs="宋体"/>
                <w:color w:val="auto"/>
                <w:kern w:val="0"/>
                <w:szCs w:val="21"/>
                <w:highlight w:val="none"/>
              </w:rPr>
              <w:t>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满分4分</w:t>
            </w:r>
            <w:r>
              <w:rPr>
                <w:rFonts w:hint="eastAsia" w:ascii="宋体" w:hAnsi="宋体" w:cs="宋体"/>
                <w:color w:val="auto"/>
                <w:kern w:val="0"/>
                <w:szCs w:val="21"/>
                <w:highlight w:val="none"/>
              </w:rPr>
              <w:t>。</w:t>
            </w:r>
          </w:p>
        </w:tc>
      </w:tr>
      <w:tr w14:paraId="3B26E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920" w:type="dxa"/>
            <w:vMerge w:val="continue"/>
            <w:vAlign w:val="center"/>
          </w:tcPr>
          <w:p w14:paraId="6754F624">
            <w:pPr>
              <w:widowControl/>
              <w:spacing w:line="360" w:lineRule="auto"/>
              <w:jc w:val="left"/>
              <w:rPr>
                <w:rFonts w:ascii="宋体" w:hAnsi="宋体" w:cs="宋体"/>
                <w:color w:val="auto"/>
                <w:kern w:val="0"/>
                <w:szCs w:val="21"/>
                <w:highlight w:val="none"/>
              </w:rPr>
            </w:pPr>
          </w:p>
        </w:tc>
        <w:tc>
          <w:tcPr>
            <w:tcW w:w="7934" w:type="dxa"/>
            <w:shd w:val="clear" w:color="auto" w:fill="auto"/>
            <w:vAlign w:val="center"/>
          </w:tcPr>
          <w:p w14:paraId="1CD065D4">
            <w:pPr>
              <w:widowControl/>
              <w:spacing w:line="360" w:lineRule="auto"/>
              <w:ind w:firstLine="0" w:firstLineChars="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2、通信流预警劝阻（技术需求2.2）（满分</w:t>
            </w:r>
            <w:r>
              <w:rPr>
                <w:rFonts w:ascii="宋体" w:hAnsi="宋体" w:cs="宋体"/>
                <w:b/>
                <w:bCs/>
                <w:color w:val="auto"/>
                <w:kern w:val="0"/>
                <w:szCs w:val="21"/>
                <w:highlight w:val="none"/>
              </w:rPr>
              <w:t>8</w:t>
            </w:r>
            <w:r>
              <w:rPr>
                <w:rFonts w:hint="eastAsia" w:ascii="宋体" w:hAnsi="宋体" w:cs="宋体"/>
                <w:b/>
                <w:bCs/>
                <w:color w:val="auto"/>
                <w:kern w:val="0"/>
                <w:szCs w:val="21"/>
                <w:highlight w:val="none"/>
              </w:rPr>
              <w:t>分）</w:t>
            </w:r>
          </w:p>
          <w:p w14:paraId="3CA03064">
            <w:pPr>
              <w:widowControl/>
              <w:spacing w:line="360" w:lineRule="auto"/>
              <w:ind w:firstLine="422" w:firstLineChars="20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（1）通信流潜在受害人预警（满分2分）</w:t>
            </w:r>
          </w:p>
          <w:p w14:paraId="21F4ED15">
            <w:pPr>
              <w:widowControl/>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演示内容：①支持对公安内部预警数据。支持互联网侧多个厂商数据、部平台预警数据等接入与数据处理展示。②支持展示根据预警来源、预警内容、预警人画像信息、预警人涉案情况进行计算预警积分。</w:t>
            </w:r>
          </w:p>
          <w:p w14:paraId="4C8430E8">
            <w:pPr>
              <w:widowControl/>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评分标准：一个序号后内容计为一项</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投标人</w:t>
            </w:r>
            <w:r>
              <w:rPr>
                <w:rFonts w:hint="eastAsia" w:ascii="宋体" w:hAnsi="宋体" w:cs="宋体"/>
                <w:color w:val="auto"/>
                <w:kern w:val="0"/>
                <w:szCs w:val="21"/>
                <w:highlight w:val="none"/>
                <w:lang w:val="en-US" w:eastAsia="zh-CN"/>
              </w:rPr>
              <w:t>每完成一项内容的演示且完全</w:t>
            </w:r>
            <w:r>
              <w:rPr>
                <w:rFonts w:hint="eastAsia" w:ascii="宋体" w:hAnsi="宋体" w:cs="宋体"/>
                <w:color w:val="auto"/>
                <w:kern w:val="0"/>
                <w:szCs w:val="21"/>
                <w:highlight w:val="none"/>
              </w:rPr>
              <w:t>满足技术需求的得</w:t>
            </w:r>
            <w:r>
              <w:rPr>
                <w:rFonts w:hint="eastAsia" w:ascii="宋体" w:hAnsi="宋体" w:cs="宋体"/>
                <w:color w:val="auto"/>
                <w:kern w:val="0"/>
                <w:szCs w:val="21"/>
                <w:highlight w:val="none"/>
                <w:lang w:val="en-US" w:eastAsia="zh-CN"/>
              </w:rPr>
              <w:t>1</w:t>
            </w:r>
            <w:r>
              <w:rPr>
                <w:rFonts w:hint="eastAsia" w:ascii="宋体" w:hAnsi="宋体" w:cs="宋体"/>
                <w:color w:val="auto"/>
                <w:kern w:val="0"/>
                <w:szCs w:val="21"/>
                <w:highlight w:val="none"/>
              </w:rPr>
              <w:t>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满分2分</w:t>
            </w:r>
            <w:r>
              <w:rPr>
                <w:rFonts w:hint="eastAsia" w:ascii="宋体" w:hAnsi="宋体" w:cs="宋体"/>
                <w:color w:val="auto"/>
                <w:kern w:val="0"/>
                <w:szCs w:val="21"/>
                <w:highlight w:val="none"/>
              </w:rPr>
              <w:t>。</w:t>
            </w:r>
          </w:p>
          <w:p w14:paraId="1F92554C">
            <w:pPr>
              <w:widowControl/>
              <w:spacing w:line="360" w:lineRule="auto"/>
              <w:ind w:firstLine="422" w:firstLineChars="20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（2）通信流潜在受害人全息档案（满分</w:t>
            </w:r>
            <w:r>
              <w:rPr>
                <w:rFonts w:ascii="宋体" w:hAnsi="宋体" w:cs="宋体"/>
                <w:b/>
                <w:bCs/>
                <w:color w:val="auto"/>
                <w:kern w:val="0"/>
                <w:szCs w:val="21"/>
                <w:highlight w:val="none"/>
              </w:rPr>
              <w:t>4</w:t>
            </w:r>
            <w:r>
              <w:rPr>
                <w:rFonts w:hint="eastAsia" w:ascii="宋体" w:hAnsi="宋体" w:cs="宋体"/>
                <w:b/>
                <w:bCs/>
                <w:color w:val="auto"/>
                <w:kern w:val="0"/>
                <w:szCs w:val="21"/>
                <w:highlight w:val="none"/>
              </w:rPr>
              <w:t>分）</w:t>
            </w:r>
          </w:p>
          <w:p w14:paraId="13166DAB">
            <w:pPr>
              <w:widowControl/>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演示内容：①支持展示预警人基础信息：头像、姓名、性别、年龄、手机号、籍贯、文化程度、居住地址、预警分数，②涉诈信息：预警账号、数据来源、预警日期、手机号码归属地、归属运营商、黑域名、预警类型。③关联信息：关联预警、关联警情、关联案件、关联人，预警全生命周期查看。④支持</w:t>
            </w:r>
            <w:r>
              <w:rPr>
                <w:rFonts w:hint="eastAsia"/>
                <w:color w:val="auto"/>
                <w:szCs w:val="28"/>
                <w:highlight w:val="none"/>
              </w:rPr>
              <w:t>展示潜在受害人历史预警信息。</w:t>
            </w:r>
          </w:p>
          <w:p w14:paraId="223E5703">
            <w:pPr>
              <w:widowControl/>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评分标准：一个序号后内容计为一项</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投标人</w:t>
            </w:r>
            <w:r>
              <w:rPr>
                <w:rFonts w:hint="eastAsia" w:ascii="宋体" w:hAnsi="宋体" w:cs="宋体"/>
                <w:color w:val="auto"/>
                <w:kern w:val="0"/>
                <w:szCs w:val="21"/>
                <w:highlight w:val="none"/>
                <w:lang w:val="en-US" w:eastAsia="zh-CN"/>
              </w:rPr>
              <w:t>每完成一项内容的演示且完全</w:t>
            </w:r>
            <w:r>
              <w:rPr>
                <w:rFonts w:hint="eastAsia" w:ascii="宋体" w:hAnsi="宋体" w:cs="宋体"/>
                <w:color w:val="auto"/>
                <w:kern w:val="0"/>
                <w:szCs w:val="21"/>
                <w:highlight w:val="none"/>
              </w:rPr>
              <w:t>满足技术需求的得</w:t>
            </w:r>
            <w:r>
              <w:rPr>
                <w:rFonts w:hint="eastAsia" w:ascii="宋体" w:hAnsi="宋体" w:cs="宋体"/>
                <w:color w:val="auto"/>
                <w:kern w:val="0"/>
                <w:szCs w:val="21"/>
                <w:highlight w:val="none"/>
                <w:lang w:val="en-US" w:eastAsia="zh-CN"/>
              </w:rPr>
              <w:t>1</w:t>
            </w:r>
            <w:r>
              <w:rPr>
                <w:rFonts w:hint="eastAsia" w:ascii="宋体" w:hAnsi="宋体" w:cs="宋体"/>
                <w:color w:val="auto"/>
                <w:kern w:val="0"/>
                <w:szCs w:val="21"/>
                <w:highlight w:val="none"/>
              </w:rPr>
              <w:t>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满分4分</w:t>
            </w:r>
            <w:r>
              <w:rPr>
                <w:rFonts w:hint="eastAsia" w:ascii="宋体" w:hAnsi="宋体" w:cs="宋体"/>
                <w:color w:val="auto"/>
                <w:kern w:val="0"/>
                <w:szCs w:val="21"/>
                <w:highlight w:val="none"/>
              </w:rPr>
              <w:t>。</w:t>
            </w:r>
          </w:p>
          <w:p w14:paraId="7C676FA0">
            <w:pPr>
              <w:widowControl/>
              <w:spacing w:line="360" w:lineRule="auto"/>
              <w:ind w:firstLine="422" w:firstLineChars="20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（3）通信流异常提醒成果展示（满分2分）</w:t>
            </w:r>
          </w:p>
          <w:p w14:paraId="7E212453">
            <w:pPr>
              <w:widowControl/>
              <w:spacing w:line="360" w:lineRule="auto"/>
              <w:ind w:firstLine="420" w:firstLineChars="200"/>
              <w:jc w:val="left"/>
              <w:rPr>
                <w:rFonts w:hint="default"/>
                <w:color w:val="auto"/>
                <w:highlight w:val="none"/>
                <w:lang w:val="en-US" w:eastAsia="zh-CN"/>
              </w:rPr>
            </w:pPr>
            <w:r>
              <w:rPr>
                <w:rFonts w:hint="eastAsia" w:ascii="宋体" w:hAnsi="宋体" w:cs="宋体"/>
                <w:color w:val="auto"/>
                <w:kern w:val="0"/>
                <w:szCs w:val="21"/>
                <w:highlight w:val="none"/>
              </w:rPr>
              <w:t>演示内容：①对接AI智能外呼进行劝阻，并展示AI回访状态；②通信流重点区域劝阻展示</w:t>
            </w:r>
            <w:r>
              <w:rPr>
                <w:rFonts w:hint="eastAsia"/>
                <w:color w:val="auto"/>
                <w:highlight w:val="none"/>
                <w:lang w:val="en-US" w:eastAsia="zh-CN"/>
              </w:rPr>
              <w:t>。</w:t>
            </w:r>
          </w:p>
          <w:p w14:paraId="0BAA89C9">
            <w:pPr>
              <w:widowControl/>
              <w:spacing w:line="360" w:lineRule="auto"/>
              <w:ind w:firstLine="420" w:firstLineChars="200"/>
              <w:jc w:val="left"/>
              <w:rPr>
                <w:color w:val="auto"/>
                <w:highlight w:val="none"/>
              </w:rPr>
            </w:pPr>
            <w:r>
              <w:rPr>
                <w:rFonts w:hint="eastAsia" w:ascii="宋体" w:hAnsi="宋体" w:cs="宋体"/>
                <w:color w:val="auto"/>
                <w:kern w:val="0"/>
                <w:szCs w:val="21"/>
                <w:highlight w:val="none"/>
              </w:rPr>
              <w:t>评分标准：一个序号后内容计为一项</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投标人</w:t>
            </w:r>
            <w:r>
              <w:rPr>
                <w:rFonts w:hint="eastAsia" w:ascii="宋体" w:hAnsi="宋体" w:cs="宋体"/>
                <w:color w:val="auto"/>
                <w:kern w:val="0"/>
                <w:szCs w:val="21"/>
                <w:highlight w:val="none"/>
                <w:lang w:val="en-US" w:eastAsia="zh-CN"/>
              </w:rPr>
              <w:t>每完成一项内容的演示且完全</w:t>
            </w:r>
            <w:r>
              <w:rPr>
                <w:rFonts w:hint="eastAsia" w:ascii="宋体" w:hAnsi="宋体" w:cs="宋体"/>
                <w:color w:val="auto"/>
                <w:kern w:val="0"/>
                <w:szCs w:val="21"/>
                <w:highlight w:val="none"/>
              </w:rPr>
              <w:t>满足技术需求的得</w:t>
            </w:r>
            <w:r>
              <w:rPr>
                <w:rFonts w:hint="eastAsia" w:ascii="宋体" w:hAnsi="宋体" w:cs="宋体"/>
                <w:color w:val="auto"/>
                <w:kern w:val="0"/>
                <w:szCs w:val="21"/>
                <w:highlight w:val="none"/>
                <w:lang w:val="en-US" w:eastAsia="zh-CN"/>
              </w:rPr>
              <w:t>1</w:t>
            </w:r>
            <w:r>
              <w:rPr>
                <w:rFonts w:hint="eastAsia" w:ascii="宋体" w:hAnsi="宋体" w:cs="宋体"/>
                <w:color w:val="auto"/>
                <w:kern w:val="0"/>
                <w:szCs w:val="21"/>
                <w:highlight w:val="none"/>
              </w:rPr>
              <w:t>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满分2分</w:t>
            </w:r>
            <w:r>
              <w:rPr>
                <w:rFonts w:hint="eastAsia" w:ascii="宋体" w:hAnsi="宋体" w:cs="宋体"/>
                <w:color w:val="auto"/>
                <w:kern w:val="0"/>
                <w:szCs w:val="21"/>
                <w:highlight w:val="none"/>
              </w:rPr>
              <w:t>。</w:t>
            </w:r>
          </w:p>
        </w:tc>
      </w:tr>
      <w:tr w14:paraId="3EBA0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1920" w:type="dxa"/>
            <w:vMerge w:val="continue"/>
            <w:vAlign w:val="center"/>
          </w:tcPr>
          <w:p w14:paraId="0A73BB91">
            <w:pPr>
              <w:widowControl/>
              <w:spacing w:line="360" w:lineRule="auto"/>
              <w:jc w:val="left"/>
              <w:rPr>
                <w:rFonts w:ascii="宋体" w:hAnsi="宋体" w:cs="宋体"/>
                <w:color w:val="auto"/>
                <w:kern w:val="0"/>
                <w:szCs w:val="21"/>
                <w:highlight w:val="none"/>
              </w:rPr>
            </w:pPr>
          </w:p>
        </w:tc>
        <w:tc>
          <w:tcPr>
            <w:tcW w:w="7934" w:type="dxa"/>
            <w:shd w:val="clear" w:color="auto" w:fill="auto"/>
            <w:vAlign w:val="center"/>
          </w:tcPr>
          <w:p w14:paraId="0DD8D302">
            <w:pPr>
              <w:widowControl/>
              <w:spacing w:line="360" w:lineRule="auto"/>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3、通信流技术反制（技术需求2.3）（满分6分）</w:t>
            </w:r>
          </w:p>
          <w:p w14:paraId="11F4FD02">
            <w:pPr>
              <w:widowControl/>
              <w:spacing w:line="360" w:lineRule="auto"/>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（1）通信流涉诈号码处置（满分2分）</w:t>
            </w:r>
          </w:p>
          <w:p w14:paraId="3B801DCD">
            <w:pPr>
              <w:widowControl/>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演示内容：①支持查看治理号码总量、涉诈主叫号码数、未涉诈主叫号码数的统计，②支持隐患号码新增录入：处置类型、封堵号码类型、封堵号码、案件类型、管控原因、描述，隐患号码治理列表：上报时间、上报状态、号码、号码类型、发现渠道、案件类别、受害人号码、处置类型、描述、省份、地市、单位名称、申诉联系人、申诉联系方式、回访状态、回访标记、封堵文书、回访详情。</w:t>
            </w:r>
          </w:p>
          <w:p w14:paraId="09553797">
            <w:pPr>
              <w:widowControl/>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评分标准：一个序号后内容计为一项</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投标人</w:t>
            </w:r>
            <w:r>
              <w:rPr>
                <w:rFonts w:hint="eastAsia" w:ascii="宋体" w:hAnsi="宋体" w:cs="宋体"/>
                <w:color w:val="auto"/>
                <w:kern w:val="0"/>
                <w:szCs w:val="21"/>
                <w:highlight w:val="none"/>
                <w:lang w:val="en-US" w:eastAsia="zh-CN"/>
              </w:rPr>
              <w:t>每完成一项内容的演示且完全</w:t>
            </w:r>
            <w:r>
              <w:rPr>
                <w:rFonts w:hint="eastAsia" w:ascii="宋体" w:hAnsi="宋体" w:cs="宋体"/>
                <w:color w:val="auto"/>
                <w:kern w:val="0"/>
                <w:szCs w:val="21"/>
                <w:highlight w:val="none"/>
              </w:rPr>
              <w:t>满足技术需求的得</w:t>
            </w:r>
            <w:r>
              <w:rPr>
                <w:rFonts w:hint="eastAsia" w:ascii="宋体" w:hAnsi="宋体" w:cs="宋体"/>
                <w:color w:val="auto"/>
                <w:kern w:val="0"/>
                <w:szCs w:val="21"/>
                <w:highlight w:val="none"/>
                <w:lang w:val="en-US" w:eastAsia="zh-CN"/>
              </w:rPr>
              <w:t>1</w:t>
            </w:r>
            <w:r>
              <w:rPr>
                <w:rFonts w:hint="eastAsia" w:ascii="宋体" w:hAnsi="宋体" w:cs="宋体"/>
                <w:color w:val="auto"/>
                <w:kern w:val="0"/>
                <w:szCs w:val="21"/>
                <w:highlight w:val="none"/>
              </w:rPr>
              <w:t>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满分2分</w:t>
            </w:r>
            <w:r>
              <w:rPr>
                <w:rFonts w:hint="eastAsia" w:ascii="宋体" w:hAnsi="宋体" w:cs="宋体"/>
                <w:color w:val="auto"/>
                <w:kern w:val="0"/>
                <w:szCs w:val="21"/>
                <w:highlight w:val="none"/>
              </w:rPr>
              <w:t>。</w:t>
            </w:r>
          </w:p>
          <w:p w14:paraId="5A35A66B">
            <w:pPr>
              <w:widowControl/>
              <w:spacing w:line="360" w:lineRule="auto"/>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（2）涉诈电话解封（满分2分）</w:t>
            </w:r>
          </w:p>
          <w:p w14:paraId="1C30B499">
            <w:pPr>
              <w:widowControl/>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演示内容：①支持查看发起解封总数、已解封数、未解封数，支持解封录入号码、②支持查看解封列表：创建时间、创建人、解封号码、处置结果、处置时间、解封文书的预览与下载。</w:t>
            </w:r>
          </w:p>
          <w:p w14:paraId="748D9807">
            <w:pPr>
              <w:widowControl/>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评分标准：一个序号后内容计为一项</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投标人</w:t>
            </w:r>
            <w:r>
              <w:rPr>
                <w:rFonts w:hint="eastAsia" w:ascii="宋体" w:hAnsi="宋体" w:cs="宋体"/>
                <w:color w:val="auto"/>
                <w:kern w:val="0"/>
                <w:szCs w:val="21"/>
                <w:highlight w:val="none"/>
                <w:lang w:val="en-US" w:eastAsia="zh-CN"/>
              </w:rPr>
              <w:t>每完成一项内容的演示且完全</w:t>
            </w:r>
            <w:r>
              <w:rPr>
                <w:rFonts w:hint="eastAsia" w:ascii="宋体" w:hAnsi="宋体" w:cs="宋体"/>
                <w:color w:val="auto"/>
                <w:kern w:val="0"/>
                <w:szCs w:val="21"/>
                <w:highlight w:val="none"/>
              </w:rPr>
              <w:t>满足技术需求的得</w:t>
            </w:r>
            <w:r>
              <w:rPr>
                <w:rFonts w:hint="eastAsia" w:ascii="宋体" w:hAnsi="宋体" w:cs="宋体"/>
                <w:color w:val="auto"/>
                <w:kern w:val="0"/>
                <w:szCs w:val="21"/>
                <w:highlight w:val="none"/>
                <w:lang w:val="en-US" w:eastAsia="zh-CN"/>
              </w:rPr>
              <w:t>1</w:t>
            </w:r>
            <w:r>
              <w:rPr>
                <w:rFonts w:hint="eastAsia" w:ascii="宋体" w:hAnsi="宋体" w:cs="宋体"/>
                <w:color w:val="auto"/>
                <w:kern w:val="0"/>
                <w:szCs w:val="21"/>
                <w:highlight w:val="none"/>
              </w:rPr>
              <w:t>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满分2分</w:t>
            </w:r>
            <w:r>
              <w:rPr>
                <w:rFonts w:hint="eastAsia" w:ascii="宋体" w:hAnsi="宋体" w:cs="宋体"/>
                <w:color w:val="auto"/>
                <w:kern w:val="0"/>
                <w:szCs w:val="21"/>
                <w:highlight w:val="none"/>
              </w:rPr>
              <w:t>。</w:t>
            </w:r>
          </w:p>
          <w:p w14:paraId="5D45D119">
            <w:pPr>
              <w:widowControl/>
              <w:spacing w:line="360" w:lineRule="auto"/>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（3）保护性关停（满分2分）</w:t>
            </w:r>
          </w:p>
          <w:p w14:paraId="74504B19">
            <w:pPr>
              <w:widowControl/>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演示内容：①支持查看关停总量、关联号码趋势、关停号码批量新增、关停号码模板下载和导入、关停号码导出。②关停号码列表查看：手机号码、归属市、关停状态、处置时间、处置详情、备注、关停操作。</w:t>
            </w:r>
          </w:p>
          <w:p w14:paraId="5FACCA70">
            <w:pPr>
              <w:widowControl/>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评分标准：一个序号后内容计为一项</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投标人</w:t>
            </w:r>
            <w:r>
              <w:rPr>
                <w:rFonts w:hint="eastAsia" w:ascii="宋体" w:hAnsi="宋体" w:cs="宋体"/>
                <w:color w:val="auto"/>
                <w:kern w:val="0"/>
                <w:szCs w:val="21"/>
                <w:highlight w:val="none"/>
                <w:lang w:val="en-US" w:eastAsia="zh-CN"/>
              </w:rPr>
              <w:t>每完成一项内容的演示且完全</w:t>
            </w:r>
            <w:r>
              <w:rPr>
                <w:rFonts w:hint="eastAsia" w:ascii="宋体" w:hAnsi="宋体" w:cs="宋体"/>
                <w:color w:val="auto"/>
                <w:kern w:val="0"/>
                <w:szCs w:val="21"/>
                <w:highlight w:val="none"/>
              </w:rPr>
              <w:t>满足技术需求的得</w:t>
            </w:r>
            <w:r>
              <w:rPr>
                <w:rFonts w:hint="eastAsia" w:ascii="宋体" w:hAnsi="宋体" w:cs="宋体"/>
                <w:color w:val="auto"/>
                <w:kern w:val="0"/>
                <w:szCs w:val="21"/>
                <w:highlight w:val="none"/>
                <w:lang w:val="en-US" w:eastAsia="zh-CN"/>
              </w:rPr>
              <w:t>1</w:t>
            </w:r>
            <w:r>
              <w:rPr>
                <w:rFonts w:hint="eastAsia" w:ascii="宋体" w:hAnsi="宋体" w:cs="宋体"/>
                <w:color w:val="auto"/>
                <w:kern w:val="0"/>
                <w:szCs w:val="21"/>
                <w:highlight w:val="none"/>
              </w:rPr>
              <w:t>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满分2分</w:t>
            </w:r>
            <w:r>
              <w:rPr>
                <w:rFonts w:hint="eastAsia" w:ascii="宋体" w:hAnsi="宋体" w:cs="宋体"/>
                <w:color w:val="auto"/>
                <w:kern w:val="0"/>
                <w:szCs w:val="21"/>
                <w:highlight w:val="none"/>
              </w:rPr>
              <w:t>。</w:t>
            </w:r>
          </w:p>
        </w:tc>
      </w:tr>
      <w:tr w14:paraId="31362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20" w:type="dxa"/>
            <w:vMerge w:val="continue"/>
            <w:vAlign w:val="center"/>
          </w:tcPr>
          <w:p w14:paraId="64388426">
            <w:pPr>
              <w:widowControl/>
              <w:spacing w:line="360" w:lineRule="auto"/>
              <w:jc w:val="left"/>
              <w:rPr>
                <w:rFonts w:ascii="宋体" w:hAnsi="宋体" w:cs="宋体"/>
                <w:color w:val="auto"/>
                <w:kern w:val="0"/>
                <w:szCs w:val="21"/>
                <w:highlight w:val="none"/>
              </w:rPr>
            </w:pPr>
          </w:p>
        </w:tc>
        <w:tc>
          <w:tcPr>
            <w:tcW w:w="7934" w:type="dxa"/>
            <w:shd w:val="clear" w:color="auto" w:fill="auto"/>
            <w:vAlign w:val="center"/>
          </w:tcPr>
          <w:p w14:paraId="6471FC6C">
            <w:pPr>
              <w:widowControl/>
              <w:spacing w:line="360" w:lineRule="auto"/>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4、通信流落地打击（技术需求2.4）（满分</w:t>
            </w:r>
            <w:r>
              <w:rPr>
                <w:rFonts w:ascii="宋体" w:hAnsi="宋体" w:cs="宋体"/>
                <w:b/>
                <w:bCs/>
                <w:color w:val="auto"/>
                <w:kern w:val="0"/>
                <w:szCs w:val="21"/>
                <w:highlight w:val="none"/>
              </w:rPr>
              <w:t>4</w:t>
            </w:r>
            <w:r>
              <w:rPr>
                <w:rFonts w:hint="eastAsia" w:ascii="宋体" w:hAnsi="宋体" w:cs="宋体"/>
                <w:b/>
                <w:bCs/>
                <w:color w:val="auto"/>
                <w:kern w:val="0"/>
                <w:szCs w:val="21"/>
                <w:highlight w:val="none"/>
              </w:rPr>
              <w:t>分）</w:t>
            </w:r>
          </w:p>
          <w:p w14:paraId="13C0BC51">
            <w:pPr>
              <w:widowControl/>
              <w:spacing w:line="360" w:lineRule="auto"/>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（1）通信流调证分析（满分</w:t>
            </w:r>
            <w:r>
              <w:rPr>
                <w:rFonts w:ascii="宋体" w:hAnsi="宋体" w:cs="宋体"/>
                <w:b/>
                <w:bCs/>
                <w:color w:val="auto"/>
                <w:kern w:val="0"/>
                <w:szCs w:val="21"/>
                <w:highlight w:val="none"/>
              </w:rPr>
              <w:t>4</w:t>
            </w:r>
            <w:r>
              <w:rPr>
                <w:rFonts w:hint="eastAsia" w:ascii="宋体" w:hAnsi="宋体" w:cs="宋体"/>
                <w:b/>
                <w:bCs/>
                <w:color w:val="auto"/>
                <w:kern w:val="0"/>
                <w:szCs w:val="21"/>
                <w:highlight w:val="none"/>
              </w:rPr>
              <w:t>分）</w:t>
            </w:r>
          </w:p>
          <w:p w14:paraId="2789635C">
            <w:pPr>
              <w:widowControl/>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演示内容：①话单录入；②通讯关系分析</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③关联查询</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④话单六度分析。</w:t>
            </w:r>
          </w:p>
          <w:p w14:paraId="1D4230B7">
            <w:pPr>
              <w:widowControl/>
              <w:spacing w:line="360" w:lineRule="auto"/>
              <w:ind w:firstLine="420" w:firstLineChars="200"/>
              <w:jc w:val="left"/>
              <w:rPr>
                <w:color w:val="auto"/>
                <w:highlight w:val="none"/>
              </w:rPr>
            </w:pPr>
            <w:r>
              <w:rPr>
                <w:rFonts w:hint="eastAsia" w:ascii="宋体" w:hAnsi="宋体" w:cs="宋体"/>
                <w:color w:val="auto"/>
                <w:kern w:val="0"/>
                <w:szCs w:val="21"/>
                <w:highlight w:val="none"/>
              </w:rPr>
              <w:t>评分标准：一个序号后内容计为一项</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投标人</w:t>
            </w:r>
            <w:r>
              <w:rPr>
                <w:rFonts w:hint="eastAsia" w:ascii="宋体" w:hAnsi="宋体" w:cs="宋体"/>
                <w:color w:val="auto"/>
                <w:kern w:val="0"/>
                <w:szCs w:val="21"/>
                <w:highlight w:val="none"/>
                <w:lang w:val="en-US" w:eastAsia="zh-CN"/>
              </w:rPr>
              <w:t>每完成一项内容的演示且完全</w:t>
            </w:r>
            <w:r>
              <w:rPr>
                <w:rFonts w:hint="eastAsia" w:ascii="宋体" w:hAnsi="宋体" w:cs="宋体"/>
                <w:color w:val="auto"/>
                <w:kern w:val="0"/>
                <w:szCs w:val="21"/>
                <w:highlight w:val="none"/>
              </w:rPr>
              <w:t>满足技术需求的得</w:t>
            </w:r>
            <w:r>
              <w:rPr>
                <w:rFonts w:hint="eastAsia" w:ascii="宋体" w:hAnsi="宋体" w:cs="宋体"/>
                <w:color w:val="auto"/>
                <w:kern w:val="0"/>
                <w:szCs w:val="21"/>
                <w:highlight w:val="none"/>
                <w:lang w:val="en-US" w:eastAsia="zh-CN"/>
              </w:rPr>
              <w:t>1</w:t>
            </w:r>
            <w:r>
              <w:rPr>
                <w:rFonts w:hint="eastAsia" w:ascii="宋体" w:hAnsi="宋体" w:cs="宋体"/>
                <w:color w:val="auto"/>
                <w:kern w:val="0"/>
                <w:szCs w:val="21"/>
                <w:highlight w:val="none"/>
              </w:rPr>
              <w:t>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满分4分</w:t>
            </w:r>
            <w:r>
              <w:rPr>
                <w:rFonts w:hint="eastAsia" w:ascii="宋体" w:hAnsi="宋体" w:cs="宋体"/>
                <w:color w:val="auto"/>
                <w:kern w:val="0"/>
                <w:szCs w:val="21"/>
                <w:highlight w:val="none"/>
              </w:rPr>
              <w:t>。</w:t>
            </w:r>
          </w:p>
        </w:tc>
      </w:tr>
      <w:tr w14:paraId="1E49A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4" w:hRule="atLeast"/>
        </w:trPr>
        <w:tc>
          <w:tcPr>
            <w:tcW w:w="1920" w:type="dxa"/>
            <w:vMerge w:val="continue"/>
            <w:vAlign w:val="center"/>
          </w:tcPr>
          <w:p w14:paraId="2D3010C2">
            <w:pPr>
              <w:widowControl/>
              <w:spacing w:line="360" w:lineRule="auto"/>
              <w:jc w:val="left"/>
              <w:rPr>
                <w:rFonts w:ascii="宋体" w:hAnsi="宋体" w:cs="宋体"/>
                <w:color w:val="auto"/>
                <w:kern w:val="0"/>
                <w:szCs w:val="21"/>
                <w:highlight w:val="none"/>
              </w:rPr>
            </w:pPr>
          </w:p>
        </w:tc>
        <w:tc>
          <w:tcPr>
            <w:tcW w:w="7934" w:type="dxa"/>
            <w:shd w:val="clear" w:color="auto" w:fill="auto"/>
            <w:vAlign w:val="center"/>
          </w:tcPr>
          <w:p w14:paraId="4209E357">
            <w:pPr>
              <w:widowControl/>
              <w:spacing w:line="360" w:lineRule="auto"/>
              <w:jc w:val="left"/>
              <w:rPr>
                <w:color w:val="auto"/>
                <w:highlight w:val="none"/>
              </w:rPr>
            </w:pPr>
            <w:r>
              <w:rPr>
                <w:rFonts w:ascii="宋体" w:hAnsi="宋体" w:cs="宋体"/>
                <w:b/>
                <w:bCs/>
                <w:color w:val="auto"/>
                <w:kern w:val="0"/>
                <w:szCs w:val="21"/>
                <w:highlight w:val="none"/>
              </w:rPr>
              <w:t>5</w:t>
            </w:r>
            <w:r>
              <w:rPr>
                <w:rFonts w:hint="eastAsia" w:ascii="宋体" w:hAnsi="宋体" w:cs="宋体"/>
                <w:b/>
                <w:bCs/>
                <w:color w:val="auto"/>
                <w:kern w:val="0"/>
                <w:szCs w:val="21"/>
                <w:highlight w:val="none"/>
              </w:rPr>
              <w:t>、四流线索研判（技术需求5.5）（满分</w:t>
            </w:r>
            <w:r>
              <w:rPr>
                <w:rFonts w:ascii="宋体" w:hAnsi="宋体" w:cs="宋体"/>
                <w:b/>
                <w:bCs/>
                <w:color w:val="auto"/>
                <w:kern w:val="0"/>
                <w:szCs w:val="21"/>
                <w:highlight w:val="none"/>
              </w:rPr>
              <w:t>8</w:t>
            </w:r>
            <w:r>
              <w:rPr>
                <w:rFonts w:hint="eastAsia" w:ascii="宋体" w:hAnsi="宋体" w:cs="宋体"/>
                <w:b/>
                <w:bCs/>
                <w:color w:val="auto"/>
                <w:kern w:val="0"/>
                <w:szCs w:val="21"/>
                <w:highlight w:val="none"/>
              </w:rPr>
              <w:t>分）</w:t>
            </w:r>
          </w:p>
          <w:p w14:paraId="6582386A">
            <w:pPr>
              <w:widowControl/>
              <w:spacing w:line="360" w:lineRule="auto"/>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（1）脑图分析（满分</w:t>
            </w:r>
            <w:r>
              <w:rPr>
                <w:rFonts w:ascii="宋体" w:hAnsi="宋体" w:cs="宋体"/>
                <w:b/>
                <w:bCs/>
                <w:color w:val="auto"/>
                <w:kern w:val="0"/>
                <w:szCs w:val="21"/>
                <w:highlight w:val="none"/>
              </w:rPr>
              <w:t>4</w:t>
            </w:r>
            <w:r>
              <w:rPr>
                <w:rFonts w:hint="eastAsia" w:ascii="宋体" w:hAnsi="宋体" w:cs="宋体"/>
                <w:b/>
                <w:bCs/>
                <w:color w:val="auto"/>
                <w:kern w:val="0"/>
                <w:szCs w:val="21"/>
                <w:highlight w:val="none"/>
              </w:rPr>
              <w:t>分）</w:t>
            </w:r>
          </w:p>
          <w:p w14:paraId="7C429B9C">
            <w:pPr>
              <w:widowControl/>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演示内容：①支持在脑图中对通讯流线索、网络流线索、资金流线索信息编辑修改。②支持脑图中添加的人员信息、三流线索信息及详情同步到案件档案中。</w:t>
            </w:r>
          </w:p>
          <w:p w14:paraId="2D7BAA65">
            <w:pPr>
              <w:widowControl/>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评分标准：一个序号后内容计为一项</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投标人</w:t>
            </w:r>
            <w:r>
              <w:rPr>
                <w:rFonts w:hint="eastAsia" w:ascii="宋体" w:hAnsi="宋体" w:cs="宋体"/>
                <w:color w:val="auto"/>
                <w:kern w:val="0"/>
                <w:szCs w:val="21"/>
                <w:highlight w:val="none"/>
                <w:lang w:val="en-US" w:eastAsia="zh-CN"/>
              </w:rPr>
              <w:t>每完成一项内容的演示且完全</w:t>
            </w:r>
            <w:r>
              <w:rPr>
                <w:rFonts w:hint="eastAsia" w:ascii="宋体" w:hAnsi="宋体" w:cs="宋体"/>
                <w:color w:val="auto"/>
                <w:kern w:val="0"/>
                <w:szCs w:val="21"/>
                <w:highlight w:val="none"/>
              </w:rPr>
              <w:t>满足技术需求的得</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满分4分</w:t>
            </w:r>
            <w:r>
              <w:rPr>
                <w:rFonts w:hint="eastAsia" w:ascii="宋体" w:hAnsi="宋体" w:cs="宋体"/>
                <w:color w:val="auto"/>
                <w:kern w:val="0"/>
                <w:szCs w:val="21"/>
                <w:highlight w:val="none"/>
              </w:rPr>
              <w:t>。</w:t>
            </w:r>
          </w:p>
          <w:p w14:paraId="7DDCCE87">
            <w:pPr>
              <w:widowControl/>
              <w:spacing w:line="360" w:lineRule="auto"/>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（2）案件时间轴（满分2分）</w:t>
            </w:r>
          </w:p>
          <w:p w14:paraId="34269B28">
            <w:pPr>
              <w:widowControl/>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演示内容：①支持以时间轴方式展示案件侦办过程信息，包含接警、止付、询问、勘察、冻结、返款、研判、打击、移诉、帮教管控。</w:t>
            </w:r>
          </w:p>
          <w:p w14:paraId="0E3CD7AB">
            <w:pPr>
              <w:widowControl/>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评分标准：一个序号后内容计为一项</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投标人</w:t>
            </w:r>
            <w:r>
              <w:rPr>
                <w:rFonts w:hint="eastAsia" w:ascii="宋体" w:hAnsi="宋体" w:cs="宋体"/>
                <w:color w:val="auto"/>
                <w:kern w:val="0"/>
                <w:szCs w:val="21"/>
                <w:highlight w:val="none"/>
                <w:lang w:val="en-US" w:eastAsia="zh-CN"/>
              </w:rPr>
              <w:t>每完成一项内容的演示且完全</w:t>
            </w:r>
            <w:r>
              <w:rPr>
                <w:rFonts w:hint="eastAsia" w:ascii="宋体" w:hAnsi="宋体" w:cs="宋体"/>
                <w:color w:val="auto"/>
                <w:kern w:val="0"/>
                <w:szCs w:val="21"/>
                <w:highlight w:val="none"/>
              </w:rPr>
              <w:t>满足技术需求的得</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满分2分</w:t>
            </w:r>
            <w:r>
              <w:rPr>
                <w:rFonts w:hint="eastAsia" w:ascii="宋体" w:hAnsi="宋体" w:cs="宋体"/>
                <w:color w:val="auto"/>
                <w:kern w:val="0"/>
                <w:szCs w:val="21"/>
                <w:highlight w:val="none"/>
              </w:rPr>
              <w:t>。</w:t>
            </w:r>
          </w:p>
          <w:p w14:paraId="08AAC242">
            <w:pPr>
              <w:widowControl/>
              <w:spacing w:line="360" w:lineRule="auto"/>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（3）案件全流程统计（满分2分）</w:t>
            </w:r>
          </w:p>
          <w:p w14:paraId="65F60651">
            <w:pPr>
              <w:widowControl/>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演示内容：①案件全流程以列表展示全流程统计结果，包括案件编号、案件名称、立案单位、涉案金额等基础信息，②以及预警劝阻、接警、止付、冻结返还、其他警种支撑，资金研判、四流研判、窝点位置等统计数据。</w:t>
            </w:r>
          </w:p>
          <w:p w14:paraId="0406A8C0">
            <w:pPr>
              <w:widowControl/>
              <w:spacing w:line="360" w:lineRule="auto"/>
              <w:ind w:firstLine="420" w:firstLineChars="200"/>
              <w:jc w:val="left"/>
              <w:rPr>
                <w:color w:val="auto"/>
                <w:highlight w:val="none"/>
              </w:rPr>
            </w:pPr>
            <w:r>
              <w:rPr>
                <w:rFonts w:hint="eastAsia" w:ascii="宋体" w:hAnsi="宋体" w:cs="宋体"/>
                <w:color w:val="auto"/>
                <w:kern w:val="0"/>
                <w:szCs w:val="21"/>
                <w:highlight w:val="none"/>
              </w:rPr>
              <w:t>评分标准：一个序号后内容计为一项</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投标人</w:t>
            </w:r>
            <w:r>
              <w:rPr>
                <w:rFonts w:hint="eastAsia" w:ascii="宋体" w:hAnsi="宋体" w:cs="宋体"/>
                <w:color w:val="auto"/>
                <w:kern w:val="0"/>
                <w:szCs w:val="21"/>
                <w:highlight w:val="none"/>
                <w:lang w:val="en-US" w:eastAsia="zh-CN"/>
              </w:rPr>
              <w:t>每完成一项内容的演示且完全</w:t>
            </w:r>
            <w:r>
              <w:rPr>
                <w:rFonts w:hint="eastAsia" w:ascii="宋体" w:hAnsi="宋体" w:cs="宋体"/>
                <w:color w:val="auto"/>
                <w:kern w:val="0"/>
                <w:szCs w:val="21"/>
                <w:highlight w:val="none"/>
              </w:rPr>
              <w:t>满足技术需求的得</w:t>
            </w:r>
            <w:r>
              <w:rPr>
                <w:rFonts w:hint="eastAsia" w:ascii="宋体" w:hAnsi="宋体" w:cs="宋体"/>
                <w:color w:val="auto"/>
                <w:kern w:val="0"/>
                <w:szCs w:val="21"/>
                <w:highlight w:val="none"/>
                <w:lang w:val="en-US" w:eastAsia="zh-CN"/>
              </w:rPr>
              <w:t>1</w:t>
            </w:r>
            <w:r>
              <w:rPr>
                <w:rFonts w:hint="eastAsia" w:ascii="宋体" w:hAnsi="宋体" w:cs="宋体"/>
                <w:color w:val="auto"/>
                <w:kern w:val="0"/>
                <w:szCs w:val="21"/>
                <w:highlight w:val="none"/>
              </w:rPr>
              <w:t>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满分2分</w:t>
            </w:r>
            <w:r>
              <w:rPr>
                <w:rFonts w:hint="eastAsia" w:ascii="宋体" w:hAnsi="宋体" w:cs="宋体"/>
                <w:color w:val="auto"/>
                <w:kern w:val="0"/>
                <w:szCs w:val="21"/>
                <w:highlight w:val="none"/>
              </w:rPr>
              <w:t>。</w:t>
            </w:r>
          </w:p>
        </w:tc>
      </w:tr>
      <w:tr w14:paraId="2B860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9854" w:type="dxa"/>
            <w:gridSpan w:val="2"/>
            <w:shd w:val="clear" w:color="auto" w:fill="D7D7D7" w:themeFill="background1" w:themeFillShade="D8"/>
            <w:vAlign w:val="center"/>
          </w:tcPr>
          <w:p w14:paraId="5075F7C8">
            <w:pPr>
              <w:widowControl/>
              <w:spacing w:line="360" w:lineRule="auto"/>
              <w:jc w:val="left"/>
              <w:rPr>
                <w:rFonts w:ascii="宋体" w:hAnsi="宋体" w:cs="宋体"/>
                <w:b/>
                <w:color w:val="auto"/>
                <w:kern w:val="0"/>
                <w:szCs w:val="21"/>
                <w:highlight w:val="none"/>
              </w:rPr>
            </w:pPr>
            <w:r>
              <w:rPr>
                <w:rFonts w:hint="eastAsia" w:ascii="宋体" w:hAnsi="宋体" w:cs="宋体"/>
                <w:b/>
                <w:color w:val="auto"/>
                <w:kern w:val="0"/>
                <w:szCs w:val="21"/>
                <w:highlight w:val="none"/>
              </w:rPr>
              <w:t>3.商务分（满分10分）</w:t>
            </w:r>
          </w:p>
        </w:tc>
      </w:tr>
      <w:tr w14:paraId="5BA68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920" w:type="dxa"/>
            <w:vMerge w:val="restart"/>
            <w:shd w:val="clear" w:color="auto" w:fill="auto"/>
            <w:vAlign w:val="center"/>
          </w:tcPr>
          <w:p w14:paraId="16A7FECE">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（1）技术力量分</w:t>
            </w:r>
          </w:p>
          <w:p w14:paraId="6737962D">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（满分6分）</w:t>
            </w:r>
          </w:p>
          <w:p w14:paraId="52751C2F">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w:t>
            </w:r>
            <w:r>
              <w:rPr>
                <w:rFonts w:hint="eastAsia" w:ascii="仿宋" w:hAnsi="仿宋" w:eastAsia="仿宋" w:cs="仿宋"/>
                <w:b/>
                <w:bCs/>
                <w:color w:val="auto"/>
                <w:kern w:val="0"/>
                <w:szCs w:val="21"/>
                <w:highlight w:val="none"/>
              </w:rPr>
              <w:t>注：在投标文件中提供拟投入本项目的相关人员的证书复印件以及投标人在2024年1月至2024年9月内任意</w:t>
            </w:r>
            <w:r>
              <w:rPr>
                <w:rFonts w:hint="eastAsia" w:ascii="仿宋" w:hAnsi="仿宋" w:eastAsia="仿宋" w:cs="仿宋"/>
                <w:b/>
                <w:bCs/>
                <w:color w:val="auto"/>
                <w:kern w:val="0"/>
                <w:szCs w:val="21"/>
                <w:highlight w:val="none"/>
                <w:lang w:val="en-US" w:eastAsia="zh-CN"/>
              </w:rPr>
              <w:t>1</w:t>
            </w:r>
            <w:r>
              <w:rPr>
                <w:rFonts w:hint="eastAsia" w:ascii="仿宋" w:hAnsi="仿宋" w:eastAsia="仿宋" w:cs="仿宋"/>
                <w:b/>
                <w:bCs/>
                <w:color w:val="auto"/>
                <w:kern w:val="0"/>
                <w:szCs w:val="21"/>
                <w:highlight w:val="none"/>
              </w:rPr>
              <w:t>个月为以上人员缴纳社保证明</w:t>
            </w:r>
            <w:r>
              <w:rPr>
                <w:rFonts w:hint="eastAsia" w:ascii="宋体" w:hAnsi="宋体" w:cs="宋体"/>
                <w:color w:val="auto"/>
                <w:kern w:val="0"/>
                <w:szCs w:val="21"/>
                <w:highlight w:val="none"/>
              </w:rPr>
              <w:t>）</w:t>
            </w:r>
          </w:p>
        </w:tc>
        <w:tc>
          <w:tcPr>
            <w:tcW w:w="7934" w:type="dxa"/>
            <w:shd w:val="clear" w:color="auto" w:fill="auto"/>
            <w:vAlign w:val="center"/>
          </w:tcPr>
          <w:p w14:paraId="01373470">
            <w:pPr>
              <w:widowControl/>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1.投标人拟投入项目经理</w:t>
            </w:r>
            <w:r>
              <w:rPr>
                <w:rFonts w:hint="eastAsia"/>
                <w:color w:val="auto"/>
                <w:highlight w:val="none"/>
              </w:rPr>
              <w:t>至少</w:t>
            </w:r>
            <w:r>
              <w:rPr>
                <w:rFonts w:hint="eastAsia" w:ascii="宋体" w:hAnsi="宋体" w:cs="宋体"/>
                <w:color w:val="auto"/>
                <w:kern w:val="0"/>
                <w:szCs w:val="21"/>
                <w:highlight w:val="none"/>
              </w:rPr>
              <w:t>1名，具备系统分析师（高级）或系统规划与管理师（高级）或信息系统项目管理师（高级）证书的，每具备1项证书的得1分，满分3分。</w:t>
            </w:r>
          </w:p>
        </w:tc>
      </w:tr>
      <w:tr w14:paraId="46EDE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20" w:type="dxa"/>
            <w:vMerge w:val="continue"/>
            <w:vAlign w:val="center"/>
          </w:tcPr>
          <w:p w14:paraId="5D9D454C">
            <w:pPr>
              <w:widowControl/>
              <w:spacing w:line="360" w:lineRule="auto"/>
              <w:jc w:val="left"/>
              <w:rPr>
                <w:rFonts w:ascii="宋体" w:hAnsi="宋体" w:cs="宋体"/>
                <w:color w:val="auto"/>
                <w:kern w:val="0"/>
                <w:szCs w:val="21"/>
                <w:highlight w:val="none"/>
              </w:rPr>
            </w:pPr>
          </w:p>
        </w:tc>
        <w:tc>
          <w:tcPr>
            <w:tcW w:w="7934" w:type="dxa"/>
            <w:shd w:val="clear" w:color="auto" w:fill="auto"/>
            <w:vAlign w:val="center"/>
          </w:tcPr>
          <w:p w14:paraId="2A07CFDC">
            <w:pPr>
              <w:widowControl/>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2.拟投入的技术人员（项目经理除外）的评分标准如下（本项满分3分）：</w:t>
            </w:r>
          </w:p>
          <w:p w14:paraId="666C024F">
            <w:pPr>
              <w:widowControl/>
              <w:numPr>
                <w:ilvl w:val="0"/>
                <w:numId w:val="14"/>
              </w:numP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拟投入的技术人员中每有1位具备信息系统项目管理师证书的得0.3分，满分1.2分；</w:t>
            </w:r>
          </w:p>
          <w:p w14:paraId="3ABC955A">
            <w:pPr>
              <w:widowControl/>
              <w:numPr>
                <w:ilvl w:val="0"/>
                <w:numId w:val="14"/>
              </w:numP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拟投入的技术人员中每有1位具备系统架构设计师证书的得0.3分，满分0.9分；</w:t>
            </w:r>
          </w:p>
          <w:p w14:paraId="56B21F92">
            <w:pPr>
              <w:widowControl/>
              <w:numPr>
                <w:ilvl w:val="0"/>
                <w:numId w:val="14"/>
              </w:numP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拟投入的技术人员中每有1位具备软件设计师证书的技术人员，每具备一项证书得0.3分，满分0.9分。</w:t>
            </w:r>
          </w:p>
        </w:tc>
      </w:tr>
      <w:tr w14:paraId="22076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920" w:type="dxa"/>
            <w:shd w:val="clear" w:color="auto" w:fill="auto"/>
            <w:vAlign w:val="center"/>
          </w:tcPr>
          <w:p w14:paraId="0066EA11">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（2）业绩分</w:t>
            </w:r>
          </w:p>
          <w:p w14:paraId="4F0B95C4">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（满分4分）</w:t>
            </w:r>
          </w:p>
        </w:tc>
        <w:tc>
          <w:tcPr>
            <w:tcW w:w="7934" w:type="dxa"/>
            <w:shd w:val="clear" w:color="auto" w:fill="auto"/>
            <w:vAlign w:val="center"/>
          </w:tcPr>
          <w:p w14:paraId="36B4D902">
            <w:pPr>
              <w:widowControl/>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投标人近三年（自2021年1月1日至本项目投标截止时间止，以签订合同时间为准）具有信息化项目业绩（</w:t>
            </w:r>
            <w:r>
              <w:rPr>
                <w:rFonts w:hint="eastAsia" w:ascii="仿宋" w:hAnsi="仿宋" w:eastAsia="仿宋" w:cs="仿宋"/>
                <w:color w:val="auto"/>
                <w:kern w:val="0"/>
                <w:szCs w:val="21"/>
                <w:highlight w:val="none"/>
              </w:rPr>
              <w:t>在投标文件中提供合同关键页，同一个项目签订多份合同的只能计算一次，不重复计分</w:t>
            </w:r>
            <w:r>
              <w:rPr>
                <w:rFonts w:hint="eastAsia" w:ascii="宋体" w:hAnsi="宋体" w:cs="宋体"/>
                <w:color w:val="auto"/>
                <w:kern w:val="0"/>
                <w:szCs w:val="21"/>
                <w:highlight w:val="none"/>
              </w:rPr>
              <w:t>）的，每项业绩得1分，满分4分，不提供则不得分。</w:t>
            </w:r>
          </w:p>
        </w:tc>
      </w:tr>
      <w:tr w14:paraId="49FE0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9854" w:type="dxa"/>
            <w:gridSpan w:val="2"/>
            <w:shd w:val="clear" w:color="auto" w:fill="auto"/>
            <w:vAlign w:val="center"/>
          </w:tcPr>
          <w:p w14:paraId="2FCCF584">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总得分=1+2+3</w:t>
            </w:r>
          </w:p>
        </w:tc>
      </w:tr>
    </w:tbl>
    <w:p w14:paraId="34517ADA">
      <w:pPr>
        <w:keepNext/>
        <w:keepLines/>
        <w:spacing w:line="360" w:lineRule="auto"/>
        <w:rPr>
          <w:color w:val="auto"/>
          <w:highlight w:val="none"/>
        </w:rPr>
      </w:pPr>
    </w:p>
    <w:p w14:paraId="48DCFFD8">
      <w:pPr>
        <w:pStyle w:val="16"/>
        <w:keepNext/>
        <w:keepLines/>
        <w:spacing w:line="360" w:lineRule="auto"/>
        <w:ind w:firstLine="600" w:firstLineChars="200"/>
        <w:contextualSpacing/>
        <w:jc w:val="center"/>
        <w:outlineLvl w:val="1"/>
        <w:rPr>
          <w:rFonts w:cs="宋体"/>
          <w:color w:val="auto"/>
          <w:sz w:val="30"/>
          <w:szCs w:val="30"/>
          <w:highlight w:val="none"/>
        </w:rPr>
      </w:pPr>
      <w:bookmarkStart w:id="160" w:name="_Toc177716525"/>
      <w:r>
        <w:rPr>
          <w:rFonts w:cs="宋体"/>
          <w:color w:val="auto"/>
          <w:sz w:val="30"/>
          <w:szCs w:val="30"/>
          <w:highlight w:val="none"/>
        </w:rPr>
        <w:t>第四节 中标候选人推荐原则</w:t>
      </w:r>
      <w:bookmarkEnd w:id="158"/>
      <w:bookmarkEnd w:id="159"/>
      <w:bookmarkEnd w:id="160"/>
    </w:p>
    <w:p w14:paraId="20CC6BDF">
      <w:pPr>
        <w:pStyle w:val="16"/>
        <w:keepNext/>
        <w:keepLines/>
        <w:spacing w:line="360" w:lineRule="auto"/>
        <w:ind w:firstLine="420" w:firstLineChars="200"/>
        <w:contextualSpacing/>
        <w:rPr>
          <w:rFonts w:cs="宋体"/>
          <w:color w:val="auto"/>
          <w:highlight w:val="none"/>
        </w:rPr>
      </w:pPr>
      <w:r>
        <w:rPr>
          <w:rFonts w:hint="eastAsia" w:cs="宋体"/>
          <w:color w:val="auto"/>
          <w:highlight w:val="none"/>
        </w:rPr>
        <w:t>1.评标委员会将根据总得分由高到低排列次序并推荐中标候选人。得分相同的，以投标报价由低到高顺序排列。得分相同且投标报价相同的并列，投标文件满足招标文件全部实质性要求，且按照“第三章 投标人须知”投标人须知前附表30.1条的规定推荐中标候选人。</w:t>
      </w:r>
    </w:p>
    <w:p w14:paraId="413D78CB">
      <w:pPr>
        <w:pStyle w:val="3"/>
        <w:spacing w:before="120" w:beforeLines="50" w:after="120" w:afterLines="50" w:line="360" w:lineRule="auto"/>
        <w:jc w:val="center"/>
        <w:rPr>
          <w:rFonts w:ascii="宋体" w:hAnsi="宋体" w:eastAsia="宋体" w:cs="宋体"/>
          <w:b w:val="0"/>
          <w:color w:val="auto"/>
          <w:sz w:val="30"/>
          <w:szCs w:val="30"/>
          <w:highlight w:val="none"/>
        </w:rPr>
      </w:pPr>
      <w:bookmarkStart w:id="161" w:name="_Toc15494"/>
      <w:bookmarkStart w:id="162" w:name="_Toc177716526"/>
      <w:bookmarkStart w:id="163" w:name="_Toc31726"/>
      <w:r>
        <w:rPr>
          <w:rFonts w:hint="eastAsia" w:ascii="宋体" w:hAnsi="宋体" w:eastAsia="宋体" w:cs="宋体"/>
          <w:b w:val="0"/>
          <w:color w:val="auto"/>
          <w:sz w:val="30"/>
          <w:szCs w:val="30"/>
          <w:highlight w:val="none"/>
        </w:rPr>
        <w:t>第五节 评标报告</w:t>
      </w:r>
      <w:bookmarkEnd w:id="161"/>
      <w:bookmarkEnd w:id="162"/>
      <w:bookmarkEnd w:id="163"/>
    </w:p>
    <w:p w14:paraId="7A44B97A">
      <w:pPr>
        <w:pStyle w:val="40"/>
        <w:keepNext/>
        <w:keepLines/>
        <w:spacing w:before="0"/>
        <w:ind w:firstLine="482"/>
        <w:outlineLvl w:val="2"/>
        <w:rPr>
          <w:rFonts w:ascii="宋体" w:hAnsi="宋体" w:cs="宋体"/>
          <w:b/>
          <w:bCs/>
          <w:color w:val="auto"/>
          <w:szCs w:val="24"/>
          <w:highlight w:val="none"/>
        </w:rPr>
      </w:pPr>
      <w:bookmarkStart w:id="164" w:name="_Toc177716527"/>
      <w:r>
        <w:rPr>
          <w:rFonts w:hint="eastAsia" w:ascii="宋体" w:hAnsi="宋体" w:cs="宋体"/>
          <w:b/>
          <w:bCs/>
          <w:color w:val="auto"/>
          <w:szCs w:val="24"/>
          <w:highlight w:val="none"/>
        </w:rPr>
        <w:t>（一）评标报告与推荐中标候选人</w:t>
      </w:r>
      <w:bookmarkEnd w:id="164"/>
    </w:p>
    <w:p w14:paraId="731DE280">
      <w:pPr>
        <w:pStyle w:val="16"/>
        <w:keepNext/>
        <w:keepLines/>
        <w:tabs>
          <w:tab w:val="left" w:pos="2472"/>
        </w:tabs>
        <w:spacing w:line="360" w:lineRule="auto"/>
        <w:ind w:firstLine="420" w:firstLineChars="200"/>
        <w:rPr>
          <w:rFonts w:cs="宋体"/>
          <w:color w:val="auto"/>
          <w:highlight w:val="none"/>
        </w:rPr>
      </w:pPr>
      <w:r>
        <w:rPr>
          <w:rFonts w:hint="eastAsia" w:cs="宋体"/>
          <w:color w:val="auto"/>
          <w:highlight w:val="none"/>
        </w:rPr>
        <w:t>评标委员会根据原始评标记录和评标结果编写评标报告，并通过电子交易平台向采购人、采购代理机构提交。</w:t>
      </w:r>
    </w:p>
    <w:p w14:paraId="0DF277AD">
      <w:pPr>
        <w:keepNext/>
        <w:keepLines/>
        <w:widowControl/>
        <w:spacing w:line="360" w:lineRule="auto"/>
        <w:ind w:firstLine="482" w:firstLineChars="200"/>
        <w:jc w:val="left"/>
        <w:outlineLvl w:val="2"/>
        <w:rPr>
          <w:rFonts w:ascii="宋体" w:hAnsi="宋体" w:cs="宋体"/>
          <w:b/>
          <w:bCs/>
          <w:color w:val="auto"/>
          <w:sz w:val="24"/>
          <w:highlight w:val="none"/>
        </w:rPr>
      </w:pPr>
      <w:bookmarkStart w:id="165" w:name="_Toc177716528"/>
      <w:r>
        <w:rPr>
          <w:rFonts w:hint="eastAsia" w:ascii="宋体" w:hAnsi="宋体" w:cs="宋体"/>
          <w:b/>
          <w:bCs/>
          <w:color w:val="auto"/>
          <w:sz w:val="24"/>
          <w:highlight w:val="none"/>
        </w:rPr>
        <w:t>（二）评标争议事项处理</w:t>
      </w:r>
      <w:bookmarkEnd w:id="165"/>
    </w:p>
    <w:p w14:paraId="200011A2">
      <w:pPr>
        <w:pStyle w:val="16"/>
        <w:keepNext/>
        <w:keepLines/>
        <w:tabs>
          <w:tab w:val="left" w:pos="2472"/>
        </w:tabs>
        <w:spacing w:line="360" w:lineRule="auto"/>
        <w:ind w:firstLine="420" w:firstLineChars="200"/>
        <w:rPr>
          <w:rFonts w:cs="宋体"/>
          <w:color w:val="auto"/>
          <w:highlight w:val="none"/>
        </w:rPr>
      </w:pPr>
      <w:r>
        <w:rPr>
          <w:rFonts w:hint="eastAsia" w:cs="宋体"/>
          <w:color w:val="auto"/>
          <w:highlight w:val="none"/>
        </w:rPr>
        <w:t>评标委员会成员对需要共同认定的事项存在争议的，应当按照少数服从多数的原则作出结论。持不同意见的评标委员会成员应当在评标报告上签署不同意见及理由，否则视为同意评标报告。</w:t>
      </w:r>
    </w:p>
    <w:p w14:paraId="27D71476">
      <w:pPr>
        <w:widowControl/>
        <w:spacing w:line="360" w:lineRule="auto"/>
        <w:jc w:val="left"/>
        <w:rPr>
          <w:rFonts w:ascii="宋体" w:hAnsi="宋体" w:cs="宋体"/>
          <w:b/>
          <w:color w:val="auto"/>
          <w:sz w:val="36"/>
          <w:szCs w:val="20"/>
          <w:highlight w:val="none"/>
        </w:rPr>
      </w:pPr>
      <w:r>
        <w:rPr>
          <w:rFonts w:cs="宋体"/>
          <w:b/>
          <w:color w:val="auto"/>
          <w:sz w:val="36"/>
          <w:highlight w:val="none"/>
        </w:rPr>
        <w:br w:type="page"/>
      </w:r>
    </w:p>
    <w:p w14:paraId="5E4B7CE9">
      <w:pPr>
        <w:pStyle w:val="16"/>
        <w:keepNext/>
        <w:keepLines/>
        <w:tabs>
          <w:tab w:val="left" w:pos="2472"/>
        </w:tabs>
        <w:spacing w:line="360" w:lineRule="auto"/>
        <w:ind w:firstLine="723"/>
        <w:jc w:val="center"/>
        <w:outlineLvl w:val="0"/>
        <w:rPr>
          <w:rFonts w:cs="宋体"/>
          <w:b/>
          <w:color w:val="auto"/>
          <w:sz w:val="36"/>
          <w:highlight w:val="none"/>
        </w:rPr>
      </w:pPr>
      <w:bookmarkStart w:id="166" w:name="_Toc177716529"/>
      <w:bookmarkStart w:id="167" w:name="_Toc150176898"/>
      <w:r>
        <w:rPr>
          <w:rFonts w:hint="eastAsia" w:cs="宋体"/>
          <w:b/>
          <w:color w:val="auto"/>
          <w:sz w:val="36"/>
          <w:highlight w:val="none"/>
        </w:rPr>
        <w:t>第五章  拟签订的合同文本</w:t>
      </w:r>
      <w:bookmarkEnd w:id="166"/>
      <w:bookmarkEnd w:id="167"/>
    </w:p>
    <w:p w14:paraId="4CC044AD">
      <w:pPr>
        <w:spacing w:line="360" w:lineRule="auto"/>
        <w:rPr>
          <w:color w:val="auto"/>
          <w:highlight w:val="none"/>
        </w:rPr>
      </w:pPr>
    </w:p>
    <w:p w14:paraId="1F5D6E59">
      <w:pPr>
        <w:pStyle w:val="13"/>
        <w:spacing w:line="360" w:lineRule="auto"/>
        <w:rPr>
          <w:color w:val="auto"/>
          <w:highlight w:val="none"/>
        </w:rPr>
      </w:pPr>
    </w:p>
    <w:p w14:paraId="72994902">
      <w:pPr>
        <w:spacing w:line="360" w:lineRule="auto"/>
        <w:ind w:firstLine="420"/>
        <w:jc w:val="center"/>
        <w:rPr>
          <w:rFonts w:ascii="宋体" w:hAnsi="宋体"/>
          <w:b/>
          <w:bCs/>
          <w:color w:val="auto"/>
          <w:sz w:val="52"/>
          <w:szCs w:val="52"/>
          <w:highlight w:val="none"/>
        </w:rPr>
      </w:pPr>
      <w:r>
        <w:rPr>
          <w:rFonts w:hint="eastAsia" w:ascii="宋体" w:hAnsi="宋体"/>
          <w:b/>
          <w:bCs/>
          <w:color w:val="auto"/>
          <w:sz w:val="52"/>
          <w:szCs w:val="52"/>
          <w:highlight w:val="none"/>
        </w:rPr>
        <w:t>广西壮族自治区政府采购合同</w:t>
      </w:r>
    </w:p>
    <w:p w14:paraId="1B85EC26">
      <w:pPr>
        <w:spacing w:line="360" w:lineRule="auto"/>
        <w:ind w:firstLine="420"/>
        <w:jc w:val="right"/>
        <w:rPr>
          <w:rFonts w:ascii="宋体" w:hAnsi="宋体"/>
          <w:b/>
          <w:bCs/>
          <w:color w:val="auto"/>
          <w:sz w:val="52"/>
          <w:szCs w:val="52"/>
          <w:highlight w:val="none"/>
        </w:rPr>
      </w:pPr>
      <w:r>
        <w:rPr>
          <w:rFonts w:hint="eastAsia" w:ascii="宋体" w:hAnsi="宋体"/>
          <w:color w:val="auto"/>
          <w:sz w:val="30"/>
          <w:szCs w:val="30"/>
          <w:highlight w:val="none"/>
        </w:rPr>
        <w:t>中小企业预留合同：</w:t>
      </w:r>
      <w:r>
        <w:rPr>
          <w:rFonts w:hint="eastAsia" w:ascii="MS Mincho" w:hAnsi="MS Mincho" w:cs="MS Mincho"/>
          <w:color w:val="auto"/>
          <w:sz w:val="30"/>
          <w:szCs w:val="30"/>
          <w:highlight w:val="none"/>
        </w:rPr>
        <w:t>□</w:t>
      </w:r>
      <w:r>
        <w:rPr>
          <w:rFonts w:hint="eastAsia" w:ascii="宋体" w:hAnsi="宋体"/>
          <w:color w:val="auto"/>
          <w:sz w:val="30"/>
          <w:szCs w:val="30"/>
          <w:highlight w:val="none"/>
        </w:rPr>
        <w:t>是 □否</w:t>
      </w:r>
    </w:p>
    <w:p w14:paraId="2D1E5D41">
      <w:pPr>
        <w:spacing w:line="360" w:lineRule="auto"/>
        <w:rPr>
          <w:rFonts w:ascii="宋体" w:hAnsi="宋体"/>
          <w:b/>
          <w:bCs/>
          <w:color w:val="auto"/>
          <w:sz w:val="72"/>
          <w:szCs w:val="20"/>
          <w:highlight w:val="none"/>
        </w:rPr>
      </w:pPr>
    </w:p>
    <w:p w14:paraId="75BDFFE1">
      <w:pPr>
        <w:pStyle w:val="13"/>
        <w:spacing w:line="360" w:lineRule="auto"/>
        <w:rPr>
          <w:color w:val="auto"/>
          <w:highlight w:val="none"/>
        </w:rPr>
      </w:pPr>
    </w:p>
    <w:p w14:paraId="58339C15">
      <w:pPr>
        <w:spacing w:line="360" w:lineRule="auto"/>
        <w:rPr>
          <w:color w:val="auto"/>
          <w:highlight w:val="none"/>
        </w:rPr>
      </w:pPr>
    </w:p>
    <w:p w14:paraId="74643B7C">
      <w:pPr>
        <w:tabs>
          <w:tab w:val="left" w:pos="5640"/>
        </w:tabs>
        <w:snapToGrid w:val="0"/>
        <w:spacing w:line="360" w:lineRule="auto"/>
        <w:ind w:left="1115" w:leftChars="531" w:firstLine="562" w:firstLineChars="175"/>
        <w:jc w:val="left"/>
        <w:rPr>
          <w:rFonts w:ascii="宋体" w:hAnsi="宋体"/>
          <w:b/>
          <w:bCs/>
          <w:color w:val="auto"/>
          <w:sz w:val="32"/>
          <w:szCs w:val="32"/>
          <w:highlight w:val="none"/>
        </w:rPr>
      </w:pPr>
      <w:r>
        <w:rPr>
          <w:rFonts w:hint="eastAsia" w:ascii="宋体" w:hAnsi="宋体"/>
          <w:b/>
          <w:bCs/>
          <w:color w:val="auto"/>
          <w:sz w:val="32"/>
          <w:szCs w:val="32"/>
          <w:highlight w:val="none"/>
        </w:rPr>
        <w:t>项目名称：广西公安数字化反电诈平台项目</w:t>
      </w:r>
    </w:p>
    <w:p w14:paraId="38C8EF4A">
      <w:pPr>
        <w:tabs>
          <w:tab w:val="left" w:pos="5640"/>
        </w:tabs>
        <w:snapToGrid w:val="0"/>
        <w:spacing w:line="360" w:lineRule="auto"/>
        <w:ind w:left="1115" w:leftChars="531" w:firstLine="562" w:firstLineChars="175"/>
        <w:jc w:val="left"/>
        <w:rPr>
          <w:rFonts w:hint="eastAsia" w:ascii="宋体" w:hAnsi="宋体" w:eastAsia="宋体"/>
          <w:b/>
          <w:bCs/>
          <w:color w:val="auto"/>
          <w:sz w:val="32"/>
          <w:szCs w:val="32"/>
          <w:highlight w:val="none"/>
          <w:lang w:eastAsia="zh-CN"/>
        </w:rPr>
      </w:pPr>
      <w:r>
        <w:rPr>
          <w:rFonts w:hint="eastAsia" w:ascii="宋体" w:hAnsi="宋体"/>
          <w:b/>
          <w:bCs/>
          <w:color w:val="auto"/>
          <w:sz w:val="32"/>
          <w:szCs w:val="32"/>
          <w:highlight w:val="none"/>
        </w:rPr>
        <w:t>项目编号：</w:t>
      </w:r>
      <w:r>
        <w:rPr>
          <w:rFonts w:hint="eastAsia" w:ascii="宋体" w:hAnsi="宋体"/>
          <w:b/>
          <w:bCs/>
          <w:color w:val="auto"/>
          <w:sz w:val="32"/>
          <w:szCs w:val="32"/>
          <w:highlight w:val="none"/>
          <w:lang w:eastAsia="zh-CN"/>
        </w:rPr>
        <w:t>GXZC2024-G3-006016-XYGC</w:t>
      </w:r>
    </w:p>
    <w:p w14:paraId="7DAF8DB7">
      <w:pPr>
        <w:tabs>
          <w:tab w:val="left" w:pos="5640"/>
        </w:tabs>
        <w:snapToGrid w:val="0"/>
        <w:spacing w:line="360" w:lineRule="auto"/>
        <w:ind w:left="1115" w:leftChars="531" w:firstLine="562" w:firstLineChars="175"/>
        <w:jc w:val="left"/>
        <w:rPr>
          <w:rFonts w:ascii="宋体" w:hAnsi="宋体"/>
          <w:b/>
          <w:bCs/>
          <w:color w:val="auto"/>
          <w:sz w:val="32"/>
          <w:szCs w:val="32"/>
          <w:highlight w:val="none"/>
        </w:rPr>
      </w:pPr>
      <w:r>
        <w:rPr>
          <w:rFonts w:hint="eastAsia" w:ascii="宋体" w:hAnsi="宋体"/>
          <w:b/>
          <w:bCs/>
          <w:color w:val="auto"/>
          <w:sz w:val="32"/>
          <w:szCs w:val="32"/>
          <w:highlight w:val="none"/>
        </w:rPr>
        <w:t xml:space="preserve">采购计划文号： </w:t>
      </w:r>
    </w:p>
    <w:p w14:paraId="320414E9">
      <w:pPr>
        <w:tabs>
          <w:tab w:val="left" w:pos="5640"/>
        </w:tabs>
        <w:snapToGrid w:val="0"/>
        <w:spacing w:line="360" w:lineRule="auto"/>
        <w:ind w:left="1115" w:leftChars="531" w:firstLine="562" w:firstLineChars="175"/>
        <w:jc w:val="left"/>
        <w:rPr>
          <w:rFonts w:ascii="宋体" w:hAnsi="宋体"/>
          <w:b/>
          <w:bCs/>
          <w:color w:val="auto"/>
          <w:sz w:val="32"/>
          <w:szCs w:val="32"/>
          <w:highlight w:val="none"/>
        </w:rPr>
      </w:pPr>
      <w:r>
        <w:rPr>
          <w:rFonts w:hint="eastAsia" w:ascii="宋体" w:hAnsi="宋体"/>
          <w:b/>
          <w:bCs/>
          <w:color w:val="auto"/>
          <w:sz w:val="32"/>
          <w:szCs w:val="32"/>
          <w:highlight w:val="none"/>
        </w:rPr>
        <w:t xml:space="preserve">合同编号： </w:t>
      </w:r>
    </w:p>
    <w:p w14:paraId="11BCE19C">
      <w:pPr>
        <w:tabs>
          <w:tab w:val="left" w:pos="2835"/>
        </w:tabs>
        <w:spacing w:line="360" w:lineRule="auto"/>
        <w:ind w:left="1115" w:leftChars="531" w:firstLine="527" w:firstLineChars="175"/>
        <w:jc w:val="left"/>
        <w:rPr>
          <w:rFonts w:ascii="宋体" w:hAnsi="Courier New"/>
          <w:b/>
          <w:color w:val="auto"/>
          <w:sz w:val="30"/>
          <w:szCs w:val="30"/>
          <w:highlight w:val="none"/>
        </w:rPr>
      </w:pPr>
    </w:p>
    <w:p w14:paraId="75CCE720">
      <w:pPr>
        <w:tabs>
          <w:tab w:val="left" w:pos="2835"/>
        </w:tabs>
        <w:spacing w:line="360" w:lineRule="auto"/>
        <w:ind w:left="1115" w:leftChars="531" w:firstLine="527" w:firstLineChars="175"/>
        <w:jc w:val="left"/>
        <w:rPr>
          <w:rFonts w:ascii="宋体" w:hAnsi="Courier New"/>
          <w:b/>
          <w:color w:val="auto"/>
          <w:sz w:val="30"/>
          <w:szCs w:val="30"/>
          <w:highlight w:val="none"/>
        </w:rPr>
      </w:pPr>
    </w:p>
    <w:p w14:paraId="08F6C910">
      <w:pPr>
        <w:spacing w:line="360" w:lineRule="auto"/>
        <w:ind w:left="1115" w:leftChars="531" w:firstLine="367" w:firstLineChars="175"/>
        <w:rPr>
          <w:color w:val="auto"/>
          <w:highlight w:val="none"/>
        </w:rPr>
      </w:pPr>
    </w:p>
    <w:p w14:paraId="72FA4E3D">
      <w:pPr>
        <w:tabs>
          <w:tab w:val="left" w:pos="2835"/>
        </w:tabs>
        <w:spacing w:line="360" w:lineRule="auto"/>
        <w:ind w:left="1115" w:leftChars="531" w:firstLine="527" w:firstLineChars="175"/>
        <w:jc w:val="left"/>
        <w:rPr>
          <w:rFonts w:ascii="宋体" w:hAnsi="Courier New"/>
          <w:b/>
          <w:color w:val="auto"/>
          <w:sz w:val="30"/>
          <w:szCs w:val="30"/>
          <w:highlight w:val="none"/>
        </w:rPr>
      </w:pPr>
    </w:p>
    <w:p w14:paraId="38955BA9">
      <w:pPr>
        <w:spacing w:line="360" w:lineRule="auto"/>
        <w:ind w:left="1115" w:leftChars="531" w:firstLine="562" w:firstLineChars="175"/>
        <w:rPr>
          <w:b/>
          <w:color w:val="auto"/>
          <w:sz w:val="32"/>
          <w:szCs w:val="32"/>
          <w:highlight w:val="none"/>
        </w:rPr>
      </w:pPr>
      <w:r>
        <w:rPr>
          <w:rFonts w:hint="eastAsia"/>
          <w:b/>
          <w:color w:val="auto"/>
          <w:sz w:val="32"/>
          <w:szCs w:val="32"/>
          <w:highlight w:val="none"/>
        </w:rPr>
        <w:t>采购单位（甲方）：</w:t>
      </w:r>
      <w:r>
        <w:rPr>
          <w:rFonts w:hint="eastAsia"/>
          <w:b/>
          <w:color w:val="auto"/>
          <w:sz w:val="32"/>
          <w:szCs w:val="32"/>
          <w:highlight w:val="none"/>
          <w:u w:val="single"/>
        </w:rPr>
        <w:t>广西壮族自治区公安厅</w:t>
      </w:r>
    </w:p>
    <w:p w14:paraId="1AA55B31">
      <w:pPr>
        <w:spacing w:line="360" w:lineRule="auto"/>
        <w:ind w:left="1115" w:leftChars="531" w:firstLine="562" w:firstLineChars="175"/>
        <w:rPr>
          <w:b/>
          <w:color w:val="auto"/>
          <w:sz w:val="32"/>
          <w:szCs w:val="32"/>
          <w:highlight w:val="none"/>
          <w:u w:val="single"/>
        </w:rPr>
      </w:pPr>
      <w:r>
        <w:rPr>
          <w:rFonts w:hint="eastAsia"/>
          <w:b/>
          <w:color w:val="auto"/>
          <w:sz w:val="32"/>
          <w:szCs w:val="32"/>
          <w:highlight w:val="none"/>
        </w:rPr>
        <w:t>供 应 商（乙方）：</w:t>
      </w:r>
      <w:r>
        <w:rPr>
          <w:rFonts w:hint="eastAsia"/>
          <w:color w:val="auto"/>
          <w:sz w:val="32"/>
          <w:szCs w:val="32"/>
          <w:highlight w:val="none"/>
          <w:u w:val="single"/>
        </w:rPr>
        <w:t xml:space="preserve">                    </w:t>
      </w:r>
    </w:p>
    <w:p w14:paraId="760059B9">
      <w:pPr>
        <w:keepNext/>
        <w:keepLines/>
        <w:spacing w:line="360" w:lineRule="auto"/>
        <w:jc w:val="center"/>
        <w:rPr>
          <w:rFonts w:ascii="宋体" w:hAnsi="宋体" w:cs="宋体"/>
          <w:color w:val="auto"/>
          <w:szCs w:val="21"/>
          <w:highlight w:val="none"/>
          <w:lang w:bidi="ar"/>
        </w:rPr>
      </w:pPr>
    </w:p>
    <w:p w14:paraId="48BC81B5">
      <w:pPr>
        <w:keepNext/>
        <w:keepLines/>
        <w:spacing w:line="360" w:lineRule="auto"/>
        <w:jc w:val="center"/>
        <w:rPr>
          <w:rFonts w:ascii="宋体" w:hAnsi="宋体" w:cs="宋体"/>
          <w:color w:val="auto"/>
          <w:szCs w:val="21"/>
          <w:highlight w:val="none"/>
          <w:lang w:bidi="ar"/>
        </w:rPr>
      </w:pPr>
    </w:p>
    <w:p w14:paraId="7A5E89E4">
      <w:pPr>
        <w:keepNext/>
        <w:keepLines/>
        <w:spacing w:line="360" w:lineRule="auto"/>
        <w:jc w:val="center"/>
        <w:rPr>
          <w:rFonts w:ascii="宋体" w:hAnsi="宋体" w:cs="宋体"/>
          <w:color w:val="auto"/>
          <w:szCs w:val="21"/>
          <w:highlight w:val="none"/>
          <w:lang w:bidi="ar"/>
        </w:rPr>
      </w:pPr>
    </w:p>
    <w:p w14:paraId="402A24F9">
      <w:pPr>
        <w:keepNext/>
        <w:keepLines/>
        <w:spacing w:line="360" w:lineRule="auto"/>
        <w:jc w:val="center"/>
        <w:rPr>
          <w:rFonts w:ascii="宋体" w:hAnsi="宋体" w:cs="宋体"/>
          <w:color w:val="auto"/>
          <w:sz w:val="24"/>
          <w:highlight w:val="none"/>
        </w:rPr>
      </w:pPr>
      <w:r>
        <w:rPr>
          <w:rFonts w:hint="eastAsia" w:ascii="宋体" w:hAnsi="宋体" w:cs="宋体"/>
          <w:color w:val="auto"/>
          <w:szCs w:val="21"/>
          <w:highlight w:val="none"/>
          <w:lang w:bidi="ar"/>
        </w:rPr>
        <w:t>合同使用说明：根据《中华人民共和国政府采购法》《中华人民共和国民法典》等法律法规规定，</w:t>
      </w:r>
    </w:p>
    <w:p w14:paraId="788B3B50">
      <w:pPr>
        <w:tabs>
          <w:tab w:val="left" w:pos="2835"/>
        </w:tabs>
        <w:spacing w:line="360" w:lineRule="auto"/>
        <w:ind w:left="798" w:leftChars="380" w:firstLine="65" w:firstLineChars="31"/>
        <w:jc w:val="left"/>
        <w:rPr>
          <w:rFonts w:ascii="宋体" w:hAnsi="Courier New"/>
          <w:color w:val="auto"/>
          <w:sz w:val="28"/>
          <w:szCs w:val="28"/>
          <w:highlight w:val="none"/>
        </w:rPr>
      </w:pPr>
      <w:r>
        <w:rPr>
          <w:rFonts w:hint="eastAsia" w:ascii="宋体" w:hAnsi="宋体" w:cs="宋体"/>
          <w:color w:val="auto"/>
          <w:szCs w:val="21"/>
          <w:highlight w:val="none"/>
          <w:lang w:bidi="ar"/>
        </w:rPr>
        <w:t>按照招标文件规定条款和中标人投标文件及其承诺，甲乙双方签订本合同。</w:t>
      </w:r>
    </w:p>
    <w:p w14:paraId="17C65BD0">
      <w:pPr>
        <w:pStyle w:val="16"/>
        <w:spacing w:line="360" w:lineRule="auto"/>
        <w:jc w:val="center"/>
        <w:rPr>
          <w:rStyle w:val="74"/>
          <w:b/>
          <w:color w:val="auto"/>
          <w:sz w:val="44"/>
          <w:szCs w:val="44"/>
          <w:highlight w:val="none"/>
        </w:rPr>
        <w:sectPr>
          <w:pgSz w:w="11906" w:h="16838"/>
          <w:pgMar w:top="1440" w:right="1080" w:bottom="1440" w:left="1080" w:header="720" w:footer="720" w:gutter="0"/>
          <w:pgBorders>
            <w:top w:val="none" w:sz="0" w:space="0"/>
            <w:left w:val="none" w:sz="0" w:space="0"/>
            <w:bottom w:val="none" w:sz="0" w:space="0"/>
            <w:right w:val="none" w:sz="0" w:space="0"/>
          </w:pgBorders>
          <w:cols w:space="720" w:num="1"/>
          <w:docGrid w:linePitch="331" w:charSpace="0"/>
        </w:sectPr>
      </w:pPr>
    </w:p>
    <w:p w14:paraId="6F748754">
      <w:pPr>
        <w:pStyle w:val="16"/>
        <w:spacing w:line="360" w:lineRule="auto"/>
        <w:jc w:val="center"/>
        <w:rPr>
          <w:rStyle w:val="74"/>
          <w:b/>
          <w:color w:val="auto"/>
          <w:sz w:val="44"/>
          <w:szCs w:val="44"/>
          <w:highlight w:val="none"/>
        </w:rPr>
      </w:pPr>
      <w:r>
        <w:rPr>
          <w:rStyle w:val="74"/>
          <w:rFonts w:hint="eastAsia"/>
          <w:b/>
          <w:color w:val="auto"/>
          <w:sz w:val="44"/>
          <w:szCs w:val="44"/>
          <w:highlight w:val="none"/>
        </w:rPr>
        <w:t>目  录</w:t>
      </w:r>
    </w:p>
    <w:p w14:paraId="2BFA09F2">
      <w:pPr>
        <w:pStyle w:val="16"/>
        <w:spacing w:line="360" w:lineRule="auto"/>
        <w:jc w:val="center"/>
        <w:rPr>
          <w:rStyle w:val="74"/>
          <w:b/>
          <w:color w:val="auto"/>
          <w:sz w:val="44"/>
          <w:szCs w:val="44"/>
          <w:highlight w:val="none"/>
        </w:rPr>
      </w:pPr>
    </w:p>
    <w:p w14:paraId="353097BD">
      <w:pPr>
        <w:spacing w:line="360" w:lineRule="auto"/>
        <w:rPr>
          <w:rFonts w:ascii="宋体" w:hAnsi="宋体" w:cs="宋体"/>
          <w:b/>
          <w:color w:val="auto"/>
          <w:sz w:val="30"/>
          <w:szCs w:val="30"/>
          <w:highlight w:val="none"/>
        </w:rPr>
      </w:pPr>
      <w:r>
        <w:rPr>
          <w:rFonts w:hint="eastAsia" w:ascii="宋体" w:hAnsi="宋体" w:cs="宋体"/>
          <w:b/>
          <w:color w:val="auto"/>
          <w:sz w:val="30"/>
          <w:szCs w:val="30"/>
          <w:highlight w:val="none"/>
        </w:rPr>
        <w:t>一、采购合同文本</w:t>
      </w:r>
    </w:p>
    <w:p w14:paraId="314C8500">
      <w:pPr>
        <w:spacing w:line="360" w:lineRule="auto"/>
        <w:rPr>
          <w:rFonts w:ascii="宋体" w:hAnsi="宋体" w:cs="宋体"/>
          <w:b/>
          <w:color w:val="auto"/>
          <w:sz w:val="30"/>
          <w:szCs w:val="30"/>
          <w:highlight w:val="none"/>
        </w:rPr>
      </w:pPr>
      <w:r>
        <w:rPr>
          <w:rFonts w:hint="eastAsia" w:ascii="宋体" w:hAnsi="宋体" w:cs="宋体"/>
          <w:b/>
          <w:color w:val="auto"/>
          <w:sz w:val="30"/>
          <w:szCs w:val="30"/>
          <w:highlight w:val="none"/>
        </w:rPr>
        <w:t>二、合同附件</w:t>
      </w:r>
    </w:p>
    <w:p w14:paraId="1B509DDF">
      <w:pPr>
        <w:numPr>
          <w:ilvl w:val="0"/>
          <w:numId w:val="15"/>
        </w:numPr>
        <w:spacing w:line="360" w:lineRule="auto"/>
        <w:rPr>
          <w:rFonts w:ascii="宋体" w:hAnsi="宋体" w:cs="宋体"/>
          <w:color w:val="auto"/>
          <w:sz w:val="28"/>
          <w:szCs w:val="28"/>
          <w:highlight w:val="none"/>
        </w:rPr>
      </w:pPr>
      <w:r>
        <w:rPr>
          <w:rFonts w:hint="eastAsia" w:ascii="宋体" w:hAnsi="宋体" w:cs="宋体"/>
          <w:color w:val="auto"/>
          <w:sz w:val="28"/>
          <w:szCs w:val="28"/>
          <w:highlight w:val="none"/>
        </w:rPr>
        <w:t>中标通知书</w:t>
      </w:r>
    </w:p>
    <w:p w14:paraId="57E420EC">
      <w:pPr>
        <w:numPr>
          <w:ilvl w:val="0"/>
          <w:numId w:val="15"/>
        </w:numPr>
        <w:spacing w:line="360" w:lineRule="auto"/>
        <w:rPr>
          <w:rFonts w:ascii="宋体" w:hAnsi="宋体" w:cs="宋体"/>
          <w:color w:val="auto"/>
          <w:sz w:val="28"/>
          <w:szCs w:val="28"/>
          <w:highlight w:val="none"/>
        </w:rPr>
      </w:pPr>
      <w:r>
        <w:rPr>
          <w:rFonts w:hint="eastAsia" w:ascii="宋体" w:hAnsi="宋体" w:cs="宋体"/>
          <w:color w:val="auto"/>
          <w:sz w:val="28"/>
          <w:szCs w:val="28"/>
          <w:highlight w:val="none"/>
        </w:rPr>
        <w:t>采购文件的更改通知（如有）</w:t>
      </w:r>
    </w:p>
    <w:p w14:paraId="35032BCC">
      <w:pPr>
        <w:numPr>
          <w:ilvl w:val="0"/>
          <w:numId w:val="15"/>
        </w:numPr>
        <w:spacing w:line="360" w:lineRule="auto"/>
        <w:rPr>
          <w:rFonts w:ascii="宋体" w:hAnsi="宋体" w:cs="宋体"/>
          <w:color w:val="auto"/>
          <w:sz w:val="28"/>
          <w:szCs w:val="28"/>
          <w:highlight w:val="none"/>
        </w:rPr>
      </w:pPr>
      <w:r>
        <w:rPr>
          <w:rFonts w:hint="eastAsia" w:ascii="宋体" w:hAnsi="宋体" w:cs="宋体"/>
          <w:color w:val="auto"/>
          <w:sz w:val="28"/>
          <w:szCs w:val="28"/>
          <w:highlight w:val="none"/>
        </w:rPr>
        <w:t>技术需求</w:t>
      </w:r>
    </w:p>
    <w:p w14:paraId="4F4EEA8C">
      <w:pPr>
        <w:numPr>
          <w:ilvl w:val="0"/>
          <w:numId w:val="15"/>
        </w:numPr>
        <w:spacing w:line="360" w:lineRule="auto"/>
        <w:rPr>
          <w:rFonts w:ascii="宋体" w:hAnsi="宋体" w:cs="宋体"/>
          <w:color w:val="auto"/>
          <w:sz w:val="28"/>
          <w:szCs w:val="28"/>
          <w:highlight w:val="none"/>
        </w:rPr>
      </w:pPr>
      <w:r>
        <w:rPr>
          <w:rFonts w:hint="eastAsia" w:ascii="宋体" w:hAnsi="宋体" w:cs="宋体"/>
          <w:color w:val="auto"/>
          <w:sz w:val="28"/>
          <w:szCs w:val="28"/>
          <w:highlight w:val="none"/>
        </w:rPr>
        <w:t>中标人澄清函（如有）</w:t>
      </w:r>
    </w:p>
    <w:p w14:paraId="42A9CB33">
      <w:pPr>
        <w:numPr>
          <w:ilvl w:val="0"/>
          <w:numId w:val="15"/>
        </w:numPr>
        <w:spacing w:line="360" w:lineRule="auto"/>
        <w:rPr>
          <w:rFonts w:ascii="宋体" w:hAnsi="宋体" w:cs="宋体"/>
          <w:color w:val="auto"/>
          <w:sz w:val="28"/>
          <w:szCs w:val="28"/>
          <w:highlight w:val="none"/>
        </w:rPr>
      </w:pPr>
      <w:r>
        <w:rPr>
          <w:rFonts w:hint="eastAsia" w:ascii="宋体" w:hAnsi="宋体" w:cs="宋体"/>
          <w:color w:val="auto"/>
          <w:sz w:val="28"/>
          <w:szCs w:val="28"/>
          <w:highlight w:val="none"/>
        </w:rPr>
        <w:t>投标函</w:t>
      </w:r>
    </w:p>
    <w:p w14:paraId="2AA7E072">
      <w:pPr>
        <w:numPr>
          <w:ilvl w:val="0"/>
          <w:numId w:val="15"/>
        </w:numPr>
        <w:spacing w:line="360" w:lineRule="auto"/>
        <w:rPr>
          <w:rFonts w:ascii="宋体" w:hAnsi="宋体" w:cs="宋体"/>
          <w:color w:val="auto"/>
          <w:sz w:val="28"/>
          <w:szCs w:val="28"/>
          <w:highlight w:val="none"/>
        </w:rPr>
      </w:pPr>
      <w:r>
        <w:rPr>
          <w:rFonts w:hint="eastAsia" w:ascii="宋体" w:hAnsi="宋体" w:cs="宋体"/>
          <w:color w:val="auto"/>
          <w:sz w:val="28"/>
          <w:szCs w:val="28"/>
          <w:highlight w:val="none"/>
        </w:rPr>
        <w:t>开标一览表</w:t>
      </w:r>
    </w:p>
    <w:p w14:paraId="31D3D357">
      <w:pPr>
        <w:numPr>
          <w:ilvl w:val="0"/>
          <w:numId w:val="15"/>
        </w:numPr>
        <w:spacing w:line="360" w:lineRule="auto"/>
        <w:rPr>
          <w:rFonts w:ascii="宋体" w:hAnsi="宋体" w:cs="宋体"/>
          <w:color w:val="auto"/>
          <w:sz w:val="28"/>
          <w:szCs w:val="28"/>
          <w:highlight w:val="none"/>
        </w:rPr>
      </w:pPr>
      <w:r>
        <w:rPr>
          <w:rFonts w:hint="eastAsia" w:ascii="宋体" w:hAnsi="宋体" w:cs="宋体"/>
          <w:color w:val="auto"/>
          <w:sz w:val="28"/>
          <w:szCs w:val="28"/>
          <w:highlight w:val="none"/>
        </w:rPr>
        <w:t>技术需求偏离表、商务条款偏离表</w:t>
      </w:r>
    </w:p>
    <w:p w14:paraId="3A646914">
      <w:pPr>
        <w:numPr>
          <w:ilvl w:val="0"/>
          <w:numId w:val="15"/>
        </w:numPr>
        <w:spacing w:line="360" w:lineRule="auto"/>
        <w:rPr>
          <w:rFonts w:ascii="宋体" w:hAnsi="宋体" w:cs="宋体"/>
          <w:color w:val="auto"/>
          <w:sz w:val="28"/>
          <w:szCs w:val="28"/>
          <w:highlight w:val="none"/>
        </w:rPr>
      </w:pPr>
      <w:r>
        <w:rPr>
          <w:rFonts w:hint="eastAsia" w:ascii="宋体" w:hAnsi="宋体" w:cs="宋体"/>
          <w:color w:val="auto"/>
          <w:sz w:val="28"/>
          <w:szCs w:val="28"/>
          <w:highlight w:val="none"/>
        </w:rPr>
        <w:t>中小企业声明函等（如有）</w:t>
      </w:r>
    </w:p>
    <w:p w14:paraId="15D5B911">
      <w:pPr>
        <w:numPr>
          <w:ilvl w:val="0"/>
          <w:numId w:val="15"/>
        </w:numPr>
        <w:spacing w:line="360" w:lineRule="auto"/>
        <w:rPr>
          <w:rFonts w:ascii="宋体" w:hAnsi="宋体" w:cs="宋体"/>
          <w:color w:val="auto"/>
          <w:sz w:val="28"/>
          <w:szCs w:val="28"/>
          <w:highlight w:val="none"/>
        </w:rPr>
      </w:pPr>
      <w:r>
        <w:rPr>
          <w:rFonts w:hint="eastAsia" w:ascii="宋体" w:hAnsi="宋体" w:cs="宋体"/>
          <w:color w:val="auto"/>
          <w:sz w:val="28"/>
          <w:szCs w:val="28"/>
          <w:highlight w:val="none"/>
        </w:rPr>
        <w:t>其他材料</w:t>
      </w:r>
    </w:p>
    <w:p w14:paraId="3ED85A97">
      <w:pPr>
        <w:widowControl/>
        <w:spacing w:line="360" w:lineRule="auto"/>
        <w:jc w:val="left"/>
        <w:rPr>
          <w:color w:val="auto"/>
          <w:highlight w:val="none"/>
        </w:rPr>
      </w:pPr>
      <w:r>
        <w:rPr>
          <w:color w:val="auto"/>
          <w:highlight w:val="none"/>
        </w:rPr>
        <w:br w:type="page"/>
      </w:r>
    </w:p>
    <w:p w14:paraId="54AEAA7A">
      <w:pPr>
        <w:snapToGrid w:val="0"/>
        <w:spacing w:line="360" w:lineRule="auto"/>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合同文本</w:t>
      </w:r>
    </w:p>
    <w:p w14:paraId="313E20D1">
      <w:pPr>
        <w:pStyle w:val="13"/>
        <w:spacing w:line="360" w:lineRule="auto"/>
        <w:ind w:firstLine="5880" w:firstLineChars="2800"/>
        <w:rPr>
          <w:rFonts w:ascii="宋体" w:hAnsi="宋体" w:cs="宋体"/>
          <w:color w:val="auto"/>
          <w:szCs w:val="21"/>
          <w:highlight w:val="none"/>
        </w:rPr>
      </w:pPr>
      <w:r>
        <w:rPr>
          <w:rFonts w:hint="eastAsia" w:ascii="宋体" w:hAnsi="宋体" w:cs="宋体"/>
          <w:color w:val="auto"/>
          <w:szCs w:val="21"/>
          <w:highlight w:val="none"/>
        </w:rPr>
        <w:t>合同编号：</w:t>
      </w:r>
    </w:p>
    <w:p w14:paraId="05009045">
      <w:pPr>
        <w:spacing w:line="360" w:lineRule="auto"/>
        <w:rPr>
          <w:rFonts w:ascii="宋体" w:hAnsi="宋体" w:cs="宋体"/>
          <w:color w:val="auto"/>
          <w:szCs w:val="21"/>
          <w:highlight w:val="none"/>
        </w:rPr>
      </w:pPr>
    </w:p>
    <w:p w14:paraId="63942ED1">
      <w:pPr>
        <w:spacing w:line="360" w:lineRule="auto"/>
        <w:ind w:right="800"/>
        <w:rPr>
          <w:rFonts w:ascii="宋体" w:hAnsi="宋体" w:cs="宋体"/>
          <w:bCs/>
          <w:color w:val="auto"/>
          <w:szCs w:val="21"/>
          <w:highlight w:val="none"/>
          <w:u w:val="single"/>
        </w:rPr>
      </w:pPr>
      <w:r>
        <w:rPr>
          <w:rFonts w:hint="eastAsia" w:ascii="宋体" w:hAnsi="宋体" w:cs="宋体"/>
          <w:color w:val="auto"/>
          <w:szCs w:val="21"/>
          <w:highlight w:val="none"/>
        </w:rPr>
        <w:t>采购计划号：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3A2DAA24">
      <w:pPr>
        <w:spacing w:line="360" w:lineRule="auto"/>
        <w:rPr>
          <w:rFonts w:ascii="宋体" w:hAnsi="宋体" w:cs="宋体"/>
          <w:color w:val="auto"/>
          <w:szCs w:val="21"/>
          <w:highlight w:val="none"/>
          <w:u w:val="single"/>
        </w:rPr>
      </w:pPr>
      <w:r>
        <w:rPr>
          <w:rFonts w:hint="eastAsia" w:ascii="宋体" w:hAnsi="宋体" w:cs="宋体"/>
          <w:color w:val="auto"/>
          <w:szCs w:val="21"/>
          <w:highlight w:val="none"/>
        </w:rPr>
        <w:t>采购人（甲方）：</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供应商（乙方）：</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399CDC4E">
      <w:pPr>
        <w:spacing w:line="360" w:lineRule="auto"/>
        <w:rPr>
          <w:rFonts w:ascii="宋体" w:hAnsi="宋体" w:cs="宋体"/>
          <w:color w:val="auto"/>
          <w:szCs w:val="21"/>
          <w:highlight w:val="none"/>
          <w:u w:val="single"/>
        </w:rPr>
      </w:pPr>
      <w:r>
        <w:rPr>
          <w:rFonts w:hint="eastAsia" w:ascii="宋体" w:hAnsi="宋体" w:cs="宋体"/>
          <w:color w:val="auto"/>
          <w:szCs w:val="21"/>
          <w:highlight w:val="none"/>
        </w:rPr>
        <w:t>项目名称：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项目编号：</w:t>
      </w:r>
      <w:r>
        <w:rPr>
          <w:rFonts w:hint="eastAsia" w:ascii="宋体" w:hAnsi="宋体" w:cs="宋体"/>
          <w:color w:val="auto"/>
          <w:szCs w:val="21"/>
          <w:highlight w:val="none"/>
          <w:u w:val="single"/>
        </w:rPr>
        <w:t xml:space="preserve">                          </w:t>
      </w:r>
    </w:p>
    <w:p w14:paraId="1B7BF259">
      <w:pPr>
        <w:spacing w:line="360" w:lineRule="auto"/>
        <w:rPr>
          <w:rFonts w:ascii="宋体" w:hAnsi="宋体" w:cs="宋体"/>
          <w:color w:val="auto"/>
          <w:szCs w:val="21"/>
          <w:highlight w:val="none"/>
          <w:u w:val="single"/>
        </w:rPr>
      </w:pPr>
      <w:r>
        <w:rPr>
          <w:rFonts w:hint="eastAsia" w:ascii="宋体" w:hAnsi="宋体" w:cs="宋体"/>
          <w:color w:val="auto"/>
          <w:szCs w:val="21"/>
          <w:highlight w:val="none"/>
        </w:rPr>
        <w:t>签订地点：</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签订时间：</w:t>
      </w:r>
      <w:r>
        <w:rPr>
          <w:rFonts w:hint="eastAsia" w:ascii="宋体" w:hAnsi="宋体" w:cs="宋体"/>
          <w:color w:val="auto"/>
          <w:szCs w:val="21"/>
          <w:highlight w:val="none"/>
          <w:u w:val="single"/>
        </w:rPr>
        <w:t xml:space="preserve">                        </w:t>
      </w:r>
    </w:p>
    <w:p w14:paraId="2AE2F581">
      <w:pPr>
        <w:spacing w:line="360" w:lineRule="auto"/>
        <w:rPr>
          <w:rFonts w:ascii="宋体" w:hAnsi="宋体" w:cs="宋体"/>
          <w:color w:val="auto"/>
          <w:szCs w:val="21"/>
          <w:highlight w:val="none"/>
        </w:rPr>
      </w:pPr>
      <w:r>
        <w:rPr>
          <w:rFonts w:hint="eastAsia" w:ascii="宋体" w:hAnsi="宋体" w:cs="宋体"/>
          <w:color w:val="auto"/>
          <w:szCs w:val="21"/>
          <w:highlight w:val="none"/>
        </w:rPr>
        <w:t>本合同为中小企业预留合同：</w:t>
      </w:r>
      <w:r>
        <w:rPr>
          <w:rFonts w:hint="eastAsia" w:ascii="宋体" w:hAnsi="宋体" w:cs="宋体"/>
          <w:color w:val="auto"/>
          <w:szCs w:val="21"/>
          <w:highlight w:val="none"/>
          <w:u w:val="single"/>
        </w:rPr>
        <w:t>（是/否）</w:t>
      </w:r>
      <w:r>
        <w:rPr>
          <w:rFonts w:hint="eastAsia" w:ascii="宋体" w:hAnsi="宋体" w:cs="宋体"/>
          <w:color w:val="auto"/>
          <w:szCs w:val="21"/>
          <w:highlight w:val="none"/>
        </w:rPr>
        <w:t>。</w:t>
      </w:r>
    </w:p>
    <w:p w14:paraId="372F4DD2">
      <w:pPr>
        <w:spacing w:line="360" w:lineRule="auto"/>
        <w:ind w:firstLine="420" w:firstLineChars="200"/>
        <w:rPr>
          <w:rFonts w:ascii="宋体" w:hAnsi="宋体" w:cs="宋体"/>
          <w:color w:val="auto"/>
          <w:szCs w:val="21"/>
          <w:highlight w:val="none"/>
        </w:rPr>
      </w:pPr>
    </w:p>
    <w:p w14:paraId="1FFE62B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根据《中华人民共和国政府采购法》《中华人民共和国民法典》等法律法规规定，按照招标文件规定条款和乙方投标文件及其承诺，甲乙双方签订本合同。</w:t>
      </w:r>
    </w:p>
    <w:p w14:paraId="436123E1">
      <w:pPr>
        <w:pStyle w:val="4"/>
        <w:jc w:val="left"/>
        <w:rPr>
          <w:rFonts w:ascii="宋体" w:hAnsi="宋体" w:cs="宋体"/>
          <w:color w:val="auto"/>
          <w:sz w:val="21"/>
          <w:szCs w:val="21"/>
          <w:highlight w:val="none"/>
        </w:rPr>
      </w:pPr>
      <w:bookmarkStart w:id="168" w:name="_Toc177716530"/>
      <w:r>
        <w:rPr>
          <w:rFonts w:hint="eastAsia" w:ascii="宋体" w:hAnsi="宋体" w:cs="宋体"/>
          <w:color w:val="auto"/>
          <w:sz w:val="21"/>
          <w:szCs w:val="21"/>
          <w:highlight w:val="none"/>
        </w:rPr>
        <w:t>第一条　合同标的</w:t>
      </w:r>
      <w:bookmarkEnd w:id="168"/>
    </w:p>
    <w:tbl>
      <w:tblPr>
        <w:tblStyle w:val="30"/>
        <w:tblW w:w="99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3267"/>
        <w:gridCol w:w="958"/>
        <w:gridCol w:w="1778"/>
        <w:gridCol w:w="1920"/>
        <w:gridCol w:w="1272"/>
      </w:tblGrid>
      <w:tr w14:paraId="302BE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jc w:val="center"/>
        </w:trPr>
        <w:tc>
          <w:tcPr>
            <w:tcW w:w="748" w:type="dxa"/>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14:paraId="54355AEB">
            <w:pPr>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序号</w:t>
            </w:r>
          </w:p>
        </w:tc>
        <w:tc>
          <w:tcPr>
            <w:tcW w:w="3267" w:type="dxa"/>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14:paraId="26A62F63">
            <w:pPr>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标的名称</w:t>
            </w:r>
          </w:p>
        </w:tc>
        <w:tc>
          <w:tcPr>
            <w:tcW w:w="958" w:type="dxa"/>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14:paraId="00683075">
            <w:pPr>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数量及单位</w:t>
            </w:r>
          </w:p>
        </w:tc>
        <w:tc>
          <w:tcPr>
            <w:tcW w:w="1778" w:type="dxa"/>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14:paraId="17031031">
            <w:pPr>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单价（元）</w:t>
            </w:r>
          </w:p>
        </w:tc>
        <w:tc>
          <w:tcPr>
            <w:tcW w:w="1920" w:type="dxa"/>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14:paraId="2F22A145">
            <w:pPr>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单项合价（元）</w:t>
            </w:r>
          </w:p>
        </w:tc>
        <w:tc>
          <w:tcPr>
            <w:tcW w:w="1272" w:type="dxa"/>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14:paraId="59792EA5">
            <w:pPr>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备注</w:t>
            </w:r>
          </w:p>
        </w:tc>
      </w:tr>
      <w:tr w14:paraId="4310B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748" w:type="dxa"/>
            <w:tcBorders>
              <w:top w:val="single" w:color="auto" w:sz="4" w:space="0"/>
              <w:left w:val="single" w:color="auto" w:sz="4" w:space="0"/>
              <w:bottom w:val="single" w:color="auto" w:sz="4" w:space="0"/>
              <w:right w:val="single" w:color="auto" w:sz="4" w:space="0"/>
            </w:tcBorders>
            <w:vAlign w:val="center"/>
          </w:tcPr>
          <w:p w14:paraId="77F7A2E8">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w:t>
            </w:r>
          </w:p>
        </w:tc>
        <w:tc>
          <w:tcPr>
            <w:tcW w:w="3267" w:type="dxa"/>
            <w:tcBorders>
              <w:top w:val="single" w:color="auto" w:sz="4" w:space="0"/>
              <w:left w:val="single" w:color="auto" w:sz="4" w:space="0"/>
              <w:bottom w:val="single" w:color="auto" w:sz="4" w:space="0"/>
              <w:right w:val="single" w:color="auto" w:sz="4" w:space="0"/>
            </w:tcBorders>
            <w:vAlign w:val="center"/>
          </w:tcPr>
          <w:p w14:paraId="795A3AF0">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广西公安数字化反电诈平台</w:t>
            </w:r>
          </w:p>
        </w:tc>
        <w:tc>
          <w:tcPr>
            <w:tcW w:w="958" w:type="dxa"/>
            <w:tcBorders>
              <w:top w:val="single" w:color="auto" w:sz="4" w:space="0"/>
              <w:left w:val="single" w:color="auto" w:sz="4" w:space="0"/>
              <w:bottom w:val="single" w:color="auto" w:sz="4" w:space="0"/>
              <w:right w:val="single" w:color="auto" w:sz="4" w:space="0"/>
            </w:tcBorders>
            <w:vAlign w:val="center"/>
          </w:tcPr>
          <w:p w14:paraId="6B57C299">
            <w:pPr>
              <w:spacing w:line="360" w:lineRule="auto"/>
              <w:jc w:val="center"/>
              <w:rPr>
                <w:rFonts w:ascii="宋体" w:hAnsi="宋体" w:cs="宋体"/>
                <w:color w:val="auto"/>
                <w:szCs w:val="21"/>
                <w:highlight w:val="none"/>
              </w:rPr>
            </w:pPr>
          </w:p>
        </w:tc>
        <w:tc>
          <w:tcPr>
            <w:tcW w:w="1778" w:type="dxa"/>
            <w:tcBorders>
              <w:top w:val="single" w:color="auto" w:sz="4" w:space="0"/>
              <w:left w:val="single" w:color="auto" w:sz="4" w:space="0"/>
              <w:bottom w:val="single" w:color="auto" w:sz="4" w:space="0"/>
              <w:right w:val="single" w:color="auto" w:sz="4" w:space="0"/>
            </w:tcBorders>
            <w:vAlign w:val="center"/>
          </w:tcPr>
          <w:p w14:paraId="5BEF39AA">
            <w:pPr>
              <w:spacing w:line="360" w:lineRule="auto"/>
              <w:jc w:val="center"/>
              <w:rPr>
                <w:rFonts w:ascii="宋体" w:hAnsi="宋体" w:cs="宋体"/>
                <w:color w:val="auto"/>
                <w:szCs w:val="21"/>
                <w:highlight w:val="none"/>
              </w:rPr>
            </w:pPr>
          </w:p>
        </w:tc>
        <w:tc>
          <w:tcPr>
            <w:tcW w:w="1920" w:type="dxa"/>
            <w:tcBorders>
              <w:top w:val="single" w:color="auto" w:sz="4" w:space="0"/>
              <w:left w:val="single" w:color="auto" w:sz="4" w:space="0"/>
              <w:bottom w:val="single" w:color="auto" w:sz="4" w:space="0"/>
              <w:right w:val="single" w:color="auto" w:sz="4" w:space="0"/>
            </w:tcBorders>
            <w:vAlign w:val="center"/>
          </w:tcPr>
          <w:p w14:paraId="545D7811">
            <w:pPr>
              <w:spacing w:line="360" w:lineRule="auto"/>
              <w:jc w:val="center"/>
              <w:rPr>
                <w:rFonts w:ascii="宋体" w:hAnsi="宋体" w:cs="宋体"/>
                <w:color w:val="auto"/>
                <w:szCs w:val="21"/>
                <w:highlight w:val="none"/>
              </w:rPr>
            </w:pPr>
          </w:p>
        </w:tc>
        <w:tc>
          <w:tcPr>
            <w:tcW w:w="1272" w:type="dxa"/>
            <w:tcBorders>
              <w:top w:val="single" w:color="auto" w:sz="4" w:space="0"/>
              <w:left w:val="single" w:color="auto" w:sz="4" w:space="0"/>
              <w:bottom w:val="single" w:color="auto" w:sz="4" w:space="0"/>
              <w:right w:val="single" w:color="auto" w:sz="4" w:space="0"/>
            </w:tcBorders>
            <w:vAlign w:val="center"/>
          </w:tcPr>
          <w:p w14:paraId="172AAF09">
            <w:pPr>
              <w:spacing w:line="360" w:lineRule="auto"/>
              <w:jc w:val="center"/>
              <w:rPr>
                <w:rFonts w:ascii="宋体" w:hAnsi="宋体" w:cs="宋体"/>
                <w:color w:val="auto"/>
                <w:szCs w:val="21"/>
                <w:highlight w:val="none"/>
              </w:rPr>
            </w:pPr>
          </w:p>
        </w:tc>
      </w:tr>
      <w:tr w14:paraId="2F8E4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748" w:type="dxa"/>
            <w:tcBorders>
              <w:top w:val="single" w:color="auto" w:sz="4" w:space="0"/>
              <w:left w:val="single" w:color="auto" w:sz="4" w:space="0"/>
              <w:bottom w:val="single" w:color="auto" w:sz="4" w:space="0"/>
              <w:right w:val="single" w:color="auto" w:sz="4" w:space="0"/>
            </w:tcBorders>
            <w:vAlign w:val="center"/>
          </w:tcPr>
          <w:p w14:paraId="486C15E2">
            <w:pPr>
              <w:spacing w:line="360" w:lineRule="auto"/>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2</w:t>
            </w:r>
          </w:p>
        </w:tc>
        <w:tc>
          <w:tcPr>
            <w:tcW w:w="3267" w:type="dxa"/>
            <w:tcBorders>
              <w:top w:val="single" w:color="auto" w:sz="4" w:space="0"/>
              <w:left w:val="single" w:color="auto" w:sz="4" w:space="0"/>
              <w:bottom w:val="single" w:color="auto" w:sz="4" w:space="0"/>
              <w:right w:val="single" w:color="auto" w:sz="4" w:space="0"/>
            </w:tcBorders>
            <w:vAlign w:val="center"/>
          </w:tcPr>
          <w:p w14:paraId="03339F70">
            <w:pPr>
              <w:spacing w:line="360" w:lineRule="auto"/>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第三方软件测评</w:t>
            </w:r>
          </w:p>
        </w:tc>
        <w:tc>
          <w:tcPr>
            <w:tcW w:w="958" w:type="dxa"/>
            <w:tcBorders>
              <w:top w:val="single" w:color="auto" w:sz="4" w:space="0"/>
              <w:left w:val="single" w:color="auto" w:sz="4" w:space="0"/>
              <w:bottom w:val="single" w:color="auto" w:sz="4" w:space="0"/>
              <w:right w:val="single" w:color="auto" w:sz="4" w:space="0"/>
            </w:tcBorders>
            <w:vAlign w:val="center"/>
          </w:tcPr>
          <w:p w14:paraId="7332E870">
            <w:pPr>
              <w:spacing w:line="360" w:lineRule="auto"/>
              <w:jc w:val="center"/>
              <w:rPr>
                <w:rFonts w:ascii="宋体" w:hAnsi="宋体" w:cs="宋体"/>
                <w:color w:val="auto"/>
                <w:szCs w:val="21"/>
                <w:highlight w:val="none"/>
              </w:rPr>
            </w:pPr>
          </w:p>
        </w:tc>
        <w:tc>
          <w:tcPr>
            <w:tcW w:w="1778" w:type="dxa"/>
            <w:tcBorders>
              <w:top w:val="single" w:color="auto" w:sz="4" w:space="0"/>
              <w:left w:val="single" w:color="auto" w:sz="4" w:space="0"/>
              <w:bottom w:val="single" w:color="auto" w:sz="4" w:space="0"/>
              <w:right w:val="single" w:color="auto" w:sz="4" w:space="0"/>
            </w:tcBorders>
            <w:vAlign w:val="center"/>
          </w:tcPr>
          <w:p w14:paraId="3C9EDBEF">
            <w:pPr>
              <w:spacing w:line="360" w:lineRule="auto"/>
              <w:jc w:val="center"/>
              <w:rPr>
                <w:rFonts w:ascii="宋体" w:hAnsi="宋体" w:cs="宋体"/>
                <w:color w:val="auto"/>
                <w:szCs w:val="21"/>
                <w:highlight w:val="none"/>
              </w:rPr>
            </w:pPr>
          </w:p>
        </w:tc>
        <w:tc>
          <w:tcPr>
            <w:tcW w:w="1920" w:type="dxa"/>
            <w:tcBorders>
              <w:top w:val="single" w:color="auto" w:sz="4" w:space="0"/>
              <w:left w:val="single" w:color="auto" w:sz="4" w:space="0"/>
              <w:bottom w:val="single" w:color="auto" w:sz="4" w:space="0"/>
              <w:right w:val="single" w:color="auto" w:sz="4" w:space="0"/>
            </w:tcBorders>
            <w:vAlign w:val="center"/>
          </w:tcPr>
          <w:p w14:paraId="603C2003">
            <w:pPr>
              <w:spacing w:line="360" w:lineRule="auto"/>
              <w:jc w:val="center"/>
              <w:rPr>
                <w:rFonts w:ascii="宋体" w:hAnsi="宋体" w:cs="宋体"/>
                <w:color w:val="auto"/>
                <w:szCs w:val="21"/>
                <w:highlight w:val="none"/>
              </w:rPr>
            </w:pPr>
          </w:p>
        </w:tc>
        <w:tc>
          <w:tcPr>
            <w:tcW w:w="1272" w:type="dxa"/>
            <w:tcBorders>
              <w:top w:val="single" w:color="auto" w:sz="4" w:space="0"/>
              <w:left w:val="single" w:color="auto" w:sz="4" w:space="0"/>
              <w:bottom w:val="single" w:color="auto" w:sz="4" w:space="0"/>
              <w:right w:val="single" w:color="auto" w:sz="4" w:space="0"/>
            </w:tcBorders>
            <w:vAlign w:val="center"/>
          </w:tcPr>
          <w:p w14:paraId="259F6AEE">
            <w:pPr>
              <w:spacing w:line="360" w:lineRule="auto"/>
              <w:jc w:val="center"/>
              <w:rPr>
                <w:rFonts w:ascii="宋体" w:hAnsi="宋体" w:cs="宋体"/>
                <w:color w:val="auto"/>
                <w:szCs w:val="21"/>
                <w:highlight w:val="none"/>
              </w:rPr>
            </w:pPr>
          </w:p>
        </w:tc>
      </w:tr>
      <w:tr w14:paraId="088C3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748" w:type="dxa"/>
            <w:tcBorders>
              <w:top w:val="single" w:color="auto" w:sz="4" w:space="0"/>
              <w:left w:val="single" w:color="auto" w:sz="4" w:space="0"/>
              <w:bottom w:val="single" w:color="auto" w:sz="4" w:space="0"/>
              <w:right w:val="single" w:color="auto" w:sz="4" w:space="0"/>
            </w:tcBorders>
            <w:vAlign w:val="center"/>
          </w:tcPr>
          <w:p w14:paraId="38359DE1">
            <w:pPr>
              <w:spacing w:line="360" w:lineRule="auto"/>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3</w:t>
            </w:r>
          </w:p>
        </w:tc>
        <w:tc>
          <w:tcPr>
            <w:tcW w:w="3267" w:type="dxa"/>
            <w:tcBorders>
              <w:top w:val="single" w:color="auto" w:sz="4" w:space="0"/>
              <w:left w:val="single" w:color="auto" w:sz="4" w:space="0"/>
              <w:bottom w:val="single" w:color="auto" w:sz="4" w:space="0"/>
              <w:right w:val="single" w:color="auto" w:sz="4" w:space="0"/>
            </w:tcBorders>
            <w:vAlign w:val="center"/>
          </w:tcPr>
          <w:p w14:paraId="29410534">
            <w:pPr>
              <w:spacing w:line="360" w:lineRule="auto"/>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网络安全等级保护测评</w:t>
            </w:r>
          </w:p>
        </w:tc>
        <w:tc>
          <w:tcPr>
            <w:tcW w:w="958" w:type="dxa"/>
            <w:tcBorders>
              <w:top w:val="single" w:color="auto" w:sz="4" w:space="0"/>
              <w:left w:val="single" w:color="auto" w:sz="4" w:space="0"/>
              <w:bottom w:val="single" w:color="auto" w:sz="4" w:space="0"/>
              <w:right w:val="single" w:color="auto" w:sz="4" w:space="0"/>
            </w:tcBorders>
            <w:vAlign w:val="center"/>
          </w:tcPr>
          <w:p w14:paraId="14365EB1">
            <w:pPr>
              <w:spacing w:line="360" w:lineRule="auto"/>
              <w:jc w:val="center"/>
              <w:rPr>
                <w:rFonts w:ascii="宋体" w:hAnsi="宋体" w:cs="宋体"/>
                <w:color w:val="auto"/>
                <w:szCs w:val="21"/>
                <w:highlight w:val="none"/>
              </w:rPr>
            </w:pPr>
          </w:p>
        </w:tc>
        <w:tc>
          <w:tcPr>
            <w:tcW w:w="1778" w:type="dxa"/>
            <w:tcBorders>
              <w:top w:val="single" w:color="auto" w:sz="4" w:space="0"/>
              <w:left w:val="single" w:color="auto" w:sz="4" w:space="0"/>
              <w:bottom w:val="single" w:color="auto" w:sz="4" w:space="0"/>
              <w:right w:val="single" w:color="auto" w:sz="4" w:space="0"/>
            </w:tcBorders>
            <w:vAlign w:val="center"/>
          </w:tcPr>
          <w:p w14:paraId="7E594CD9">
            <w:pPr>
              <w:spacing w:line="360" w:lineRule="auto"/>
              <w:jc w:val="center"/>
              <w:rPr>
                <w:rFonts w:ascii="宋体" w:hAnsi="宋体" w:cs="宋体"/>
                <w:color w:val="auto"/>
                <w:szCs w:val="21"/>
                <w:highlight w:val="none"/>
              </w:rPr>
            </w:pPr>
          </w:p>
        </w:tc>
        <w:tc>
          <w:tcPr>
            <w:tcW w:w="1920" w:type="dxa"/>
            <w:tcBorders>
              <w:top w:val="single" w:color="auto" w:sz="4" w:space="0"/>
              <w:left w:val="single" w:color="auto" w:sz="4" w:space="0"/>
              <w:bottom w:val="single" w:color="auto" w:sz="4" w:space="0"/>
              <w:right w:val="single" w:color="auto" w:sz="4" w:space="0"/>
            </w:tcBorders>
            <w:vAlign w:val="center"/>
          </w:tcPr>
          <w:p w14:paraId="681D9B88">
            <w:pPr>
              <w:spacing w:line="360" w:lineRule="auto"/>
              <w:jc w:val="center"/>
              <w:rPr>
                <w:rFonts w:ascii="宋体" w:hAnsi="宋体" w:cs="宋体"/>
                <w:color w:val="auto"/>
                <w:szCs w:val="21"/>
                <w:highlight w:val="none"/>
              </w:rPr>
            </w:pPr>
          </w:p>
        </w:tc>
        <w:tc>
          <w:tcPr>
            <w:tcW w:w="1272" w:type="dxa"/>
            <w:tcBorders>
              <w:top w:val="single" w:color="auto" w:sz="4" w:space="0"/>
              <w:left w:val="single" w:color="auto" w:sz="4" w:space="0"/>
              <w:bottom w:val="single" w:color="auto" w:sz="4" w:space="0"/>
              <w:right w:val="single" w:color="auto" w:sz="4" w:space="0"/>
            </w:tcBorders>
            <w:vAlign w:val="center"/>
          </w:tcPr>
          <w:p w14:paraId="5207B17A">
            <w:pPr>
              <w:spacing w:line="360" w:lineRule="auto"/>
              <w:jc w:val="center"/>
              <w:rPr>
                <w:rFonts w:ascii="宋体" w:hAnsi="宋体" w:cs="宋体"/>
                <w:color w:val="auto"/>
                <w:szCs w:val="21"/>
                <w:highlight w:val="none"/>
              </w:rPr>
            </w:pPr>
          </w:p>
        </w:tc>
      </w:tr>
      <w:tr w14:paraId="5E948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748" w:type="dxa"/>
            <w:tcBorders>
              <w:top w:val="single" w:color="auto" w:sz="4" w:space="0"/>
              <w:left w:val="single" w:color="auto" w:sz="4" w:space="0"/>
              <w:bottom w:val="single" w:color="auto" w:sz="4" w:space="0"/>
              <w:right w:val="single" w:color="auto" w:sz="4" w:space="0"/>
            </w:tcBorders>
            <w:vAlign w:val="center"/>
          </w:tcPr>
          <w:p w14:paraId="01C5531F">
            <w:pPr>
              <w:spacing w:line="360" w:lineRule="auto"/>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4</w:t>
            </w:r>
          </w:p>
        </w:tc>
        <w:tc>
          <w:tcPr>
            <w:tcW w:w="3267" w:type="dxa"/>
            <w:tcBorders>
              <w:top w:val="single" w:color="auto" w:sz="4" w:space="0"/>
              <w:left w:val="single" w:color="auto" w:sz="4" w:space="0"/>
              <w:bottom w:val="single" w:color="auto" w:sz="4" w:space="0"/>
              <w:right w:val="single" w:color="auto" w:sz="4" w:space="0"/>
            </w:tcBorders>
            <w:vAlign w:val="center"/>
          </w:tcPr>
          <w:p w14:paraId="1233972C">
            <w:pPr>
              <w:spacing w:line="360" w:lineRule="auto"/>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商用密码应用系统安全性评估</w:t>
            </w:r>
          </w:p>
        </w:tc>
        <w:tc>
          <w:tcPr>
            <w:tcW w:w="958" w:type="dxa"/>
            <w:tcBorders>
              <w:top w:val="single" w:color="auto" w:sz="4" w:space="0"/>
              <w:left w:val="single" w:color="auto" w:sz="4" w:space="0"/>
              <w:bottom w:val="single" w:color="auto" w:sz="4" w:space="0"/>
              <w:right w:val="single" w:color="auto" w:sz="4" w:space="0"/>
            </w:tcBorders>
            <w:vAlign w:val="center"/>
          </w:tcPr>
          <w:p w14:paraId="51183E71">
            <w:pPr>
              <w:spacing w:line="360" w:lineRule="auto"/>
              <w:jc w:val="center"/>
              <w:rPr>
                <w:rFonts w:ascii="宋体" w:hAnsi="宋体" w:cs="宋体"/>
                <w:color w:val="auto"/>
                <w:szCs w:val="21"/>
                <w:highlight w:val="none"/>
              </w:rPr>
            </w:pPr>
          </w:p>
        </w:tc>
        <w:tc>
          <w:tcPr>
            <w:tcW w:w="1778" w:type="dxa"/>
            <w:tcBorders>
              <w:top w:val="single" w:color="auto" w:sz="4" w:space="0"/>
              <w:left w:val="single" w:color="auto" w:sz="4" w:space="0"/>
              <w:bottom w:val="single" w:color="auto" w:sz="4" w:space="0"/>
              <w:right w:val="single" w:color="auto" w:sz="4" w:space="0"/>
            </w:tcBorders>
            <w:vAlign w:val="center"/>
          </w:tcPr>
          <w:p w14:paraId="50D282B4">
            <w:pPr>
              <w:spacing w:line="360" w:lineRule="auto"/>
              <w:jc w:val="center"/>
              <w:rPr>
                <w:rFonts w:ascii="宋体" w:hAnsi="宋体" w:cs="宋体"/>
                <w:color w:val="auto"/>
                <w:szCs w:val="21"/>
                <w:highlight w:val="none"/>
              </w:rPr>
            </w:pPr>
          </w:p>
        </w:tc>
        <w:tc>
          <w:tcPr>
            <w:tcW w:w="1920" w:type="dxa"/>
            <w:tcBorders>
              <w:top w:val="single" w:color="auto" w:sz="4" w:space="0"/>
              <w:left w:val="single" w:color="auto" w:sz="4" w:space="0"/>
              <w:bottom w:val="single" w:color="auto" w:sz="4" w:space="0"/>
              <w:right w:val="single" w:color="auto" w:sz="4" w:space="0"/>
            </w:tcBorders>
            <w:vAlign w:val="center"/>
          </w:tcPr>
          <w:p w14:paraId="0F1B58E8">
            <w:pPr>
              <w:spacing w:line="360" w:lineRule="auto"/>
              <w:jc w:val="center"/>
              <w:rPr>
                <w:rFonts w:ascii="宋体" w:hAnsi="宋体" w:cs="宋体"/>
                <w:color w:val="auto"/>
                <w:szCs w:val="21"/>
                <w:highlight w:val="none"/>
              </w:rPr>
            </w:pPr>
          </w:p>
        </w:tc>
        <w:tc>
          <w:tcPr>
            <w:tcW w:w="1272" w:type="dxa"/>
            <w:tcBorders>
              <w:top w:val="single" w:color="auto" w:sz="4" w:space="0"/>
              <w:left w:val="single" w:color="auto" w:sz="4" w:space="0"/>
              <w:bottom w:val="single" w:color="auto" w:sz="4" w:space="0"/>
              <w:right w:val="single" w:color="auto" w:sz="4" w:space="0"/>
            </w:tcBorders>
            <w:vAlign w:val="center"/>
          </w:tcPr>
          <w:p w14:paraId="19F9A85B">
            <w:pPr>
              <w:spacing w:line="360" w:lineRule="auto"/>
              <w:jc w:val="center"/>
              <w:rPr>
                <w:rFonts w:ascii="宋体" w:hAnsi="宋体" w:cs="宋体"/>
                <w:color w:val="auto"/>
                <w:szCs w:val="21"/>
                <w:highlight w:val="none"/>
              </w:rPr>
            </w:pPr>
          </w:p>
        </w:tc>
      </w:tr>
      <w:tr w14:paraId="6E8F6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943" w:type="dxa"/>
            <w:gridSpan w:val="6"/>
            <w:tcBorders>
              <w:top w:val="single" w:color="auto" w:sz="4" w:space="0"/>
              <w:left w:val="single" w:color="auto" w:sz="4" w:space="0"/>
              <w:bottom w:val="single" w:color="auto" w:sz="4" w:space="0"/>
              <w:right w:val="single" w:color="auto" w:sz="4" w:space="0"/>
            </w:tcBorders>
            <w:vAlign w:val="center"/>
          </w:tcPr>
          <w:p w14:paraId="2C0567A8">
            <w:pPr>
              <w:spacing w:line="360" w:lineRule="auto"/>
              <w:rPr>
                <w:rFonts w:ascii="宋体" w:hAnsi="宋体" w:cs="宋体"/>
                <w:color w:val="auto"/>
                <w:szCs w:val="21"/>
                <w:highlight w:val="none"/>
              </w:rPr>
            </w:pPr>
            <w:r>
              <w:rPr>
                <w:rFonts w:hint="eastAsia" w:ascii="宋体" w:hAnsi="宋体" w:cs="宋体"/>
                <w:color w:val="auto"/>
                <w:szCs w:val="21"/>
                <w:highlight w:val="none"/>
              </w:rPr>
              <w:t>合同总金额（包含所有费用）：</w:t>
            </w:r>
            <w:r>
              <w:rPr>
                <w:rFonts w:hint="eastAsia" w:ascii="宋体" w:hAnsi="宋体" w:cs="宋体"/>
                <w:color w:val="auto"/>
                <w:szCs w:val="21"/>
                <w:highlight w:val="none"/>
                <w:u w:val="single"/>
              </w:rPr>
              <w:t>（大写）                        （小写）（¥                     ）</w:t>
            </w:r>
          </w:p>
        </w:tc>
      </w:tr>
    </w:tbl>
    <w:p w14:paraId="76EA17F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说明：具体详见附件《开标一览表》《技术需求偏离表》，合同总金额包含但并不限于本项目各项</w:t>
      </w:r>
      <w:r>
        <w:rPr>
          <w:rFonts w:hint="eastAsia" w:ascii="宋体" w:hAnsi="宋体" w:cs="宋体"/>
          <w:color w:val="auto"/>
          <w:szCs w:val="21"/>
          <w:highlight w:val="none"/>
          <w:lang w:eastAsia="zh-CN"/>
        </w:rPr>
        <w:t>建设内容</w:t>
      </w:r>
      <w:r>
        <w:rPr>
          <w:rFonts w:hint="eastAsia" w:ascii="宋体" w:hAnsi="宋体" w:cs="宋体"/>
          <w:color w:val="auto"/>
          <w:szCs w:val="21"/>
          <w:highlight w:val="none"/>
        </w:rPr>
        <w:t>及其他相关服务等的费用和所需缴纳的所有价格、税、费。在合同实施时，甲方将不予支付乙方没有列入的项目费用，并认为此项目的费用已包括在合同总金额中。</w:t>
      </w:r>
    </w:p>
    <w:p w14:paraId="731649D6">
      <w:pPr>
        <w:pStyle w:val="4"/>
        <w:jc w:val="left"/>
        <w:rPr>
          <w:rFonts w:ascii="宋体" w:hAnsi="宋体" w:cs="宋体"/>
          <w:color w:val="auto"/>
          <w:sz w:val="21"/>
          <w:szCs w:val="21"/>
          <w:highlight w:val="none"/>
        </w:rPr>
      </w:pPr>
      <w:bookmarkStart w:id="169" w:name="_Toc177716531"/>
      <w:r>
        <w:rPr>
          <w:rFonts w:hint="eastAsia" w:ascii="宋体" w:hAnsi="宋体" w:cs="宋体"/>
          <w:color w:val="auto"/>
          <w:sz w:val="21"/>
          <w:szCs w:val="21"/>
          <w:highlight w:val="none"/>
        </w:rPr>
        <w:t>第二条　质量保证</w:t>
      </w:r>
      <w:bookmarkEnd w:id="169"/>
    </w:p>
    <w:p w14:paraId="3F6406A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乙方所提供的服务及其他相关服务的内容</w:t>
      </w:r>
      <w:r>
        <w:rPr>
          <w:rFonts w:hint="eastAsia" w:ascii="宋体" w:hAnsi="宋体" w:cs="宋体"/>
          <w:color w:val="auto"/>
          <w:szCs w:val="21"/>
          <w:highlight w:val="none"/>
          <w:lang w:eastAsia="zh-Hans"/>
        </w:rPr>
        <w:t>、数量、质量等</w:t>
      </w:r>
      <w:r>
        <w:rPr>
          <w:rFonts w:hint="eastAsia" w:ascii="宋体" w:hAnsi="宋体" w:cs="宋体"/>
          <w:color w:val="auto"/>
          <w:szCs w:val="21"/>
          <w:highlight w:val="none"/>
        </w:rPr>
        <w:t>必须与投标文件承诺相一致，具有国家强制性标准的，还必须符合国家强制性标准的规定，没有国家强制性标准但有其他强制性标准的，必须符合其他强制性标准的规定。</w:t>
      </w:r>
    </w:p>
    <w:p w14:paraId="13DF0A64">
      <w:pPr>
        <w:pStyle w:val="4"/>
        <w:jc w:val="left"/>
        <w:rPr>
          <w:rFonts w:ascii="宋体" w:hAnsi="宋体" w:cs="宋体"/>
          <w:color w:val="auto"/>
          <w:sz w:val="21"/>
          <w:szCs w:val="21"/>
          <w:highlight w:val="none"/>
        </w:rPr>
      </w:pPr>
      <w:bookmarkStart w:id="170" w:name="_Toc177716532"/>
      <w:r>
        <w:rPr>
          <w:rFonts w:hint="eastAsia" w:ascii="宋体" w:hAnsi="宋体" w:cs="宋体"/>
          <w:color w:val="auto"/>
          <w:sz w:val="21"/>
          <w:szCs w:val="21"/>
          <w:highlight w:val="none"/>
        </w:rPr>
        <w:t>第三条　权利保证</w:t>
      </w:r>
      <w:bookmarkEnd w:id="170"/>
    </w:p>
    <w:p w14:paraId="5F85D6C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1.乙方应保证所提供服务在使用时不会侵犯任何第三方的专利权、商标权、工业设计权等知识产权及其他合法权利，且所有权、处分权等没有受到任何限制。</w:t>
      </w:r>
    </w:p>
    <w:p w14:paraId="0DABE96B">
      <w:pP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rPr>
        <w:t>2.没有甲方事先书面同意，乙方不得将由甲方提供的有关合同或者任何合同条文、规格、计划、图纸、样品或者资料提供给与履行本合同无关的任何其他人。即使向履行本合同有关的人员提供，也应注意保密</w:t>
      </w:r>
      <w:r>
        <w:rPr>
          <w:rFonts w:hint="eastAsia" w:ascii="宋体" w:hAnsi="宋体" w:eastAsia="宋体" w:cs="宋体"/>
          <w:color w:val="auto"/>
          <w:szCs w:val="21"/>
          <w:highlight w:val="none"/>
        </w:rPr>
        <w:t>并限于履行合同的必需范围。乙方的保密义务持续有效，不因为本合同履行终止、解除或者无效而解除。</w:t>
      </w:r>
    </w:p>
    <w:p w14:paraId="7A822B21">
      <w:pPr>
        <w:spacing w:line="360" w:lineRule="auto"/>
        <w:ind w:firstLine="420" w:firstLineChars="200"/>
        <w:rPr>
          <w:rFonts w:hint="eastAsia" w:ascii="宋体" w:hAnsi="宋体" w:eastAsia="宋体" w:cs="宋体"/>
          <w:color w:val="auto"/>
          <w:szCs w:val="21"/>
          <w:highlight w:val="none"/>
        </w:rPr>
      </w:pPr>
      <w:bookmarkStart w:id="171" w:name="_Toc177716533"/>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eastAsia="zh-CN"/>
        </w:rPr>
        <w:t>知识产权归属：本次项目成果归</w:t>
      </w:r>
      <w:r>
        <w:rPr>
          <w:rFonts w:hint="eastAsia" w:ascii="宋体" w:hAnsi="宋体" w:eastAsia="宋体" w:cs="宋体"/>
          <w:color w:val="auto"/>
          <w:szCs w:val="21"/>
          <w:highlight w:val="none"/>
          <w:lang w:val="en-US" w:eastAsia="zh-CN"/>
        </w:rPr>
        <w:t>甲方</w:t>
      </w:r>
      <w:r>
        <w:rPr>
          <w:rFonts w:hint="eastAsia" w:ascii="宋体" w:hAnsi="宋体" w:eastAsia="宋体" w:cs="宋体"/>
          <w:color w:val="auto"/>
          <w:szCs w:val="21"/>
          <w:highlight w:val="none"/>
          <w:lang w:eastAsia="zh-CN"/>
        </w:rPr>
        <w:t>（或</w:t>
      </w:r>
      <w:r>
        <w:rPr>
          <w:rFonts w:hint="eastAsia" w:ascii="宋体" w:hAnsi="宋体" w:eastAsia="宋体" w:cs="宋体"/>
          <w:color w:val="auto"/>
          <w:szCs w:val="21"/>
          <w:highlight w:val="none"/>
          <w:lang w:val="en-US" w:eastAsia="zh-CN"/>
        </w:rPr>
        <w:t>甲方</w:t>
      </w:r>
      <w:r>
        <w:rPr>
          <w:rFonts w:hint="eastAsia" w:ascii="宋体" w:hAnsi="宋体" w:eastAsia="宋体" w:cs="宋体"/>
          <w:color w:val="auto"/>
          <w:szCs w:val="21"/>
          <w:highlight w:val="none"/>
          <w:lang w:eastAsia="zh-CN"/>
        </w:rPr>
        <w:t>单位）所有，</w:t>
      </w:r>
      <w:r>
        <w:rPr>
          <w:rFonts w:hint="eastAsia" w:ascii="宋体" w:hAnsi="宋体" w:eastAsia="宋体" w:cs="宋体"/>
          <w:color w:val="auto"/>
          <w:szCs w:val="21"/>
          <w:highlight w:val="none"/>
          <w:lang w:val="en-US" w:eastAsia="zh-CN"/>
        </w:rPr>
        <w:t>乙方</w:t>
      </w:r>
      <w:r>
        <w:rPr>
          <w:rFonts w:hint="eastAsia" w:ascii="宋体" w:hAnsi="宋体" w:eastAsia="宋体" w:cs="宋体"/>
          <w:color w:val="auto"/>
          <w:szCs w:val="21"/>
          <w:highlight w:val="none"/>
          <w:lang w:eastAsia="zh-CN"/>
        </w:rPr>
        <w:t>不得擅自对外发表、出版。</w:t>
      </w:r>
    </w:p>
    <w:p w14:paraId="01D10479">
      <w:pPr>
        <w:pStyle w:val="4"/>
        <w:jc w:val="left"/>
        <w:rPr>
          <w:rFonts w:ascii="宋体" w:hAnsi="宋体" w:cs="宋体"/>
          <w:color w:val="auto"/>
          <w:sz w:val="21"/>
          <w:szCs w:val="21"/>
          <w:highlight w:val="none"/>
        </w:rPr>
      </w:pPr>
      <w:r>
        <w:rPr>
          <w:rFonts w:hint="eastAsia" w:ascii="宋体" w:hAnsi="宋体" w:cs="宋体"/>
          <w:color w:val="auto"/>
          <w:sz w:val="21"/>
          <w:szCs w:val="21"/>
          <w:highlight w:val="none"/>
        </w:rPr>
        <w:t>第四条  交付和验收</w:t>
      </w:r>
      <w:bookmarkEnd w:id="171"/>
    </w:p>
    <w:p w14:paraId="0B3F3C0E">
      <w:pPr>
        <w:numPr>
          <w:ilvl w:val="0"/>
          <w:numId w:val="16"/>
        </w:numPr>
        <w:tabs>
          <w:tab w:val="left" w:pos="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交付时间：</w:t>
      </w:r>
      <w:r>
        <w:rPr>
          <w:rFonts w:hint="eastAsia" w:ascii="宋体" w:hAnsi="宋体" w:cs="宋体"/>
          <w:color w:val="auto"/>
          <w:szCs w:val="21"/>
          <w:highlight w:val="none"/>
          <w:u w:val="single"/>
        </w:rPr>
        <w:t xml:space="preserve">  （按中标人承诺）   </w:t>
      </w:r>
      <w:r>
        <w:rPr>
          <w:rFonts w:hint="eastAsia" w:ascii="宋体" w:hAnsi="宋体" w:cs="宋体"/>
          <w:color w:val="auto"/>
          <w:szCs w:val="21"/>
          <w:highlight w:val="none"/>
        </w:rPr>
        <w:t>，交付地点：</w:t>
      </w:r>
      <w:r>
        <w:rPr>
          <w:rFonts w:hint="eastAsia" w:ascii="宋体" w:hAnsi="宋体" w:cs="宋体"/>
          <w:color w:val="auto"/>
          <w:szCs w:val="21"/>
          <w:highlight w:val="none"/>
          <w:u w:val="single"/>
        </w:rPr>
        <w:t xml:space="preserve">  （按采购文件要求）   </w:t>
      </w:r>
      <w:r>
        <w:rPr>
          <w:rFonts w:hint="eastAsia" w:ascii="宋体" w:hAnsi="宋体" w:cs="宋体"/>
          <w:color w:val="auto"/>
          <w:szCs w:val="21"/>
          <w:highlight w:val="none"/>
        </w:rPr>
        <w:t>。</w:t>
      </w:r>
    </w:p>
    <w:p w14:paraId="37502E94">
      <w:pPr>
        <w:numPr>
          <w:ilvl w:val="0"/>
          <w:numId w:val="16"/>
        </w:numPr>
        <w:tabs>
          <w:tab w:val="left" w:pos="0"/>
        </w:tabs>
        <w:spacing w:line="360" w:lineRule="auto"/>
        <w:ind w:firstLine="420" w:firstLineChars="200"/>
        <w:rPr>
          <w:rFonts w:ascii="宋体" w:hAnsi="宋体" w:cs="宋体"/>
          <w:color w:val="auto"/>
          <w:szCs w:val="21"/>
          <w:highlight w:val="none"/>
          <w:lang w:eastAsia="zh-Hans"/>
        </w:rPr>
      </w:pPr>
      <w:r>
        <w:rPr>
          <w:rFonts w:hint="eastAsia" w:ascii="宋体" w:hAnsi="宋体" w:cs="宋体"/>
          <w:color w:val="auto"/>
          <w:szCs w:val="21"/>
          <w:highlight w:val="none"/>
          <w:lang w:eastAsia="zh-Hans"/>
        </w:rPr>
        <w:t>乙方应按投标文件的承诺向甲方提供相应的服务，并提供所服务内容的相关技术资料。</w:t>
      </w:r>
    </w:p>
    <w:p w14:paraId="7DE2D07B">
      <w:pPr>
        <w:numPr>
          <w:ilvl w:val="0"/>
          <w:numId w:val="16"/>
        </w:numPr>
        <w:tabs>
          <w:tab w:val="left" w:pos="0"/>
        </w:tabs>
        <w:spacing w:line="360" w:lineRule="auto"/>
        <w:ind w:firstLine="420" w:firstLineChars="200"/>
        <w:rPr>
          <w:rFonts w:ascii="宋体" w:hAnsi="宋体" w:cs="宋体"/>
          <w:color w:val="auto"/>
          <w:szCs w:val="21"/>
          <w:highlight w:val="none"/>
          <w:lang w:eastAsia="zh-Hans"/>
        </w:rPr>
      </w:pPr>
      <w:r>
        <w:rPr>
          <w:rFonts w:hint="eastAsia" w:ascii="宋体" w:hAnsi="宋体" w:cs="宋体"/>
          <w:color w:val="auto"/>
          <w:szCs w:val="21"/>
          <w:highlight w:val="none"/>
          <w:lang w:eastAsia="zh-Hans"/>
        </w:rPr>
        <w:t>乙方提供不符合投标文件和本合同规定的服务成果，甲方有权拒绝接受。</w:t>
      </w:r>
    </w:p>
    <w:p w14:paraId="16240759">
      <w:pPr>
        <w:numPr>
          <w:ilvl w:val="0"/>
          <w:numId w:val="16"/>
        </w:numPr>
        <w:tabs>
          <w:tab w:val="left" w:pos="0"/>
        </w:tabs>
        <w:spacing w:line="360" w:lineRule="auto"/>
        <w:ind w:firstLine="420" w:firstLineChars="200"/>
        <w:rPr>
          <w:rFonts w:ascii="宋体" w:hAnsi="宋体" w:cs="宋体"/>
          <w:color w:val="auto"/>
          <w:szCs w:val="21"/>
          <w:highlight w:val="none"/>
          <w:lang w:eastAsia="zh-Hans"/>
        </w:rPr>
      </w:pPr>
      <w:r>
        <w:rPr>
          <w:rFonts w:hint="eastAsia" w:ascii="宋体" w:hAnsi="宋体" w:cs="宋体"/>
          <w:color w:val="auto"/>
          <w:szCs w:val="21"/>
          <w:highlight w:val="none"/>
          <w:lang w:eastAsia="zh-Hans"/>
        </w:rPr>
        <w:t>乙方完成服务后应及时书面通知甲方进行验收，</w:t>
      </w:r>
      <w:r>
        <w:rPr>
          <w:rFonts w:hint="eastAsia" w:ascii="宋体" w:hAnsi="宋体" w:cs="宋体"/>
          <w:color w:val="auto"/>
          <w:szCs w:val="21"/>
          <w:highlight w:val="none"/>
          <w:lang w:val="en-US" w:eastAsia="zh-CN"/>
        </w:rPr>
        <w:t>最终</w:t>
      </w:r>
      <w:r>
        <w:rPr>
          <w:rFonts w:hint="eastAsia" w:ascii="宋体" w:hAnsi="宋体" w:cs="宋体"/>
          <w:color w:val="auto"/>
          <w:szCs w:val="21"/>
          <w:highlight w:val="none"/>
          <w:lang w:eastAsia="zh-Hans"/>
        </w:rPr>
        <w:t>验收合格后由甲乙双方签署</w:t>
      </w:r>
      <w:r>
        <w:rPr>
          <w:rFonts w:hint="eastAsia" w:ascii="宋体" w:hAnsi="宋体" w:cs="宋体"/>
          <w:color w:val="auto"/>
          <w:kern w:val="0"/>
          <w:sz w:val="21"/>
          <w:szCs w:val="21"/>
          <w:highlight w:val="none"/>
        </w:rPr>
        <w:t>合同验收书</w:t>
      </w:r>
      <w:r>
        <w:rPr>
          <w:rFonts w:hint="eastAsia" w:ascii="宋体" w:hAnsi="宋体" w:cs="宋体"/>
          <w:color w:val="auto"/>
          <w:szCs w:val="21"/>
          <w:highlight w:val="none"/>
          <w:lang w:eastAsia="zh-Hans"/>
        </w:rPr>
        <w:t>并加盖</w:t>
      </w:r>
      <w:r>
        <w:rPr>
          <w:rFonts w:hint="eastAsia" w:ascii="宋体" w:hAnsi="宋体" w:cs="宋体"/>
          <w:color w:val="auto"/>
          <w:szCs w:val="21"/>
          <w:highlight w:val="none"/>
          <w:lang w:val="en-US" w:eastAsia="zh-CN"/>
        </w:rPr>
        <w:t>双方</w:t>
      </w:r>
      <w:r>
        <w:rPr>
          <w:rFonts w:hint="eastAsia" w:ascii="宋体" w:hAnsi="宋体" w:cs="宋体"/>
          <w:color w:val="auto"/>
          <w:szCs w:val="21"/>
          <w:highlight w:val="none"/>
          <w:lang w:eastAsia="zh-Hans"/>
        </w:rPr>
        <w:t>公章，甲乙双方各执一份。</w:t>
      </w:r>
    </w:p>
    <w:p w14:paraId="4A7DE2FD">
      <w:pPr>
        <w:numPr>
          <w:ilvl w:val="0"/>
          <w:numId w:val="16"/>
        </w:numPr>
        <w:tabs>
          <w:tab w:val="left" w:pos="0"/>
        </w:tabs>
        <w:spacing w:line="360" w:lineRule="auto"/>
        <w:ind w:firstLine="420" w:firstLineChars="200"/>
        <w:rPr>
          <w:rFonts w:ascii="宋体" w:hAnsi="宋体" w:cs="宋体"/>
          <w:color w:val="auto"/>
          <w:szCs w:val="21"/>
          <w:highlight w:val="none"/>
          <w:lang w:eastAsia="zh-Hans"/>
        </w:rPr>
      </w:pPr>
      <w:r>
        <w:rPr>
          <w:rFonts w:hint="eastAsia" w:ascii="宋体" w:hAnsi="宋体" w:cs="宋体"/>
          <w:color w:val="auto"/>
          <w:szCs w:val="21"/>
          <w:highlight w:val="none"/>
          <w:lang w:eastAsia="zh-Hans"/>
        </w:rPr>
        <w:t>甲乙双方应按照《广西壮族自治区政府采购项目履约验收管理办法》、双方合同、投标文件</w:t>
      </w:r>
      <w:r>
        <w:rPr>
          <w:rFonts w:hint="eastAsia" w:ascii="宋体" w:hAnsi="宋体" w:cs="宋体"/>
          <w:color w:val="auto"/>
          <w:szCs w:val="21"/>
          <w:highlight w:val="none"/>
        </w:rPr>
        <w:t>、</w:t>
      </w:r>
      <w:r>
        <w:rPr>
          <w:rFonts w:hint="eastAsia" w:ascii="宋体" w:hAnsi="宋体" w:cs="宋体"/>
          <w:color w:val="auto"/>
          <w:kern w:val="0"/>
          <w:szCs w:val="21"/>
          <w:highlight w:val="none"/>
        </w:rPr>
        <w:t>自治区公安厅验收标准</w:t>
      </w:r>
      <w:r>
        <w:rPr>
          <w:rFonts w:hint="eastAsia" w:ascii="宋体" w:hAnsi="宋体" w:cs="宋体"/>
          <w:color w:val="auto"/>
          <w:szCs w:val="21"/>
          <w:highlight w:val="none"/>
        </w:rPr>
        <w:t>进行</w:t>
      </w:r>
      <w:r>
        <w:rPr>
          <w:rFonts w:hint="eastAsia" w:ascii="宋体" w:hAnsi="宋体" w:cs="宋体"/>
          <w:color w:val="auto"/>
          <w:szCs w:val="21"/>
          <w:highlight w:val="none"/>
          <w:lang w:eastAsia="zh-Hans"/>
        </w:rPr>
        <w:t>验收。</w:t>
      </w:r>
    </w:p>
    <w:p w14:paraId="0090F081">
      <w:pPr>
        <w:numPr>
          <w:ilvl w:val="0"/>
          <w:numId w:val="16"/>
        </w:numPr>
        <w:tabs>
          <w:tab w:val="left" w:pos="0"/>
        </w:tabs>
        <w:spacing w:line="360" w:lineRule="auto"/>
        <w:ind w:firstLine="420" w:firstLineChars="200"/>
        <w:rPr>
          <w:rFonts w:ascii="宋体" w:hAnsi="宋体" w:cs="宋体"/>
          <w:color w:val="auto"/>
          <w:szCs w:val="21"/>
          <w:highlight w:val="none"/>
          <w:lang w:eastAsia="zh-Hans"/>
        </w:rPr>
      </w:pPr>
      <w:r>
        <w:rPr>
          <w:rFonts w:hint="eastAsia" w:ascii="宋体" w:hAnsi="宋体" w:cs="宋体"/>
          <w:color w:val="auto"/>
          <w:szCs w:val="21"/>
          <w:highlight w:val="none"/>
          <w:lang w:eastAsia="zh-Hans"/>
        </w:rPr>
        <w:t>甲方在初步验收或者最终验收过程中如发现乙方提供的服务成果不满足投标文件及本合同规定的，可暂缓向乙方付款，直到乙方及时完善并提交相应的服务成果且经甲方验收合格后，方可办理付款。</w:t>
      </w:r>
    </w:p>
    <w:p w14:paraId="547AB403">
      <w:pPr>
        <w:numPr>
          <w:ilvl w:val="0"/>
          <w:numId w:val="16"/>
        </w:numPr>
        <w:tabs>
          <w:tab w:val="left" w:pos="0"/>
        </w:tabs>
        <w:spacing w:line="360" w:lineRule="auto"/>
        <w:ind w:firstLine="420" w:firstLineChars="200"/>
        <w:rPr>
          <w:rFonts w:ascii="宋体" w:hAnsi="宋体" w:cs="宋体"/>
          <w:color w:val="auto"/>
          <w:szCs w:val="21"/>
          <w:highlight w:val="none"/>
          <w:lang w:eastAsia="zh-Hans"/>
        </w:rPr>
      </w:pPr>
      <w:r>
        <w:rPr>
          <w:rFonts w:hint="eastAsia" w:ascii="宋体" w:hAnsi="宋体" w:cs="宋体"/>
          <w:color w:val="auto"/>
          <w:szCs w:val="21"/>
          <w:highlight w:val="none"/>
          <w:lang w:eastAsia="zh-Hans"/>
        </w:rPr>
        <w:t>甲方验收时以书面形式提出异议的，乙方应自收到甲方书面异议后五个工作日内及时予以解决，否则甲方有权不出具服务验收合格单。</w:t>
      </w:r>
    </w:p>
    <w:p w14:paraId="47345C21">
      <w:pPr>
        <w:pStyle w:val="29"/>
        <w:numPr>
          <w:ilvl w:val="0"/>
          <w:numId w:val="16"/>
        </w:numPr>
        <w:tabs>
          <w:tab w:val="left" w:pos="0"/>
        </w:tabs>
        <w:spacing w:after="0" w:line="360" w:lineRule="auto"/>
        <w:ind w:firstLine="420" w:firstLineChars="200"/>
        <w:rPr>
          <w:rFonts w:ascii="宋体" w:hAnsi="宋体" w:cs="宋体"/>
          <w:color w:val="auto"/>
          <w:szCs w:val="21"/>
          <w:highlight w:val="none"/>
          <w:u w:val="single"/>
          <w:lang w:eastAsia="zh-Hans"/>
        </w:rPr>
      </w:pPr>
      <w:r>
        <w:rPr>
          <w:rFonts w:hint="eastAsia" w:ascii="宋体" w:hAnsi="宋体" w:cs="宋体"/>
          <w:color w:val="auto"/>
          <w:szCs w:val="21"/>
          <w:highlight w:val="none"/>
          <w:u w:val="single"/>
          <w:lang w:eastAsia="zh-Hans"/>
        </w:rPr>
        <w:t>若在签署最终验收文件后12周内，</w:t>
      </w:r>
      <w:r>
        <w:rPr>
          <w:rFonts w:hint="eastAsia" w:ascii="宋体" w:hAnsi="宋体" w:cs="宋体"/>
          <w:color w:val="auto"/>
          <w:szCs w:val="21"/>
          <w:highlight w:val="none"/>
          <w:u w:val="single"/>
        </w:rPr>
        <w:t>甲方发现了乙方所实施的</w:t>
      </w:r>
      <w:r>
        <w:rPr>
          <w:rFonts w:hint="eastAsia" w:ascii="宋体" w:hAnsi="宋体" w:cs="宋体"/>
          <w:color w:val="auto"/>
          <w:szCs w:val="21"/>
          <w:highlight w:val="none"/>
          <w:u w:val="single"/>
          <w:lang w:eastAsia="zh-Hans"/>
        </w:rPr>
        <w:t>该项目有一条及以上达不到本项目招标文件规定的技术及服务要求时，乙方应在</w:t>
      </w:r>
      <w:r>
        <w:rPr>
          <w:rFonts w:hint="eastAsia" w:ascii="宋体" w:hAnsi="宋体" w:cs="宋体"/>
          <w:color w:val="auto"/>
          <w:szCs w:val="21"/>
          <w:highlight w:val="none"/>
          <w:u w:val="single"/>
        </w:rPr>
        <w:t>甲方通知的时间内</w:t>
      </w:r>
      <w:r>
        <w:rPr>
          <w:rFonts w:hint="eastAsia" w:ascii="宋体" w:hAnsi="宋体" w:cs="宋体"/>
          <w:color w:val="auto"/>
          <w:szCs w:val="21"/>
          <w:highlight w:val="none"/>
          <w:u w:val="single"/>
          <w:lang w:eastAsia="zh-Hans"/>
        </w:rPr>
        <w:t>采取有效措施，使该项目完全达到规定的技术及服务要求，在此期间的一切费用由乙方承担，如在此期间内仍达不到规定的技术性及服务要求时，将按合同中</w:t>
      </w:r>
      <w:r>
        <w:rPr>
          <w:rFonts w:hint="eastAsia" w:ascii="宋体" w:hAnsi="宋体" w:cs="宋体"/>
          <w:color w:val="auto"/>
          <w:szCs w:val="21"/>
          <w:highlight w:val="none"/>
          <w:u w:val="single"/>
        </w:rPr>
        <w:t>第九条第3点</w:t>
      </w:r>
      <w:r>
        <w:rPr>
          <w:rFonts w:hint="eastAsia" w:ascii="宋体" w:hAnsi="宋体" w:cs="宋体"/>
          <w:color w:val="auto"/>
          <w:szCs w:val="21"/>
          <w:highlight w:val="none"/>
          <w:u w:val="single"/>
          <w:lang w:eastAsia="zh-Hans"/>
        </w:rPr>
        <w:t>执行。</w:t>
      </w:r>
    </w:p>
    <w:p w14:paraId="14901939">
      <w:pPr>
        <w:numPr>
          <w:ilvl w:val="0"/>
          <w:numId w:val="16"/>
        </w:numPr>
        <w:tabs>
          <w:tab w:val="left" w:pos="0"/>
        </w:tabs>
        <w:spacing w:line="360" w:lineRule="auto"/>
        <w:ind w:firstLine="420" w:firstLineChars="200"/>
        <w:rPr>
          <w:color w:val="auto"/>
          <w:highlight w:val="none"/>
          <w:lang w:eastAsia="zh-Hans"/>
        </w:rPr>
      </w:pPr>
      <w:r>
        <w:rPr>
          <w:rFonts w:hint="eastAsia"/>
          <w:color w:val="auto"/>
          <w:highlight w:val="none"/>
          <w:lang w:eastAsia="zh-Hans"/>
        </w:rPr>
        <w:t>在签署最终验收文件后</w:t>
      </w:r>
      <w:r>
        <w:rPr>
          <w:rFonts w:hint="eastAsia" w:ascii="宋体" w:hAnsi="宋体" w:cs="宋体"/>
          <w:color w:val="auto"/>
          <w:kern w:val="0"/>
          <w:szCs w:val="21"/>
          <w:highlight w:val="none"/>
          <w:lang w:val="en-US" w:eastAsia="zh-CN"/>
        </w:rPr>
        <w:t>15日</w:t>
      </w:r>
      <w:r>
        <w:rPr>
          <w:rFonts w:hint="eastAsia"/>
          <w:color w:val="auto"/>
          <w:highlight w:val="none"/>
          <w:lang w:eastAsia="zh-Hans"/>
        </w:rPr>
        <w:t>内</w:t>
      </w:r>
      <w:r>
        <w:rPr>
          <w:rFonts w:hint="eastAsia"/>
          <w:color w:val="auto"/>
          <w:highlight w:val="none"/>
          <w:lang w:eastAsia="zh-CN"/>
        </w:rPr>
        <w:t>，</w:t>
      </w:r>
      <w:r>
        <w:rPr>
          <w:rFonts w:hint="eastAsia"/>
          <w:color w:val="auto"/>
          <w:highlight w:val="none"/>
          <w:lang w:eastAsia="zh-Hans"/>
        </w:rPr>
        <w:t>乙方</w:t>
      </w:r>
      <w:r>
        <w:rPr>
          <w:rFonts w:hint="eastAsia"/>
          <w:color w:val="auto"/>
          <w:highlight w:val="none"/>
          <w:lang w:val="en-US" w:eastAsia="zh-CN"/>
        </w:rPr>
        <w:t>必须</w:t>
      </w:r>
      <w:r>
        <w:rPr>
          <w:rFonts w:hint="eastAsia"/>
          <w:color w:val="auto"/>
          <w:highlight w:val="none"/>
          <w:lang w:eastAsia="zh-Hans"/>
        </w:rPr>
        <w:t>以</w:t>
      </w:r>
      <w:r>
        <w:rPr>
          <w:rFonts w:hint="eastAsia"/>
          <w:color w:val="auto"/>
          <w:highlight w:val="none"/>
          <w:lang w:val="en-US" w:eastAsia="zh-CN"/>
        </w:rPr>
        <w:t>甲方</w:t>
      </w:r>
      <w:r>
        <w:rPr>
          <w:rFonts w:hint="eastAsia"/>
          <w:color w:val="auto"/>
          <w:highlight w:val="none"/>
          <w:lang w:eastAsia="zh-Hans"/>
        </w:rPr>
        <w:t>指定</w:t>
      </w:r>
      <w:r>
        <w:rPr>
          <w:rFonts w:hint="eastAsia"/>
          <w:color w:val="auto"/>
          <w:highlight w:val="none"/>
          <w:lang w:eastAsia="zh-CN"/>
        </w:rPr>
        <w:t>的</w:t>
      </w:r>
      <w:r>
        <w:rPr>
          <w:rFonts w:hint="eastAsia"/>
          <w:color w:val="auto"/>
          <w:highlight w:val="none"/>
          <w:lang w:eastAsia="zh-Hans"/>
        </w:rPr>
        <w:t>格式(如源码包、版本控制系统链接等)交付完整的源代码及相关文档，并明确源代码的所有权归属甲方。对于乙方使用自有知识产权的模块，甲方获得非独占、免版税的使用权。</w:t>
      </w:r>
    </w:p>
    <w:p w14:paraId="26965C97">
      <w:pPr>
        <w:numPr>
          <w:ilvl w:val="0"/>
          <w:numId w:val="16"/>
        </w:numPr>
        <w:tabs>
          <w:tab w:val="left" w:pos="0"/>
        </w:tabs>
        <w:spacing w:line="360" w:lineRule="auto"/>
        <w:ind w:firstLine="420" w:firstLineChars="200"/>
        <w:rPr>
          <w:color w:val="auto"/>
          <w:highlight w:val="none"/>
          <w:lang w:eastAsia="zh-Hans"/>
        </w:rPr>
      </w:pPr>
      <w:r>
        <w:rPr>
          <w:rFonts w:hint="eastAsia" w:ascii="宋体" w:hAnsi="宋体" w:cs="宋体"/>
          <w:color w:val="auto"/>
          <w:highlight w:val="none"/>
        </w:rPr>
        <w:t>其他验收约定：</w:t>
      </w:r>
      <w:r>
        <w:rPr>
          <w:rFonts w:hint="eastAsia" w:ascii="宋体" w:hAnsi="宋体" w:cs="宋体"/>
          <w:color w:val="auto"/>
          <w:szCs w:val="21"/>
          <w:highlight w:val="none"/>
          <w:u w:val="single"/>
        </w:rPr>
        <w:t xml:space="preserve">  （按采购文件要求）   </w:t>
      </w:r>
      <w:r>
        <w:rPr>
          <w:rFonts w:hint="eastAsia" w:ascii="宋体" w:hAnsi="宋体" w:cs="宋体"/>
          <w:color w:val="auto"/>
          <w:szCs w:val="21"/>
          <w:highlight w:val="none"/>
        </w:rPr>
        <w:t>。</w:t>
      </w:r>
    </w:p>
    <w:p w14:paraId="58966C3A">
      <w:pPr>
        <w:pStyle w:val="4"/>
        <w:jc w:val="left"/>
        <w:rPr>
          <w:rFonts w:ascii="宋体" w:hAnsi="宋体" w:cs="宋体"/>
          <w:color w:val="auto"/>
          <w:sz w:val="21"/>
          <w:szCs w:val="21"/>
          <w:highlight w:val="none"/>
        </w:rPr>
      </w:pPr>
      <w:bookmarkStart w:id="172" w:name="_Toc177716534"/>
      <w:r>
        <w:rPr>
          <w:rFonts w:hint="eastAsia" w:ascii="宋体" w:hAnsi="宋体" w:cs="宋体"/>
          <w:color w:val="auto"/>
          <w:sz w:val="21"/>
          <w:szCs w:val="21"/>
          <w:highlight w:val="none"/>
        </w:rPr>
        <w:t>第五条  售后服务及培训</w:t>
      </w:r>
    </w:p>
    <w:p w14:paraId="58BD0E7B">
      <w:pPr>
        <w:numPr>
          <w:ilvl w:val="0"/>
          <w:numId w:val="17"/>
        </w:numPr>
        <w:tabs>
          <w:tab w:val="left" w:pos="0"/>
        </w:tabs>
        <w:spacing w:line="360" w:lineRule="auto"/>
        <w:ind w:firstLine="420" w:firstLineChars="200"/>
        <w:rPr>
          <w:rFonts w:ascii="宋体" w:hAnsi="宋体" w:cs="宋体"/>
          <w:color w:val="auto"/>
          <w:highlight w:val="none"/>
        </w:rPr>
      </w:pPr>
      <w:r>
        <w:rPr>
          <w:rFonts w:hint="eastAsia" w:ascii="宋体" w:hAnsi="宋体" w:cs="宋体"/>
          <w:color w:val="auto"/>
          <w:kern w:val="0"/>
          <w:sz w:val="21"/>
          <w:szCs w:val="21"/>
          <w:highlight w:val="none"/>
          <w:lang w:val="en-US" w:eastAsia="zh-CN"/>
        </w:rPr>
        <w:t>系统运维服务期</w:t>
      </w:r>
      <w:r>
        <w:rPr>
          <w:rFonts w:hint="eastAsia" w:ascii="宋体" w:hAnsi="宋体" w:cs="宋体"/>
          <w:color w:val="auto"/>
          <w:highlight w:val="none"/>
        </w:rPr>
        <w:t>：</w:t>
      </w:r>
      <w:r>
        <w:rPr>
          <w:rFonts w:hint="eastAsia" w:ascii="宋体" w:hAnsi="宋体" w:cs="宋体"/>
          <w:color w:val="auto"/>
          <w:highlight w:val="none"/>
          <w:u w:val="single"/>
        </w:rPr>
        <w:t xml:space="preserve">   </w:t>
      </w:r>
      <w:r>
        <w:rPr>
          <w:rFonts w:hint="eastAsia" w:ascii="宋体" w:hAnsi="宋体" w:cs="宋体"/>
          <w:color w:val="auto"/>
          <w:highlight w:val="none"/>
          <w:u w:val="single"/>
          <w:lang w:eastAsia="zh-CN"/>
        </w:rPr>
        <w:t>（</w:t>
      </w:r>
      <w:r>
        <w:rPr>
          <w:rFonts w:hint="eastAsia" w:ascii="宋体" w:hAnsi="宋体" w:cs="宋体"/>
          <w:color w:val="auto"/>
          <w:highlight w:val="none"/>
          <w:u w:val="single"/>
          <w:lang w:val="en-US" w:eastAsia="zh-CN"/>
        </w:rPr>
        <w:t>按采购文件要求</w:t>
      </w:r>
      <w:r>
        <w:rPr>
          <w:rFonts w:hint="eastAsia" w:ascii="宋体" w:hAnsi="宋体" w:cs="宋体"/>
          <w:color w:val="auto"/>
          <w:highlight w:val="none"/>
          <w:u w:val="single"/>
          <w:lang w:eastAsia="zh-CN"/>
        </w:rPr>
        <w:t>）</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5F334B7A">
      <w:pPr>
        <w:numPr>
          <w:ilvl w:val="0"/>
          <w:numId w:val="17"/>
        </w:numPr>
        <w:tabs>
          <w:tab w:val="left" w:pos="0"/>
        </w:tabs>
        <w:spacing w:line="360" w:lineRule="auto"/>
        <w:ind w:firstLine="420" w:firstLineChars="200"/>
        <w:rPr>
          <w:rFonts w:ascii="宋体" w:hAnsi="宋体" w:cs="宋体"/>
          <w:color w:val="auto"/>
          <w:highlight w:val="none"/>
        </w:rPr>
      </w:pPr>
      <w:r>
        <w:rPr>
          <w:rFonts w:hint="eastAsia" w:ascii="宋体" w:hAnsi="宋体" w:cs="宋体"/>
          <w:color w:val="auto"/>
          <w:highlight w:val="none"/>
        </w:rPr>
        <w:t>乙方应按照国家有关法律法规和本合同附件中关于售后服务的要求为甲方提供相应的售后服务。</w:t>
      </w:r>
    </w:p>
    <w:p w14:paraId="26EF17CA">
      <w:pPr>
        <w:numPr>
          <w:ilvl w:val="0"/>
          <w:numId w:val="17"/>
        </w:numPr>
        <w:tabs>
          <w:tab w:val="left" w:pos="0"/>
        </w:tabs>
        <w:spacing w:line="360" w:lineRule="auto"/>
        <w:ind w:firstLine="420" w:firstLineChars="200"/>
        <w:rPr>
          <w:rFonts w:ascii="宋体" w:hAnsi="宋体" w:cs="宋体"/>
          <w:color w:val="auto"/>
          <w:highlight w:val="none"/>
        </w:rPr>
      </w:pPr>
      <w:r>
        <w:rPr>
          <w:rFonts w:hint="eastAsia" w:ascii="宋体" w:hAnsi="宋体" w:cs="宋体"/>
          <w:color w:val="auto"/>
          <w:highlight w:val="none"/>
        </w:rPr>
        <w:t>甲方应提供必要测试条件（如场地、电源、水源等）。</w:t>
      </w:r>
    </w:p>
    <w:p w14:paraId="65A01AC2">
      <w:pPr>
        <w:numPr>
          <w:ilvl w:val="0"/>
          <w:numId w:val="17"/>
        </w:numPr>
        <w:tabs>
          <w:tab w:val="left" w:pos="0"/>
        </w:tabs>
        <w:spacing w:line="360" w:lineRule="auto"/>
        <w:ind w:firstLine="420" w:firstLineChars="200"/>
        <w:rPr>
          <w:rFonts w:ascii="宋体" w:hAnsi="宋体" w:cs="宋体"/>
          <w:color w:val="auto"/>
          <w:szCs w:val="21"/>
          <w:highlight w:val="none"/>
        </w:rPr>
      </w:pPr>
      <w:r>
        <w:rPr>
          <w:rFonts w:hint="eastAsia" w:ascii="宋体" w:hAnsi="宋体" w:cs="宋体"/>
          <w:color w:val="auto"/>
          <w:highlight w:val="none"/>
        </w:rPr>
        <w:t>乙方负责甲方有关人员的培训。培训时间、地</w:t>
      </w:r>
      <w:r>
        <w:rPr>
          <w:rFonts w:hint="eastAsia" w:ascii="宋体" w:hAnsi="宋体" w:cs="宋体"/>
          <w:color w:val="auto"/>
          <w:szCs w:val="21"/>
          <w:highlight w:val="none"/>
        </w:rPr>
        <w:t>点：</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4E113131">
      <w:pPr>
        <w:numPr>
          <w:ilvl w:val="0"/>
          <w:numId w:val="17"/>
        </w:numPr>
        <w:tabs>
          <w:tab w:val="left" w:pos="0"/>
        </w:tabs>
        <w:spacing w:line="360" w:lineRule="auto"/>
        <w:ind w:firstLine="420" w:firstLineChars="200"/>
        <w:rPr>
          <w:rFonts w:ascii="宋体" w:hAnsi="宋体" w:cs="宋体"/>
          <w:color w:val="auto"/>
          <w:highlight w:val="none"/>
        </w:rPr>
      </w:pPr>
      <w:r>
        <w:rPr>
          <w:rFonts w:hint="eastAsia" w:ascii="宋体" w:hAnsi="宋体" w:cs="宋体"/>
          <w:color w:val="auto"/>
          <w:highlight w:val="none"/>
        </w:rPr>
        <w:t>其他售后服务约定：</w:t>
      </w:r>
      <w:r>
        <w:rPr>
          <w:rFonts w:hint="eastAsia" w:ascii="宋体" w:hAnsi="宋体" w:cs="宋体"/>
          <w:color w:val="auto"/>
          <w:szCs w:val="21"/>
          <w:highlight w:val="none"/>
          <w:u w:val="single"/>
        </w:rPr>
        <w:t xml:space="preserve">   （按投标文件承诺）   </w:t>
      </w:r>
      <w:r>
        <w:rPr>
          <w:rFonts w:hint="eastAsia" w:ascii="宋体" w:hAnsi="宋体" w:cs="宋体"/>
          <w:color w:val="auto"/>
          <w:szCs w:val="21"/>
          <w:highlight w:val="none"/>
        </w:rPr>
        <w:t>。</w:t>
      </w:r>
    </w:p>
    <w:p w14:paraId="5596394C">
      <w:pPr>
        <w:pStyle w:val="4"/>
        <w:jc w:val="left"/>
        <w:rPr>
          <w:rFonts w:ascii="宋体" w:hAnsi="宋体" w:cs="宋体"/>
          <w:color w:val="auto"/>
          <w:sz w:val="21"/>
          <w:szCs w:val="21"/>
          <w:highlight w:val="none"/>
        </w:rPr>
      </w:pPr>
      <w:r>
        <w:rPr>
          <w:rFonts w:hint="eastAsia" w:ascii="宋体" w:hAnsi="宋体" w:cs="宋体"/>
          <w:color w:val="auto"/>
          <w:sz w:val="21"/>
          <w:szCs w:val="21"/>
          <w:highlight w:val="none"/>
        </w:rPr>
        <w:t>第六条  付款方式</w:t>
      </w:r>
      <w:bookmarkEnd w:id="172"/>
    </w:p>
    <w:p w14:paraId="3CE86608">
      <w:pPr>
        <w:pStyle w:val="61"/>
        <w:numPr>
          <w:ilvl w:val="255"/>
          <w:numId w:val="0"/>
        </w:num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1.资金性质：</w:t>
      </w:r>
      <w:r>
        <w:rPr>
          <w:rFonts w:hint="eastAsia" w:ascii="宋体" w:hAnsi="宋体" w:cs="宋体"/>
          <w:color w:val="auto"/>
          <w:szCs w:val="21"/>
          <w:highlight w:val="none"/>
          <w:u w:val="single"/>
        </w:rPr>
        <w:t>财政性资金</w:t>
      </w:r>
      <w:r>
        <w:rPr>
          <w:rFonts w:hint="eastAsia" w:ascii="宋体" w:hAnsi="宋体" w:cs="宋体"/>
          <w:color w:val="auto"/>
          <w:szCs w:val="21"/>
          <w:highlight w:val="none"/>
        </w:rPr>
        <w:t>。</w:t>
      </w:r>
    </w:p>
    <w:p w14:paraId="2077B309">
      <w:pPr>
        <w:pStyle w:val="61"/>
        <w:numPr>
          <w:ilvl w:val="255"/>
          <w:numId w:val="0"/>
        </w:numPr>
        <w:spacing w:line="360" w:lineRule="auto"/>
        <w:ind w:firstLine="420" w:firstLineChars="200"/>
        <w:rPr>
          <w:rFonts w:ascii="宋体" w:hAnsi="宋体" w:cs="宋体"/>
          <w:color w:val="auto"/>
          <w:szCs w:val="21"/>
          <w:highlight w:val="none"/>
          <w:u w:val="single"/>
        </w:rPr>
      </w:pPr>
      <w:r>
        <w:rPr>
          <w:rFonts w:hint="eastAsia" w:ascii="宋体" w:hAnsi="宋体" w:cs="宋体"/>
          <w:bCs/>
          <w:color w:val="auto"/>
          <w:szCs w:val="21"/>
          <w:highlight w:val="none"/>
        </w:rPr>
        <w:t>2.付款方式：</w:t>
      </w:r>
      <w:r>
        <w:rPr>
          <w:rFonts w:hint="eastAsia" w:ascii="宋体" w:hAnsi="宋体" w:cs="宋体"/>
          <w:color w:val="auto"/>
          <w:szCs w:val="21"/>
          <w:highlight w:val="none"/>
          <w:u w:val="single"/>
        </w:rPr>
        <w:t>（按采购文件要求）。</w:t>
      </w:r>
    </w:p>
    <w:p w14:paraId="33FEE830">
      <w:pPr>
        <w:snapToGrid w:val="0"/>
        <w:spacing w:line="360" w:lineRule="auto"/>
        <w:ind w:firstLine="420" w:firstLineChars="200"/>
        <w:rPr>
          <w:rFonts w:ascii="宋体" w:hAnsi="宋体" w:cs="宋体"/>
          <w:color w:val="auto"/>
          <w:szCs w:val="21"/>
          <w:highlight w:val="none"/>
          <w:u w:val="single"/>
        </w:rPr>
      </w:pPr>
      <w:r>
        <w:rPr>
          <w:rFonts w:hint="eastAsia" w:ascii="宋体" w:hAnsi="宋体"/>
          <w:bCs/>
          <w:color w:val="auto"/>
          <w:szCs w:val="21"/>
          <w:highlight w:val="none"/>
        </w:rPr>
        <w:t>甲方需追加与合同标的相同的服务的，在不改变原合同条款且已报财政部门批准落实资金的前提下，可从乙方处添购，所签订的补充添置合同的采购资金总额不超过暂定合同总金额的10%。</w:t>
      </w:r>
    </w:p>
    <w:p w14:paraId="0C4C505D">
      <w:pPr>
        <w:pStyle w:val="4"/>
        <w:jc w:val="left"/>
        <w:rPr>
          <w:rFonts w:ascii="宋体" w:hAnsi="宋体" w:cs="宋体"/>
          <w:color w:val="auto"/>
          <w:sz w:val="21"/>
          <w:szCs w:val="21"/>
          <w:highlight w:val="none"/>
        </w:rPr>
      </w:pPr>
      <w:bookmarkStart w:id="173" w:name="_Toc177716535"/>
      <w:r>
        <w:rPr>
          <w:rFonts w:hint="eastAsia" w:ascii="宋体" w:hAnsi="宋体" w:cs="宋体"/>
          <w:color w:val="auto"/>
          <w:sz w:val="21"/>
          <w:szCs w:val="21"/>
          <w:highlight w:val="none"/>
        </w:rPr>
        <w:t>第七条　履约保证金</w:t>
      </w:r>
      <w:bookmarkEnd w:id="173"/>
    </w:p>
    <w:p w14:paraId="22DD8C89">
      <w:pPr>
        <w:numPr>
          <w:ilvl w:val="0"/>
          <w:numId w:val="18"/>
        </w:numPr>
        <w:autoSpaceDE w:val="0"/>
        <w:autoSpaceDN w:val="0"/>
        <w:spacing w:line="360" w:lineRule="auto"/>
        <w:ind w:firstLine="420" w:firstLineChars="200"/>
        <w:textAlignment w:val="bottom"/>
        <w:rPr>
          <w:rFonts w:ascii="宋体" w:hAnsi="宋体" w:cs="宋体"/>
          <w:color w:val="auto"/>
          <w:szCs w:val="21"/>
          <w:highlight w:val="none"/>
        </w:rPr>
      </w:pPr>
      <w:r>
        <w:rPr>
          <w:rFonts w:hint="eastAsia" w:ascii="宋体" w:hAnsi="宋体" w:cs="宋体"/>
          <w:color w:val="auto"/>
          <w:szCs w:val="21"/>
          <w:highlight w:val="none"/>
        </w:rPr>
        <w:t>履约保证金金额：按合同总金额的</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%，即人民币</w:t>
      </w:r>
      <w:r>
        <w:rPr>
          <w:rFonts w:hint="eastAsia" w:ascii="宋体" w:hAnsi="宋体" w:cs="宋体"/>
          <w:color w:val="auto"/>
          <w:szCs w:val="21"/>
          <w:highlight w:val="none"/>
          <w:u w:val="single"/>
        </w:rPr>
        <w:t>（大写）                   （小写）（¥                     ）</w:t>
      </w:r>
      <w:r>
        <w:rPr>
          <w:rFonts w:hint="eastAsia" w:ascii="宋体" w:hAnsi="宋体" w:cs="宋体"/>
          <w:color w:val="auto"/>
          <w:szCs w:val="21"/>
          <w:highlight w:val="none"/>
        </w:rPr>
        <w:t>。</w:t>
      </w:r>
    </w:p>
    <w:p w14:paraId="0B91D472">
      <w:pPr>
        <w:numPr>
          <w:ilvl w:val="0"/>
          <w:numId w:val="18"/>
        </w:numPr>
        <w:autoSpaceDE w:val="0"/>
        <w:autoSpaceDN w:val="0"/>
        <w:spacing w:line="360" w:lineRule="auto"/>
        <w:ind w:firstLine="420" w:firstLineChars="200"/>
        <w:textAlignment w:val="bottom"/>
        <w:rPr>
          <w:rFonts w:ascii="宋体" w:hAnsi="宋体" w:cs="宋体"/>
          <w:color w:val="auto"/>
          <w:szCs w:val="21"/>
          <w:highlight w:val="none"/>
        </w:rPr>
      </w:pPr>
      <w:r>
        <w:rPr>
          <w:rFonts w:hint="eastAsia" w:ascii="宋体" w:hAnsi="宋体" w:cs="宋体"/>
          <w:color w:val="auto"/>
          <w:szCs w:val="21"/>
          <w:highlight w:val="none"/>
        </w:rPr>
        <w:t>履约保证金递交方式：</w:t>
      </w:r>
      <w:r>
        <w:rPr>
          <w:rFonts w:hint="eastAsia" w:ascii="宋体" w:hAnsi="宋体" w:cs="宋体"/>
          <w:color w:val="auto"/>
          <w:szCs w:val="21"/>
          <w:highlight w:val="none"/>
          <w:u w:val="single"/>
        </w:rPr>
        <w:t xml:space="preserve">   （填写实际递交方式）   </w:t>
      </w:r>
      <w:r>
        <w:rPr>
          <w:rFonts w:hint="eastAsia" w:ascii="宋体" w:hAnsi="宋体" w:cs="宋体"/>
          <w:color w:val="auto"/>
          <w:szCs w:val="21"/>
          <w:highlight w:val="none"/>
        </w:rPr>
        <w:t>。</w:t>
      </w:r>
    </w:p>
    <w:p w14:paraId="74DD4935">
      <w:pPr>
        <w:snapToGrid w:val="0"/>
        <w:spacing w:before="12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甲方收取履约保证金的指定账户：</w:t>
      </w:r>
    </w:p>
    <w:p w14:paraId="79F5421D">
      <w:pPr>
        <w:snapToGrid w:val="0"/>
        <w:spacing w:before="12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开户名称：</w:t>
      </w:r>
    </w:p>
    <w:p w14:paraId="14C6729A">
      <w:pPr>
        <w:snapToGrid w:val="0"/>
        <w:spacing w:before="12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开户银行：</w:t>
      </w:r>
    </w:p>
    <w:p w14:paraId="38B0333B">
      <w:pPr>
        <w:snapToGrid w:val="0"/>
        <w:spacing w:before="12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开户行行号：</w:t>
      </w:r>
    </w:p>
    <w:p w14:paraId="09722960">
      <w:pPr>
        <w:snapToGrid w:val="0"/>
        <w:spacing w:before="12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银行账号：         </w:t>
      </w:r>
    </w:p>
    <w:p w14:paraId="3EEFFA52">
      <w:pPr>
        <w:snapToGrid w:val="0"/>
        <w:spacing w:before="12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乙方收取履约保证金的指定账户：</w:t>
      </w:r>
    </w:p>
    <w:p w14:paraId="072B0F62">
      <w:pPr>
        <w:snapToGrid w:val="0"/>
        <w:spacing w:before="12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开户名称：</w:t>
      </w:r>
    </w:p>
    <w:p w14:paraId="031214F9">
      <w:pPr>
        <w:snapToGrid w:val="0"/>
        <w:spacing w:before="12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开户银行：</w:t>
      </w:r>
    </w:p>
    <w:p w14:paraId="02245CF7">
      <w:pPr>
        <w:snapToGrid w:val="0"/>
        <w:spacing w:before="12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开户行行号：</w:t>
      </w:r>
    </w:p>
    <w:p w14:paraId="09028AA4">
      <w:pPr>
        <w:autoSpaceDE w:val="0"/>
        <w:autoSpaceDN w:val="0"/>
        <w:spacing w:line="360" w:lineRule="auto"/>
        <w:ind w:firstLine="424" w:firstLineChars="202"/>
        <w:textAlignment w:val="bottom"/>
        <w:rPr>
          <w:rFonts w:ascii="宋体" w:hAnsi="宋体" w:cs="宋体"/>
          <w:color w:val="auto"/>
          <w:szCs w:val="21"/>
          <w:highlight w:val="none"/>
        </w:rPr>
      </w:pPr>
      <w:r>
        <w:rPr>
          <w:rFonts w:hint="eastAsia" w:ascii="宋体" w:hAnsi="宋体" w:cs="宋体"/>
          <w:color w:val="auto"/>
          <w:szCs w:val="21"/>
          <w:highlight w:val="none"/>
        </w:rPr>
        <w:t>银行账号：</w:t>
      </w:r>
    </w:p>
    <w:p w14:paraId="15A3B996">
      <w:pPr>
        <w:numPr>
          <w:ilvl w:val="0"/>
          <w:numId w:val="18"/>
        </w:numPr>
        <w:autoSpaceDE w:val="0"/>
        <w:autoSpaceDN w:val="0"/>
        <w:spacing w:line="360" w:lineRule="auto"/>
        <w:ind w:firstLine="420" w:firstLineChars="200"/>
        <w:textAlignment w:val="bottom"/>
        <w:rPr>
          <w:rFonts w:ascii="宋体" w:hAnsi="宋体" w:cs="宋体"/>
          <w:color w:val="auto"/>
          <w:szCs w:val="21"/>
          <w:highlight w:val="none"/>
        </w:rPr>
      </w:pPr>
      <w:r>
        <w:rPr>
          <w:rFonts w:hint="eastAsia" w:ascii="宋体" w:hAnsi="宋体" w:cs="宋体"/>
          <w:color w:val="auto"/>
          <w:szCs w:val="21"/>
          <w:highlight w:val="none"/>
        </w:rPr>
        <w:t>履约保证金退付方式、时间及条件：</w:t>
      </w:r>
      <w:r>
        <w:rPr>
          <w:rFonts w:hint="eastAsia" w:ascii="宋体" w:hAnsi="宋体" w:cs="宋体"/>
          <w:color w:val="auto"/>
          <w:szCs w:val="21"/>
          <w:highlight w:val="none"/>
          <w:u w:val="single"/>
        </w:rPr>
        <w:t xml:space="preserve"> （按采购文件要求）</w:t>
      </w:r>
      <w:r>
        <w:rPr>
          <w:rFonts w:hint="eastAsia" w:ascii="宋体" w:hAnsi="宋体" w:cs="宋体"/>
          <w:color w:val="auto"/>
          <w:szCs w:val="21"/>
          <w:highlight w:val="none"/>
        </w:rPr>
        <w:t xml:space="preserve"> 。</w:t>
      </w:r>
    </w:p>
    <w:p w14:paraId="27D2424B">
      <w:pPr>
        <w:numPr>
          <w:ilvl w:val="0"/>
          <w:numId w:val="18"/>
        </w:numPr>
        <w:autoSpaceDE w:val="0"/>
        <w:autoSpaceDN w:val="0"/>
        <w:spacing w:line="360" w:lineRule="auto"/>
        <w:ind w:firstLine="420" w:firstLineChars="200"/>
        <w:textAlignment w:val="bottom"/>
        <w:rPr>
          <w:rFonts w:ascii="宋体" w:hAnsi="宋体" w:cs="宋体"/>
          <w:color w:val="auto"/>
          <w:szCs w:val="21"/>
          <w:highlight w:val="none"/>
        </w:rPr>
      </w:pPr>
      <w:r>
        <w:rPr>
          <w:rFonts w:hint="eastAsia" w:ascii="宋体" w:hAnsi="宋体" w:cs="宋体"/>
          <w:color w:val="auto"/>
          <w:szCs w:val="21"/>
          <w:highlight w:val="none"/>
        </w:rPr>
        <w:t>在履约保证金到期退还前，若乙方的开户名称、开户银行、账号有变动的，以书面形式通知甲方，否则由此产生的后果由乙方自负。</w:t>
      </w:r>
    </w:p>
    <w:p w14:paraId="69CBA7EC">
      <w:pPr>
        <w:numPr>
          <w:ilvl w:val="0"/>
          <w:numId w:val="18"/>
        </w:numPr>
        <w:autoSpaceDE w:val="0"/>
        <w:autoSpaceDN w:val="0"/>
        <w:spacing w:line="360" w:lineRule="auto"/>
        <w:ind w:firstLine="420" w:firstLineChars="200"/>
        <w:textAlignment w:val="bottom"/>
        <w:rPr>
          <w:rFonts w:ascii="宋体" w:hAnsi="宋体" w:cs="宋体"/>
          <w:color w:val="auto"/>
          <w:szCs w:val="21"/>
          <w:highlight w:val="none"/>
        </w:rPr>
      </w:pPr>
      <w:r>
        <w:rPr>
          <w:rFonts w:hint="eastAsia" w:ascii="宋体" w:hAnsi="宋体" w:cs="宋体"/>
          <w:color w:val="auto"/>
          <w:szCs w:val="21"/>
          <w:highlight w:val="none"/>
        </w:rPr>
        <w:t>存在以下行为的，履约保证金不予退还：</w:t>
      </w:r>
    </w:p>
    <w:p w14:paraId="70AFAA18">
      <w:pPr>
        <w:autoSpaceDE w:val="0"/>
        <w:autoSpaceDN w:val="0"/>
        <w:spacing w:line="360" w:lineRule="auto"/>
        <w:ind w:left="420" w:leftChars="200" w:firstLine="218" w:firstLineChars="104"/>
        <w:textAlignment w:val="bottom"/>
        <w:rPr>
          <w:rFonts w:ascii="宋体" w:hAnsi="宋体" w:cs="宋体"/>
          <w:color w:val="auto"/>
          <w:szCs w:val="21"/>
          <w:highlight w:val="none"/>
        </w:rPr>
      </w:pPr>
      <w:r>
        <w:rPr>
          <w:rFonts w:hint="eastAsia" w:ascii="宋体" w:hAnsi="宋体" w:cs="宋体"/>
          <w:color w:val="auto"/>
          <w:szCs w:val="21"/>
          <w:highlight w:val="none"/>
        </w:rPr>
        <w:t>（1）乙方造成重大事故的；</w:t>
      </w:r>
    </w:p>
    <w:p w14:paraId="62A2CB2C">
      <w:pPr>
        <w:autoSpaceDE w:val="0"/>
        <w:autoSpaceDN w:val="0"/>
        <w:spacing w:line="360" w:lineRule="auto"/>
        <w:ind w:left="420" w:leftChars="200" w:firstLine="218" w:firstLineChars="104"/>
        <w:textAlignment w:val="bottom"/>
        <w:rPr>
          <w:rFonts w:ascii="宋体" w:hAnsi="宋体" w:cs="宋体"/>
          <w:color w:val="auto"/>
          <w:szCs w:val="21"/>
          <w:highlight w:val="none"/>
        </w:rPr>
      </w:pPr>
      <w:r>
        <w:rPr>
          <w:rFonts w:hint="eastAsia" w:ascii="宋体" w:hAnsi="宋体" w:cs="宋体"/>
          <w:color w:val="auto"/>
          <w:szCs w:val="21"/>
          <w:highlight w:val="none"/>
        </w:rPr>
        <w:t>（2）乙方未按本合同和投标文件中规定的服务承诺提供服务的；</w:t>
      </w:r>
    </w:p>
    <w:p w14:paraId="3549B649">
      <w:pPr>
        <w:autoSpaceDE w:val="0"/>
        <w:autoSpaceDN w:val="0"/>
        <w:spacing w:line="360" w:lineRule="auto"/>
        <w:ind w:left="420" w:leftChars="200" w:firstLine="218" w:firstLineChars="104"/>
        <w:textAlignment w:val="bottom"/>
        <w:rPr>
          <w:rFonts w:ascii="宋体" w:hAnsi="宋体" w:cs="宋体"/>
          <w:color w:val="auto"/>
          <w:szCs w:val="21"/>
          <w:highlight w:val="none"/>
        </w:rPr>
      </w:pPr>
      <w:r>
        <w:rPr>
          <w:rFonts w:hint="eastAsia" w:ascii="宋体" w:hAnsi="宋体" w:cs="宋体"/>
          <w:color w:val="auto"/>
          <w:szCs w:val="21"/>
          <w:highlight w:val="none"/>
        </w:rPr>
        <w:t>（3）在合同履约期间，乙方主动提出解除合同（如果因不可抗力因素造成的除外）的。</w:t>
      </w:r>
    </w:p>
    <w:p w14:paraId="4EB07F19">
      <w:pPr>
        <w:numPr>
          <w:ilvl w:val="0"/>
          <w:numId w:val="18"/>
        </w:numPr>
        <w:autoSpaceDE w:val="0"/>
        <w:autoSpaceDN w:val="0"/>
        <w:spacing w:line="360" w:lineRule="auto"/>
        <w:ind w:firstLine="420" w:firstLineChars="200"/>
        <w:textAlignment w:val="bottom"/>
        <w:rPr>
          <w:rFonts w:ascii="宋体" w:hAnsi="宋体" w:cs="宋体"/>
          <w:color w:val="auto"/>
          <w:szCs w:val="21"/>
          <w:highlight w:val="none"/>
        </w:rPr>
      </w:pPr>
      <w:r>
        <w:rPr>
          <w:rFonts w:hint="eastAsia" w:ascii="宋体" w:hAnsi="宋体" w:cs="宋体"/>
          <w:color w:val="auto"/>
          <w:szCs w:val="21"/>
          <w:highlight w:val="none"/>
        </w:rPr>
        <w:t>如甲方不能按时退还履约保证金的，每逾期一天，可按应退款项的银行同期存款利息计算违约金。</w:t>
      </w:r>
    </w:p>
    <w:p w14:paraId="6CAB8D51">
      <w:pPr>
        <w:pStyle w:val="4"/>
        <w:jc w:val="left"/>
        <w:rPr>
          <w:rFonts w:ascii="宋体" w:hAnsi="宋体" w:cs="宋体"/>
          <w:color w:val="auto"/>
          <w:sz w:val="21"/>
          <w:szCs w:val="21"/>
          <w:highlight w:val="none"/>
        </w:rPr>
      </w:pPr>
      <w:bookmarkStart w:id="174" w:name="_Toc177716536"/>
      <w:r>
        <w:rPr>
          <w:rFonts w:hint="eastAsia" w:ascii="宋体" w:hAnsi="宋体" w:cs="宋体"/>
          <w:color w:val="auto"/>
          <w:sz w:val="21"/>
          <w:szCs w:val="21"/>
          <w:highlight w:val="none"/>
        </w:rPr>
        <w:t>第八条  税费</w:t>
      </w:r>
      <w:bookmarkEnd w:id="174"/>
    </w:p>
    <w:p w14:paraId="563692E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本合同执行中相关的一切税费均由乙方负担，合同另有约定的除外。</w:t>
      </w:r>
    </w:p>
    <w:p w14:paraId="0A5F8CB7">
      <w:pPr>
        <w:pStyle w:val="4"/>
        <w:jc w:val="left"/>
        <w:rPr>
          <w:rFonts w:ascii="宋体" w:hAnsi="宋体" w:cs="宋体"/>
          <w:color w:val="auto"/>
          <w:sz w:val="21"/>
          <w:szCs w:val="21"/>
          <w:highlight w:val="none"/>
        </w:rPr>
      </w:pPr>
      <w:bookmarkStart w:id="175" w:name="_Toc177716537"/>
      <w:r>
        <w:rPr>
          <w:rFonts w:hint="eastAsia" w:ascii="宋体" w:hAnsi="宋体" w:cs="宋体"/>
          <w:color w:val="auto"/>
          <w:sz w:val="21"/>
          <w:szCs w:val="21"/>
          <w:highlight w:val="none"/>
        </w:rPr>
        <w:t>第九条　</w:t>
      </w:r>
      <w:bookmarkEnd w:id="175"/>
      <w:bookmarkStart w:id="176" w:name="_Toc177716538"/>
      <w:r>
        <w:rPr>
          <w:rFonts w:hint="eastAsia" w:ascii="宋体" w:hAnsi="宋体" w:cs="宋体"/>
          <w:color w:val="auto"/>
          <w:sz w:val="21"/>
          <w:szCs w:val="21"/>
          <w:highlight w:val="none"/>
        </w:rPr>
        <w:t>违约责任</w:t>
      </w:r>
      <w:bookmarkEnd w:id="176"/>
    </w:p>
    <w:p w14:paraId="3699799E">
      <w:pPr>
        <w:numPr>
          <w:ilvl w:val="0"/>
          <w:numId w:val="19"/>
        </w:num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在合同履行期间，甲方要求终止或解除合同，乙方未开始工作的，甲方不予以支付任何费用。</w:t>
      </w:r>
    </w:p>
    <w:p w14:paraId="17632524">
      <w:pPr>
        <w:numPr>
          <w:ilvl w:val="0"/>
          <w:numId w:val="19"/>
        </w:numPr>
        <w:spacing w:line="360" w:lineRule="auto"/>
        <w:ind w:firstLine="420" w:firstLineChars="200"/>
        <w:rPr>
          <w:rFonts w:ascii="宋体" w:hAnsi="宋体" w:cs="宋体"/>
          <w:color w:val="auto"/>
          <w:szCs w:val="21"/>
          <w:highlight w:val="none"/>
        </w:rPr>
      </w:pPr>
      <w:r>
        <w:rPr>
          <w:rFonts w:hint="eastAsia" w:ascii="宋体" w:hAnsi="宋体"/>
          <w:color w:val="auto"/>
          <w:szCs w:val="21"/>
          <w:highlight w:val="none"/>
        </w:rPr>
        <w:t>除不可抗力原因外，乙方没有按照合同规定的时间提供服务的，甲方可要求乙方支付违约金。每推迟一天按合同总金额的3‰支付违约金，该违约金累计不超过合同总金额的10%</w:t>
      </w:r>
      <w:r>
        <w:rPr>
          <w:rFonts w:hint="eastAsia" w:ascii="宋体" w:hAnsi="宋体" w:cs="宋体"/>
          <w:color w:val="auto"/>
          <w:szCs w:val="21"/>
          <w:highlight w:val="none"/>
        </w:rPr>
        <w:t>。</w:t>
      </w:r>
    </w:p>
    <w:p w14:paraId="0AB22A09">
      <w:pPr>
        <w:numPr>
          <w:ilvl w:val="0"/>
          <w:numId w:val="19"/>
        </w:num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乙方所提供的服务成果的质量不符合合同要求的，应无条件及时整改；乙方在甲方规定期限内不能完成整改的或无正当理由拒绝整改或经整改后仍不能达到甲方要求的，甲方有权终止合同，并按整改不通过部分总价的10%计算违约金。</w:t>
      </w:r>
    </w:p>
    <w:p w14:paraId="507050E9">
      <w:pPr>
        <w:numPr>
          <w:ilvl w:val="0"/>
          <w:numId w:val="19"/>
        </w:numPr>
        <w:spacing w:line="360" w:lineRule="auto"/>
        <w:ind w:firstLine="420" w:firstLineChars="200"/>
        <w:rPr>
          <w:rFonts w:ascii="宋体" w:hAnsi="宋体" w:cs="宋体"/>
          <w:color w:val="auto"/>
          <w:szCs w:val="21"/>
          <w:highlight w:val="none"/>
        </w:rPr>
      </w:pPr>
      <w:bookmarkStart w:id="177" w:name="_Hlk50579011"/>
      <w:r>
        <w:rPr>
          <w:rFonts w:hint="eastAsia" w:ascii="宋体" w:hAnsi="宋体" w:cs="宋体"/>
          <w:color w:val="auto"/>
          <w:szCs w:val="21"/>
          <w:highlight w:val="none"/>
        </w:rPr>
        <w:t>乙方未按本合同和投标文件的约定提供系统维保（或售后服务）的，且经甲方提醒后仍未及时提供售后服务的，每出现一次，乙方应按本合同总金额的0.03%向甲方支付违约金。</w:t>
      </w:r>
      <w:bookmarkEnd w:id="177"/>
    </w:p>
    <w:p w14:paraId="6B745A02">
      <w:pPr>
        <w:numPr>
          <w:ilvl w:val="0"/>
          <w:numId w:val="19"/>
        </w:num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除因甲方自身原因外，乙方操作造成甲方系统数据丢失、泄密的，应按合同总金额的10%支付违约金，违约金不足以弥补甲方损失的，还应支付赔偿金。</w:t>
      </w:r>
    </w:p>
    <w:p w14:paraId="75EB08A5">
      <w:pPr>
        <w:numPr>
          <w:ilvl w:val="0"/>
          <w:numId w:val="19"/>
        </w:num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如乙方违反合同约定的信息安全及保密要求，每违反一次收取合同总金额 0.2%的违约金，累计不超过合同总金额的 10%，违约金不足以弥补甲方实际损失的，还应支付赔偿金。</w:t>
      </w:r>
    </w:p>
    <w:p w14:paraId="48CFEB98">
      <w:pPr>
        <w:numPr>
          <w:ilvl w:val="0"/>
          <w:numId w:val="19"/>
        </w:num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未经甲方同意，乙方不能就所中标的项目进行分包、转包，如发现乙方有分包、转包现象，甲方有权解除合同，不再支付未付款项，并要求乙方支付合同总金额的10%作为违约金。如因此给甲方造成损失的，还应赔偿甲方损失。</w:t>
      </w:r>
    </w:p>
    <w:p w14:paraId="0E84FF58">
      <w:pPr>
        <w:numPr>
          <w:ilvl w:val="0"/>
          <w:numId w:val="19"/>
        </w:num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eastAsia="zh-Hans"/>
        </w:rPr>
        <w:t>乙方提供的服务成果如侵犯了第三方合法权益而引发的任何纠纷或诉讼，均由乙方负责交涉并承担全部责任。甲方有权解除合同，合同金额没有支付的，不再支付；已经支付的，甲方有权追回，且乙方应按</w:t>
      </w:r>
      <w:r>
        <w:rPr>
          <w:rFonts w:hint="eastAsia" w:ascii="宋体" w:hAnsi="宋体" w:cs="宋体"/>
          <w:color w:val="auto"/>
          <w:szCs w:val="21"/>
          <w:highlight w:val="none"/>
        </w:rPr>
        <w:t>合同总金额</w:t>
      </w:r>
      <w:r>
        <w:rPr>
          <w:rFonts w:hint="eastAsia" w:ascii="宋体" w:hAnsi="宋体" w:cs="宋体"/>
          <w:color w:val="auto"/>
          <w:szCs w:val="21"/>
          <w:highlight w:val="none"/>
          <w:lang w:eastAsia="zh-Hans"/>
        </w:rPr>
        <w:t xml:space="preserve"> 10%承担违约金，造成甲方损失的，还应赔偿甲方损失。</w:t>
      </w:r>
    </w:p>
    <w:p w14:paraId="731F26CC">
      <w:pPr>
        <w:numPr>
          <w:ilvl w:val="0"/>
          <w:numId w:val="19"/>
        </w:num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由于</w:t>
      </w:r>
      <w:r>
        <w:rPr>
          <w:rFonts w:hint="eastAsia" w:ascii="宋体" w:hAnsi="宋体" w:cs="宋体"/>
          <w:color w:val="auto"/>
          <w:szCs w:val="21"/>
          <w:highlight w:val="none"/>
          <w:lang w:eastAsia="zh-Hans"/>
        </w:rPr>
        <w:t>乙方</w:t>
      </w:r>
      <w:r>
        <w:rPr>
          <w:rFonts w:hint="eastAsia" w:ascii="宋体" w:hAnsi="宋体" w:cs="宋体"/>
          <w:color w:val="auto"/>
          <w:szCs w:val="21"/>
          <w:highlight w:val="none"/>
        </w:rPr>
        <w:t>管理失误造成较大事故的，甲方有权利终止合同，并要求乙方赔偿其造成的损失并不</w:t>
      </w:r>
      <w:r>
        <w:rPr>
          <w:rFonts w:hint="eastAsia" w:ascii="宋体" w:hAnsi="宋体" w:cs="宋体"/>
          <w:color w:val="auto"/>
          <w:szCs w:val="21"/>
          <w:highlight w:val="none"/>
          <w:lang w:eastAsia="zh-Hans"/>
        </w:rPr>
        <w:t>予</w:t>
      </w:r>
      <w:r>
        <w:rPr>
          <w:rFonts w:hint="eastAsia" w:ascii="宋体" w:hAnsi="宋体" w:cs="宋体"/>
          <w:color w:val="auto"/>
          <w:szCs w:val="21"/>
          <w:highlight w:val="none"/>
        </w:rPr>
        <w:t>退还履约保证金。</w:t>
      </w:r>
    </w:p>
    <w:p w14:paraId="6BD70F9D">
      <w:pPr>
        <w:numPr>
          <w:ilvl w:val="0"/>
          <w:numId w:val="19"/>
        </w:numPr>
        <w:spacing w:line="360" w:lineRule="auto"/>
        <w:ind w:firstLine="420" w:firstLineChars="200"/>
        <w:rPr>
          <w:rFonts w:ascii="宋体" w:hAnsi="宋体" w:cs="宋体"/>
          <w:color w:val="auto"/>
          <w:szCs w:val="21"/>
          <w:highlight w:val="none"/>
          <w:lang w:eastAsia="zh-Hans"/>
        </w:rPr>
      </w:pPr>
      <w:r>
        <w:rPr>
          <w:rFonts w:hint="eastAsia" w:ascii="宋体" w:hAnsi="宋体" w:cs="宋体"/>
          <w:color w:val="auto"/>
          <w:szCs w:val="21"/>
          <w:highlight w:val="none"/>
        </w:rPr>
        <w:t>本条所称损失是指一方因另一方违约而遭受的全部经济损失（包括但不限于直接损失、间接损失及实现债权的费用，如诉讼费、律师费、差旅费、调查费、财产保全责任险保险费等）</w:t>
      </w:r>
      <w:r>
        <w:rPr>
          <w:rFonts w:hint="eastAsia" w:ascii="宋体" w:hAnsi="宋体" w:cs="宋体"/>
          <w:color w:val="auto"/>
          <w:szCs w:val="21"/>
          <w:highlight w:val="none"/>
          <w:lang w:eastAsia="zh-Hans"/>
        </w:rPr>
        <w:t>。</w:t>
      </w:r>
    </w:p>
    <w:p w14:paraId="71903EE2">
      <w:pPr>
        <w:numPr>
          <w:ilvl w:val="0"/>
          <w:numId w:val="19"/>
        </w:num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甲方有权从未付价款和履约保证金中先行扣除乙方应支付的违约金、赔偿金，不足另补。</w:t>
      </w:r>
    </w:p>
    <w:p w14:paraId="51A4E07B">
      <w:pPr>
        <w:numPr>
          <w:ilvl w:val="0"/>
          <w:numId w:val="19"/>
        </w:numPr>
        <w:spacing w:line="360" w:lineRule="auto"/>
        <w:ind w:firstLine="420" w:firstLineChars="200"/>
        <w:rPr>
          <w:rFonts w:ascii="宋体" w:hAnsi="宋体" w:cs="宋体"/>
          <w:color w:val="auto"/>
          <w:szCs w:val="21"/>
          <w:highlight w:val="none"/>
        </w:rPr>
      </w:pPr>
      <w:r>
        <w:rPr>
          <w:rFonts w:hint="eastAsia" w:ascii="宋体" w:hAnsi="宋体"/>
          <w:color w:val="auto"/>
          <w:szCs w:val="21"/>
          <w:highlight w:val="none"/>
        </w:rPr>
        <w:t>甲方</w:t>
      </w:r>
      <w:r>
        <w:rPr>
          <w:rFonts w:hint="eastAsia" w:ascii="宋体" w:hAnsi="宋体"/>
          <w:color w:val="auto"/>
          <w:szCs w:val="21"/>
          <w:highlight w:val="none"/>
          <w:lang w:val="en-US" w:eastAsia="zh-CN"/>
        </w:rPr>
        <w:t>无正当理由</w:t>
      </w:r>
      <w:r>
        <w:rPr>
          <w:rFonts w:hint="eastAsia" w:ascii="宋体" w:hAnsi="宋体"/>
          <w:color w:val="auto"/>
          <w:szCs w:val="21"/>
          <w:highlight w:val="none"/>
        </w:rPr>
        <w:t>延期付款的，每天向乙方偿付延期款额3‰滞纳金，但滞纳金累计不得超过延期款额5%</w:t>
      </w:r>
      <w:r>
        <w:rPr>
          <w:rFonts w:hint="eastAsia" w:ascii="宋体" w:hAnsi="宋体" w:cs="宋体"/>
          <w:color w:val="auto"/>
          <w:szCs w:val="21"/>
          <w:highlight w:val="none"/>
        </w:rPr>
        <w:t>。</w:t>
      </w:r>
    </w:p>
    <w:p w14:paraId="443D39FD">
      <w:pPr>
        <w:numPr>
          <w:ilvl w:val="0"/>
          <w:numId w:val="19"/>
        </w:numPr>
        <w:spacing w:line="360" w:lineRule="auto"/>
        <w:ind w:firstLine="420" w:firstLineChars="200"/>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乙方在</w:t>
      </w:r>
      <w:r>
        <w:rPr>
          <w:rFonts w:hint="eastAsia" w:ascii="宋体" w:hAnsi="宋体" w:cs="宋体"/>
          <w:color w:val="auto"/>
          <w:kern w:val="0"/>
          <w:sz w:val="21"/>
          <w:szCs w:val="21"/>
          <w:highlight w:val="none"/>
        </w:rPr>
        <w:t>广西公安数字化反电诈平台</w:t>
      </w:r>
      <w:r>
        <w:rPr>
          <w:rFonts w:hint="eastAsia" w:ascii="宋体" w:hAnsi="宋体" w:cs="宋体"/>
          <w:color w:val="auto"/>
          <w:kern w:val="0"/>
          <w:sz w:val="21"/>
          <w:szCs w:val="21"/>
          <w:highlight w:val="none"/>
          <w:lang w:val="en-US" w:eastAsia="zh-CN"/>
        </w:rPr>
        <w:t>建设期间或系统运维服务期间未经</w:t>
      </w:r>
      <w:r>
        <w:rPr>
          <w:rFonts w:hint="eastAsia" w:ascii="宋体" w:hAnsi="宋体" w:cs="宋体"/>
          <w:b w:val="0"/>
          <w:bCs w:val="0"/>
          <w:color w:val="auto"/>
          <w:kern w:val="0"/>
          <w:sz w:val="21"/>
          <w:szCs w:val="21"/>
          <w:highlight w:val="none"/>
          <w:lang w:val="en-US" w:eastAsia="zh-CN"/>
        </w:rPr>
        <w:t>采购人同意随意更换实施人员或运维人员的，每变更1人扣减履约保证金10000元整。当履约保证金不足以扣减时，乙方必须在接到甲方通知后7天内补缴给甲方。</w:t>
      </w:r>
    </w:p>
    <w:p w14:paraId="0D58E76F">
      <w:pPr>
        <w:pStyle w:val="4"/>
        <w:jc w:val="left"/>
        <w:rPr>
          <w:rFonts w:ascii="宋体" w:hAnsi="宋体" w:cs="宋体"/>
          <w:color w:val="auto"/>
          <w:sz w:val="21"/>
          <w:szCs w:val="21"/>
          <w:highlight w:val="none"/>
        </w:rPr>
      </w:pPr>
      <w:bookmarkStart w:id="178" w:name="_Toc177716539"/>
      <w:r>
        <w:rPr>
          <w:rFonts w:hint="eastAsia" w:ascii="宋体" w:hAnsi="宋体" w:cs="宋体"/>
          <w:color w:val="auto"/>
          <w:sz w:val="21"/>
          <w:szCs w:val="21"/>
          <w:highlight w:val="none"/>
        </w:rPr>
        <w:t>第十条  不可抗力事件处理</w:t>
      </w:r>
      <w:bookmarkEnd w:id="178"/>
    </w:p>
    <w:p w14:paraId="0D69AD0B">
      <w:pPr>
        <w:numPr>
          <w:ilvl w:val="0"/>
          <w:numId w:val="20"/>
        </w:num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在合同有效期内，任何一方因不可抗力事件导致不能履行合同，则合同履行期可延长，其延长期与不可抗力影响期相同。</w:t>
      </w:r>
    </w:p>
    <w:p w14:paraId="60F134C9">
      <w:pPr>
        <w:numPr>
          <w:ilvl w:val="0"/>
          <w:numId w:val="20"/>
        </w:num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不可抗力事件发生后，应立即通知对方，并寄送有关权威机构出具的证明或相关证明材料。</w:t>
      </w:r>
    </w:p>
    <w:p w14:paraId="58E5618C">
      <w:pPr>
        <w:numPr>
          <w:ilvl w:val="0"/>
          <w:numId w:val="20"/>
        </w:num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不可抗力事件延续一百二十天以上，双方应通过友好协商，确定是否继续履行合同。</w:t>
      </w:r>
    </w:p>
    <w:p w14:paraId="2A73C78B">
      <w:pPr>
        <w:pStyle w:val="4"/>
        <w:jc w:val="left"/>
        <w:rPr>
          <w:rFonts w:ascii="宋体" w:hAnsi="宋体" w:cs="宋体"/>
          <w:color w:val="auto"/>
          <w:sz w:val="21"/>
          <w:szCs w:val="21"/>
          <w:highlight w:val="none"/>
        </w:rPr>
      </w:pPr>
      <w:bookmarkStart w:id="179" w:name="_Toc177716540"/>
      <w:r>
        <w:rPr>
          <w:rFonts w:hint="eastAsia" w:ascii="宋体" w:hAnsi="宋体" w:cs="宋体"/>
          <w:color w:val="auto"/>
          <w:sz w:val="21"/>
          <w:szCs w:val="21"/>
          <w:highlight w:val="none"/>
        </w:rPr>
        <w:t>第十一条  合同争议解决</w:t>
      </w:r>
      <w:bookmarkEnd w:id="179"/>
    </w:p>
    <w:p w14:paraId="6B2136A0">
      <w:pPr>
        <w:numPr>
          <w:ilvl w:val="0"/>
          <w:numId w:val="21"/>
        </w:num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因服务质量问题发生争议的，应邀请国家认可的质量检测机构进行鉴定。服务符合标准的，鉴定费由甲方承担；服务不符合标准的，鉴定费由乙方承担。</w:t>
      </w:r>
    </w:p>
    <w:p w14:paraId="4AE46976">
      <w:pPr>
        <w:numPr>
          <w:ilvl w:val="0"/>
          <w:numId w:val="21"/>
        </w:num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因履行本合同引起的或者与本合同有关的争议，甲乙双方应首先通过友好协商解决，如果协商不能解决，可向甲方所在地有管辖权的人民法院提起诉讼。</w:t>
      </w:r>
    </w:p>
    <w:p w14:paraId="0A7FD643">
      <w:pPr>
        <w:numPr>
          <w:ilvl w:val="0"/>
          <w:numId w:val="21"/>
        </w:num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诉讼期间，甲方未主张解除合同的，本合同继续履行。</w:t>
      </w:r>
    </w:p>
    <w:p w14:paraId="67070F72">
      <w:pPr>
        <w:pStyle w:val="4"/>
        <w:jc w:val="left"/>
        <w:rPr>
          <w:rFonts w:ascii="宋体" w:hAnsi="宋体" w:cs="宋体"/>
          <w:color w:val="auto"/>
          <w:sz w:val="21"/>
          <w:szCs w:val="21"/>
          <w:highlight w:val="none"/>
        </w:rPr>
      </w:pPr>
      <w:bookmarkStart w:id="180" w:name="_Toc177716541"/>
      <w:r>
        <w:rPr>
          <w:rFonts w:hint="eastAsia" w:ascii="宋体" w:hAnsi="宋体" w:cs="宋体"/>
          <w:color w:val="auto"/>
          <w:sz w:val="21"/>
          <w:szCs w:val="21"/>
          <w:highlight w:val="none"/>
        </w:rPr>
        <w:t>第十二条  合同生效及其他</w:t>
      </w:r>
      <w:bookmarkEnd w:id="180"/>
    </w:p>
    <w:p w14:paraId="7EE7E12E">
      <w:pPr>
        <w:numPr>
          <w:ilvl w:val="0"/>
          <w:numId w:val="22"/>
        </w:num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合同经双方法定代表人（负责人）或者授权代表签字并加盖单位公章后生效（委托代理人签字的需后附法定代表人（负责人）授权委托书，格式自拟）。</w:t>
      </w:r>
    </w:p>
    <w:p w14:paraId="436AC761">
      <w:pPr>
        <w:numPr>
          <w:ilvl w:val="0"/>
          <w:numId w:val="22"/>
        </w:num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本合同未尽事宜，遵照《中华人民共和国民法典》有关条文执行。</w:t>
      </w:r>
    </w:p>
    <w:p w14:paraId="7DC57BB8">
      <w:pPr>
        <w:pStyle w:val="4"/>
        <w:jc w:val="left"/>
        <w:rPr>
          <w:rFonts w:ascii="宋体" w:hAnsi="宋体" w:cs="宋体"/>
          <w:color w:val="auto"/>
          <w:sz w:val="21"/>
          <w:szCs w:val="21"/>
          <w:highlight w:val="none"/>
        </w:rPr>
      </w:pPr>
      <w:bookmarkStart w:id="181" w:name="_Toc177716542"/>
      <w:r>
        <w:rPr>
          <w:rFonts w:hint="eastAsia" w:ascii="宋体" w:hAnsi="宋体" w:cs="宋体"/>
          <w:color w:val="auto"/>
          <w:sz w:val="21"/>
          <w:szCs w:val="21"/>
          <w:highlight w:val="none"/>
        </w:rPr>
        <w:t>第十三条　合同的变更、终止与转让</w:t>
      </w:r>
      <w:bookmarkEnd w:id="181"/>
    </w:p>
    <w:p w14:paraId="3374AAAA">
      <w:pPr>
        <w:numPr>
          <w:ilvl w:val="0"/>
          <w:numId w:val="23"/>
        </w:num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除《中华人民共和国政府采购法》第五十条规定的情形外，本合同一经签订，甲乙双方不得擅自变更、中止或者终止。</w:t>
      </w:r>
    </w:p>
    <w:p w14:paraId="3C5B1901">
      <w:pPr>
        <w:numPr>
          <w:ilvl w:val="0"/>
          <w:numId w:val="23"/>
        </w:num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合同执行中涉及采购内容修改或补充的，在法规范围内，须签书面补充协议方可作为主合同不可分割的一部分。</w:t>
      </w:r>
    </w:p>
    <w:p w14:paraId="0108166D">
      <w:pPr>
        <w:numPr>
          <w:ilvl w:val="0"/>
          <w:numId w:val="23"/>
        </w:num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乙方不得擅自转让其应履行的合同义务。</w:t>
      </w:r>
    </w:p>
    <w:p w14:paraId="2D705627">
      <w:pPr>
        <w:pStyle w:val="4"/>
        <w:jc w:val="left"/>
        <w:rPr>
          <w:rFonts w:ascii="宋体" w:hAnsi="宋体" w:cs="宋体"/>
          <w:color w:val="auto"/>
          <w:sz w:val="21"/>
          <w:szCs w:val="21"/>
          <w:highlight w:val="none"/>
        </w:rPr>
      </w:pPr>
      <w:bookmarkStart w:id="182" w:name="_Toc177716543"/>
      <w:r>
        <w:rPr>
          <w:rFonts w:hint="eastAsia" w:ascii="宋体" w:hAnsi="宋体" w:cs="宋体"/>
          <w:color w:val="auto"/>
          <w:sz w:val="21"/>
          <w:szCs w:val="21"/>
          <w:highlight w:val="none"/>
        </w:rPr>
        <w:t>第十四条　保密责任</w:t>
      </w:r>
      <w:bookmarkEnd w:id="182"/>
    </w:p>
    <w:p w14:paraId="74AD57B2">
      <w:pPr>
        <w:numPr>
          <w:ilvl w:val="0"/>
          <w:numId w:val="24"/>
        </w:num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乙方严格遵守保密管理工作相关法律法规，保守在工作中所涉及的秘密，保密期限为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0711B414">
      <w:pPr>
        <w:numPr>
          <w:ilvl w:val="0"/>
          <w:numId w:val="24"/>
        </w:num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乙方不擅自记录、复制、拍摄、摘抄、收藏在工作中涉及的秘密和敏感信息；不将项目工作内部会议、谈话内容泄露给无关人员；不将工作中涉及的相关项目技术方案及实施规划透露给无关人员。</w:t>
      </w:r>
    </w:p>
    <w:p w14:paraId="0971BC1C">
      <w:pPr>
        <w:numPr>
          <w:ilvl w:val="0"/>
          <w:numId w:val="24"/>
        </w:num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乙方服从甲方的安排，依照有关法律法规和合同规定工作，不将工作过程中接触到的机关文件如内部发文、各类通知及会议记录等内容泄露给无关人员；不从事其他与合同无关的工作。</w:t>
      </w:r>
    </w:p>
    <w:p w14:paraId="321DF00E">
      <w:pPr>
        <w:numPr>
          <w:ilvl w:val="0"/>
          <w:numId w:val="24"/>
        </w:num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乙方认真学习和遵守信息网络安全使用相关规定，不将工作信息透露给无关人员；不私自下载、拷贝从信息网上获得的工作信息和敏感信息；不将项目工作可能接触到的信息系统的程序、口令、密钥等泄露给无关人员。</w:t>
      </w:r>
    </w:p>
    <w:p w14:paraId="54C69F35">
      <w:pPr>
        <w:numPr>
          <w:ilvl w:val="0"/>
          <w:numId w:val="24"/>
        </w:num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乙方建立和完善本单位的保密规章制度，加强对从事该项目人员的保密教育与管理，如从事该项目的人员有调整变动的，应报贵单位审核同意后，方可调整变动。</w:t>
      </w:r>
    </w:p>
    <w:p w14:paraId="44CE6378">
      <w:pPr>
        <w:numPr>
          <w:ilvl w:val="0"/>
          <w:numId w:val="24"/>
        </w:num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乙方不泄露在工作中接触到的装备器材及其技术资料等国家科学技术秘密和工作秘密；未经甲方同意，乙方不得使用本项目案例进行演示或宣传。</w:t>
      </w:r>
    </w:p>
    <w:p w14:paraId="1DD18D77">
      <w:pPr>
        <w:numPr>
          <w:ilvl w:val="0"/>
          <w:numId w:val="24"/>
        </w:num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双方的合同（或协议）有效期止或因故中止项目，均不得泄露所知悉的国家秘密和项目工作秘密。</w:t>
      </w:r>
    </w:p>
    <w:p w14:paraId="726A91FB">
      <w:pPr>
        <w:numPr>
          <w:ilvl w:val="0"/>
          <w:numId w:val="24"/>
        </w:num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其他约定详见附件：</w:t>
      </w:r>
      <w:r>
        <w:rPr>
          <w:rFonts w:hint="eastAsia" w:ascii="宋体" w:hAnsi="宋体" w:cs="宋体"/>
          <w:color w:val="auto"/>
          <w:szCs w:val="21"/>
          <w:highlight w:val="none"/>
          <w:u w:val="single"/>
        </w:rPr>
        <w:t>商务条款偏离表</w:t>
      </w:r>
      <w:r>
        <w:rPr>
          <w:rFonts w:hint="eastAsia" w:ascii="宋体" w:hAnsi="宋体" w:cs="宋体"/>
          <w:color w:val="auto"/>
          <w:szCs w:val="21"/>
          <w:highlight w:val="none"/>
        </w:rPr>
        <w:t>。</w:t>
      </w:r>
    </w:p>
    <w:p w14:paraId="3285ADBD">
      <w:pPr>
        <w:pStyle w:val="4"/>
        <w:jc w:val="left"/>
        <w:rPr>
          <w:rFonts w:ascii="宋体" w:hAnsi="宋体" w:cs="宋体"/>
          <w:color w:val="auto"/>
          <w:sz w:val="21"/>
          <w:szCs w:val="21"/>
          <w:highlight w:val="none"/>
        </w:rPr>
      </w:pPr>
      <w:bookmarkStart w:id="183" w:name="_Toc177716544"/>
      <w:r>
        <w:rPr>
          <w:rFonts w:hint="eastAsia" w:ascii="宋体" w:hAnsi="宋体" w:cs="宋体"/>
          <w:color w:val="auto"/>
          <w:sz w:val="21"/>
          <w:szCs w:val="21"/>
          <w:highlight w:val="none"/>
        </w:rPr>
        <w:t>第十五条  签订本合同依据</w:t>
      </w:r>
      <w:bookmarkEnd w:id="183"/>
    </w:p>
    <w:p w14:paraId="52760E3C">
      <w:pPr>
        <w:pStyle w:val="16"/>
        <w:numPr>
          <w:ilvl w:val="0"/>
          <w:numId w:val="25"/>
        </w:numPr>
        <w:spacing w:line="360" w:lineRule="auto"/>
        <w:ind w:firstLine="420" w:firstLineChars="200"/>
        <w:rPr>
          <w:rFonts w:cs="宋体"/>
          <w:color w:val="auto"/>
          <w:szCs w:val="21"/>
          <w:highlight w:val="none"/>
        </w:rPr>
      </w:pPr>
      <w:r>
        <w:rPr>
          <w:rFonts w:hint="eastAsia" w:cs="宋体"/>
          <w:color w:val="auto"/>
          <w:szCs w:val="21"/>
          <w:highlight w:val="none"/>
        </w:rPr>
        <w:t>中标通知书</w:t>
      </w:r>
    </w:p>
    <w:p w14:paraId="24212C97">
      <w:pPr>
        <w:pStyle w:val="16"/>
        <w:numPr>
          <w:ilvl w:val="0"/>
          <w:numId w:val="25"/>
        </w:numPr>
        <w:spacing w:line="360" w:lineRule="auto"/>
        <w:ind w:firstLine="420" w:firstLineChars="200"/>
        <w:rPr>
          <w:rFonts w:cs="宋体"/>
          <w:color w:val="auto"/>
          <w:szCs w:val="21"/>
          <w:highlight w:val="none"/>
        </w:rPr>
      </w:pPr>
      <w:r>
        <w:rPr>
          <w:rFonts w:hint="eastAsia" w:cs="宋体"/>
          <w:color w:val="auto"/>
          <w:szCs w:val="21"/>
          <w:highlight w:val="none"/>
        </w:rPr>
        <w:t>中标人澄清函（如有）</w:t>
      </w:r>
    </w:p>
    <w:p w14:paraId="5EC1CBEB">
      <w:pPr>
        <w:pStyle w:val="16"/>
        <w:numPr>
          <w:ilvl w:val="0"/>
          <w:numId w:val="25"/>
        </w:numPr>
        <w:spacing w:line="360" w:lineRule="auto"/>
        <w:ind w:firstLine="420" w:firstLineChars="200"/>
        <w:rPr>
          <w:rFonts w:cs="宋体"/>
          <w:color w:val="auto"/>
          <w:szCs w:val="21"/>
          <w:highlight w:val="none"/>
        </w:rPr>
      </w:pPr>
      <w:r>
        <w:rPr>
          <w:rFonts w:hint="eastAsia" w:cs="宋体"/>
          <w:color w:val="auto"/>
          <w:szCs w:val="21"/>
          <w:highlight w:val="none"/>
        </w:rPr>
        <w:t>投标文件</w:t>
      </w:r>
    </w:p>
    <w:p w14:paraId="661323C5">
      <w:pPr>
        <w:pStyle w:val="16"/>
        <w:numPr>
          <w:ilvl w:val="0"/>
          <w:numId w:val="25"/>
        </w:numPr>
        <w:spacing w:line="360" w:lineRule="auto"/>
        <w:ind w:firstLine="420" w:firstLineChars="200"/>
        <w:rPr>
          <w:rFonts w:cs="宋体"/>
          <w:color w:val="auto"/>
          <w:szCs w:val="21"/>
          <w:highlight w:val="none"/>
        </w:rPr>
      </w:pPr>
      <w:r>
        <w:rPr>
          <w:rFonts w:hint="eastAsia" w:cs="宋体"/>
          <w:color w:val="auto"/>
          <w:szCs w:val="21"/>
          <w:highlight w:val="none"/>
        </w:rPr>
        <w:t>招标文件澄清或更正（如有）及招标文件</w:t>
      </w:r>
    </w:p>
    <w:p w14:paraId="3EB8FDE8">
      <w:pPr>
        <w:pStyle w:val="16"/>
        <w:numPr>
          <w:ilvl w:val="0"/>
          <w:numId w:val="25"/>
        </w:numPr>
        <w:spacing w:line="360" w:lineRule="auto"/>
        <w:ind w:firstLine="420" w:firstLineChars="200"/>
        <w:rPr>
          <w:rFonts w:cs="宋体"/>
          <w:color w:val="auto"/>
          <w:szCs w:val="21"/>
          <w:highlight w:val="none"/>
        </w:rPr>
      </w:pPr>
      <w:r>
        <w:rPr>
          <w:rFonts w:hint="eastAsia" w:cs="宋体"/>
          <w:color w:val="auto"/>
          <w:szCs w:val="21"/>
          <w:highlight w:val="none"/>
        </w:rPr>
        <w:t>其他招投标过程中的相关材料</w:t>
      </w:r>
    </w:p>
    <w:p w14:paraId="09F12327">
      <w:pPr>
        <w:pStyle w:val="16"/>
        <w:numPr>
          <w:ilvl w:val="0"/>
          <w:numId w:val="25"/>
        </w:numPr>
        <w:spacing w:line="360" w:lineRule="auto"/>
        <w:ind w:firstLine="420" w:firstLineChars="200"/>
        <w:rPr>
          <w:rFonts w:cs="宋体"/>
          <w:color w:val="auto"/>
          <w:szCs w:val="21"/>
          <w:highlight w:val="none"/>
        </w:rPr>
      </w:pPr>
      <w:r>
        <w:rPr>
          <w:rFonts w:hint="eastAsia" w:cs="宋体"/>
          <w:color w:val="auto"/>
          <w:szCs w:val="21"/>
          <w:highlight w:val="none"/>
        </w:rPr>
        <w:t>上述合同文件互相补充和解释。如果合同文件之间存在矛盾或者不一致之处，以上述文件的排列顺序在先者为准。</w:t>
      </w:r>
    </w:p>
    <w:p w14:paraId="32AC7B4B">
      <w:pPr>
        <w:pStyle w:val="4"/>
        <w:numPr>
          <w:ilvl w:val="0"/>
          <w:numId w:val="26"/>
        </w:numPr>
        <w:jc w:val="both"/>
        <w:rPr>
          <w:rFonts w:ascii="宋体" w:hAnsi="宋体" w:cs="宋体"/>
          <w:color w:val="auto"/>
          <w:sz w:val="21"/>
          <w:szCs w:val="21"/>
          <w:highlight w:val="none"/>
        </w:rPr>
      </w:pPr>
      <w:bookmarkStart w:id="184" w:name="_Toc177716545"/>
      <w:r>
        <w:rPr>
          <w:rFonts w:hint="eastAsia" w:ascii="宋体" w:hAnsi="宋体" w:cs="宋体"/>
          <w:color w:val="auto"/>
          <w:sz w:val="21"/>
          <w:szCs w:val="21"/>
          <w:highlight w:val="none"/>
        </w:rPr>
        <w:t>其他</w:t>
      </w:r>
    </w:p>
    <w:p w14:paraId="31CE046B">
      <w:pPr>
        <w:numPr>
          <w:ilvl w:val="0"/>
          <w:numId w:val="27"/>
        </w:num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本合同一式</w:t>
      </w:r>
      <w:r>
        <w:rPr>
          <w:rFonts w:hint="eastAsia" w:ascii="宋体" w:hAnsi="宋体" w:cs="宋体"/>
          <w:color w:val="auto"/>
          <w:szCs w:val="21"/>
          <w:highlight w:val="none"/>
          <w:u w:val="single"/>
        </w:rPr>
        <w:t xml:space="preserve"> 伍 </w:t>
      </w:r>
      <w:r>
        <w:rPr>
          <w:rFonts w:hint="eastAsia" w:ascii="宋体" w:hAnsi="宋体" w:cs="宋体"/>
          <w:color w:val="auto"/>
          <w:szCs w:val="21"/>
          <w:highlight w:val="none"/>
        </w:rPr>
        <w:t>份，具有同等法律效力，采购代理机构</w:t>
      </w:r>
      <w:r>
        <w:rPr>
          <w:rFonts w:hint="eastAsia" w:ascii="宋体" w:hAnsi="宋体" w:cs="宋体"/>
          <w:color w:val="auto"/>
          <w:szCs w:val="21"/>
          <w:highlight w:val="none"/>
          <w:u w:val="single"/>
        </w:rPr>
        <w:t xml:space="preserve"> 壹 </w:t>
      </w:r>
      <w:r>
        <w:rPr>
          <w:rFonts w:hint="eastAsia" w:ascii="宋体" w:hAnsi="宋体" w:cs="宋体"/>
          <w:color w:val="auto"/>
          <w:szCs w:val="21"/>
          <w:highlight w:val="none"/>
        </w:rPr>
        <w:t>份，甲</w:t>
      </w:r>
      <w:r>
        <w:rPr>
          <w:rFonts w:hint="eastAsia" w:ascii="宋体" w:hAnsi="宋体" w:cs="宋体"/>
          <w:color w:val="auto"/>
          <w:szCs w:val="21"/>
          <w:highlight w:val="none"/>
          <w:u w:val="single"/>
        </w:rPr>
        <w:t xml:space="preserve"> 贰 </w:t>
      </w:r>
      <w:r>
        <w:rPr>
          <w:rFonts w:hint="eastAsia" w:ascii="宋体" w:hAnsi="宋体" w:cs="宋体"/>
          <w:color w:val="auto"/>
          <w:szCs w:val="21"/>
          <w:highlight w:val="none"/>
        </w:rPr>
        <w:t>份，乙</w:t>
      </w:r>
      <w:r>
        <w:rPr>
          <w:rFonts w:hint="eastAsia" w:ascii="宋体" w:hAnsi="宋体" w:cs="宋体"/>
          <w:color w:val="auto"/>
          <w:szCs w:val="21"/>
          <w:highlight w:val="none"/>
          <w:u w:val="single"/>
        </w:rPr>
        <w:t xml:space="preserve"> 贰 </w:t>
      </w:r>
      <w:r>
        <w:rPr>
          <w:rFonts w:hint="eastAsia" w:ascii="宋体" w:hAnsi="宋体" w:cs="宋体"/>
          <w:color w:val="auto"/>
          <w:szCs w:val="21"/>
          <w:highlight w:val="none"/>
        </w:rPr>
        <w:t>份。</w:t>
      </w:r>
      <w:bookmarkEnd w:id="184"/>
    </w:p>
    <w:p w14:paraId="0426446B">
      <w:pPr>
        <w:numPr>
          <w:ilvl w:val="0"/>
          <w:numId w:val="27"/>
        </w:num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本合同自签订之日起2个工作日内，甲方应当将采购合同在同级财政部门指定的媒体上公告。</w:t>
      </w:r>
    </w:p>
    <w:p w14:paraId="61D3E3C4">
      <w:pPr>
        <w:rPr>
          <w:rFonts w:ascii="宋体" w:hAnsi="宋体" w:cs="宋体"/>
          <w:color w:val="auto"/>
          <w:szCs w:val="21"/>
          <w:highlight w:val="none"/>
        </w:rPr>
      </w:pPr>
      <w:r>
        <w:rPr>
          <w:rFonts w:hint="eastAsia" w:ascii="宋体" w:hAnsi="宋体" w:cs="宋体"/>
          <w:color w:val="auto"/>
          <w:szCs w:val="21"/>
          <w:highlight w:val="none"/>
        </w:rPr>
        <w:br w:type="page"/>
      </w:r>
    </w:p>
    <w:p w14:paraId="2831AF4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（以下无正文）</w:t>
      </w:r>
    </w:p>
    <w:tbl>
      <w:tblPr>
        <w:tblStyle w:val="30"/>
        <w:tblpPr w:leftFromText="180" w:rightFromText="180" w:vertAnchor="text" w:horzAnchor="margin" w:tblpXSpec="center" w:tblpY="2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2"/>
        <w:gridCol w:w="4583"/>
      </w:tblGrid>
      <w:tr w14:paraId="24EF3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80" w:hRule="atLeast"/>
          <w:jc w:val="center"/>
        </w:trPr>
        <w:tc>
          <w:tcPr>
            <w:tcW w:w="4582" w:type="dxa"/>
            <w:tcBorders>
              <w:top w:val="single" w:color="auto" w:sz="4" w:space="0"/>
              <w:left w:val="single" w:color="auto" w:sz="4" w:space="0"/>
              <w:bottom w:val="single" w:color="auto" w:sz="4" w:space="0"/>
              <w:right w:val="single" w:color="auto" w:sz="4" w:space="0"/>
            </w:tcBorders>
            <w:vAlign w:val="center"/>
          </w:tcPr>
          <w:p w14:paraId="0F2FC7F4">
            <w:pPr>
              <w:spacing w:line="360" w:lineRule="auto"/>
              <w:rPr>
                <w:rFonts w:ascii="宋体" w:hAnsi="宋体" w:cs="宋体"/>
                <w:color w:val="auto"/>
                <w:szCs w:val="21"/>
                <w:highlight w:val="none"/>
              </w:rPr>
            </w:pPr>
            <w:r>
              <w:rPr>
                <w:rFonts w:hint="eastAsia" w:ascii="宋体" w:hAnsi="宋体" w:cs="宋体"/>
                <w:color w:val="auto"/>
                <w:szCs w:val="21"/>
                <w:highlight w:val="none"/>
              </w:rPr>
              <w:t>甲方：（章）</w:t>
            </w:r>
          </w:p>
          <w:p w14:paraId="0454EEE2">
            <w:pPr>
              <w:spacing w:line="360" w:lineRule="auto"/>
              <w:rPr>
                <w:rFonts w:ascii="宋体" w:hAnsi="宋体" w:cs="宋体"/>
                <w:color w:val="auto"/>
                <w:szCs w:val="21"/>
                <w:highlight w:val="none"/>
              </w:rPr>
            </w:pPr>
          </w:p>
          <w:p w14:paraId="11542212">
            <w:pPr>
              <w:spacing w:line="360" w:lineRule="auto"/>
              <w:rPr>
                <w:rFonts w:ascii="宋体" w:hAnsi="宋体" w:cs="宋体"/>
                <w:color w:val="auto"/>
                <w:szCs w:val="21"/>
                <w:highlight w:val="none"/>
              </w:rPr>
            </w:pPr>
          </w:p>
          <w:p w14:paraId="28995165">
            <w:pPr>
              <w:spacing w:line="360" w:lineRule="auto"/>
              <w:ind w:firstLine="945" w:firstLineChars="450"/>
              <w:jc w:val="right"/>
              <w:rPr>
                <w:rFonts w:ascii="宋体" w:hAnsi="宋体" w:cs="宋体"/>
                <w:color w:val="auto"/>
                <w:szCs w:val="21"/>
                <w:highlight w:val="none"/>
              </w:rPr>
            </w:pPr>
          </w:p>
          <w:p w14:paraId="5DC2063C">
            <w:pPr>
              <w:spacing w:line="360" w:lineRule="auto"/>
              <w:ind w:firstLine="945" w:firstLineChars="450"/>
              <w:jc w:val="right"/>
              <w:rPr>
                <w:rFonts w:ascii="宋体" w:hAnsi="宋体" w:cs="宋体"/>
                <w:color w:val="auto"/>
                <w:szCs w:val="21"/>
                <w:highlight w:val="none"/>
              </w:rPr>
            </w:pPr>
            <w:r>
              <w:rPr>
                <w:rFonts w:hint="eastAsia" w:ascii="宋体" w:hAnsi="宋体" w:cs="宋体"/>
                <w:color w:val="auto"/>
                <w:szCs w:val="21"/>
                <w:highlight w:val="none"/>
              </w:rPr>
              <w:t>年   月   日</w:t>
            </w:r>
          </w:p>
        </w:tc>
        <w:tc>
          <w:tcPr>
            <w:tcW w:w="4583" w:type="dxa"/>
            <w:tcBorders>
              <w:top w:val="single" w:color="auto" w:sz="4" w:space="0"/>
              <w:left w:val="single" w:color="auto" w:sz="4" w:space="0"/>
              <w:bottom w:val="single" w:color="auto" w:sz="4" w:space="0"/>
              <w:right w:val="single" w:color="auto" w:sz="4" w:space="0"/>
            </w:tcBorders>
            <w:vAlign w:val="center"/>
          </w:tcPr>
          <w:p w14:paraId="05BE584D">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乙方：（章）       </w:t>
            </w:r>
          </w:p>
          <w:p w14:paraId="50739AB7">
            <w:pPr>
              <w:spacing w:line="360" w:lineRule="auto"/>
              <w:rPr>
                <w:rFonts w:ascii="宋体" w:hAnsi="宋体" w:cs="宋体"/>
                <w:color w:val="auto"/>
                <w:szCs w:val="21"/>
                <w:highlight w:val="none"/>
              </w:rPr>
            </w:pPr>
          </w:p>
          <w:p w14:paraId="040F9A9C">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w:t>
            </w:r>
          </w:p>
          <w:p w14:paraId="35F1F73F">
            <w:pPr>
              <w:spacing w:line="360" w:lineRule="auto"/>
              <w:jc w:val="right"/>
              <w:rPr>
                <w:rFonts w:ascii="宋体" w:hAnsi="宋体" w:cs="宋体"/>
                <w:color w:val="auto"/>
                <w:szCs w:val="21"/>
                <w:highlight w:val="none"/>
              </w:rPr>
            </w:pPr>
          </w:p>
          <w:p w14:paraId="37E82773">
            <w:pPr>
              <w:spacing w:line="360" w:lineRule="auto"/>
              <w:jc w:val="right"/>
              <w:rPr>
                <w:rFonts w:ascii="宋体" w:hAnsi="宋体" w:cs="宋体"/>
                <w:color w:val="auto"/>
                <w:szCs w:val="21"/>
                <w:highlight w:val="none"/>
              </w:rPr>
            </w:pPr>
            <w:r>
              <w:rPr>
                <w:rFonts w:hint="eastAsia" w:ascii="宋体" w:hAnsi="宋体" w:cs="宋体"/>
                <w:color w:val="auto"/>
                <w:szCs w:val="21"/>
                <w:highlight w:val="none"/>
              </w:rPr>
              <w:t xml:space="preserve"> 年   月   日</w:t>
            </w:r>
          </w:p>
        </w:tc>
      </w:tr>
      <w:tr w14:paraId="7F376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4" w:hRule="atLeast"/>
          <w:jc w:val="center"/>
        </w:trPr>
        <w:tc>
          <w:tcPr>
            <w:tcW w:w="4582" w:type="dxa"/>
            <w:tcBorders>
              <w:top w:val="single" w:color="auto" w:sz="4" w:space="0"/>
              <w:left w:val="single" w:color="auto" w:sz="4" w:space="0"/>
              <w:bottom w:val="single" w:color="auto" w:sz="4" w:space="0"/>
              <w:right w:val="single" w:color="auto" w:sz="4" w:space="0"/>
            </w:tcBorders>
            <w:vAlign w:val="center"/>
          </w:tcPr>
          <w:p w14:paraId="66044F31">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单位地址： </w:t>
            </w:r>
          </w:p>
        </w:tc>
        <w:tc>
          <w:tcPr>
            <w:tcW w:w="4583" w:type="dxa"/>
            <w:tcBorders>
              <w:top w:val="single" w:color="auto" w:sz="4" w:space="0"/>
              <w:left w:val="single" w:color="auto" w:sz="4" w:space="0"/>
              <w:bottom w:val="single" w:color="auto" w:sz="4" w:space="0"/>
              <w:right w:val="single" w:color="auto" w:sz="4" w:space="0"/>
            </w:tcBorders>
            <w:vAlign w:val="center"/>
          </w:tcPr>
          <w:p w14:paraId="59CA492D">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单位地址： </w:t>
            </w:r>
          </w:p>
        </w:tc>
      </w:tr>
      <w:tr w14:paraId="7ABB2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4" w:hRule="atLeast"/>
          <w:jc w:val="center"/>
        </w:trPr>
        <w:tc>
          <w:tcPr>
            <w:tcW w:w="4582" w:type="dxa"/>
            <w:tcBorders>
              <w:top w:val="single" w:color="auto" w:sz="4" w:space="0"/>
              <w:left w:val="single" w:color="auto" w:sz="4" w:space="0"/>
              <w:bottom w:val="single" w:color="auto" w:sz="4" w:space="0"/>
              <w:right w:val="single" w:color="auto" w:sz="4" w:space="0"/>
            </w:tcBorders>
            <w:vAlign w:val="center"/>
          </w:tcPr>
          <w:p w14:paraId="297666C6">
            <w:pPr>
              <w:spacing w:line="360" w:lineRule="auto"/>
              <w:rPr>
                <w:rFonts w:ascii="宋体" w:hAnsi="宋体" w:cs="宋体"/>
                <w:color w:val="auto"/>
                <w:szCs w:val="21"/>
                <w:highlight w:val="none"/>
              </w:rPr>
            </w:pPr>
            <w:r>
              <w:rPr>
                <w:rFonts w:hint="eastAsia" w:ascii="宋体" w:hAnsi="宋体" w:cs="宋体"/>
                <w:color w:val="auto"/>
                <w:szCs w:val="21"/>
                <w:highlight w:val="none"/>
              </w:rPr>
              <w:t>法定代表人（负责人）：</w:t>
            </w:r>
          </w:p>
        </w:tc>
        <w:tc>
          <w:tcPr>
            <w:tcW w:w="4583" w:type="dxa"/>
            <w:tcBorders>
              <w:top w:val="single" w:color="auto" w:sz="4" w:space="0"/>
              <w:left w:val="single" w:color="auto" w:sz="4" w:space="0"/>
              <w:bottom w:val="single" w:color="auto" w:sz="4" w:space="0"/>
              <w:right w:val="single" w:color="auto" w:sz="4" w:space="0"/>
            </w:tcBorders>
            <w:vAlign w:val="center"/>
          </w:tcPr>
          <w:p w14:paraId="3478096B">
            <w:pPr>
              <w:spacing w:line="360" w:lineRule="auto"/>
              <w:rPr>
                <w:rFonts w:ascii="宋体" w:hAnsi="宋体" w:cs="宋体"/>
                <w:color w:val="auto"/>
                <w:szCs w:val="21"/>
                <w:highlight w:val="none"/>
              </w:rPr>
            </w:pPr>
            <w:r>
              <w:rPr>
                <w:rFonts w:hint="eastAsia" w:ascii="宋体" w:hAnsi="宋体" w:cs="宋体"/>
                <w:color w:val="auto"/>
                <w:szCs w:val="21"/>
                <w:highlight w:val="none"/>
              </w:rPr>
              <w:t>法定代表人（负责人）：</w:t>
            </w:r>
          </w:p>
        </w:tc>
      </w:tr>
      <w:tr w14:paraId="6B515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4" w:hRule="atLeast"/>
          <w:jc w:val="center"/>
        </w:trPr>
        <w:tc>
          <w:tcPr>
            <w:tcW w:w="4582" w:type="dxa"/>
            <w:tcBorders>
              <w:top w:val="single" w:color="auto" w:sz="4" w:space="0"/>
              <w:left w:val="single" w:color="auto" w:sz="4" w:space="0"/>
              <w:bottom w:val="single" w:color="auto" w:sz="4" w:space="0"/>
              <w:right w:val="single" w:color="auto" w:sz="4" w:space="0"/>
            </w:tcBorders>
            <w:vAlign w:val="center"/>
          </w:tcPr>
          <w:p w14:paraId="5D3DA08E">
            <w:pPr>
              <w:spacing w:line="360" w:lineRule="auto"/>
              <w:rPr>
                <w:rFonts w:ascii="宋体" w:hAnsi="宋体" w:cs="宋体"/>
                <w:color w:val="auto"/>
                <w:szCs w:val="21"/>
                <w:highlight w:val="none"/>
              </w:rPr>
            </w:pPr>
            <w:r>
              <w:rPr>
                <w:rFonts w:hint="eastAsia" w:ascii="宋体" w:hAnsi="宋体" w:cs="宋体"/>
                <w:color w:val="auto"/>
                <w:szCs w:val="21"/>
                <w:highlight w:val="none"/>
              </w:rPr>
              <w:t>（或）委托代理人：</w:t>
            </w:r>
          </w:p>
        </w:tc>
        <w:tc>
          <w:tcPr>
            <w:tcW w:w="4583" w:type="dxa"/>
            <w:tcBorders>
              <w:top w:val="single" w:color="auto" w:sz="4" w:space="0"/>
              <w:left w:val="single" w:color="auto" w:sz="4" w:space="0"/>
              <w:bottom w:val="single" w:color="auto" w:sz="4" w:space="0"/>
              <w:right w:val="single" w:color="auto" w:sz="4" w:space="0"/>
            </w:tcBorders>
            <w:vAlign w:val="center"/>
          </w:tcPr>
          <w:p w14:paraId="3C9646DC">
            <w:pPr>
              <w:spacing w:line="360" w:lineRule="auto"/>
              <w:rPr>
                <w:rFonts w:ascii="宋体" w:hAnsi="宋体" w:cs="宋体"/>
                <w:color w:val="auto"/>
                <w:szCs w:val="21"/>
                <w:highlight w:val="none"/>
              </w:rPr>
            </w:pPr>
            <w:r>
              <w:rPr>
                <w:rFonts w:hint="eastAsia" w:ascii="宋体" w:hAnsi="宋体" w:cs="宋体"/>
                <w:color w:val="auto"/>
                <w:szCs w:val="21"/>
                <w:highlight w:val="none"/>
              </w:rPr>
              <w:t>（或）委托代理人：</w:t>
            </w:r>
          </w:p>
        </w:tc>
      </w:tr>
      <w:tr w14:paraId="1557A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4" w:hRule="atLeast"/>
          <w:jc w:val="center"/>
        </w:trPr>
        <w:tc>
          <w:tcPr>
            <w:tcW w:w="4582" w:type="dxa"/>
            <w:tcBorders>
              <w:top w:val="single" w:color="auto" w:sz="4" w:space="0"/>
              <w:left w:val="single" w:color="auto" w:sz="4" w:space="0"/>
              <w:bottom w:val="single" w:color="auto" w:sz="4" w:space="0"/>
              <w:right w:val="single" w:color="auto" w:sz="4" w:space="0"/>
            </w:tcBorders>
            <w:vAlign w:val="center"/>
          </w:tcPr>
          <w:p w14:paraId="1EB0C537">
            <w:pPr>
              <w:spacing w:line="360" w:lineRule="auto"/>
              <w:rPr>
                <w:rFonts w:ascii="宋体" w:hAnsi="宋体" w:cs="宋体"/>
                <w:color w:val="auto"/>
                <w:szCs w:val="21"/>
                <w:highlight w:val="none"/>
              </w:rPr>
            </w:pPr>
            <w:r>
              <w:rPr>
                <w:rFonts w:hint="eastAsia" w:ascii="宋体" w:hAnsi="宋体" w:cs="宋体"/>
                <w:color w:val="auto"/>
                <w:szCs w:val="21"/>
                <w:highlight w:val="none"/>
              </w:rPr>
              <w:t>电话：</w:t>
            </w:r>
          </w:p>
        </w:tc>
        <w:tc>
          <w:tcPr>
            <w:tcW w:w="4583" w:type="dxa"/>
            <w:tcBorders>
              <w:top w:val="single" w:color="auto" w:sz="4" w:space="0"/>
              <w:left w:val="single" w:color="auto" w:sz="4" w:space="0"/>
              <w:bottom w:val="single" w:color="auto" w:sz="4" w:space="0"/>
              <w:right w:val="single" w:color="auto" w:sz="4" w:space="0"/>
            </w:tcBorders>
            <w:vAlign w:val="center"/>
          </w:tcPr>
          <w:p w14:paraId="141BA8CD">
            <w:pPr>
              <w:spacing w:line="360" w:lineRule="auto"/>
              <w:rPr>
                <w:rFonts w:ascii="宋体" w:hAnsi="宋体" w:cs="宋体"/>
                <w:color w:val="auto"/>
                <w:szCs w:val="21"/>
                <w:highlight w:val="none"/>
              </w:rPr>
            </w:pPr>
            <w:r>
              <w:rPr>
                <w:rFonts w:hint="eastAsia" w:ascii="宋体" w:hAnsi="宋体" w:cs="宋体"/>
                <w:color w:val="auto"/>
                <w:szCs w:val="21"/>
                <w:highlight w:val="none"/>
              </w:rPr>
              <w:t>电话：</w:t>
            </w:r>
          </w:p>
        </w:tc>
      </w:tr>
      <w:tr w14:paraId="4511C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4" w:hRule="atLeast"/>
          <w:jc w:val="center"/>
        </w:trPr>
        <w:tc>
          <w:tcPr>
            <w:tcW w:w="4582" w:type="dxa"/>
            <w:tcBorders>
              <w:top w:val="single" w:color="auto" w:sz="4" w:space="0"/>
              <w:left w:val="single" w:color="auto" w:sz="4" w:space="0"/>
              <w:bottom w:val="single" w:color="auto" w:sz="4" w:space="0"/>
              <w:right w:val="single" w:color="auto" w:sz="4" w:space="0"/>
            </w:tcBorders>
            <w:vAlign w:val="center"/>
          </w:tcPr>
          <w:p w14:paraId="279BCD58">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开户银行： </w:t>
            </w:r>
          </w:p>
        </w:tc>
        <w:tc>
          <w:tcPr>
            <w:tcW w:w="4583" w:type="dxa"/>
            <w:tcBorders>
              <w:top w:val="single" w:color="auto" w:sz="4" w:space="0"/>
              <w:left w:val="single" w:color="auto" w:sz="4" w:space="0"/>
              <w:bottom w:val="single" w:color="auto" w:sz="4" w:space="0"/>
              <w:right w:val="single" w:color="auto" w:sz="4" w:space="0"/>
            </w:tcBorders>
            <w:vAlign w:val="center"/>
          </w:tcPr>
          <w:p w14:paraId="215CDF06">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开户银行： </w:t>
            </w:r>
          </w:p>
        </w:tc>
      </w:tr>
      <w:tr w14:paraId="4B5B2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4" w:hRule="atLeast"/>
          <w:jc w:val="center"/>
        </w:trPr>
        <w:tc>
          <w:tcPr>
            <w:tcW w:w="4582" w:type="dxa"/>
            <w:tcBorders>
              <w:top w:val="single" w:color="auto" w:sz="4" w:space="0"/>
              <w:left w:val="single" w:color="auto" w:sz="4" w:space="0"/>
              <w:bottom w:val="single" w:color="auto" w:sz="4" w:space="0"/>
              <w:right w:val="single" w:color="auto" w:sz="4" w:space="0"/>
            </w:tcBorders>
            <w:vAlign w:val="center"/>
          </w:tcPr>
          <w:p w14:paraId="771BB4FB">
            <w:pPr>
              <w:spacing w:line="360" w:lineRule="auto"/>
              <w:rPr>
                <w:rFonts w:ascii="宋体" w:hAnsi="宋体" w:cs="宋体"/>
                <w:color w:val="auto"/>
                <w:szCs w:val="21"/>
                <w:highlight w:val="none"/>
              </w:rPr>
            </w:pPr>
            <w:r>
              <w:rPr>
                <w:rFonts w:hint="eastAsia" w:ascii="宋体" w:hAnsi="宋体" w:cs="宋体"/>
                <w:color w:val="auto"/>
                <w:szCs w:val="21"/>
                <w:highlight w:val="none"/>
              </w:rPr>
              <w:t>账号：</w:t>
            </w:r>
          </w:p>
        </w:tc>
        <w:tc>
          <w:tcPr>
            <w:tcW w:w="4583" w:type="dxa"/>
            <w:tcBorders>
              <w:top w:val="single" w:color="auto" w:sz="4" w:space="0"/>
              <w:left w:val="single" w:color="auto" w:sz="4" w:space="0"/>
              <w:bottom w:val="single" w:color="auto" w:sz="4" w:space="0"/>
              <w:right w:val="single" w:color="auto" w:sz="4" w:space="0"/>
            </w:tcBorders>
            <w:vAlign w:val="center"/>
          </w:tcPr>
          <w:p w14:paraId="542707DF">
            <w:pPr>
              <w:spacing w:line="360" w:lineRule="auto"/>
              <w:rPr>
                <w:rFonts w:ascii="宋体" w:hAnsi="宋体" w:cs="宋体"/>
                <w:color w:val="auto"/>
                <w:szCs w:val="21"/>
                <w:highlight w:val="none"/>
              </w:rPr>
            </w:pPr>
            <w:r>
              <w:rPr>
                <w:rFonts w:hint="eastAsia" w:ascii="宋体" w:hAnsi="宋体" w:cs="宋体"/>
                <w:color w:val="auto"/>
                <w:szCs w:val="21"/>
                <w:highlight w:val="none"/>
              </w:rPr>
              <w:t>账号：</w:t>
            </w:r>
          </w:p>
        </w:tc>
      </w:tr>
      <w:tr w14:paraId="0ACB2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4" w:hRule="atLeast"/>
          <w:jc w:val="center"/>
        </w:trPr>
        <w:tc>
          <w:tcPr>
            <w:tcW w:w="4582" w:type="dxa"/>
            <w:tcBorders>
              <w:top w:val="single" w:color="auto" w:sz="4" w:space="0"/>
              <w:left w:val="single" w:color="auto" w:sz="4" w:space="0"/>
              <w:bottom w:val="single" w:color="auto" w:sz="4" w:space="0"/>
              <w:right w:val="single" w:color="auto" w:sz="4" w:space="0"/>
            </w:tcBorders>
            <w:vAlign w:val="center"/>
          </w:tcPr>
          <w:p w14:paraId="764C214B">
            <w:pPr>
              <w:spacing w:line="360" w:lineRule="auto"/>
              <w:rPr>
                <w:rFonts w:ascii="宋体" w:hAnsi="宋体" w:cs="宋体"/>
                <w:color w:val="auto"/>
                <w:szCs w:val="21"/>
                <w:highlight w:val="none"/>
              </w:rPr>
            </w:pPr>
            <w:r>
              <w:rPr>
                <w:rFonts w:hint="eastAsia" w:ascii="宋体" w:hAnsi="宋体" w:cs="宋体"/>
                <w:color w:val="auto"/>
                <w:szCs w:val="21"/>
                <w:highlight w:val="none"/>
              </w:rPr>
              <w:t>邮政编码：</w:t>
            </w:r>
          </w:p>
        </w:tc>
        <w:tc>
          <w:tcPr>
            <w:tcW w:w="4583" w:type="dxa"/>
            <w:tcBorders>
              <w:top w:val="single" w:color="auto" w:sz="4" w:space="0"/>
              <w:left w:val="single" w:color="auto" w:sz="4" w:space="0"/>
              <w:bottom w:val="single" w:color="auto" w:sz="4" w:space="0"/>
              <w:right w:val="single" w:color="auto" w:sz="4" w:space="0"/>
            </w:tcBorders>
            <w:vAlign w:val="center"/>
          </w:tcPr>
          <w:p w14:paraId="07540D84">
            <w:pPr>
              <w:spacing w:line="360" w:lineRule="auto"/>
              <w:rPr>
                <w:rFonts w:ascii="宋体" w:hAnsi="宋体" w:cs="宋体"/>
                <w:color w:val="auto"/>
                <w:szCs w:val="21"/>
                <w:highlight w:val="none"/>
              </w:rPr>
            </w:pPr>
            <w:r>
              <w:rPr>
                <w:rFonts w:hint="eastAsia" w:ascii="宋体" w:hAnsi="宋体" w:cs="宋体"/>
                <w:color w:val="auto"/>
                <w:szCs w:val="21"/>
                <w:highlight w:val="none"/>
              </w:rPr>
              <w:t>邮政编码：</w:t>
            </w:r>
          </w:p>
        </w:tc>
      </w:tr>
    </w:tbl>
    <w:p w14:paraId="2B435259">
      <w:pPr>
        <w:snapToGrid w:val="0"/>
        <w:spacing w:line="360" w:lineRule="auto"/>
        <w:jc w:val="center"/>
        <w:rPr>
          <w:rFonts w:ascii="宋体" w:hAnsi="宋体" w:cs="宋体"/>
          <w:b/>
          <w:bCs/>
          <w:color w:val="auto"/>
          <w:szCs w:val="21"/>
          <w:highlight w:val="none"/>
        </w:rPr>
      </w:pPr>
    </w:p>
    <w:p w14:paraId="4CBE308E">
      <w:pPr>
        <w:pStyle w:val="13"/>
        <w:spacing w:line="360" w:lineRule="auto"/>
        <w:rPr>
          <w:color w:val="auto"/>
          <w:highlight w:val="none"/>
        </w:rPr>
      </w:pPr>
    </w:p>
    <w:p w14:paraId="5910C6D6">
      <w:pPr>
        <w:spacing w:line="360" w:lineRule="auto"/>
        <w:rPr>
          <w:color w:val="auto"/>
          <w:highlight w:val="none"/>
        </w:rPr>
      </w:pPr>
    </w:p>
    <w:p w14:paraId="603BDAA8">
      <w:pPr>
        <w:spacing w:line="360" w:lineRule="auto"/>
        <w:rPr>
          <w:color w:val="auto"/>
          <w:highlight w:val="none"/>
        </w:rPr>
      </w:pPr>
    </w:p>
    <w:p w14:paraId="413E1070">
      <w:pPr>
        <w:spacing w:line="360" w:lineRule="auto"/>
        <w:rPr>
          <w:color w:val="auto"/>
          <w:highlight w:val="none"/>
        </w:rPr>
        <w:sectPr>
          <w:pgSz w:w="11906" w:h="16838"/>
          <w:pgMar w:top="1440" w:right="1080" w:bottom="1440" w:left="1080" w:header="720" w:footer="720" w:gutter="0"/>
          <w:pgBorders>
            <w:top w:val="none" w:sz="0" w:space="0"/>
            <w:left w:val="none" w:sz="0" w:space="0"/>
            <w:bottom w:val="none" w:sz="0" w:space="0"/>
            <w:right w:val="none" w:sz="0" w:space="0"/>
          </w:pgBorders>
          <w:cols w:space="720" w:num="1"/>
          <w:docGrid w:linePitch="331" w:charSpace="0"/>
        </w:sectPr>
      </w:pPr>
    </w:p>
    <w:p w14:paraId="6A97573B">
      <w:pPr>
        <w:pStyle w:val="16"/>
        <w:keepNext/>
        <w:keepLines/>
        <w:tabs>
          <w:tab w:val="left" w:pos="2472"/>
        </w:tabs>
        <w:spacing w:line="360" w:lineRule="auto"/>
        <w:ind w:firstLine="723"/>
        <w:jc w:val="center"/>
        <w:outlineLvl w:val="0"/>
        <w:rPr>
          <w:rFonts w:cs="宋体"/>
          <w:b/>
          <w:color w:val="auto"/>
          <w:sz w:val="36"/>
          <w:highlight w:val="none"/>
        </w:rPr>
      </w:pPr>
      <w:bookmarkStart w:id="185" w:name="_Toc1321"/>
      <w:bookmarkStart w:id="186" w:name="_Toc177716546"/>
      <w:r>
        <w:rPr>
          <w:rFonts w:hint="eastAsia" w:cs="宋体"/>
          <w:b/>
          <w:color w:val="auto"/>
          <w:sz w:val="36"/>
          <w:highlight w:val="none"/>
        </w:rPr>
        <w:t>第六章  投标文件格式</w:t>
      </w:r>
      <w:bookmarkEnd w:id="185"/>
      <w:bookmarkEnd w:id="186"/>
    </w:p>
    <w:p w14:paraId="7C206CA1">
      <w:pPr>
        <w:keepNext/>
        <w:keepLines/>
        <w:spacing w:line="360" w:lineRule="auto"/>
        <w:rPr>
          <w:rFonts w:ascii="宋体" w:hAnsi="宋体" w:cs="宋体"/>
          <w:color w:val="auto"/>
          <w:highlight w:val="none"/>
        </w:rPr>
      </w:pPr>
    </w:p>
    <w:p w14:paraId="44E65EF3">
      <w:pPr>
        <w:keepNext/>
        <w:keepLines/>
        <w:spacing w:line="360" w:lineRule="auto"/>
        <w:rPr>
          <w:color w:val="auto"/>
          <w:highlight w:val="none"/>
        </w:rPr>
      </w:pPr>
      <w:bookmarkStart w:id="187" w:name="_Toc30137"/>
      <w:bookmarkStart w:id="188" w:name="_Toc30977"/>
    </w:p>
    <w:p w14:paraId="1769FC30">
      <w:pPr>
        <w:keepNext/>
        <w:keepLines/>
        <w:spacing w:line="360" w:lineRule="auto"/>
        <w:rPr>
          <w:color w:val="auto"/>
          <w:highlight w:val="none"/>
        </w:rPr>
      </w:pPr>
    </w:p>
    <w:p w14:paraId="5F8E739B">
      <w:pPr>
        <w:keepNext/>
        <w:keepLines/>
        <w:spacing w:line="360" w:lineRule="auto"/>
        <w:rPr>
          <w:color w:val="auto"/>
          <w:highlight w:val="none"/>
        </w:rPr>
      </w:pPr>
    </w:p>
    <w:p w14:paraId="52FF671B">
      <w:pPr>
        <w:pStyle w:val="16"/>
        <w:keepNext/>
        <w:keepLines/>
        <w:spacing w:line="360" w:lineRule="auto"/>
        <w:ind w:firstLine="562"/>
        <w:jc w:val="center"/>
        <w:outlineLvl w:val="1"/>
        <w:rPr>
          <w:rFonts w:cs="宋体"/>
          <w:b/>
          <w:bCs/>
          <w:color w:val="auto"/>
          <w:sz w:val="28"/>
          <w:szCs w:val="28"/>
          <w:highlight w:val="none"/>
        </w:rPr>
      </w:pPr>
      <w:bookmarkStart w:id="189" w:name="_Toc177716547"/>
      <w:r>
        <w:rPr>
          <w:rFonts w:hint="eastAsia" w:cs="宋体"/>
          <w:b/>
          <w:bCs/>
          <w:color w:val="auto"/>
          <w:sz w:val="28"/>
          <w:szCs w:val="28"/>
          <w:highlight w:val="none"/>
        </w:rPr>
        <w:t>第一节 投标文件外层包装封面</w:t>
      </w:r>
      <w:bookmarkEnd w:id="187"/>
      <w:bookmarkEnd w:id="188"/>
      <w:bookmarkEnd w:id="189"/>
    </w:p>
    <w:p w14:paraId="5E84D577">
      <w:pPr>
        <w:keepNext/>
        <w:keepLines/>
        <w:spacing w:before="120" w:beforeLines="50" w:after="120" w:afterLines="50" w:line="360" w:lineRule="auto"/>
        <w:jc w:val="center"/>
        <w:rPr>
          <w:rFonts w:ascii="宋体" w:hAnsi="宋体" w:cs="宋体"/>
          <w:color w:val="auto"/>
          <w:spacing w:val="20"/>
          <w:sz w:val="44"/>
          <w:szCs w:val="44"/>
          <w:highlight w:val="none"/>
        </w:rPr>
      </w:pPr>
    </w:p>
    <w:p w14:paraId="67D5B729">
      <w:pPr>
        <w:keepNext/>
        <w:keepLines/>
        <w:spacing w:before="120" w:beforeLines="50" w:after="120" w:afterLines="50" w:line="360" w:lineRule="auto"/>
        <w:jc w:val="center"/>
        <w:outlineLvl w:val="2"/>
        <w:rPr>
          <w:rFonts w:ascii="宋体" w:hAnsi="宋体" w:cs="宋体"/>
          <w:color w:val="auto"/>
          <w:sz w:val="44"/>
          <w:szCs w:val="44"/>
          <w:highlight w:val="none"/>
        </w:rPr>
      </w:pPr>
      <w:r>
        <w:rPr>
          <w:rFonts w:hint="eastAsia" w:ascii="宋体" w:hAnsi="宋体" w:cs="宋体"/>
          <w:color w:val="auto"/>
          <w:sz w:val="44"/>
          <w:szCs w:val="44"/>
          <w:highlight w:val="none"/>
        </w:rPr>
        <w:t>广西公安数字化反电诈平台项目</w:t>
      </w:r>
    </w:p>
    <w:p w14:paraId="24F39977">
      <w:pPr>
        <w:keepNext/>
        <w:keepLines/>
        <w:spacing w:before="120" w:beforeLines="50" w:after="120" w:afterLines="50" w:line="360" w:lineRule="auto"/>
        <w:jc w:val="center"/>
        <w:rPr>
          <w:rFonts w:ascii="宋体" w:hAnsi="宋体" w:cs="宋体"/>
          <w:color w:val="auto"/>
          <w:spacing w:val="40"/>
          <w:w w:val="110"/>
          <w:sz w:val="44"/>
          <w:szCs w:val="44"/>
          <w:highlight w:val="none"/>
        </w:rPr>
      </w:pPr>
    </w:p>
    <w:p w14:paraId="24298F29">
      <w:pPr>
        <w:keepNext/>
        <w:keepLines/>
        <w:spacing w:before="120" w:beforeLines="50" w:after="120" w:afterLines="50" w:line="360" w:lineRule="auto"/>
        <w:jc w:val="center"/>
        <w:rPr>
          <w:rFonts w:ascii="宋体" w:hAnsi="宋体" w:cs="宋体"/>
          <w:color w:val="auto"/>
          <w:spacing w:val="40"/>
          <w:w w:val="110"/>
          <w:sz w:val="44"/>
          <w:szCs w:val="44"/>
          <w:highlight w:val="none"/>
        </w:rPr>
      </w:pPr>
      <w:r>
        <w:rPr>
          <w:rFonts w:hint="eastAsia" w:ascii="宋体" w:hAnsi="宋体" w:cs="宋体"/>
          <w:color w:val="auto"/>
          <w:spacing w:val="40"/>
          <w:w w:val="110"/>
          <w:sz w:val="44"/>
          <w:szCs w:val="44"/>
          <w:highlight w:val="none"/>
        </w:rPr>
        <w:t>投标文件</w:t>
      </w:r>
    </w:p>
    <w:p w14:paraId="63D4B371">
      <w:pPr>
        <w:keepNext/>
        <w:keepLines/>
        <w:spacing w:line="360" w:lineRule="auto"/>
        <w:jc w:val="center"/>
        <w:rPr>
          <w:rFonts w:ascii="宋体" w:hAnsi="宋体" w:cs="宋体"/>
          <w:color w:val="auto"/>
          <w:sz w:val="24"/>
          <w:highlight w:val="none"/>
        </w:rPr>
      </w:pPr>
      <w:r>
        <w:rPr>
          <w:rFonts w:hint="eastAsia" w:ascii="宋体" w:hAnsi="宋体" w:cs="宋体"/>
          <w:color w:val="auto"/>
          <w:sz w:val="24"/>
          <w:highlight w:val="none"/>
        </w:rPr>
        <w:t>（电子投标文件）</w:t>
      </w:r>
    </w:p>
    <w:p w14:paraId="7AD62A08">
      <w:pPr>
        <w:pStyle w:val="10"/>
        <w:keepNext/>
        <w:keepLines/>
        <w:spacing w:line="360" w:lineRule="auto"/>
        <w:rPr>
          <w:color w:val="auto"/>
          <w:highlight w:val="none"/>
        </w:rPr>
      </w:pPr>
    </w:p>
    <w:p w14:paraId="0670D382">
      <w:pPr>
        <w:pStyle w:val="10"/>
        <w:keepNext/>
        <w:keepLines/>
        <w:spacing w:line="360" w:lineRule="auto"/>
        <w:rPr>
          <w:color w:val="auto"/>
          <w:highlight w:val="none"/>
        </w:rPr>
      </w:pPr>
    </w:p>
    <w:p w14:paraId="5B99C0DC">
      <w:pPr>
        <w:pStyle w:val="21"/>
        <w:keepNext/>
        <w:keepLines/>
        <w:spacing w:line="360" w:lineRule="auto"/>
        <w:ind w:left="560" w:hanging="560"/>
        <w:rPr>
          <w:rFonts w:ascii="宋体" w:hAnsi="宋体" w:cs="宋体"/>
          <w:color w:val="auto"/>
          <w:highlight w:val="none"/>
        </w:rPr>
      </w:pPr>
    </w:p>
    <w:tbl>
      <w:tblPr>
        <w:tblStyle w:val="30"/>
        <w:tblW w:w="0" w:type="auto"/>
        <w:jc w:val="center"/>
        <w:tblLayout w:type="fixed"/>
        <w:tblCellMar>
          <w:top w:w="0" w:type="dxa"/>
          <w:left w:w="108" w:type="dxa"/>
          <w:bottom w:w="0" w:type="dxa"/>
          <w:right w:w="108" w:type="dxa"/>
        </w:tblCellMar>
      </w:tblPr>
      <w:tblGrid>
        <w:gridCol w:w="1571"/>
        <w:gridCol w:w="6202"/>
      </w:tblGrid>
      <w:tr w14:paraId="1A9CF3C8">
        <w:tblPrEx>
          <w:tblCellMar>
            <w:top w:w="0" w:type="dxa"/>
            <w:left w:w="108" w:type="dxa"/>
            <w:bottom w:w="0" w:type="dxa"/>
            <w:right w:w="108" w:type="dxa"/>
          </w:tblCellMar>
        </w:tblPrEx>
        <w:trPr>
          <w:trHeight w:val="567" w:hRule="atLeast"/>
          <w:jc w:val="center"/>
        </w:trPr>
        <w:tc>
          <w:tcPr>
            <w:tcW w:w="1571" w:type="dxa"/>
            <w:vAlign w:val="center"/>
          </w:tcPr>
          <w:p w14:paraId="596FD466">
            <w:pPr>
              <w:keepNext/>
              <w:keepLines/>
              <w:spacing w:line="360" w:lineRule="auto"/>
              <w:jc w:val="distribute"/>
              <w:rPr>
                <w:rFonts w:ascii="宋体" w:hAnsi="宋体" w:cs="宋体"/>
                <w:color w:val="auto"/>
                <w:sz w:val="24"/>
                <w:highlight w:val="none"/>
              </w:rPr>
            </w:pPr>
            <w:r>
              <w:rPr>
                <w:rFonts w:hint="eastAsia" w:ascii="宋体" w:hAnsi="宋体" w:cs="宋体"/>
                <w:color w:val="auto"/>
                <w:sz w:val="24"/>
                <w:highlight w:val="none"/>
              </w:rPr>
              <w:t>项目名称：</w:t>
            </w:r>
          </w:p>
        </w:tc>
        <w:tc>
          <w:tcPr>
            <w:tcW w:w="6202" w:type="dxa"/>
            <w:vAlign w:val="center"/>
          </w:tcPr>
          <w:p w14:paraId="274CD07A">
            <w:pPr>
              <w:keepNext/>
              <w:keepLines/>
              <w:spacing w:line="360" w:lineRule="auto"/>
              <w:rPr>
                <w:rFonts w:ascii="宋体" w:hAnsi="宋体" w:cs="宋体"/>
                <w:color w:val="auto"/>
                <w:sz w:val="24"/>
                <w:highlight w:val="none"/>
              </w:rPr>
            </w:pPr>
            <w:r>
              <w:rPr>
                <w:rFonts w:hint="eastAsia" w:ascii="宋体" w:hAnsi="宋体" w:cs="宋体"/>
                <w:color w:val="auto"/>
                <w:sz w:val="24"/>
                <w:highlight w:val="none"/>
              </w:rPr>
              <w:t>广西公安数字化反电诈平台项目</w:t>
            </w:r>
          </w:p>
        </w:tc>
      </w:tr>
      <w:tr w14:paraId="3D586F48">
        <w:tblPrEx>
          <w:tblCellMar>
            <w:top w:w="0" w:type="dxa"/>
            <w:left w:w="108" w:type="dxa"/>
            <w:bottom w:w="0" w:type="dxa"/>
            <w:right w:w="108" w:type="dxa"/>
          </w:tblCellMar>
        </w:tblPrEx>
        <w:trPr>
          <w:trHeight w:val="567" w:hRule="atLeast"/>
          <w:jc w:val="center"/>
        </w:trPr>
        <w:tc>
          <w:tcPr>
            <w:tcW w:w="1571" w:type="dxa"/>
            <w:vAlign w:val="center"/>
          </w:tcPr>
          <w:p w14:paraId="249615EE">
            <w:pPr>
              <w:keepNext/>
              <w:keepLines/>
              <w:spacing w:line="360" w:lineRule="auto"/>
              <w:jc w:val="distribute"/>
              <w:rPr>
                <w:rFonts w:ascii="宋体" w:hAnsi="宋体" w:cs="宋体"/>
                <w:color w:val="auto"/>
                <w:sz w:val="24"/>
                <w:highlight w:val="none"/>
              </w:rPr>
            </w:pPr>
            <w:r>
              <w:rPr>
                <w:rFonts w:hint="eastAsia" w:ascii="宋体" w:hAnsi="宋体" w:cs="宋体"/>
                <w:color w:val="auto"/>
                <w:sz w:val="24"/>
                <w:highlight w:val="none"/>
              </w:rPr>
              <w:t>项目编号：</w:t>
            </w:r>
          </w:p>
        </w:tc>
        <w:tc>
          <w:tcPr>
            <w:tcW w:w="6202" w:type="dxa"/>
            <w:vAlign w:val="center"/>
          </w:tcPr>
          <w:p w14:paraId="0C925BE2">
            <w:pPr>
              <w:keepNext/>
              <w:keepLines/>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GXZC2024-G3-006016-XYGC</w:t>
            </w:r>
          </w:p>
        </w:tc>
      </w:tr>
      <w:tr w14:paraId="4B433D2D">
        <w:tblPrEx>
          <w:tblCellMar>
            <w:top w:w="0" w:type="dxa"/>
            <w:left w:w="108" w:type="dxa"/>
            <w:bottom w:w="0" w:type="dxa"/>
            <w:right w:w="108" w:type="dxa"/>
          </w:tblCellMar>
        </w:tblPrEx>
        <w:trPr>
          <w:trHeight w:val="567" w:hRule="atLeast"/>
          <w:jc w:val="center"/>
        </w:trPr>
        <w:tc>
          <w:tcPr>
            <w:tcW w:w="1571" w:type="dxa"/>
            <w:vAlign w:val="center"/>
          </w:tcPr>
          <w:p w14:paraId="5F4FB631">
            <w:pPr>
              <w:keepNext/>
              <w:keepLines/>
              <w:spacing w:line="360" w:lineRule="auto"/>
              <w:jc w:val="distribute"/>
              <w:rPr>
                <w:rFonts w:ascii="宋体" w:hAnsi="宋体" w:cs="宋体"/>
                <w:color w:val="auto"/>
                <w:sz w:val="24"/>
                <w:highlight w:val="none"/>
              </w:rPr>
            </w:pPr>
            <w:r>
              <w:rPr>
                <w:rFonts w:hint="eastAsia" w:ascii="宋体" w:hAnsi="宋体" w:cs="宋体"/>
                <w:color w:val="auto"/>
                <w:sz w:val="24"/>
                <w:highlight w:val="none"/>
              </w:rPr>
              <w:t>所投分标：</w:t>
            </w:r>
          </w:p>
        </w:tc>
        <w:tc>
          <w:tcPr>
            <w:tcW w:w="6202" w:type="dxa"/>
            <w:vAlign w:val="center"/>
          </w:tcPr>
          <w:p w14:paraId="0D29A8BB">
            <w:pPr>
              <w:keepNext/>
              <w:keepLines/>
              <w:spacing w:line="360" w:lineRule="auto"/>
              <w:rPr>
                <w:rFonts w:ascii="宋体" w:hAnsi="宋体" w:cs="宋体"/>
                <w:color w:val="auto"/>
                <w:sz w:val="24"/>
                <w:highlight w:val="none"/>
              </w:rPr>
            </w:pPr>
            <w:r>
              <w:rPr>
                <w:rFonts w:hint="eastAsia" w:ascii="宋体" w:hAnsi="宋体" w:cs="宋体"/>
                <w:color w:val="auto"/>
                <w:sz w:val="24"/>
                <w:highlight w:val="none"/>
              </w:rPr>
              <w:t>（此处有分标时填写具体分标号，无分标时填写“无”）</w:t>
            </w:r>
          </w:p>
        </w:tc>
      </w:tr>
      <w:tr w14:paraId="4B5DEBA0">
        <w:tblPrEx>
          <w:tblCellMar>
            <w:top w:w="0" w:type="dxa"/>
            <w:left w:w="108" w:type="dxa"/>
            <w:bottom w:w="0" w:type="dxa"/>
            <w:right w:w="108" w:type="dxa"/>
          </w:tblCellMar>
        </w:tblPrEx>
        <w:trPr>
          <w:trHeight w:val="567" w:hRule="atLeast"/>
          <w:jc w:val="center"/>
        </w:trPr>
        <w:tc>
          <w:tcPr>
            <w:tcW w:w="1571" w:type="dxa"/>
            <w:vAlign w:val="center"/>
          </w:tcPr>
          <w:p w14:paraId="64D20F67">
            <w:pPr>
              <w:keepNext/>
              <w:keepLines/>
              <w:spacing w:line="360" w:lineRule="auto"/>
              <w:jc w:val="distribute"/>
              <w:rPr>
                <w:rFonts w:ascii="宋体" w:hAnsi="宋体" w:cs="宋体"/>
                <w:color w:val="auto"/>
                <w:sz w:val="24"/>
                <w:highlight w:val="none"/>
              </w:rPr>
            </w:pPr>
            <w:r>
              <w:rPr>
                <w:rFonts w:hint="eastAsia" w:ascii="宋体" w:hAnsi="宋体" w:cs="宋体"/>
                <w:color w:val="auto"/>
                <w:sz w:val="24"/>
                <w:highlight w:val="none"/>
              </w:rPr>
              <w:t>投标人名称：</w:t>
            </w:r>
          </w:p>
        </w:tc>
        <w:tc>
          <w:tcPr>
            <w:tcW w:w="6202" w:type="dxa"/>
            <w:vAlign w:val="center"/>
          </w:tcPr>
          <w:p w14:paraId="53C3E707">
            <w:pPr>
              <w:keepNext/>
              <w:keepLines/>
              <w:spacing w:line="360" w:lineRule="auto"/>
              <w:rPr>
                <w:rFonts w:ascii="宋体" w:hAnsi="宋体" w:cs="宋体"/>
                <w:color w:val="auto"/>
                <w:sz w:val="24"/>
                <w:highlight w:val="none"/>
              </w:rPr>
            </w:pPr>
          </w:p>
        </w:tc>
      </w:tr>
      <w:tr w14:paraId="19DA297B">
        <w:tblPrEx>
          <w:tblCellMar>
            <w:top w:w="0" w:type="dxa"/>
            <w:left w:w="108" w:type="dxa"/>
            <w:bottom w:w="0" w:type="dxa"/>
            <w:right w:w="108" w:type="dxa"/>
          </w:tblCellMar>
        </w:tblPrEx>
        <w:trPr>
          <w:trHeight w:val="567" w:hRule="atLeast"/>
          <w:jc w:val="center"/>
        </w:trPr>
        <w:tc>
          <w:tcPr>
            <w:tcW w:w="1571" w:type="dxa"/>
            <w:vAlign w:val="center"/>
          </w:tcPr>
          <w:p w14:paraId="7802D24D">
            <w:pPr>
              <w:keepNext/>
              <w:keepLines/>
              <w:spacing w:line="360" w:lineRule="auto"/>
              <w:jc w:val="distribute"/>
              <w:rPr>
                <w:rFonts w:ascii="宋体" w:hAnsi="宋体" w:cs="宋体"/>
                <w:color w:val="auto"/>
                <w:sz w:val="24"/>
                <w:highlight w:val="none"/>
              </w:rPr>
            </w:pPr>
            <w:r>
              <w:rPr>
                <w:rFonts w:hint="eastAsia" w:ascii="宋体" w:hAnsi="宋体" w:cs="宋体"/>
                <w:color w:val="auto"/>
                <w:sz w:val="24"/>
                <w:highlight w:val="none"/>
              </w:rPr>
              <w:t>投标人地址：</w:t>
            </w:r>
          </w:p>
        </w:tc>
        <w:tc>
          <w:tcPr>
            <w:tcW w:w="6202" w:type="dxa"/>
            <w:vAlign w:val="center"/>
          </w:tcPr>
          <w:p w14:paraId="29EAA1D9">
            <w:pPr>
              <w:keepNext/>
              <w:keepLines/>
              <w:spacing w:line="360" w:lineRule="auto"/>
              <w:rPr>
                <w:rFonts w:ascii="宋体" w:hAnsi="宋体" w:cs="宋体"/>
                <w:color w:val="auto"/>
                <w:sz w:val="24"/>
                <w:highlight w:val="none"/>
              </w:rPr>
            </w:pPr>
          </w:p>
        </w:tc>
      </w:tr>
    </w:tbl>
    <w:p w14:paraId="20D0D144">
      <w:pPr>
        <w:keepNext/>
        <w:keepLines/>
        <w:spacing w:line="360" w:lineRule="auto"/>
        <w:ind w:firstLine="4200" w:firstLineChars="1750"/>
        <w:rPr>
          <w:rFonts w:ascii="宋体" w:hAnsi="宋体" w:cs="宋体"/>
          <w:color w:val="auto"/>
          <w:sz w:val="24"/>
          <w:highlight w:val="none"/>
        </w:rPr>
      </w:pPr>
    </w:p>
    <w:p w14:paraId="2CE67F84">
      <w:pPr>
        <w:keepNext/>
        <w:keepLines/>
        <w:spacing w:line="360" w:lineRule="auto"/>
        <w:ind w:firstLine="4200" w:firstLineChars="1750"/>
        <w:rPr>
          <w:rFonts w:ascii="宋体" w:hAnsi="宋体" w:cs="宋体"/>
          <w:color w:val="auto"/>
          <w:sz w:val="24"/>
          <w:highlight w:val="none"/>
        </w:rPr>
      </w:pPr>
    </w:p>
    <w:p w14:paraId="39101581">
      <w:pPr>
        <w:keepNext/>
        <w:keepLines/>
        <w:spacing w:line="360" w:lineRule="auto"/>
        <w:ind w:firstLine="4200" w:firstLineChars="1750"/>
        <w:rPr>
          <w:rFonts w:ascii="宋体" w:hAnsi="宋体" w:cs="宋体"/>
          <w:color w:val="auto"/>
          <w:sz w:val="24"/>
          <w:highlight w:val="none"/>
        </w:rPr>
      </w:pPr>
    </w:p>
    <w:p w14:paraId="42189CE2">
      <w:pPr>
        <w:keepNext/>
        <w:keepLines/>
        <w:spacing w:line="360" w:lineRule="auto"/>
        <w:ind w:firstLine="5880" w:firstLineChars="2450"/>
        <w:rPr>
          <w:rFonts w:ascii="宋体" w:hAnsi="宋体" w:cs="宋体"/>
          <w:color w:val="auto"/>
          <w:sz w:val="24"/>
          <w:highlight w:val="none"/>
        </w:rPr>
      </w:pPr>
      <w:r>
        <w:rPr>
          <w:rFonts w:hint="eastAsia" w:ascii="宋体" w:hAnsi="宋体" w:cs="宋体"/>
          <w:color w:val="auto"/>
          <w:sz w:val="24"/>
          <w:highlight w:val="none"/>
        </w:rPr>
        <w:t>投标截止时间前不得解密</w:t>
      </w:r>
    </w:p>
    <w:p w14:paraId="12BF50AA">
      <w:pPr>
        <w:keepNext/>
        <w:keepLines/>
        <w:spacing w:line="360" w:lineRule="auto"/>
        <w:ind w:firstLine="6480" w:firstLineChars="2700"/>
        <w:rPr>
          <w:rFonts w:ascii="宋体" w:hAnsi="宋体" w:cs="宋体"/>
          <w:color w:val="auto"/>
          <w:sz w:val="24"/>
          <w:highlight w:val="none"/>
        </w:rPr>
        <w:sectPr>
          <w:footerReference r:id="rId11" w:type="default"/>
          <w:pgSz w:w="11907" w:h="16840"/>
          <w:pgMar w:top="1440" w:right="1080" w:bottom="1440" w:left="1080" w:header="720" w:footer="720" w:gutter="0"/>
          <w:pgBorders>
            <w:top w:val="none" w:sz="0" w:space="0"/>
            <w:left w:val="none" w:sz="0" w:space="0"/>
            <w:bottom w:val="none" w:sz="0" w:space="0"/>
            <w:right w:val="none" w:sz="0" w:space="0"/>
          </w:pgBorders>
          <w:cols w:space="720" w:num="1"/>
          <w:docGrid w:linePitch="285" w:charSpace="0"/>
        </w:sectPr>
      </w:pPr>
      <w:r>
        <w:rPr>
          <w:rFonts w:hint="eastAsia" w:ascii="宋体" w:hAnsi="宋体" w:cs="宋体"/>
          <w:color w:val="auto"/>
          <w:sz w:val="24"/>
          <w:highlight w:val="none"/>
        </w:rPr>
        <w:t>年   月   日</w:t>
      </w:r>
    </w:p>
    <w:p w14:paraId="054B6ECA">
      <w:pPr>
        <w:pStyle w:val="16"/>
        <w:keepNext/>
        <w:keepLines/>
        <w:spacing w:line="360" w:lineRule="auto"/>
        <w:jc w:val="center"/>
        <w:outlineLvl w:val="1"/>
        <w:rPr>
          <w:rFonts w:cs="宋体"/>
          <w:b/>
          <w:bCs/>
          <w:color w:val="auto"/>
          <w:sz w:val="28"/>
          <w:szCs w:val="28"/>
          <w:highlight w:val="none"/>
        </w:rPr>
      </w:pPr>
      <w:bookmarkStart w:id="190" w:name="_Toc177716549"/>
      <w:bookmarkStart w:id="191" w:name="_Toc32045"/>
      <w:bookmarkStart w:id="192" w:name="_Toc18123"/>
      <w:r>
        <w:rPr>
          <w:rFonts w:hint="eastAsia" w:cs="宋体"/>
          <w:b/>
          <w:bCs/>
          <w:color w:val="auto"/>
          <w:sz w:val="28"/>
          <w:szCs w:val="28"/>
          <w:highlight w:val="none"/>
        </w:rPr>
        <w:t>第二节 资格证明文件格式</w:t>
      </w:r>
      <w:bookmarkEnd w:id="190"/>
      <w:bookmarkEnd w:id="191"/>
      <w:bookmarkEnd w:id="192"/>
    </w:p>
    <w:p w14:paraId="2595E520">
      <w:pPr>
        <w:keepNext/>
        <w:keepLines/>
        <w:snapToGrid w:val="0"/>
        <w:spacing w:before="120" w:beforeLines="50" w:after="50" w:line="360" w:lineRule="auto"/>
        <w:rPr>
          <w:rFonts w:ascii="宋体" w:hAnsi="宋体" w:cs="宋体"/>
          <w:color w:val="auto"/>
          <w:sz w:val="24"/>
          <w:highlight w:val="none"/>
        </w:rPr>
      </w:pPr>
      <w:r>
        <w:rPr>
          <w:rFonts w:hint="eastAsia" w:ascii="宋体" w:hAnsi="宋体" w:cs="宋体"/>
          <w:color w:val="auto"/>
          <w:sz w:val="24"/>
          <w:highlight w:val="none"/>
        </w:rPr>
        <w:t xml:space="preserve">         </w:t>
      </w:r>
    </w:p>
    <w:p w14:paraId="162F4BA1">
      <w:pPr>
        <w:keepNext/>
        <w:keepLines/>
        <w:snapToGrid w:val="0"/>
        <w:spacing w:before="120" w:beforeLines="50" w:after="50" w:line="360" w:lineRule="auto"/>
        <w:jc w:val="right"/>
        <w:rPr>
          <w:rFonts w:ascii="宋体" w:hAnsi="宋体" w:cs="宋体"/>
          <w:bCs/>
          <w:color w:val="auto"/>
          <w:highlight w:val="none"/>
        </w:rPr>
      </w:pPr>
    </w:p>
    <w:p w14:paraId="2E1044C3">
      <w:pPr>
        <w:keepNext/>
        <w:keepLines/>
        <w:snapToGrid w:val="0"/>
        <w:spacing w:before="120" w:beforeLines="50" w:after="50" w:line="360" w:lineRule="auto"/>
        <w:jc w:val="right"/>
        <w:rPr>
          <w:rFonts w:ascii="宋体" w:hAnsi="宋体" w:cs="宋体"/>
          <w:bCs/>
          <w:color w:val="auto"/>
          <w:sz w:val="24"/>
          <w:highlight w:val="none"/>
        </w:rPr>
      </w:pPr>
      <w:r>
        <w:rPr>
          <w:rFonts w:hint="eastAsia" w:ascii="宋体" w:hAnsi="宋体" w:cs="宋体"/>
          <w:bCs/>
          <w:color w:val="auto"/>
          <w:sz w:val="24"/>
          <w:highlight w:val="none"/>
        </w:rPr>
        <w:t>电子投标文件</w:t>
      </w:r>
    </w:p>
    <w:p w14:paraId="280723C7">
      <w:pPr>
        <w:keepNext/>
        <w:keepLines/>
        <w:snapToGrid w:val="0"/>
        <w:spacing w:before="120" w:beforeLines="50" w:after="50" w:line="360" w:lineRule="auto"/>
        <w:rPr>
          <w:rFonts w:ascii="宋体" w:hAnsi="宋体" w:cs="宋体"/>
          <w:color w:val="auto"/>
          <w:sz w:val="24"/>
          <w:szCs w:val="20"/>
          <w:highlight w:val="none"/>
        </w:rPr>
      </w:pPr>
    </w:p>
    <w:p w14:paraId="29C3EF73">
      <w:pPr>
        <w:keepNext/>
        <w:keepLines/>
        <w:snapToGrid w:val="0"/>
        <w:spacing w:before="120" w:beforeLines="50" w:after="50" w:line="360" w:lineRule="auto"/>
        <w:jc w:val="center"/>
        <w:outlineLvl w:val="2"/>
        <w:rPr>
          <w:rFonts w:ascii="宋体" w:hAnsi="宋体" w:cs="宋体"/>
          <w:b/>
          <w:color w:val="auto"/>
          <w:sz w:val="24"/>
          <w:szCs w:val="20"/>
          <w:highlight w:val="none"/>
        </w:rPr>
      </w:pPr>
      <w:bookmarkStart w:id="193" w:name="_Toc177716550"/>
      <w:r>
        <w:rPr>
          <w:rFonts w:hint="eastAsia" w:ascii="宋体" w:hAnsi="宋体" w:cs="宋体"/>
          <w:b/>
          <w:color w:val="auto"/>
          <w:sz w:val="32"/>
          <w:szCs w:val="32"/>
          <w:highlight w:val="none"/>
        </w:rPr>
        <w:t>资格证明文件（封面）</w:t>
      </w:r>
      <w:bookmarkEnd w:id="193"/>
    </w:p>
    <w:p w14:paraId="66209653">
      <w:pPr>
        <w:keepNext/>
        <w:keepLines/>
        <w:snapToGrid w:val="0"/>
        <w:spacing w:before="120" w:beforeLines="50" w:after="50" w:line="360" w:lineRule="auto"/>
        <w:rPr>
          <w:rFonts w:ascii="宋体" w:hAnsi="宋体" w:cs="宋体"/>
          <w:bCs/>
          <w:color w:val="auto"/>
          <w:sz w:val="24"/>
          <w:szCs w:val="20"/>
          <w:highlight w:val="none"/>
        </w:rPr>
      </w:pPr>
    </w:p>
    <w:p w14:paraId="6FC1DB00">
      <w:pPr>
        <w:keepNext/>
        <w:keepLines/>
        <w:snapToGrid w:val="0"/>
        <w:spacing w:before="120" w:beforeLines="50" w:after="50" w:line="360" w:lineRule="auto"/>
        <w:rPr>
          <w:rFonts w:ascii="宋体" w:hAnsi="宋体" w:cs="宋体"/>
          <w:bCs/>
          <w:color w:val="auto"/>
          <w:sz w:val="24"/>
          <w:szCs w:val="20"/>
          <w:highlight w:val="none"/>
        </w:rPr>
      </w:pPr>
    </w:p>
    <w:p w14:paraId="7C0C501E">
      <w:pPr>
        <w:keepNext/>
        <w:keepLines/>
        <w:snapToGrid w:val="0"/>
        <w:spacing w:before="120" w:beforeLines="50" w:after="50" w:line="360" w:lineRule="auto"/>
        <w:rPr>
          <w:rFonts w:ascii="宋体" w:hAnsi="宋体" w:cs="宋体"/>
          <w:bCs/>
          <w:color w:val="auto"/>
          <w:sz w:val="24"/>
          <w:szCs w:val="20"/>
          <w:highlight w:val="none"/>
        </w:rPr>
      </w:pPr>
    </w:p>
    <w:p w14:paraId="26F7AC72">
      <w:pPr>
        <w:keepNext/>
        <w:keepLines/>
        <w:snapToGrid w:val="0"/>
        <w:spacing w:before="120" w:beforeLines="50" w:after="50" w:line="360" w:lineRule="auto"/>
        <w:rPr>
          <w:rFonts w:ascii="宋体" w:hAnsi="宋体" w:cs="宋体"/>
          <w:bCs/>
          <w:color w:val="auto"/>
          <w:sz w:val="24"/>
          <w:szCs w:val="20"/>
          <w:highlight w:val="none"/>
        </w:rPr>
      </w:pPr>
    </w:p>
    <w:p w14:paraId="6C02E4D3">
      <w:pPr>
        <w:keepNext/>
        <w:keepLines/>
        <w:snapToGrid w:val="0"/>
        <w:spacing w:before="120" w:beforeLines="50" w:after="50" w:line="360" w:lineRule="auto"/>
        <w:rPr>
          <w:rFonts w:ascii="宋体" w:hAnsi="宋体" w:cs="宋体"/>
          <w:bCs/>
          <w:color w:val="auto"/>
          <w:sz w:val="24"/>
          <w:szCs w:val="20"/>
          <w:highlight w:val="none"/>
        </w:rPr>
      </w:pPr>
    </w:p>
    <w:p w14:paraId="17C92800">
      <w:pPr>
        <w:keepNext/>
        <w:keepLines/>
        <w:snapToGrid w:val="0"/>
        <w:spacing w:before="120" w:beforeLines="50" w:after="50" w:line="360" w:lineRule="auto"/>
        <w:rPr>
          <w:rFonts w:ascii="宋体" w:hAnsi="宋体" w:cs="宋体"/>
          <w:bCs/>
          <w:color w:val="auto"/>
          <w:sz w:val="24"/>
          <w:szCs w:val="20"/>
          <w:highlight w:val="none"/>
        </w:rPr>
      </w:pPr>
    </w:p>
    <w:p w14:paraId="263EB7A2">
      <w:pPr>
        <w:keepNext/>
        <w:keepLines/>
        <w:snapToGrid w:val="0"/>
        <w:spacing w:line="360" w:lineRule="auto"/>
        <w:ind w:firstLine="720" w:firstLineChars="300"/>
        <w:rPr>
          <w:rFonts w:ascii="宋体" w:hAnsi="宋体" w:cs="宋体"/>
          <w:bCs/>
          <w:color w:val="auto"/>
          <w:sz w:val="24"/>
          <w:highlight w:val="none"/>
        </w:rPr>
      </w:pPr>
      <w:r>
        <w:rPr>
          <w:rFonts w:hint="eastAsia" w:ascii="宋体" w:hAnsi="宋体" w:cs="宋体"/>
          <w:bCs/>
          <w:color w:val="auto"/>
          <w:sz w:val="24"/>
          <w:highlight w:val="none"/>
        </w:rPr>
        <w:t>项目名称：广西公安数字化反电诈平台项目</w:t>
      </w:r>
    </w:p>
    <w:p w14:paraId="68337013">
      <w:pPr>
        <w:keepNext/>
        <w:keepLines/>
        <w:snapToGrid w:val="0"/>
        <w:spacing w:line="360" w:lineRule="auto"/>
        <w:ind w:firstLine="720" w:firstLineChars="300"/>
        <w:rPr>
          <w:rFonts w:hint="eastAsia" w:ascii="宋体" w:hAnsi="宋体" w:eastAsia="宋体" w:cs="宋体"/>
          <w:bCs/>
          <w:color w:val="auto"/>
          <w:sz w:val="24"/>
          <w:highlight w:val="none"/>
          <w:lang w:eastAsia="zh-CN"/>
        </w:rPr>
      </w:pPr>
      <w:r>
        <w:rPr>
          <w:rFonts w:hint="eastAsia" w:ascii="宋体" w:hAnsi="宋体" w:cs="宋体"/>
          <w:bCs/>
          <w:color w:val="auto"/>
          <w:sz w:val="24"/>
          <w:highlight w:val="none"/>
        </w:rPr>
        <w:t>项目编号：</w:t>
      </w:r>
      <w:r>
        <w:rPr>
          <w:rFonts w:hint="eastAsia" w:ascii="宋体" w:hAnsi="宋体" w:cs="宋体"/>
          <w:bCs/>
          <w:color w:val="auto"/>
          <w:sz w:val="24"/>
          <w:highlight w:val="none"/>
          <w:lang w:eastAsia="zh-CN"/>
        </w:rPr>
        <w:t>GXZC2024-G3-006016-XYGC</w:t>
      </w:r>
    </w:p>
    <w:p w14:paraId="75E791CC">
      <w:pPr>
        <w:keepNext/>
        <w:keepLines/>
        <w:snapToGrid w:val="0"/>
        <w:spacing w:line="360" w:lineRule="auto"/>
        <w:ind w:firstLine="720" w:firstLineChars="300"/>
        <w:rPr>
          <w:rFonts w:ascii="宋体" w:hAnsi="宋体" w:cs="宋体"/>
          <w:bCs/>
          <w:color w:val="auto"/>
          <w:sz w:val="24"/>
          <w:highlight w:val="none"/>
        </w:rPr>
      </w:pPr>
      <w:r>
        <w:rPr>
          <w:rFonts w:hint="eastAsia" w:ascii="宋体" w:hAnsi="宋体" w:cs="宋体"/>
          <w:bCs/>
          <w:color w:val="auto"/>
          <w:sz w:val="24"/>
          <w:highlight w:val="none"/>
        </w:rPr>
        <w:t>所投分标：（此处有分标时填写具体分标号，无分标时填写“无”）</w:t>
      </w:r>
    </w:p>
    <w:p w14:paraId="2E52038E">
      <w:pPr>
        <w:keepNext/>
        <w:keepLines/>
        <w:snapToGrid w:val="0"/>
        <w:spacing w:line="360" w:lineRule="auto"/>
        <w:ind w:firstLine="720" w:firstLineChars="300"/>
        <w:rPr>
          <w:rFonts w:ascii="宋体" w:hAnsi="宋体" w:cs="宋体"/>
          <w:bCs/>
          <w:color w:val="auto"/>
          <w:sz w:val="24"/>
          <w:highlight w:val="none"/>
        </w:rPr>
      </w:pPr>
      <w:r>
        <w:rPr>
          <w:rFonts w:hint="eastAsia" w:ascii="宋体" w:hAnsi="宋体" w:cs="宋体"/>
          <w:bCs/>
          <w:color w:val="auto"/>
          <w:sz w:val="24"/>
          <w:highlight w:val="none"/>
        </w:rPr>
        <w:t>投标人名称：</w:t>
      </w:r>
    </w:p>
    <w:p w14:paraId="24F5F327">
      <w:pPr>
        <w:keepNext/>
        <w:keepLines/>
        <w:snapToGrid w:val="0"/>
        <w:spacing w:line="360" w:lineRule="auto"/>
        <w:ind w:firstLine="720" w:firstLineChars="300"/>
        <w:rPr>
          <w:rFonts w:ascii="宋体" w:hAnsi="宋体" w:cs="宋体"/>
          <w:bCs/>
          <w:color w:val="auto"/>
          <w:sz w:val="24"/>
          <w:highlight w:val="none"/>
        </w:rPr>
      </w:pPr>
      <w:r>
        <w:rPr>
          <w:rFonts w:hint="eastAsia" w:ascii="宋体" w:hAnsi="宋体" w:cs="宋体"/>
          <w:bCs/>
          <w:color w:val="auto"/>
          <w:sz w:val="24"/>
          <w:highlight w:val="none"/>
        </w:rPr>
        <w:t>投标人地址：</w:t>
      </w:r>
    </w:p>
    <w:p w14:paraId="75F8511C">
      <w:pPr>
        <w:pStyle w:val="10"/>
        <w:keepNext/>
        <w:keepLines/>
        <w:snapToGrid w:val="0"/>
        <w:spacing w:before="50" w:after="50" w:line="360" w:lineRule="auto"/>
        <w:ind w:firstLine="960" w:firstLineChars="400"/>
        <w:rPr>
          <w:rFonts w:ascii="宋体" w:hAnsi="宋体" w:cs="宋体"/>
          <w:bCs/>
          <w:color w:val="auto"/>
          <w:sz w:val="24"/>
          <w:szCs w:val="24"/>
          <w:highlight w:val="none"/>
        </w:rPr>
      </w:pPr>
    </w:p>
    <w:p w14:paraId="26D24213">
      <w:pPr>
        <w:keepNext/>
        <w:keepLines/>
        <w:snapToGrid w:val="0"/>
        <w:spacing w:before="120" w:beforeLines="50" w:after="50" w:line="360" w:lineRule="auto"/>
        <w:ind w:firstLine="645"/>
        <w:jc w:val="center"/>
        <w:rPr>
          <w:rFonts w:ascii="宋体" w:hAnsi="宋体" w:cs="宋体"/>
          <w:color w:val="auto"/>
          <w:sz w:val="24"/>
          <w:highlight w:val="none"/>
        </w:rPr>
      </w:pPr>
      <w:r>
        <w:rPr>
          <w:rFonts w:hint="eastAsia" w:ascii="宋体" w:hAnsi="宋体" w:cs="宋体"/>
          <w:color w:val="auto"/>
          <w:sz w:val="24"/>
          <w:highlight w:val="none"/>
        </w:rPr>
        <w:t>年  月  日</w:t>
      </w:r>
    </w:p>
    <w:p w14:paraId="389DA50C">
      <w:pPr>
        <w:pStyle w:val="16"/>
        <w:keepNext/>
        <w:keepLines/>
        <w:spacing w:line="360" w:lineRule="auto"/>
        <w:ind w:firstLine="600"/>
        <w:rPr>
          <w:rFonts w:cs="宋体"/>
          <w:color w:val="auto"/>
          <w:sz w:val="30"/>
          <w:highlight w:val="none"/>
        </w:rPr>
        <w:sectPr>
          <w:pgSz w:w="11906" w:h="16838"/>
          <w:pgMar w:top="1440" w:right="1080" w:bottom="1440" w:left="1080" w:header="720" w:footer="720" w:gutter="0"/>
          <w:pgBorders>
            <w:top w:val="none" w:sz="0" w:space="0"/>
            <w:left w:val="none" w:sz="0" w:space="0"/>
            <w:bottom w:val="none" w:sz="0" w:space="0"/>
            <w:right w:val="none" w:sz="0" w:space="0"/>
          </w:pgBorders>
          <w:cols w:space="720" w:num="1"/>
          <w:docGrid w:linePitch="331" w:charSpace="0"/>
        </w:sectPr>
      </w:pPr>
    </w:p>
    <w:p w14:paraId="1CBE36CF">
      <w:pPr>
        <w:keepNext/>
        <w:keepLines/>
        <w:spacing w:line="360" w:lineRule="auto"/>
        <w:jc w:val="center"/>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资格证明文件目录</w:t>
      </w:r>
    </w:p>
    <w:p w14:paraId="0757DCC3">
      <w:pPr>
        <w:pStyle w:val="16"/>
        <w:keepNext/>
        <w:keepLines/>
        <w:spacing w:line="360" w:lineRule="auto"/>
        <w:ind w:firstLine="480"/>
        <w:jc w:val="center"/>
        <w:rPr>
          <w:rFonts w:cs="宋体"/>
          <w:color w:val="auto"/>
          <w:sz w:val="24"/>
          <w:szCs w:val="24"/>
          <w:highlight w:val="none"/>
        </w:rPr>
      </w:pPr>
      <w:r>
        <w:rPr>
          <w:rFonts w:hint="eastAsia" w:cs="宋体"/>
          <w:color w:val="auto"/>
          <w:sz w:val="24"/>
          <w:szCs w:val="24"/>
          <w:highlight w:val="none"/>
        </w:rPr>
        <w:t>（根据招标文件规定及投标人提供的材料自行编写目录）</w:t>
      </w:r>
    </w:p>
    <w:p w14:paraId="391FFB90">
      <w:pPr>
        <w:keepNext/>
        <w:keepLines/>
        <w:spacing w:line="360" w:lineRule="auto"/>
        <w:rPr>
          <w:rFonts w:ascii="宋体" w:hAnsi="宋体" w:cs="宋体"/>
          <w:color w:val="auto"/>
          <w:highlight w:val="none"/>
        </w:rPr>
        <w:sectPr>
          <w:pgSz w:w="11906" w:h="16838"/>
          <w:pgMar w:top="1440" w:right="1080" w:bottom="1440" w:left="1080" w:header="720" w:footer="720" w:gutter="0"/>
          <w:pgBorders>
            <w:top w:val="none" w:sz="0" w:space="0"/>
            <w:left w:val="none" w:sz="0" w:space="0"/>
            <w:bottom w:val="none" w:sz="0" w:space="0"/>
            <w:right w:val="none" w:sz="0" w:space="0"/>
          </w:pgBorders>
          <w:cols w:space="720" w:num="1"/>
          <w:docGrid w:linePitch="331" w:charSpace="0"/>
        </w:sectPr>
      </w:pPr>
    </w:p>
    <w:p w14:paraId="100422D6">
      <w:pPr>
        <w:keepNext/>
        <w:keepLines/>
        <w:snapToGrid w:val="0"/>
        <w:spacing w:line="360" w:lineRule="auto"/>
        <w:ind w:right="480"/>
        <w:outlineLvl w:val="2"/>
        <w:rPr>
          <w:rFonts w:ascii="宋体" w:hAnsi="宋体" w:cs="宋体"/>
          <w:b/>
          <w:color w:val="auto"/>
          <w:kern w:val="0"/>
          <w:sz w:val="32"/>
          <w:szCs w:val="32"/>
          <w:highlight w:val="none"/>
        </w:rPr>
      </w:pPr>
      <w:bookmarkStart w:id="194" w:name="_Toc177716551"/>
      <w:r>
        <w:rPr>
          <w:rFonts w:hint="eastAsia" w:ascii="宋体" w:hAnsi="宋体" w:cs="宋体"/>
          <w:b/>
          <w:color w:val="auto"/>
          <w:kern w:val="0"/>
          <w:sz w:val="32"/>
          <w:szCs w:val="32"/>
          <w:highlight w:val="none"/>
        </w:rPr>
        <w:t>一、投标人直接控股、管理关系信息表</w:t>
      </w:r>
      <w:bookmarkEnd w:id="194"/>
    </w:p>
    <w:p w14:paraId="468F3FF5">
      <w:pPr>
        <w:keepNext/>
        <w:keepLines/>
        <w:snapToGrid w:val="0"/>
        <w:spacing w:line="360" w:lineRule="auto"/>
        <w:ind w:right="480"/>
        <w:jc w:val="center"/>
        <w:rPr>
          <w:rFonts w:ascii="宋体" w:hAnsi="宋体" w:cs="宋体"/>
          <w:b/>
          <w:color w:val="auto"/>
          <w:kern w:val="0"/>
          <w:sz w:val="32"/>
          <w:szCs w:val="32"/>
          <w:highlight w:val="none"/>
        </w:rPr>
      </w:pPr>
    </w:p>
    <w:p w14:paraId="5AFEFCD9">
      <w:pPr>
        <w:keepNext/>
        <w:keepLines/>
        <w:snapToGrid w:val="0"/>
        <w:spacing w:line="360" w:lineRule="auto"/>
        <w:ind w:right="480"/>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（一）投标人直接控股信息表</w:t>
      </w:r>
    </w:p>
    <w:tbl>
      <w:tblPr>
        <w:tblStyle w:val="30"/>
        <w:tblW w:w="0" w:type="auto"/>
        <w:tblInd w:w="0" w:type="dxa"/>
        <w:shd w:val="clear" w:color="auto" w:fill="FBFBFB"/>
        <w:tblLayout w:type="fixed"/>
        <w:tblCellMar>
          <w:top w:w="0" w:type="dxa"/>
          <w:left w:w="0" w:type="dxa"/>
          <w:bottom w:w="0" w:type="dxa"/>
          <w:right w:w="0" w:type="dxa"/>
        </w:tblCellMar>
      </w:tblPr>
      <w:tblGrid>
        <w:gridCol w:w="828"/>
        <w:gridCol w:w="2269"/>
        <w:gridCol w:w="1239"/>
        <w:gridCol w:w="3864"/>
        <w:gridCol w:w="1276"/>
      </w:tblGrid>
      <w:tr w14:paraId="474309D7">
        <w:tblPrEx>
          <w:shd w:val="clear" w:color="auto" w:fill="FBFBFB"/>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2D8B46EF">
            <w:pPr>
              <w:keepNext/>
              <w:keepLines/>
              <w:spacing w:line="360" w:lineRule="auto"/>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078F7E5">
            <w:pPr>
              <w:keepNext/>
              <w:keepLines/>
              <w:spacing w:line="360" w:lineRule="auto"/>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50DFC374">
            <w:pPr>
              <w:keepNext/>
              <w:keepLines/>
              <w:spacing w:line="360" w:lineRule="auto"/>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出资比例</w:t>
            </w:r>
          </w:p>
        </w:tc>
        <w:tc>
          <w:tcPr>
            <w:tcW w:w="386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4F87B296">
            <w:pPr>
              <w:keepNext/>
              <w:keepLines/>
              <w:spacing w:line="360" w:lineRule="auto"/>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身份证号码或者统一社会信用代码</w:t>
            </w:r>
          </w:p>
        </w:tc>
        <w:tc>
          <w:tcPr>
            <w:tcW w:w="1276"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5901AF78">
            <w:pPr>
              <w:keepNext/>
              <w:keepLines/>
              <w:spacing w:line="360" w:lineRule="auto"/>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备注</w:t>
            </w:r>
          </w:p>
        </w:tc>
      </w:tr>
      <w:tr w14:paraId="47BCB4A8">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352389E">
            <w:pPr>
              <w:keepNext/>
              <w:keepLines/>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3C843BE">
            <w:pPr>
              <w:keepNext/>
              <w:keepLines/>
              <w:spacing w:line="360" w:lineRule="auto"/>
              <w:jc w:val="center"/>
              <w:rPr>
                <w:rFonts w:ascii="宋体" w:hAnsi="宋体" w:cs="宋体"/>
                <w:color w:val="auto"/>
                <w:kern w:val="0"/>
                <w:szCs w:val="21"/>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D822D7C">
            <w:pPr>
              <w:keepNext/>
              <w:keepLines/>
              <w:spacing w:line="360" w:lineRule="auto"/>
              <w:jc w:val="center"/>
              <w:rPr>
                <w:rFonts w:ascii="宋体" w:hAnsi="宋体" w:cs="宋体"/>
                <w:color w:val="auto"/>
                <w:kern w:val="0"/>
                <w:szCs w:val="21"/>
                <w:highlight w:val="none"/>
              </w:rPr>
            </w:pPr>
          </w:p>
        </w:tc>
        <w:tc>
          <w:tcPr>
            <w:tcW w:w="38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9BFECC2">
            <w:pPr>
              <w:keepNext/>
              <w:keepLines/>
              <w:spacing w:line="360" w:lineRule="auto"/>
              <w:jc w:val="center"/>
              <w:rPr>
                <w:rFonts w:ascii="宋体" w:hAnsi="宋体" w:cs="宋体"/>
                <w:color w:val="auto"/>
                <w:kern w:val="0"/>
                <w:szCs w:val="21"/>
                <w:highlight w:val="none"/>
              </w:rPr>
            </w:pPr>
          </w:p>
        </w:tc>
        <w:tc>
          <w:tcPr>
            <w:tcW w:w="1276"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FDF632C">
            <w:pPr>
              <w:keepNext/>
              <w:keepLines/>
              <w:spacing w:line="360" w:lineRule="auto"/>
              <w:jc w:val="center"/>
              <w:rPr>
                <w:rFonts w:ascii="宋体" w:hAnsi="宋体" w:cs="宋体"/>
                <w:color w:val="auto"/>
                <w:kern w:val="0"/>
                <w:szCs w:val="21"/>
                <w:highlight w:val="none"/>
              </w:rPr>
            </w:pPr>
          </w:p>
        </w:tc>
      </w:tr>
      <w:tr w14:paraId="63EABA58">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985A0A1">
            <w:pPr>
              <w:keepNext/>
              <w:keepLines/>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960BBA1">
            <w:pPr>
              <w:keepNext/>
              <w:keepLines/>
              <w:spacing w:line="360" w:lineRule="auto"/>
              <w:jc w:val="center"/>
              <w:rPr>
                <w:rFonts w:ascii="宋体" w:hAnsi="宋体" w:cs="宋体"/>
                <w:color w:val="auto"/>
                <w:kern w:val="0"/>
                <w:szCs w:val="21"/>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F2E5D49">
            <w:pPr>
              <w:keepNext/>
              <w:keepLines/>
              <w:spacing w:line="360" w:lineRule="auto"/>
              <w:jc w:val="center"/>
              <w:rPr>
                <w:rFonts w:ascii="宋体" w:hAnsi="宋体" w:cs="宋体"/>
                <w:color w:val="auto"/>
                <w:kern w:val="0"/>
                <w:szCs w:val="21"/>
                <w:highlight w:val="none"/>
              </w:rPr>
            </w:pPr>
          </w:p>
        </w:tc>
        <w:tc>
          <w:tcPr>
            <w:tcW w:w="38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CB1EE19">
            <w:pPr>
              <w:keepNext/>
              <w:keepLines/>
              <w:spacing w:line="360" w:lineRule="auto"/>
              <w:jc w:val="center"/>
              <w:rPr>
                <w:rFonts w:ascii="宋体" w:hAnsi="宋体" w:cs="宋体"/>
                <w:color w:val="auto"/>
                <w:kern w:val="0"/>
                <w:szCs w:val="21"/>
                <w:highlight w:val="none"/>
              </w:rPr>
            </w:pPr>
          </w:p>
        </w:tc>
        <w:tc>
          <w:tcPr>
            <w:tcW w:w="1276"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400BF8C">
            <w:pPr>
              <w:keepNext/>
              <w:keepLines/>
              <w:spacing w:line="360" w:lineRule="auto"/>
              <w:jc w:val="center"/>
              <w:rPr>
                <w:rFonts w:ascii="宋体" w:hAnsi="宋体" w:cs="宋体"/>
                <w:color w:val="auto"/>
                <w:kern w:val="0"/>
                <w:szCs w:val="21"/>
                <w:highlight w:val="none"/>
              </w:rPr>
            </w:pPr>
          </w:p>
        </w:tc>
      </w:tr>
      <w:tr w14:paraId="774C434A">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2EBDC32">
            <w:pPr>
              <w:keepNext/>
              <w:keepLines/>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2C791CA">
            <w:pPr>
              <w:keepNext/>
              <w:keepLines/>
              <w:spacing w:line="360" w:lineRule="auto"/>
              <w:jc w:val="center"/>
              <w:rPr>
                <w:rFonts w:ascii="宋体" w:hAnsi="宋体" w:cs="宋体"/>
                <w:color w:val="auto"/>
                <w:kern w:val="0"/>
                <w:szCs w:val="21"/>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7C092D7">
            <w:pPr>
              <w:keepNext/>
              <w:keepLines/>
              <w:spacing w:line="360" w:lineRule="auto"/>
              <w:jc w:val="center"/>
              <w:rPr>
                <w:rFonts w:ascii="宋体" w:hAnsi="宋体" w:cs="宋体"/>
                <w:color w:val="auto"/>
                <w:kern w:val="0"/>
                <w:szCs w:val="21"/>
                <w:highlight w:val="none"/>
              </w:rPr>
            </w:pPr>
          </w:p>
        </w:tc>
        <w:tc>
          <w:tcPr>
            <w:tcW w:w="38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7338EBA">
            <w:pPr>
              <w:keepNext/>
              <w:keepLines/>
              <w:spacing w:line="360" w:lineRule="auto"/>
              <w:jc w:val="center"/>
              <w:rPr>
                <w:rFonts w:ascii="宋体" w:hAnsi="宋体" w:cs="宋体"/>
                <w:color w:val="auto"/>
                <w:kern w:val="0"/>
                <w:szCs w:val="21"/>
                <w:highlight w:val="none"/>
              </w:rPr>
            </w:pPr>
          </w:p>
        </w:tc>
        <w:tc>
          <w:tcPr>
            <w:tcW w:w="1276"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E1EF670">
            <w:pPr>
              <w:keepNext/>
              <w:keepLines/>
              <w:spacing w:line="360" w:lineRule="auto"/>
              <w:jc w:val="center"/>
              <w:rPr>
                <w:rFonts w:ascii="宋体" w:hAnsi="宋体" w:cs="宋体"/>
                <w:color w:val="auto"/>
                <w:kern w:val="0"/>
                <w:szCs w:val="21"/>
                <w:highlight w:val="none"/>
              </w:rPr>
            </w:pPr>
          </w:p>
        </w:tc>
      </w:tr>
      <w:tr w14:paraId="35FCFE1D">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B45146F">
            <w:pPr>
              <w:keepNext/>
              <w:keepLines/>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432520D">
            <w:pPr>
              <w:keepNext/>
              <w:keepLines/>
              <w:spacing w:line="360" w:lineRule="auto"/>
              <w:jc w:val="center"/>
              <w:rPr>
                <w:rFonts w:ascii="宋体" w:hAnsi="宋体" w:cs="宋体"/>
                <w:color w:val="auto"/>
                <w:kern w:val="0"/>
                <w:szCs w:val="21"/>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E1CFFAE">
            <w:pPr>
              <w:keepNext/>
              <w:keepLines/>
              <w:spacing w:line="360" w:lineRule="auto"/>
              <w:jc w:val="center"/>
              <w:rPr>
                <w:rFonts w:ascii="宋体" w:hAnsi="宋体" w:cs="宋体"/>
                <w:color w:val="auto"/>
                <w:kern w:val="0"/>
                <w:szCs w:val="21"/>
                <w:highlight w:val="none"/>
              </w:rPr>
            </w:pPr>
          </w:p>
        </w:tc>
        <w:tc>
          <w:tcPr>
            <w:tcW w:w="38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FC36489">
            <w:pPr>
              <w:keepNext/>
              <w:keepLines/>
              <w:spacing w:line="360" w:lineRule="auto"/>
              <w:jc w:val="center"/>
              <w:rPr>
                <w:rFonts w:ascii="宋体" w:hAnsi="宋体" w:cs="宋体"/>
                <w:color w:val="auto"/>
                <w:kern w:val="0"/>
                <w:szCs w:val="21"/>
                <w:highlight w:val="none"/>
              </w:rPr>
            </w:pPr>
          </w:p>
        </w:tc>
        <w:tc>
          <w:tcPr>
            <w:tcW w:w="1276"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0A230ED">
            <w:pPr>
              <w:keepNext/>
              <w:keepLines/>
              <w:spacing w:line="360" w:lineRule="auto"/>
              <w:jc w:val="center"/>
              <w:rPr>
                <w:rFonts w:ascii="宋体" w:hAnsi="宋体" w:cs="宋体"/>
                <w:color w:val="auto"/>
                <w:kern w:val="0"/>
                <w:szCs w:val="21"/>
                <w:highlight w:val="none"/>
              </w:rPr>
            </w:pPr>
          </w:p>
        </w:tc>
      </w:tr>
    </w:tbl>
    <w:p w14:paraId="206822B6">
      <w:pPr>
        <w:keepNext/>
        <w:keepLines/>
        <w:snapToGrid w:val="0"/>
        <w:spacing w:line="360" w:lineRule="auto"/>
        <w:jc w:val="left"/>
        <w:rPr>
          <w:rFonts w:ascii="仿宋" w:hAnsi="仿宋" w:eastAsia="仿宋" w:cs="仿宋"/>
          <w:color w:val="auto"/>
          <w:szCs w:val="21"/>
          <w:highlight w:val="none"/>
        </w:rPr>
      </w:pPr>
      <w:r>
        <w:rPr>
          <w:rFonts w:hint="eastAsia" w:ascii="仿宋" w:hAnsi="仿宋" w:eastAsia="仿宋" w:cs="仿宋"/>
          <w:color w:val="auto"/>
          <w:szCs w:val="21"/>
          <w:highlight w:val="none"/>
        </w:rPr>
        <w:t>注：</w:t>
      </w:r>
    </w:p>
    <w:p w14:paraId="2AFA9FC0">
      <w:pPr>
        <w:keepNext/>
        <w:keepLines/>
        <w:snapToGrid w:val="0"/>
        <w:spacing w:line="360" w:lineRule="auto"/>
        <w:jc w:val="left"/>
        <w:rPr>
          <w:rFonts w:ascii="仿宋" w:hAnsi="仿宋" w:eastAsia="仿宋" w:cs="仿宋"/>
          <w:color w:val="auto"/>
          <w:szCs w:val="21"/>
          <w:highlight w:val="none"/>
        </w:rPr>
      </w:pPr>
      <w:r>
        <w:rPr>
          <w:rFonts w:hint="eastAsia" w:ascii="仿宋" w:hAnsi="仿宋" w:eastAsia="仿宋" w:cs="仿宋"/>
          <w:color w:val="auto"/>
          <w:szCs w:val="21"/>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110C713B">
      <w:pPr>
        <w:keepNext/>
        <w:keepLines/>
        <w:snapToGrid w:val="0"/>
        <w:spacing w:line="360" w:lineRule="auto"/>
        <w:jc w:val="left"/>
        <w:rPr>
          <w:rFonts w:ascii="仿宋" w:hAnsi="仿宋" w:eastAsia="仿宋" w:cs="仿宋"/>
          <w:color w:val="auto"/>
          <w:szCs w:val="21"/>
          <w:highlight w:val="none"/>
        </w:rPr>
      </w:pPr>
      <w:r>
        <w:rPr>
          <w:rFonts w:hint="eastAsia" w:ascii="仿宋" w:hAnsi="仿宋" w:eastAsia="仿宋" w:cs="仿宋"/>
          <w:color w:val="auto"/>
          <w:szCs w:val="21"/>
          <w:highlight w:val="none"/>
        </w:rPr>
        <w:t>2.本表所指的控股关系仅限于直接控股关系，不包括间接的控股关系。公司实际控制人与公司之间的关系不属于本表所指的直接控股关系。</w:t>
      </w:r>
    </w:p>
    <w:p w14:paraId="68A9D9EC">
      <w:pPr>
        <w:keepNext/>
        <w:keepLines/>
        <w:snapToGrid w:val="0"/>
        <w:spacing w:line="360" w:lineRule="auto"/>
        <w:jc w:val="left"/>
        <w:rPr>
          <w:rFonts w:ascii="仿宋" w:hAnsi="仿宋" w:eastAsia="仿宋" w:cs="仿宋"/>
          <w:color w:val="auto"/>
          <w:szCs w:val="21"/>
          <w:highlight w:val="none"/>
        </w:rPr>
      </w:pPr>
      <w:r>
        <w:rPr>
          <w:rFonts w:hint="eastAsia" w:ascii="仿宋" w:hAnsi="仿宋" w:eastAsia="仿宋" w:cs="仿宋"/>
          <w:color w:val="auto"/>
          <w:szCs w:val="21"/>
          <w:highlight w:val="none"/>
        </w:rPr>
        <w:t>3.供应商不存在直接控股股东的，则填“无”。</w:t>
      </w:r>
    </w:p>
    <w:p w14:paraId="6EB53853">
      <w:pPr>
        <w:keepNext/>
        <w:keepLines/>
        <w:snapToGrid w:val="0"/>
        <w:spacing w:line="360" w:lineRule="auto"/>
        <w:jc w:val="left"/>
        <w:rPr>
          <w:rFonts w:ascii="宋体" w:hAnsi="宋体" w:cs="宋体"/>
          <w:color w:val="auto"/>
          <w:szCs w:val="21"/>
          <w:highlight w:val="none"/>
        </w:rPr>
      </w:pPr>
    </w:p>
    <w:p w14:paraId="1AE4A6B9">
      <w:pPr>
        <w:keepNext/>
        <w:keepLines/>
        <w:snapToGrid w:val="0"/>
        <w:spacing w:line="360" w:lineRule="auto"/>
        <w:jc w:val="left"/>
        <w:rPr>
          <w:rFonts w:ascii="宋体" w:hAnsi="宋体" w:cs="宋体"/>
          <w:color w:val="auto"/>
          <w:szCs w:val="21"/>
          <w:highlight w:val="none"/>
        </w:rPr>
      </w:pPr>
    </w:p>
    <w:p w14:paraId="36A0A47B">
      <w:pPr>
        <w:keepNext/>
        <w:keepLines/>
        <w:snapToGrid w:val="0"/>
        <w:spacing w:line="360" w:lineRule="auto"/>
        <w:jc w:val="left"/>
        <w:rPr>
          <w:rFonts w:ascii="宋体" w:hAnsi="宋体" w:cs="宋体"/>
          <w:color w:val="auto"/>
          <w:szCs w:val="21"/>
          <w:highlight w:val="none"/>
        </w:rPr>
      </w:pPr>
    </w:p>
    <w:p w14:paraId="6C29350E">
      <w:pPr>
        <w:keepNext/>
        <w:keepLines/>
        <w:snapToGrid w:val="0"/>
        <w:spacing w:line="360" w:lineRule="auto"/>
        <w:jc w:val="left"/>
        <w:rPr>
          <w:rFonts w:ascii="宋体" w:hAnsi="宋体" w:cs="宋体"/>
          <w:color w:val="auto"/>
          <w:szCs w:val="21"/>
          <w:highlight w:val="none"/>
        </w:rPr>
      </w:pPr>
    </w:p>
    <w:p w14:paraId="08E032C1">
      <w:pPr>
        <w:keepNext/>
        <w:keepLines/>
        <w:snapToGrid w:val="0"/>
        <w:spacing w:line="360" w:lineRule="auto"/>
        <w:jc w:val="left"/>
        <w:rPr>
          <w:rFonts w:ascii="宋体" w:hAnsi="宋体" w:cs="宋体"/>
          <w:color w:val="auto"/>
          <w:szCs w:val="21"/>
          <w:highlight w:val="none"/>
        </w:rPr>
      </w:pPr>
    </w:p>
    <w:p w14:paraId="4FCDFF5D">
      <w:pPr>
        <w:keepNext/>
        <w:keepLines/>
        <w:snapToGrid w:val="0"/>
        <w:spacing w:line="360" w:lineRule="auto"/>
        <w:ind w:firstLine="4410" w:firstLineChars="2100"/>
        <w:rPr>
          <w:rFonts w:ascii="宋体" w:hAnsi="宋体" w:cs="宋体"/>
          <w:color w:val="auto"/>
          <w:kern w:val="0"/>
          <w:szCs w:val="21"/>
          <w:highlight w:val="none"/>
        </w:rPr>
      </w:pPr>
      <w:r>
        <w:rPr>
          <w:rFonts w:hint="eastAsia" w:ascii="宋体" w:hAnsi="宋体" w:cs="宋体"/>
          <w:color w:val="auto"/>
          <w:kern w:val="0"/>
          <w:szCs w:val="21"/>
          <w:highlight w:val="none"/>
          <w:lang w:val="zh-CN"/>
        </w:rPr>
        <w:t>投标人名称（电子签章）：</w:t>
      </w:r>
    </w:p>
    <w:p w14:paraId="447982B6">
      <w:pPr>
        <w:keepNext/>
        <w:keepLines/>
        <w:snapToGrid w:val="0"/>
        <w:spacing w:line="360" w:lineRule="auto"/>
        <w:ind w:firstLine="4515" w:firstLineChars="215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日期</w:t>
      </w:r>
      <w:r>
        <w:rPr>
          <w:rFonts w:hint="eastAsia" w:ascii="宋体" w:hAnsi="宋体" w:cs="宋体"/>
          <w:color w:val="auto"/>
          <w:kern w:val="0"/>
          <w:szCs w:val="21"/>
          <w:highlight w:val="none"/>
        </w:rPr>
        <w:t xml:space="preserve">：  年  </w:t>
      </w:r>
      <w:r>
        <w:rPr>
          <w:rFonts w:hint="eastAsia" w:ascii="宋体" w:hAnsi="宋体" w:cs="宋体"/>
          <w:color w:val="auto"/>
          <w:kern w:val="0"/>
          <w:szCs w:val="21"/>
          <w:highlight w:val="none"/>
          <w:lang w:val="zh-CN"/>
        </w:rPr>
        <w:t>月</w:t>
      </w:r>
      <w:r>
        <w:rPr>
          <w:rFonts w:hint="eastAsia" w:ascii="宋体" w:hAnsi="宋体" w:cs="宋体"/>
          <w:color w:val="auto"/>
          <w:kern w:val="0"/>
          <w:szCs w:val="21"/>
          <w:highlight w:val="none"/>
        </w:rPr>
        <w:t xml:space="preserve">   </w:t>
      </w:r>
      <w:r>
        <w:rPr>
          <w:rFonts w:hint="eastAsia" w:ascii="宋体" w:hAnsi="宋体" w:cs="宋体"/>
          <w:color w:val="auto"/>
          <w:kern w:val="0"/>
          <w:szCs w:val="21"/>
          <w:highlight w:val="none"/>
          <w:lang w:val="zh-CN"/>
        </w:rPr>
        <w:t>日</w:t>
      </w:r>
    </w:p>
    <w:p w14:paraId="6429C64C">
      <w:pPr>
        <w:keepNext/>
        <w:keepLines/>
        <w:snapToGrid w:val="0"/>
        <w:spacing w:line="360" w:lineRule="auto"/>
        <w:jc w:val="center"/>
        <w:rPr>
          <w:rFonts w:ascii="宋体" w:hAnsi="宋体" w:cs="宋体"/>
          <w:b/>
          <w:color w:val="auto"/>
          <w:sz w:val="28"/>
          <w:szCs w:val="28"/>
          <w:highlight w:val="none"/>
        </w:rPr>
      </w:pPr>
      <w:r>
        <w:rPr>
          <w:rFonts w:hint="eastAsia" w:ascii="宋体" w:hAnsi="宋体" w:cs="宋体"/>
          <w:b/>
          <w:color w:val="auto"/>
          <w:sz w:val="28"/>
          <w:szCs w:val="28"/>
          <w:highlight w:val="none"/>
        </w:rPr>
        <w:br w:type="page"/>
      </w:r>
    </w:p>
    <w:p w14:paraId="10847239">
      <w:pPr>
        <w:keepNext/>
        <w:keepLines/>
        <w:snapToGrid w:val="0"/>
        <w:spacing w:line="360" w:lineRule="auto"/>
        <w:ind w:right="480"/>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（二）投标人直接管理关系信息表</w:t>
      </w:r>
    </w:p>
    <w:tbl>
      <w:tblPr>
        <w:tblStyle w:val="30"/>
        <w:tblW w:w="0" w:type="auto"/>
        <w:tblInd w:w="0" w:type="dxa"/>
        <w:shd w:val="clear" w:color="auto" w:fill="FBFBFB"/>
        <w:tblLayout w:type="fixed"/>
        <w:tblCellMar>
          <w:top w:w="0" w:type="dxa"/>
          <w:left w:w="0" w:type="dxa"/>
          <w:bottom w:w="0" w:type="dxa"/>
          <w:right w:w="0" w:type="dxa"/>
        </w:tblCellMar>
      </w:tblPr>
      <w:tblGrid>
        <w:gridCol w:w="1005"/>
        <w:gridCol w:w="2659"/>
        <w:gridCol w:w="3924"/>
        <w:gridCol w:w="2064"/>
      </w:tblGrid>
      <w:tr w14:paraId="0F174E91">
        <w:tblPrEx>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6529AE9A">
            <w:pPr>
              <w:keepNext/>
              <w:keepLines/>
              <w:spacing w:line="360" w:lineRule="auto"/>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F08B95E">
            <w:pPr>
              <w:keepNext/>
              <w:keepLines/>
              <w:spacing w:line="360" w:lineRule="auto"/>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308A3D0C">
            <w:pPr>
              <w:keepNext/>
              <w:keepLines/>
              <w:spacing w:line="360" w:lineRule="auto"/>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30192BBD">
            <w:pPr>
              <w:keepNext/>
              <w:keepLines/>
              <w:spacing w:line="360" w:lineRule="auto"/>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备注</w:t>
            </w:r>
          </w:p>
        </w:tc>
      </w:tr>
      <w:tr w14:paraId="07663E59">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DB17DB8">
            <w:pPr>
              <w:keepNext/>
              <w:keepLines/>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86535C2">
            <w:pPr>
              <w:keepNext/>
              <w:keepLines/>
              <w:spacing w:line="360" w:lineRule="auto"/>
              <w:jc w:val="center"/>
              <w:rPr>
                <w:rFonts w:ascii="宋体" w:hAnsi="宋体" w:cs="宋体"/>
                <w:color w:val="auto"/>
                <w:kern w:val="0"/>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F208BA1">
            <w:pPr>
              <w:keepNext/>
              <w:keepLines/>
              <w:spacing w:line="360" w:lineRule="auto"/>
              <w:jc w:val="center"/>
              <w:rPr>
                <w:rFonts w:ascii="宋体" w:hAnsi="宋体" w:cs="宋体"/>
                <w:color w:val="auto"/>
                <w:kern w:val="0"/>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FF692FA">
            <w:pPr>
              <w:keepNext/>
              <w:keepLines/>
              <w:spacing w:line="360" w:lineRule="auto"/>
              <w:jc w:val="center"/>
              <w:rPr>
                <w:rFonts w:ascii="宋体" w:hAnsi="宋体" w:cs="宋体"/>
                <w:color w:val="auto"/>
                <w:kern w:val="0"/>
                <w:szCs w:val="21"/>
                <w:highlight w:val="none"/>
              </w:rPr>
            </w:pPr>
          </w:p>
        </w:tc>
      </w:tr>
      <w:tr w14:paraId="6EC7858E">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3CA2F9A">
            <w:pPr>
              <w:keepNext/>
              <w:keepLines/>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D319CAB">
            <w:pPr>
              <w:keepNext/>
              <w:keepLines/>
              <w:spacing w:line="360" w:lineRule="auto"/>
              <w:jc w:val="center"/>
              <w:rPr>
                <w:rFonts w:ascii="宋体" w:hAnsi="宋体" w:cs="宋体"/>
                <w:color w:val="auto"/>
                <w:kern w:val="0"/>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8C6CA5B">
            <w:pPr>
              <w:keepNext/>
              <w:keepLines/>
              <w:spacing w:line="360" w:lineRule="auto"/>
              <w:jc w:val="center"/>
              <w:rPr>
                <w:rFonts w:ascii="宋体" w:hAnsi="宋体" w:cs="宋体"/>
                <w:color w:val="auto"/>
                <w:kern w:val="0"/>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557359D">
            <w:pPr>
              <w:keepNext/>
              <w:keepLines/>
              <w:spacing w:line="360" w:lineRule="auto"/>
              <w:jc w:val="center"/>
              <w:rPr>
                <w:rFonts w:ascii="宋体" w:hAnsi="宋体" w:cs="宋体"/>
                <w:color w:val="auto"/>
                <w:kern w:val="0"/>
                <w:szCs w:val="21"/>
                <w:highlight w:val="none"/>
              </w:rPr>
            </w:pPr>
          </w:p>
        </w:tc>
      </w:tr>
      <w:tr w14:paraId="042E5F56">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023A6F3">
            <w:pPr>
              <w:keepNext/>
              <w:keepLines/>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6175A05">
            <w:pPr>
              <w:keepNext/>
              <w:keepLines/>
              <w:spacing w:line="360" w:lineRule="auto"/>
              <w:jc w:val="center"/>
              <w:rPr>
                <w:rFonts w:ascii="宋体" w:hAnsi="宋体" w:cs="宋体"/>
                <w:color w:val="auto"/>
                <w:kern w:val="0"/>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716EF20">
            <w:pPr>
              <w:keepNext/>
              <w:keepLines/>
              <w:spacing w:line="360" w:lineRule="auto"/>
              <w:jc w:val="center"/>
              <w:rPr>
                <w:rFonts w:ascii="宋体" w:hAnsi="宋体" w:cs="宋体"/>
                <w:color w:val="auto"/>
                <w:kern w:val="0"/>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6753EEC">
            <w:pPr>
              <w:keepNext/>
              <w:keepLines/>
              <w:spacing w:line="360" w:lineRule="auto"/>
              <w:jc w:val="center"/>
              <w:rPr>
                <w:rFonts w:ascii="宋体" w:hAnsi="宋体" w:cs="宋体"/>
                <w:color w:val="auto"/>
                <w:kern w:val="0"/>
                <w:szCs w:val="21"/>
                <w:highlight w:val="none"/>
              </w:rPr>
            </w:pPr>
          </w:p>
        </w:tc>
      </w:tr>
      <w:tr w14:paraId="35408E61">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E95F6D5">
            <w:pPr>
              <w:keepNext/>
              <w:keepLines/>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82FD699">
            <w:pPr>
              <w:keepNext/>
              <w:keepLines/>
              <w:spacing w:line="360" w:lineRule="auto"/>
              <w:jc w:val="center"/>
              <w:rPr>
                <w:rFonts w:ascii="宋体" w:hAnsi="宋体" w:cs="宋体"/>
                <w:color w:val="auto"/>
                <w:kern w:val="0"/>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E33AAE0">
            <w:pPr>
              <w:keepNext/>
              <w:keepLines/>
              <w:spacing w:line="360" w:lineRule="auto"/>
              <w:jc w:val="center"/>
              <w:rPr>
                <w:rFonts w:ascii="宋体" w:hAnsi="宋体" w:cs="宋体"/>
                <w:color w:val="auto"/>
                <w:kern w:val="0"/>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1C6D309">
            <w:pPr>
              <w:keepNext/>
              <w:keepLines/>
              <w:spacing w:line="360" w:lineRule="auto"/>
              <w:jc w:val="center"/>
              <w:rPr>
                <w:rFonts w:ascii="宋体" w:hAnsi="宋体" w:cs="宋体"/>
                <w:color w:val="auto"/>
                <w:kern w:val="0"/>
                <w:szCs w:val="21"/>
                <w:highlight w:val="none"/>
              </w:rPr>
            </w:pPr>
          </w:p>
        </w:tc>
      </w:tr>
    </w:tbl>
    <w:p w14:paraId="61F5F686">
      <w:pPr>
        <w:keepNext/>
        <w:keepLines/>
        <w:snapToGrid w:val="0"/>
        <w:spacing w:line="360" w:lineRule="auto"/>
        <w:jc w:val="left"/>
        <w:rPr>
          <w:rFonts w:ascii="仿宋" w:hAnsi="仿宋" w:eastAsia="仿宋" w:cs="仿宋"/>
          <w:color w:val="auto"/>
          <w:szCs w:val="21"/>
          <w:highlight w:val="none"/>
        </w:rPr>
      </w:pPr>
      <w:r>
        <w:rPr>
          <w:rFonts w:hint="eastAsia" w:ascii="仿宋" w:hAnsi="仿宋" w:eastAsia="仿宋" w:cs="仿宋"/>
          <w:color w:val="auto"/>
          <w:szCs w:val="21"/>
          <w:highlight w:val="none"/>
        </w:rPr>
        <w:t>注：</w:t>
      </w:r>
    </w:p>
    <w:p w14:paraId="4916E238">
      <w:pPr>
        <w:keepNext/>
        <w:keepLines/>
        <w:snapToGrid w:val="0"/>
        <w:spacing w:line="360" w:lineRule="auto"/>
        <w:jc w:val="left"/>
        <w:rPr>
          <w:rFonts w:ascii="仿宋" w:hAnsi="仿宋" w:eastAsia="仿宋" w:cs="仿宋"/>
          <w:color w:val="auto"/>
          <w:szCs w:val="21"/>
          <w:highlight w:val="none"/>
        </w:rPr>
      </w:pPr>
      <w:r>
        <w:rPr>
          <w:rFonts w:hint="eastAsia" w:ascii="仿宋" w:hAnsi="仿宋" w:eastAsia="仿宋" w:cs="仿宋"/>
          <w:color w:val="auto"/>
          <w:szCs w:val="21"/>
          <w:highlight w:val="none"/>
        </w:rPr>
        <w:t>1.管理关系：是指不具有出资持股关系的其他单位之间存在的管理与被管理关系，如一些上下级关系的事业单位和团体组织。</w:t>
      </w:r>
    </w:p>
    <w:p w14:paraId="075F43FD">
      <w:pPr>
        <w:keepNext/>
        <w:keepLines/>
        <w:snapToGrid w:val="0"/>
        <w:spacing w:line="360" w:lineRule="auto"/>
        <w:jc w:val="left"/>
        <w:rPr>
          <w:rFonts w:ascii="仿宋" w:hAnsi="仿宋" w:eastAsia="仿宋" w:cs="仿宋"/>
          <w:color w:val="auto"/>
          <w:szCs w:val="21"/>
          <w:highlight w:val="none"/>
        </w:rPr>
      </w:pPr>
      <w:r>
        <w:rPr>
          <w:rFonts w:hint="eastAsia" w:ascii="仿宋" w:hAnsi="仿宋" w:eastAsia="仿宋" w:cs="仿宋"/>
          <w:color w:val="auto"/>
          <w:szCs w:val="21"/>
          <w:highlight w:val="none"/>
        </w:rPr>
        <w:t>2.本表所指的管理关系仅限于直接管理关系，不包括间接的管理关系。</w:t>
      </w:r>
    </w:p>
    <w:p w14:paraId="430C7A8D">
      <w:pPr>
        <w:keepNext/>
        <w:keepLines/>
        <w:snapToGrid w:val="0"/>
        <w:spacing w:line="360" w:lineRule="auto"/>
        <w:jc w:val="left"/>
        <w:rPr>
          <w:rFonts w:ascii="仿宋" w:hAnsi="仿宋" w:eastAsia="仿宋" w:cs="仿宋"/>
          <w:color w:val="auto"/>
          <w:szCs w:val="21"/>
          <w:highlight w:val="none"/>
        </w:rPr>
      </w:pPr>
      <w:r>
        <w:rPr>
          <w:rFonts w:hint="eastAsia" w:ascii="仿宋" w:hAnsi="仿宋" w:eastAsia="仿宋" w:cs="仿宋"/>
          <w:color w:val="auto"/>
          <w:szCs w:val="21"/>
          <w:highlight w:val="none"/>
        </w:rPr>
        <w:t>3.供应商不存在直接管理关系的，则填“无”。</w:t>
      </w:r>
    </w:p>
    <w:p w14:paraId="2C2E6E1D">
      <w:pPr>
        <w:keepNext/>
        <w:keepLines/>
        <w:snapToGrid w:val="0"/>
        <w:spacing w:line="360" w:lineRule="auto"/>
        <w:jc w:val="left"/>
        <w:rPr>
          <w:rFonts w:ascii="宋体" w:hAnsi="宋体" w:cs="宋体"/>
          <w:color w:val="auto"/>
          <w:szCs w:val="21"/>
          <w:highlight w:val="none"/>
        </w:rPr>
      </w:pPr>
    </w:p>
    <w:p w14:paraId="3030C729">
      <w:pPr>
        <w:keepNext/>
        <w:keepLines/>
        <w:snapToGrid w:val="0"/>
        <w:spacing w:line="360" w:lineRule="auto"/>
        <w:ind w:firstLine="4410" w:firstLineChars="2100"/>
        <w:rPr>
          <w:rFonts w:ascii="宋体" w:hAnsi="宋体" w:cs="宋体"/>
          <w:color w:val="auto"/>
          <w:kern w:val="0"/>
          <w:szCs w:val="21"/>
          <w:highlight w:val="none"/>
        </w:rPr>
      </w:pPr>
      <w:r>
        <w:rPr>
          <w:rFonts w:hint="eastAsia" w:ascii="宋体" w:hAnsi="宋体" w:cs="宋体"/>
          <w:color w:val="auto"/>
          <w:kern w:val="0"/>
          <w:szCs w:val="21"/>
          <w:highlight w:val="none"/>
          <w:lang w:val="zh-CN"/>
        </w:rPr>
        <w:t>投标人名称（电子签章）：</w:t>
      </w:r>
    </w:p>
    <w:p w14:paraId="682DA9F9">
      <w:pPr>
        <w:keepNext/>
        <w:keepLines/>
        <w:snapToGrid w:val="0"/>
        <w:spacing w:line="360" w:lineRule="auto"/>
        <w:ind w:firstLine="4515" w:firstLineChars="215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日期</w:t>
      </w:r>
      <w:r>
        <w:rPr>
          <w:rFonts w:hint="eastAsia" w:ascii="宋体" w:hAnsi="宋体" w:cs="宋体"/>
          <w:color w:val="auto"/>
          <w:kern w:val="0"/>
          <w:szCs w:val="21"/>
          <w:highlight w:val="none"/>
        </w:rPr>
        <w:t xml:space="preserve">：  年  </w:t>
      </w:r>
      <w:r>
        <w:rPr>
          <w:rFonts w:hint="eastAsia" w:ascii="宋体" w:hAnsi="宋体" w:cs="宋体"/>
          <w:color w:val="auto"/>
          <w:kern w:val="0"/>
          <w:szCs w:val="21"/>
          <w:highlight w:val="none"/>
          <w:lang w:val="zh-CN"/>
        </w:rPr>
        <w:t>月</w:t>
      </w:r>
      <w:r>
        <w:rPr>
          <w:rFonts w:hint="eastAsia" w:ascii="宋体" w:hAnsi="宋体" w:cs="宋体"/>
          <w:color w:val="auto"/>
          <w:kern w:val="0"/>
          <w:szCs w:val="21"/>
          <w:highlight w:val="none"/>
        </w:rPr>
        <w:t xml:space="preserve">   </w:t>
      </w:r>
      <w:r>
        <w:rPr>
          <w:rFonts w:hint="eastAsia" w:ascii="宋体" w:hAnsi="宋体" w:cs="宋体"/>
          <w:color w:val="auto"/>
          <w:kern w:val="0"/>
          <w:szCs w:val="21"/>
          <w:highlight w:val="none"/>
          <w:lang w:val="zh-CN"/>
        </w:rPr>
        <w:t>日</w:t>
      </w:r>
    </w:p>
    <w:p w14:paraId="498F86F3">
      <w:pPr>
        <w:keepNext/>
        <w:keepLines/>
        <w:snapToGrid w:val="0"/>
        <w:spacing w:before="50" w:after="120" w:afterLines="50" w:line="360" w:lineRule="auto"/>
        <w:jc w:val="left"/>
        <w:rPr>
          <w:rFonts w:ascii="宋体" w:hAnsi="宋体" w:cs="宋体"/>
          <w:color w:val="auto"/>
          <w:szCs w:val="21"/>
          <w:highlight w:val="none"/>
        </w:rPr>
      </w:pPr>
    </w:p>
    <w:p w14:paraId="7A91EB91">
      <w:pPr>
        <w:keepNext/>
        <w:keepLines/>
        <w:snapToGrid w:val="0"/>
        <w:spacing w:before="120" w:beforeLines="50" w:after="50" w:line="360" w:lineRule="auto"/>
        <w:jc w:val="left"/>
        <w:rPr>
          <w:rFonts w:ascii="宋体" w:hAnsi="宋体" w:cs="宋体"/>
          <w:b/>
          <w:color w:val="auto"/>
          <w:sz w:val="24"/>
          <w:szCs w:val="20"/>
          <w:highlight w:val="none"/>
        </w:rPr>
      </w:pPr>
    </w:p>
    <w:p w14:paraId="0D1BAA33">
      <w:pPr>
        <w:keepNext/>
        <w:keepLines/>
        <w:snapToGrid w:val="0"/>
        <w:spacing w:before="120" w:beforeLines="50" w:after="50" w:line="360" w:lineRule="auto"/>
        <w:jc w:val="left"/>
        <w:rPr>
          <w:rFonts w:ascii="宋体" w:hAnsi="宋体" w:cs="宋体"/>
          <w:b/>
          <w:color w:val="auto"/>
          <w:sz w:val="24"/>
          <w:highlight w:val="none"/>
        </w:rPr>
      </w:pPr>
    </w:p>
    <w:p w14:paraId="2F6C30BF">
      <w:pPr>
        <w:keepNext/>
        <w:keepLines/>
        <w:snapToGrid w:val="0"/>
        <w:spacing w:before="120" w:beforeLines="50" w:after="50" w:line="360" w:lineRule="auto"/>
        <w:jc w:val="left"/>
        <w:rPr>
          <w:rFonts w:ascii="宋体" w:hAnsi="宋体" w:cs="宋体"/>
          <w:b/>
          <w:color w:val="auto"/>
          <w:sz w:val="24"/>
          <w:szCs w:val="20"/>
          <w:highlight w:val="none"/>
        </w:rPr>
      </w:pPr>
      <w:r>
        <w:rPr>
          <w:rFonts w:hint="eastAsia" w:ascii="宋体" w:hAnsi="宋体" w:cs="宋体"/>
          <w:b/>
          <w:color w:val="auto"/>
          <w:sz w:val="24"/>
          <w:szCs w:val="20"/>
          <w:highlight w:val="none"/>
        </w:rPr>
        <w:t xml:space="preserve"> </w:t>
      </w:r>
    </w:p>
    <w:p w14:paraId="028287D2">
      <w:pPr>
        <w:keepNext/>
        <w:keepLines/>
        <w:snapToGrid w:val="0"/>
        <w:spacing w:before="120" w:beforeLines="50" w:after="50" w:line="360" w:lineRule="auto"/>
        <w:jc w:val="left"/>
        <w:rPr>
          <w:rFonts w:ascii="宋体" w:hAnsi="宋体" w:cs="宋体"/>
          <w:b/>
          <w:color w:val="auto"/>
          <w:sz w:val="24"/>
          <w:szCs w:val="20"/>
          <w:highlight w:val="none"/>
        </w:rPr>
      </w:pPr>
    </w:p>
    <w:p w14:paraId="5BF5C55E">
      <w:pPr>
        <w:keepNext/>
        <w:keepLines/>
        <w:snapToGrid w:val="0"/>
        <w:spacing w:before="50" w:after="120" w:afterLines="50" w:line="360" w:lineRule="auto"/>
        <w:jc w:val="left"/>
        <w:rPr>
          <w:rFonts w:ascii="宋体" w:hAnsi="宋体" w:cs="宋体"/>
          <w:color w:val="auto"/>
          <w:highlight w:val="none"/>
        </w:rPr>
      </w:pPr>
    </w:p>
    <w:p w14:paraId="61FF6CA0">
      <w:pPr>
        <w:keepNext/>
        <w:keepLines/>
        <w:snapToGrid w:val="0"/>
        <w:spacing w:before="50" w:after="120" w:afterLines="50" w:line="360" w:lineRule="auto"/>
        <w:jc w:val="center"/>
        <w:rPr>
          <w:rFonts w:ascii="宋体" w:hAnsi="宋体" w:cs="宋体"/>
          <w:b/>
          <w:color w:val="auto"/>
          <w:sz w:val="32"/>
          <w:szCs w:val="32"/>
          <w:highlight w:val="none"/>
        </w:rPr>
        <w:sectPr>
          <w:pgSz w:w="11906" w:h="16838"/>
          <w:pgMar w:top="1440" w:right="1080" w:bottom="1440" w:left="1080" w:header="720" w:footer="720" w:gutter="0"/>
          <w:pgBorders>
            <w:top w:val="none" w:sz="0" w:space="0"/>
            <w:left w:val="none" w:sz="0" w:space="0"/>
            <w:bottom w:val="none" w:sz="0" w:space="0"/>
            <w:right w:val="none" w:sz="0" w:space="0"/>
          </w:pgBorders>
          <w:cols w:space="720" w:num="1"/>
          <w:docGrid w:linePitch="331" w:charSpace="0"/>
        </w:sectPr>
      </w:pPr>
    </w:p>
    <w:p w14:paraId="5B554D4B">
      <w:pPr>
        <w:keepNext/>
        <w:keepLines/>
        <w:snapToGrid w:val="0"/>
        <w:spacing w:line="360" w:lineRule="auto"/>
        <w:ind w:right="480"/>
        <w:outlineLvl w:val="2"/>
        <w:rPr>
          <w:rFonts w:ascii="宋体" w:hAnsi="宋体" w:cs="宋体"/>
          <w:b/>
          <w:color w:val="auto"/>
          <w:kern w:val="0"/>
          <w:sz w:val="32"/>
          <w:szCs w:val="32"/>
          <w:highlight w:val="none"/>
        </w:rPr>
      </w:pPr>
      <w:bookmarkStart w:id="195" w:name="_Toc177716552"/>
      <w:r>
        <w:rPr>
          <w:rFonts w:hint="eastAsia" w:ascii="宋体" w:hAnsi="宋体" w:cs="宋体"/>
          <w:b/>
          <w:color w:val="auto"/>
          <w:kern w:val="0"/>
          <w:sz w:val="32"/>
          <w:szCs w:val="32"/>
          <w:highlight w:val="none"/>
        </w:rPr>
        <w:t>二、投标声明</w:t>
      </w:r>
      <w:bookmarkEnd w:id="195"/>
    </w:p>
    <w:p w14:paraId="5DDCA965">
      <w:pPr>
        <w:keepNext/>
        <w:keepLines/>
        <w:snapToGrid w:val="0"/>
        <w:spacing w:line="360" w:lineRule="auto"/>
        <w:ind w:right="480"/>
        <w:jc w:val="center"/>
        <w:rPr>
          <w:rFonts w:ascii="宋体" w:hAnsi="宋体" w:cs="宋体"/>
          <w:color w:val="auto"/>
          <w:szCs w:val="21"/>
          <w:highlight w:val="none"/>
        </w:rPr>
      </w:pPr>
      <w:r>
        <w:rPr>
          <w:rFonts w:hint="eastAsia" w:ascii="宋体" w:hAnsi="宋体" w:cs="宋体"/>
          <w:b/>
          <w:color w:val="auto"/>
          <w:kern w:val="0"/>
          <w:sz w:val="32"/>
          <w:szCs w:val="32"/>
          <w:highlight w:val="none"/>
        </w:rPr>
        <w:t>投标声明</w:t>
      </w:r>
    </w:p>
    <w:p w14:paraId="0EAD1186">
      <w:pPr>
        <w:keepNext/>
        <w:keepLines/>
        <w:spacing w:line="360" w:lineRule="auto"/>
        <w:contextualSpacing/>
        <w:jc w:val="left"/>
        <w:rPr>
          <w:color w:val="auto"/>
          <w:szCs w:val="21"/>
          <w:highlight w:val="none"/>
        </w:rPr>
      </w:pPr>
      <w:r>
        <w:rPr>
          <w:rFonts w:hint="eastAsia" w:cs="宋体"/>
          <w:color w:val="auto"/>
          <w:szCs w:val="21"/>
          <w:highlight w:val="none"/>
          <w:u w:val="single"/>
        </w:rPr>
        <w:t>广西壮族自治区公安厅</w:t>
      </w:r>
      <w:r>
        <w:rPr>
          <w:rFonts w:hint="eastAsia"/>
          <w:color w:val="auto"/>
          <w:szCs w:val="21"/>
          <w:highlight w:val="none"/>
          <w:u w:val="single"/>
        </w:rPr>
        <w:t xml:space="preserve"> </w:t>
      </w:r>
      <w:r>
        <w:rPr>
          <w:rFonts w:hint="eastAsia"/>
          <w:color w:val="auto"/>
          <w:szCs w:val="21"/>
          <w:highlight w:val="none"/>
        </w:rPr>
        <w:t>：</w:t>
      </w:r>
    </w:p>
    <w:p w14:paraId="27889AD5">
      <w:pPr>
        <w:keepNext/>
        <w:keepLines/>
        <w:spacing w:line="360" w:lineRule="auto"/>
        <w:ind w:firstLine="457" w:firstLineChars="218"/>
        <w:contextualSpacing/>
        <w:jc w:val="left"/>
        <w:rPr>
          <w:rFonts w:ascii="宋体" w:hAnsi="宋体"/>
          <w:color w:val="auto"/>
          <w:szCs w:val="21"/>
          <w:highlight w:val="none"/>
        </w:rPr>
      </w:pPr>
      <w:r>
        <w:rPr>
          <w:rFonts w:hint="eastAsia" w:ascii="宋体" w:hAnsi="宋体"/>
          <w:color w:val="auto"/>
          <w:szCs w:val="21"/>
          <w:highlight w:val="none"/>
        </w:rPr>
        <w:t>我方参加贵单位组织</w:t>
      </w:r>
      <w:r>
        <w:rPr>
          <w:rFonts w:hint="eastAsia" w:ascii="宋体" w:hAnsi="宋体"/>
          <w:color w:val="auto"/>
          <w:szCs w:val="21"/>
          <w:highlight w:val="none"/>
          <w:u w:val="single"/>
        </w:rPr>
        <w:t xml:space="preserve">             </w:t>
      </w:r>
      <w:r>
        <w:rPr>
          <w:rFonts w:hint="eastAsia" w:ascii="宋体" w:hAnsi="宋体"/>
          <w:color w:val="auto"/>
          <w:szCs w:val="21"/>
          <w:highlight w:val="none"/>
        </w:rPr>
        <w:t>项目（项目编号：</w:t>
      </w:r>
      <w:r>
        <w:rPr>
          <w:rFonts w:hint="eastAsia" w:ascii="宋体" w:hAnsi="宋体"/>
          <w:color w:val="auto"/>
          <w:szCs w:val="21"/>
          <w:highlight w:val="none"/>
          <w:u w:val="single"/>
        </w:rPr>
        <w:t xml:space="preserve">       </w:t>
      </w:r>
      <w:r>
        <w:rPr>
          <w:rFonts w:hint="eastAsia" w:ascii="宋体" w:hAnsi="宋体"/>
          <w:color w:val="auto"/>
          <w:szCs w:val="21"/>
          <w:highlight w:val="none"/>
        </w:rPr>
        <w:t>）的政府采购活动。我方在此郑重声明：</w:t>
      </w:r>
    </w:p>
    <w:p w14:paraId="2898D585">
      <w:pPr>
        <w:keepNext/>
        <w:keepLines/>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1.我方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5F988CC2">
      <w:pPr>
        <w:keepNext/>
        <w:keepLines/>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2.我方不是为本次采购项目提供整体设计、规范编制或者项目管理、监理、检测等服务的供应商。</w:t>
      </w:r>
    </w:p>
    <w:p w14:paraId="71DEADBF">
      <w:pPr>
        <w:keepNext/>
        <w:keepLines/>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3. 我方承诺符合《中华人民共和国政府采购法》第二十二条规定：</w:t>
      </w:r>
    </w:p>
    <w:p w14:paraId="2009E0C1">
      <w:pPr>
        <w:keepNext/>
        <w:keepLines/>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（一）具有独立承担民事责任的能力；</w:t>
      </w:r>
    </w:p>
    <w:p w14:paraId="7A957DA6">
      <w:pPr>
        <w:keepNext/>
        <w:keepLines/>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（二）具有良好的商业信誉和健全的财务会计制度；</w:t>
      </w:r>
    </w:p>
    <w:p w14:paraId="48C8143E">
      <w:pPr>
        <w:keepNext/>
        <w:keepLines/>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（三）具有履行合同所必需的设备和专业技术能力；</w:t>
      </w:r>
    </w:p>
    <w:p w14:paraId="6342A3E4">
      <w:pPr>
        <w:keepNext/>
        <w:keepLines/>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（四）有依法缴纳税收和社会保障资金的良好记录；</w:t>
      </w:r>
    </w:p>
    <w:p w14:paraId="37A84CF1">
      <w:pPr>
        <w:keepNext/>
        <w:keepLines/>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（五）参加政府采购活动前三年内，在经营活动中没有重大违法记录；</w:t>
      </w:r>
    </w:p>
    <w:p w14:paraId="45BAB0E2">
      <w:pPr>
        <w:keepNext/>
        <w:keepLines/>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（六）法律、行政法规规定的其他条件。</w:t>
      </w:r>
    </w:p>
    <w:p w14:paraId="6F5D0720">
      <w:pPr>
        <w:keepNext/>
        <w:keepLines/>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4.以上事项如有虚假或者隐瞒，我方愿意承担一切后果，并不再寻求任何旨在减轻或者免除法律责任的辩解。</w:t>
      </w:r>
    </w:p>
    <w:p w14:paraId="2D852BFD">
      <w:pPr>
        <w:keepNext/>
        <w:keepLines/>
        <w:spacing w:line="360" w:lineRule="auto"/>
        <w:contextualSpacing/>
        <w:jc w:val="left"/>
        <w:rPr>
          <w:rFonts w:ascii="宋体" w:hAnsi="宋体"/>
          <w:color w:val="auto"/>
          <w:szCs w:val="21"/>
          <w:highlight w:val="none"/>
        </w:rPr>
      </w:pPr>
      <w:r>
        <w:rPr>
          <w:rFonts w:hint="eastAsia" w:ascii="宋体" w:hAnsi="宋体"/>
          <w:color w:val="auto"/>
          <w:szCs w:val="21"/>
          <w:highlight w:val="none"/>
        </w:rPr>
        <w:t xml:space="preserve">    特此承诺。</w:t>
      </w:r>
    </w:p>
    <w:p w14:paraId="5BF8F837">
      <w:pPr>
        <w:keepNext/>
        <w:keepLines/>
        <w:snapToGrid w:val="0"/>
        <w:spacing w:before="50" w:after="50" w:line="360" w:lineRule="auto"/>
        <w:rPr>
          <w:rFonts w:ascii="宋体" w:hAnsi="宋体"/>
          <w:color w:val="auto"/>
          <w:szCs w:val="21"/>
          <w:highlight w:val="none"/>
        </w:rPr>
      </w:pPr>
      <w:r>
        <w:rPr>
          <w:rFonts w:hint="eastAsia" w:ascii="宋体" w:hAnsi="宋体"/>
          <w:b/>
          <w:color w:val="auto"/>
          <w:szCs w:val="21"/>
          <w:highlight w:val="none"/>
        </w:rPr>
        <w:t xml:space="preserve">    </w:t>
      </w:r>
      <w:r>
        <w:rPr>
          <w:rFonts w:hint="eastAsia" w:ascii="宋体" w:hAnsi="宋体"/>
          <w:color w:val="auto"/>
          <w:szCs w:val="21"/>
          <w:highlight w:val="none"/>
        </w:rPr>
        <w:t xml:space="preserve">            </w:t>
      </w:r>
    </w:p>
    <w:p w14:paraId="171D741F">
      <w:pPr>
        <w:keepNext/>
        <w:keepLines/>
        <w:snapToGrid w:val="0"/>
        <w:spacing w:before="50" w:after="50" w:line="360" w:lineRule="auto"/>
        <w:ind w:firstLine="2205" w:firstLineChars="1050"/>
        <w:rPr>
          <w:rFonts w:ascii="宋体" w:hAnsi="宋体"/>
          <w:color w:val="auto"/>
          <w:szCs w:val="21"/>
          <w:highlight w:val="none"/>
        </w:rPr>
      </w:pPr>
      <w:r>
        <w:rPr>
          <w:rFonts w:hint="eastAsia" w:ascii="宋体" w:hAnsi="宋体"/>
          <w:color w:val="auto"/>
          <w:szCs w:val="21"/>
          <w:highlight w:val="none"/>
        </w:rPr>
        <w:t>法定代表人或者委托代理人</w:t>
      </w:r>
      <w:r>
        <w:rPr>
          <w:rFonts w:hint="eastAsia" w:ascii="宋体" w:hAnsi="宋体"/>
          <w:color w:val="auto"/>
          <w:spacing w:val="20"/>
          <w:szCs w:val="21"/>
          <w:highlight w:val="none"/>
        </w:rPr>
        <w:t>（签字或者电子签名）：</w:t>
      </w:r>
      <w:r>
        <w:rPr>
          <w:rFonts w:hint="eastAsia" w:ascii="宋体" w:hAnsi="宋体"/>
          <w:color w:val="auto"/>
          <w:spacing w:val="20"/>
          <w:szCs w:val="21"/>
          <w:highlight w:val="none"/>
          <w:u w:val="single"/>
        </w:rPr>
        <w:t xml:space="preserve">          </w:t>
      </w:r>
    </w:p>
    <w:p w14:paraId="419B93A3">
      <w:pPr>
        <w:keepNext/>
        <w:keepLines/>
        <w:spacing w:line="360" w:lineRule="auto"/>
        <w:contextualSpacing/>
        <w:jc w:val="left"/>
        <w:rPr>
          <w:rFonts w:ascii="宋体" w:hAnsi="宋体"/>
          <w:color w:val="auto"/>
          <w:szCs w:val="21"/>
          <w:highlight w:val="none"/>
        </w:rPr>
      </w:pPr>
      <w:r>
        <w:rPr>
          <w:rFonts w:hint="eastAsia" w:ascii="宋体" w:hAnsi="宋体"/>
          <w:color w:val="auto"/>
          <w:szCs w:val="21"/>
          <w:highlight w:val="none"/>
        </w:rPr>
        <w:t xml:space="preserve">                                          投标人名称（电子签章）：</w:t>
      </w:r>
      <w:r>
        <w:rPr>
          <w:rFonts w:hint="eastAsia" w:ascii="宋体" w:hAnsi="宋体"/>
          <w:color w:val="auto"/>
          <w:szCs w:val="21"/>
          <w:highlight w:val="none"/>
          <w:u w:val="single"/>
        </w:rPr>
        <w:t xml:space="preserve">                   </w:t>
      </w:r>
    </w:p>
    <w:p w14:paraId="7D1624B1">
      <w:pPr>
        <w:keepNext/>
        <w:keepLines/>
        <w:spacing w:line="360" w:lineRule="auto"/>
        <w:contextualSpacing/>
        <w:jc w:val="left"/>
        <w:rPr>
          <w:rFonts w:ascii="宋体" w:hAnsi="宋体"/>
          <w:color w:val="auto"/>
          <w:szCs w:val="21"/>
          <w:highlight w:val="none"/>
        </w:rPr>
      </w:pPr>
      <w:r>
        <w:rPr>
          <w:rFonts w:hint="eastAsia" w:ascii="宋体" w:hAnsi="宋体"/>
          <w:color w:val="auto"/>
          <w:szCs w:val="21"/>
          <w:highlight w:val="none"/>
        </w:rPr>
        <w:t xml:space="preserve">                                                  年    月    日</w:t>
      </w:r>
    </w:p>
    <w:p w14:paraId="79C27DA4">
      <w:pPr>
        <w:keepNext/>
        <w:keepLines/>
        <w:numPr>
          <w:ilvl w:val="0"/>
          <w:numId w:val="28"/>
        </w:numPr>
        <w:snapToGrid w:val="0"/>
        <w:spacing w:line="360" w:lineRule="auto"/>
        <w:ind w:right="480"/>
        <w:jc w:val="center"/>
        <w:rPr>
          <w:rFonts w:ascii="宋体" w:hAnsi="宋体" w:cs="宋体"/>
          <w:b/>
          <w:color w:val="auto"/>
          <w:kern w:val="0"/>
          <w:sz w:val="32"/>
          <w:szCs w:val="32"/>
          <w:highlight w:val="none"/>
        </w:rPr>
        <w:sectPr>
          <w:pgSz w:w="11906" w:h="16838"/>
          <w:pgMar w:top="1440" w:right="1080" w:bottom="1440" w:left="1080" w:header="720" w:footer="720" w:gutter="0"/>
          <w:pgBorders>
            <w:top w:val="none" w:sz="0" w:space="0"/>
            <w:left w:val="none" w:sz="0" w:space="0"/>
            <w:bottom w:val="none" w:sz="0" w:space="0"/>
            <w:right w:val="none" w:sz="0" w:space="0"/>
          </w:pgBorders>
          <w:cols w:space="720" w:num="1"/>
          <w:docGrid w:linePitch="331" w:charSpace="0"/>
        </w:sectPr>
      </w:pPr>
    </w:p>
    <w:p w14:paraId="0817ED90">
      <w:pPr>
        <w:pStyle w:val="16"/>
        <w:keepNext/>
        <w:keepLines/>
        <w:spacing w:line="360" w:lineRule="auto"/>
        <w:jc w:val="center"/>
        <w:outlineLvl w:val="1"/>
        <w:rPr>
          <w:rFonts w:cs="宋体"/>
          <w:b/>
          <w:bCs/>
          <w:color w:val="auto"/>
          <w:sz w:val="28"/>
          <w:szCs w:val="28"/>
          <w:highlight w:val="none"/>
        </w:rPr>
      </w:pPr>
      <w:bookmarkStart w:id="196" w:name="_Toc12881"/>
      <w:bookmarkStart w:id="197" w:name="_Toc177716553"/>
      <w:bookmarkStart w:id="198" w:name="_Toc12605"/>
      <w:r>
        <w:rPr>
          <w:rFonts w:hint="eastAsia" w:cs="宋体"/>
          <w:b/>
          <w:bCs/>
          <w:color w:val="auto"/>
          <w:sz w:val="28"/>
          <w:szCs w:val="28"/>
          <w:highlight w:val="none"/>
        </w:rPr>
        <w:t>第三节 报价文件格式</w:t>
      </w:r>
      <w:bookmarkEnd w:id="196"/>
      <w:bookmarkEnd w:id="197"/>
      <w:bookmarkEnd w:id="198"/>
    </w:p>
    <w:p w14:paraId="09D810B7">
      <w:pPr>
        <w:keepNext/>
        <w:keepLines/>
        <w:snapToGrid w:val="0"/>
        <w:spacing w:before="120" w:beforeLines="50" w:after="50" w:line="360" w:lineRule="auto"/>
        <w:rPr>
          <w:rFonts w:ascii="宋体" w:hAnsi="宋体" w:cs="宋体"/>
          <w:color w:val="auto"/>
          <w:sz w:val="24"/>
          <w:highlight w:val="none"/>
        </w:rPr>
      </w:pPr>
      <w:r>
        <w:rPr>
          <w:rFonts w:hint="eastAsia" w:ascii="宋体" w:hAnsi="宋体" w:cs="宋体"/>
          <w:color w:val="auto"/>
          <w:sz w:val="24"/>
          <w:highlight w:val="none"/>
        </w:rPr>
        <w:t xml:space="preserve">                                                         </w:t>
      </w:r>
    </w:p>
    <w:p w14:paraId="3EFB1DD1">
      <w:pPr>
        <w:keepNext/>
        <w:keepLines/>
        <w:snapToGrid w:val="0"/>
        <w:spacing w:before="120" w:beforeLines="50" w:after="50" w:line="360" w:lineRule="auto"/>
        <w:jc w:val="right"/>
        <w:rPr>
          <w:rFonts w:ascii="宋体" w:hAnsi="宋体" w:cs="宋体"/>
          <w:bCs/>
          <w:color w:val="auto"/>
          <w:highlight w:val="none"/>
        </w:rPr>
      </w:pPr>
    </w:p>
    <w:p w14:paraId="11AC92B3">
      <w:pPr>
        <w:keepNext/>
        <w:keepLines/>
        <w:snapToGrid w:val="0"/>
        <w:spacing w:line="360" w:lineRule="auto"/>
        <w:ind w:firstLine="840" w:firstLineChars="300"/>
        <w:jc w:val="right"/>
        <w:rPr>
          <w:rFonts w:ascii="宋体" w:hAnsi="宋体" w:cs="宋体"/>
          <w:bCs/>
          <w:color w:val="auto"/>
          <w:sz w:val="28"/>
          <w:szCs w:val="28"/>
          <w:highlight w:val="none"/>
        </w:rPr>
      </w:pPr>
      <w:r>
        <w:rPr>
          <w:rFonts w:hint="eastAsia" w:ascii="宋体" w:hAnsi="宋体" w:cs="宋体"/>
          <w:bCs/>
          <w:color w:val="auto"/>
          <w:sz w:val="28"/>
          <w:szCs w:val="28"/>
          <w:highlight w:val="none"/>
        </w:rPr>
        <w:t>电子投标文件</w:t>
      </w:r>
    </w:p>
    <w:p w14:paraId="0030455F">
      <w:pPr>
        <w:keepNext/>
        <w:keepLines/>
        <w:snapToGrid w:val="0"/>
        <w:spacing w:before="120" w:beforeLines="50" w:after="50" w:line="360" w:lineRule="auto"/>
        <w:jc w:val="center"/>
        <w:rPr>
          <w:rFonts w:ascii="宋体" w:hAnsi="宋体" w:cs="宋体"/>
          <w:bCs/>
          <w:color w:val="auto"/>
          <w:sz w:val="24"/>
          <w:szCs w:val="20"/>
          <w:highlight w:val="none"/>
        </w:rPr>
      </w:pPr>
    </w:p>
    <w:p w14:paraId="23CF0FD2">
      <w:pPr>
        <w:keepNext/>
        <w:keepLines/>
        <w:snapToGrid w:val="0"/>
        <w:spacing w:before="120" w:beforeLines="50" w:after="50" w:line="360" w:lineRule="auto"/>
        <w:jc w:val="center"/>
        <w:outlineLvl w:val="2"/>
        <w:rPr>
          <w:rFonts w:ascii="宋体" w:hAnsi="宋体" w:cs="宋体"/>
          <w:b/>
          <w:color w:val="auto"/>
          <w:sz w:val="32"/>
          <w:szCs w:val="32"/>
          <w:highlight w:val="none"/>
        </w:rPr>
      </w:pPr>
      <w:bookmarkStart w:id="199" w:name="_Toc177716554"/>
      <w:r>
        <w:rPr>
          <w:rFonts w:hint="eastAsia" w:ascii="宋体" w:hAnsi="宋体" w:cs="宋体"/>
          <w:b/>
          <w:color w:val="auto"/>
          <w:sz w:val="32"/>
          <w:szCs w:val="32"/>
          <w:highlight w:val="none"/>
        </w:rPr>
        <w:t>报价文件（封面）</w:t>
      </w:r>
      <w:bookmarkEnd w:id="199"/>
    </w:p>
    <w:p w14:paraId="1E49A031">
      <w:pPr>
        <w:keepNext/>
        <w:keepLines/>
        <w:snapToGrid w:val="0"/>
        <w:spacing w:before="120" w:beforeLines="50" w:after="50" w:line="360" w:lineRule="auto"/>
        <w:rPr>
          <w:rFonts w:ascii="宋体" w:hAnsi="宋体" w:cs="宋体"/>
          <w:bCs/>
          <w:color w:val="auto"/>
          <w:sz w:val="24"/>
          <w:szCs w:val="20"/>
          <w:highlight w:val="none"/>
        </w:rPr>
      </w:pPr>
    </w:p>
    <w:p w14:paraId="312BA046">
      <w:pPr>
        <w:keepNext/>
        <w:keepLines/>
        <w:snapToGrid w:val="0"/>
        <w:spacing w:before="120" w:beforeLines="50" w:after="50" w:line="360" w:lineRule="auto"/>
        <w:rPr>
          <w:rFonts w:ascii="宋体" w:hAnsi="宋体" w:cs="宋体"/>
          <w:bCs/>
          <w:color w:val="auto"/>
          <w:sz w:val="24"/>
          <w:szCs w:val="20"/>
          <w:highlight w:val="none"/>
        </w:rPr>
      </w:pPr>
    </w:p>
    <w:p w14:paraId="7D8BF597">
      <w:pPr>
        <w:keepNext/>
        <w:keepLines/>
        <w:snapToGrid w:val="0"/>
        <w:spacing w:before="120" w:beforeLines="50" w:after="50" w:line="360" w:lineRule="auto"/>
        <w:rPr>
          <w:rFonts w:ascii="宋体" w:hAnsi="宋体" w:cs="宋体"/>
          <w:bCs/>
          <w:color w:val="auto"/>
          <w:sz w:val="24"/>
          <w:szCs w:val="20"/>
          <w:highlight w:val="none"/>
        </w:rPr>
      </w:pPr>
    </w:p>
    <w:p w14:paraId="3ED72931">
      <w:pPr>
        <w:keepNext/>
        <w:keepLines/>
        <w:snapToGrid w:val="0"/>
        <w:spacing w:before="120" w:beforeLines="50" w:after="50" w:line="360" w:lineRule="auto"/>
        <w:rPr>
          <w:rFonts w:ascii="宋体" w:hAnsi="宋体" w:cs="宋体"/>
          <w:bCs/>
          <w:color w:val="auto"/>
          <w:sz w:val="24"/>
          <w:szCs w:val="20"/>
          <w:highlight w:val="none"/>
        </w:rPr>
      </w:pPr>
    </w:p>
    <w:p w14:paraId="0CBFBA73">
      <w:pPr>
        <w:keepNext/>
        <w:keepLines/>
        <w:snapToGrid w:val="0"/>
        <w:spacing w:before="120" w:beforeLines="50" w:after="50" w:line="360" w:lineRule="auto"/>
        <w:rPr>
          <w:rFonts w:ascii="宋体" w:hAnsi="宋体" w:cs="宋体"/>
          <w:bCs/>
          <w:color w:val="auto"/>
          <w:sz w:val="24"/>
          <w:szCs w:val="20"/>
          <w:highlight w:val="none"/>
        </w:rPr>
      </w:pPr>
    </w:p>
    <w:p w14:paraId="124862BD">
      <w:pPr>
        <w:keepNext/>
        <w:keepLines/>
        <w:snapToGrid w:val="0"/>
        <w:spacing w:before="120" w:beforeLines="50" w:after="50" w:line="360" w:lineRule="auto"/>
        <w:rPr>
          <w:rFonts w:ascii="宋体" w:hAnsi="宋体" w:cs="宋体"/>
          <w:bCs/>
          <w:color w:val="auto"/>
          <w:sz w:val="24"/>
          <w:szCs w:val="20"/>
          <w:highlight w:val="none"/>
        </w:rPr>
      </w:pPr>
    </w:p>
    <w:p w14:paraId="641E0419">
      <w:pPr>
        <w:keepNext/>
        <w:keepLines/>
        <w:snapToGrid w:val="0"/>
        <w:spacing w:line="360" w:lineRule="auto"/>
        <w:ind w:firstLine="720" w:firstLineChars="300"/>
        <w:rPr>
          <w:rFonts w:ascii="宋体" w:hAnsi="宋体" w:cs="宋体"/>
          <w:bCs/>
          <w:color w:val="auto"/>
          <w:sz w:val="24"/>
          <w:highlight w:val="none"/>
        </w:rPr>
      </w:pPr>
      <w:r>
        <w:rPr>
          <w:rFonts w:hint="eastAsia" w:ascii="宋体" w:hAnsi="宋体" w:cs="宋体"/>
          <w:bCs/>
          <w:color w:val="auto"/>
          <w:sz w:val="24"/>
          <w:highlight w:val="none"/>
        </w:rPr>
        <w:t>项目名称：广西公安数字化反电诈平台项目</w:t>
      </w:r>
    </w:p>
    <w:p w14:paraId="2502351E">
      <w:pPr>
        <w:keepNext/>
        <w:keepLines/>
        <w:snapToGrid w:val="0"/>
        <w:spacing w:line="360" w:lineRule="auto"/>
        <w:ind w:firstLine="720" w:firstLineChars="300"/>
        <w:rPr>
          <w:rFonts w:hint="eastAsia" w:ascii="宋体" w:hAnsi="宋体" w:eastAsia="宋体" w:cs="宋体"/>
          <w:bCs/>
          <w:color w:val="auto"/>
          <w:sz w:val="24"/>
          <w:highlight w:val="none"/>
          <w:lang w:eastAsia="zh-CN"/>
        </w:rPr>
      </w:pPr>
      <w:r>
        <w:rPr>
          <w:rFonts w:hint="eastAsia" w:ascii="宋体" w:hAnsi="宋体" w:cs="宋体"/>
          <w:bCs/>
          <w:color w:val="auto"/>
          <w:sz w:val="24"/>
          <w:highlight w:val="none"/>
        </w:rPr>
        <w:t>项目编号：</w:t>
      </w:r>
      <w:r>
        <w:rPr>
          <w:rFonts w:hint="eastAsia" w:ascii="宋体" w:hAnsi="宋体" w:cs="宋体"/>
          <w:bCs/>
          <w:color w:val="auto"/>
          <w:sz w:val="24"/>
          <w:highlight w:val="none"/>
          <w:lang w:eastAsia="zh-CN"/>
        </w:rPr>
        <w:t>GXZC2024-G3-006016-XYGC</w:t>
      </w:r>
    </w:p>
    <w:p w14:paraId="0A0079B6">
      <w:pPr>
        <w:keepNext/>
        <w:keepLines/>
        <w:snapToGrid w:val="0"/>
        <w:spacing w:line="360" w:lineRule="auto"/>
        <w:ind w:firstLine="720" w:firstLineChars="300"/>
        <w:rPr>
          <w:rFonts w:ascii="宋体" w:hAnsi="宋体" w:cs="宋体"/>
          <w:bCs/>
          <w:color w:val="auto"/>
          <w:sz w:val="24"/>
          <w:highlight w:val="none"/>
        </w:rPr>
      </w:pPr>
      <w:r>
        <w:rPr>
          <w:rFonts w:hint="eastAsia" w:ascii="宋体" w:hAnsi="宋体" w:cs="宋体"/>
          <w:bCs/>
          <w:color w:val="auto"/>
          <w:sz w:val="24"/>
          <w:highlight w:val="none"/>
        </w:rPr>
        <w:t>所投分标：（此处有分标时填写具体分标号，无分标时填写“无”）</w:t>
      </w:r>
    </w:p>
    <w:p w14:paraId="49DC9B1C">
      <w:pPr>
        <w:keepNext/>
        <w:keepLines/>
        <w:snapToGrid w:val="0"/>
        <w:spacing w:line="360" w:lineRule="auto"/>
        <w:ind w:firstLine="720" w:firstLineChars="300"/>
        <w:rPr>
          <w:rFonts w:ascii="宋体" w:hAnsi="宋体" w:cs="宋体"/>
          <w:bCs/>
          <w:color w:val="auto"/>
          <w:sz w:val="24"/>
          <w:highlight w:val="none"/>
        </w:rPr>
      </w:pPr>
      <w:r>
        <w:rPr>
          <w:rFonts w:hint="eastAsia" w:ascii="宋体" w:hAnsi="宋体" w:cs="宋体"/>
          <w:bCs/>
          <w:color w:val="auto"/>
          <w:sz w:val="24"/>
          <w:highlight w:val="none"/>
        </w:rPr>
        <w:t>投标人名称：</w:t>
      </w:r>
    </w:p>
    <w:p w14:paraId="38747405">
      <w:pPr>
        <w:keepNext/>
        <w:keepLines/>
        <w:snapToGrid w:val="0"/>
        <w:spacing w:line="360" w:lineRule="auto"/>
        <w:ind w:firstLine="720" w:firstLineChars="300"/>
        <w:rPr>
          <w:rFonts w:ascii="宋体" w:hAnsi="宋体" w:cs="宋体"/>
          <w:bCs/>
          <w:color w:val="auto"/>
          <w:sz w:val="24"/>
          <w:highlight w:val="none"/>
        </w:rPr>
      </w:pPr>
      <w:r>
        <w:rPr>
          <w:rFonts w:hint="eastAsia" w:ascii="宋体" w:hAnsi="宋体" w:cs="宋体"/>
          <w:bCs/>
          <w:color w:val="auto"/>
          <w:sz w:val="24"/>
          <w:highlight w:val="none"/>
        </w:rPr>
        <w:t>投标人地址：</w:t>
      </w:r>
    </w:p>
    <w:p w14:paraId="737C1D37">
      <w:pPr>
        <w:pStyle w:val="10"/>
        <w:keepNext/>
        <w:keepLines/>
        <w:snapToGrid w:val="0"/>
        <w:spacing w:before="50" w:after="50" w:line="360" w:lineRule="auto"/>
        <w:ind w:firstLine="960" w:firstLineChars="400"/>
        <w:rPr>
          <w:rFonts w:ascii="宋体" w:hAnsi="宋体" w:cs="宋体"/>
          <w:bCs/>
          <w:color w:val="auto"/>
          <w:sz w:val="24"/>
          <w:szCs w:val="24"/>
          <w:highlight w:val="none"/>
        </w:rPr>
      </w:pPr>
    </w:p>
    <w:p w14:paraId="14CE83E5">
      <w:pPr>
        <w:keepNext/>
        <w:keepLines/>
        <w:snapToGrid w:val="0"/>
        <w:spacing w:before="120" w:beforeLines="50" w:after="50" w:line="360" w:lineRule="auto"/>
        <w:ind w:firstLine="645"/>
        <w:jc w:val="center"/>
        <w:rPr>
          <w:rFonts w:ascii="宋体" w:hAnsi="宋体" w:cs="宋体"/>
          <w:color w:val="auto"/>
          <w:sz w:val="24"/>
          <w:highlight w:val="none"/>
        </w:rPr>
      </w:pPr>
      <w:r>
        <w:rPr>
          <w:rFonts w:hint="eastAsia" w:ascii="宋体" w:hAnsi="宋体" w:cs="宋体"/>
          <w:color w:val="auto"/>
          <w:sz w:val="24"/>
          <w:highlight w:val="none"/>
        </w:rPr>
        <w:t>年  月  日</w:t>
      </w:r>
      <w:bookmarkStart w:id="218" w:name="_GoBack"/>
      <w:bookmarkEnd w:id="218"/>
    </w:p>
    <w:p w14:paraId="3B944B0B">
      <w:pPr>
        <w:keepNext/>
        <w:keepLines/>
        <w:snapToGrid w:val="0"/>
        <w:spacing w:before="120" w:beforeLines="50" w:after="50" w:line="360" w:lineRule="auto"/>
        <w:rPr>
          <w:rFonts w:ascii="宋体" w:hAnsi="宋体" w:cs="宋体"/>
          <w:color w:val="auto"/>
          <w:sz w:val="24"/>
          <w:highlight w:val="none"/>
        </w:rPr>
        <w:sectPr>
          <w:pgSz w:w="11906" w:h="16838"/>
          <w:pgMar w:top="1440" w:right="1080" w:bottom="1440" w:left="1080" w:header="720" w:footer="720" w:gutter="0"/>
          <w:pgBorders>
            <w:top w:val="none" w:sz="0" w:space="0"/>
            <w:left w:val="none" w:sz="0" w:space="0"/>
            <w:bottom w:val="none" w:sz="0" w:space="0"/>
            <w:right w:val="none" w:sz="0" w:space="0"/>
          </w:pgBorders>
          <w:cols w:space="720" w:num="1"/>
          <w:docGrid w:linePitch="331" w:charSpace="0"/>
        </w:sectPr>
      </w:pPr>
    </w:p>
    <w:p w14:paraId="25595AA8">
      <w:pPr>
        <w:keepNext/>
        <w:keepLines/>
        <w:spacing w:line="360" w:lineRule="auto"/>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报价文件目录</w:t>
      </w:r>
    </w:p>
    <w:p w14:paraId="40441FA5">
      <w:pPr>
        <w:pStyle w:val="16"/>
        <w:keepNext/>
        <w:keepLines/>
        <w:spacing w:line="360" w:lineRule="auto"/>
        <w:ind w:firstLine="480"/>
        <w:jc w:val="center"/>
        <w:rPr>
          <w:rFonts w:cs="宋体"/>
          <w:color w:val="auto"/>
          <w:sz w:val="24"/>
          <w:szCs w:val="24"/>
          <w:highlight w:val="none"/>
        </w:rPr>
      </w:pPr>
      <w:r>
        <w:rPr>
          <w:rFonts w:hint="eastAsia" w:cs="宋体"/>
          <w:color w:val="auto"/>
          <w:sz w:val="24"/>
          <w:szCs w:val="24"/>
          <w:highlight w:val="none"/>
        </w:rPr>
        <w:t>（根据招标文件规定及投标人提供的材料自行编写目录）</w:t>
      </w:r>
    </w:p>
    <w:p w14:paraId="0BB3E38B">
      <w:pPr>
        <w:keepNext/>
        <w:keepLines/>
        <w:spacing w:line="360" w:lineRule="auto"/>
        <w:rPr>
          <w:rFonts w:ascii="宋体" w:hAnsi="宋体" w:cs="宋体"/>
          <w:color w:val="auto"/>
          <w:highlight w:val="none"/>
        </w:rPr>
      </w:pPr>
    </w:p>
    <w:p w14:paraId="2872C11B">
      <w:pPr>
        <w:keepNext/>
        <w:keepLines/>
        <w:widowControl/>
        <w:spacing w:line="360" w:lineRule="auto"/>
        <w:jc w:val="left"/>
        <w:rPr>
          <w:rFonts w:ascii="宋体" w:hAnsi="宋体" w:cs="宋体"/>
          <w:b/>
          <w:color w:val="auto"/>
          <w:sz w:val="30"/>
          <w:szCs w:val="30"/>
          <w:highlight w:val="none"/>
        </w:rPr>
      </w:pPr>
      <w:r>
        <w:rPr>
          <w:rFonts w:ascii="宋体" w:hAnsi="宋体" w:cs="宋体"/>
          <w:b/>
          <w:color w:val="auto"/>
          <w:sz w:val="30"/>
          <w:szCs w:val="30"/>
          <w:highlight w:val="none"/>
        </w:rPr>
        <w:br w:type="page"/>
      </w:r>
    </w:p>
    <w:p w14:paraId="11273172">
      <w:pPr>
        <w:keepNext/>
        <w:keepLines/>
        <w:snapToGrid w:val="0"/>
        <w:spacing w:line="360" w:lineRule="auto"/>
        <w:ind w:right="480"/>
        <w:outlineLvl w:val="2"/>
        <w:rPr>
          <w:rFonts w:ascii="宋体" w:hAnsi="宋体" w:cs="宋体"/>
          <w:b/>
          <w:color w:val="auto"/>
          <w:sz w:val="30"/>
          <w:szCs w:val="30"/>
          <w:highlight w:val="none"/>
        </w:rPr>
      </w:pPr>
      <w:bookmarkStart w:id="200" w:name="_Toc177716555"/>
      <w:r>
        <w:rPr>
          <w:rFonts w:hint="eastAsia" w:ascii="宋体" w:hAnsi="宋体" w:cs="宋体"/>
          <w:b/>
          <w:color w:val="auto"/>
          <w:sz w:val="30"/>
          <w:szCs w:val="30"/>
          <w:highlight w:val="none"/>
        </w:rPr>
        <w:t>一、</w:t>
      </w:r>
      <w:r>
        <w:rPr>
          <w:rFonts w:hint="eastAsia" w:ascii="宋体" w:hAnsi="宋体" w:cs="宋体"/>
          <w:b/>
          <w:color w:val="auto"/>
          <w:kern w:val="0"/>
          <w:sz w:val="32"/>
          <w:szCs w:val="32"/>
          <w:highlight w:val="none"/>
        </w:rPr>
        <w:t>投标</w:t>
      </w:r>
      <w:r>
        <w:rPr>
          <w:rFonts w:hint="eastAsia" w:ascii="宋体" w:hAnsi="宋体" w:cs="宋体"/>
          <w:b/>
          <w:color w:val="auto"/>
          <w:sz w:val="30"/>
          <w:szCs w:val="30"/>
          <w:highlight w:val="none"/>
        </w:rPr>
        <w:t>函</w:t>
      </w:r>
      <w:bookmarkEnd w:id="200"/>
    </w:p>
    <w:p w14:paraId="4C20CBF4">
      <w:pPr>
        <w:keepNext/>
        <w:keepLines/>
        <w:snapToGrid w:val="0"/>
        <w:spacing w:line="360" w:lineRule="auto"/>
        <w:ind w:right="480"/>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投标函</w:t>
      </w:r>
    </w:p>
    <w:p w14:paraId="508D4008">
      <w:pPr>
        <w:keepNext/>
        <w:keepLines/>
        <w:spacing w:line="360" w:lineRule="auto"/>
        <w:contextualSpacing/>
        <w:rPr>
          <w:rFonts w:ascii="宋体" w:hAnsi="宋体"/>
          <w:color w:val="auto"/>
          <w:szCs w:val="21"/>
          <w:highlight w:val="none"/>
        </w:rPr>
      </w:pPr>
      <w:r>
        <w:rPr>
          <w:rFonts w:hint="eastAsia" w:ascii="宋体" w:hAnsi="宋体"/>
          <w:color w:val="auto"/>
          <w:szCs w:val="21"/>
          <w:highlight w:val="none"/>
        </w:rPr>
        <w:t>致：</w:t>
      </w:r>
      <w:r>
        <w:rPr>
          <w:rFonts w:hint="eastAsia" w:cs="宋体"/>
          <w:color w:val="auto"/>
          <w:szCs w:val="21"/>
          <w:highlight w:val="none"/>
          <w:u w:val="single"/>
        </w:rPr>
        <w:t>广西壮族自治区公安厅</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33226D0B">
      <w:pPr>
        <w:keepNext/>
        <w:keepLines/>
        <w:spacing w:line="360" w:lineRule="auto"/>
        <w:ind w:firstLine="480"/>
        <w:contextualSpacing/>
        <w:rPr>
          <w:rFonts w:ascii="宋体" w:hAnsi="宋体"/>
          <w:color w:val="auto"/>
          <w:szCs w:val="21"/>
          <w:highlight w:val="none"/>
        </w:rPr>
      </w:pPr>
      <w:r>
        <w:rPr>
          <w:rFonts w:hint="eastAsia" w:ascii="宋体" w:hAnsi="宋体"/>
          <w:color w:val="auto"/>
          <w:szCs w:val="21"/>
          <w:highlight w:val="none"/>
        </w:rPr>
        <w:t>根据贵方</w:t>
      </w:r>
      <w:r>
        <w:rPr>
          <w:rFonts w:hint="eastAsia" w:ascii="宋体" w:hAnsi="宋体"/>
          <w:color w:val="auto"/>
          <w:szCs w:val="21"/>
          <w:highlight w:val="none"/>
          <w:u w:val="single"/>
        </w:rPr>
        <w:t xml:space="preserve"> </w:t>
      </w:r>
      <w:r>
        <w:rPr>
          <w:rFonts w:hint="eastAsia" w:cs="宋体"/>
          <w:color w:val="auto"/>
          <w:szCs w:val="21"/>
          <w:highlight w:val="none"/>
          <w:u w:val="single"/>
        </w:rPr>
        <w:t>广西公安数字化反电诈平台项目</w:t>
      </w:r>
      <w:r>
        <w:rPr>
          <w:rFonts w:hint="eastAsia" w:ascii="宋体" w:hAnsi="宋体"/>
          <w:color w:val="auto"/>
          <w:szCs w:val="21"/>
          <w:highlight w:val="none"/>
        </w:rPr>
        <w:t>（项目编号：</w:t>
      </w:r>
      <w:r>
        <w:rPr>
          <w:rFonts w:hint="eastAsia" w:ascii="宋体" w:hAnsi="宋体" w:cs="宋体"/>
          <w:color w:val="auto"/>
          <w:szCs w:val="21"/>
          <w:highlight w:val="none"/>
          <w:u w:val="single"/>
          <w:lang w:eastAsia="zh-CN"/>
        </w:rPr>
        <w:t>GXZC2024-G3-006016-XYGC</w:t>
      </w:r>
      <w:r>
        <w:rPr>
          <w:rFonts w:hint="eastAsia" w:ascii="宋体" w:hAnsi="宋体"/>
          <w:color w:val="auto"/>
          <w:szCs w:val="21"/>
          <w:highlight w:val="none"/>
        </w:rPr>
        <w:t>）的招标文件，签字代表</w:t>
      </w:r>
      <w:r>
        <w:rPr>
          <w:rFonts w:hint="eastAsia" w:ascii="宋体" w:hAnsi="宋体"/>
          <w:color w:val="auto"/>
          <w:szCs w:val="21"/>
          <w:highlight w:val="none"/>
          <w:u w:val="single"/>
        </w:rPr>
        <w:t xml:space="preserve">         （姓名）</w:t>
      </w:r>
      <w:r>
        <w:rPr>
          <w:rFonts w:hint="eastAsia" w:ascii="宋体" w:hAnsi="宋体"/>
          <w:color w:val="auto"/>
          <w:szCs w:val="21"/>
          <w:highlight w:val="none"/>
        </w:rPr>
        <w:t>经正式授权并代表投标人</w:t>
      </w:r>
      <w:r>
        <w:rPr>
          <w:rFonts w:hint="eastAsia" w:ascii="宋体" w:hAnsi="宋体"/>
          <w:color w:val="auto"/>
          <w:szCs w:val="21"/>
          <w:highlight w:val="none"/>
          <w:u w:val="single"/>
        </w:rPr>
        <w:t xml:space="preserve">                 </w:t>
      </w:r>
      <w:r>
        <w:rPr>
          <w:rFonts w:hint="eastAsia" w:ascii="宋体" w:hAnsi="宋体"/>
          <w:color w:val="auto"/>
          <w:szCs w:val="21"/>
          <w:highlight w:val="none"/>
        </w:rPr>
        <w:t>（投标人名称）提交投标文件。</w:t>
      </w:r>
    </w:p>
    <w:p w14:paraId="4261432E">
      <w:pPr>
        <w:keepNext/>
        <w:keepLines/>
        <w:spacing w:line="360" w:lineRule="auto"/>
        <w:ind w:firstLine="420" w:firstLineChars="200"/>
        <w:contextualSpacing/>
        <w:rPr>
          <w:rFonts w:ascii="宋体" w:hAnsi="宋体"/>
          <w:color w:val="auto"/>
          <w:szCs w:val="21"/>
          <w:highlight w:val="none"/>
        </w:rPr>
      </w:pPr>
      <w:r>
        <w:rPr>
          <w:rFonts w:hint="eastAsia" w:ascii="宋体" w:hAnsi="宋体"/>
          <w:color w:val="auto"/>
          <w:szCs w:val="21"/>
          <w:highlight w:val="none"/>
        </w:rPr>
        <w:t>据此函，我方宣布同意如下：</w:t>
      </w:r>
    </w:p>
    <w:p w14:paraId="3E0BF8D4">
      <w:pPr>
        <w:keepNext/>
        <w:keepLines/>
        <w:spacing w:line="360" w:lineRule="auto"/>
        <w:ind w:firstLine="420" w:firstLineChars="200"/>
        <w:contextualSpacing/>
        <w:rPr>
          <w:rFonts w:ascii="宋体" w:hAnsi="宋体"/>
          <w:color w:val="auto"/>
          <w:szCs w:val="21"/>
          <w:highlight w:val="none"/>
        </w:rPr>
      </w:pPr>
      <w:r>
        <w:rPr>
          <w:rFonts w:hint="eastAsia" w:ascii="宋体" w:hAnsi="宋体"/>
          <w:color w:val="auto"/>
          <w:szCs w:val="21"/>
          <w:highlight w:val="none"/>
        </w:rPr>
        <w:t>1.我方已详细审查全部“招标文件”，包括修改文件（如有的话）以及全部参考资料和有关附件，已经了解我方对于招标文件、采购过程、采购结果有依法进行询问、质疑、投诉的权利及相关渠道和要求。</w:t>
      </w:r>
    </w:p>
    <w:p w14:paraId="0BB635F4">
      <w:pPr>
        <w:keepNext/>
        <w:keepLines/>
        <w:spacing w:line="360" w:lineRule="auto"/>
        <w:ind w:firstLine="420" w:firstLineChars="200"/>
        <w:contextualSpacing/>
        <w:rPr>
          <w:rFonts w:ascii="宋体" w:hAnsi="宋体"/>
          <w:color w:val="auto"/>
          <w:szCs w:val="21"/>
          <w:highlight w:val="none"/>
        </w:rPr>
      </w:pPr>
      <w:r>
        <w:rPr>
          <w:rFonts w:hint="eastAsia" w:ascii="宋体" w:hAnsi="宋体"/>
          <w:color w:val="auto"/>
          <w:szCs w:val="21"/>
          <w:highlight w:val="none"/>
        </w:rPr>
        <w:t>2.我方在投标之前已经完全理解并接受招标文件的各项规定和要求，对招标文件的合理性、合法性不再有异议。</w:t>
      </w:r>
    </w:p>
    <w:p w14:paraId="2958E19E">
      <w:pPr>
        <w:keepNext/>
        <w:keepLines/>
        <w:spacing w:line="360" w:lineRule="auto"/>
        <w:ind w:firstLine="420" w:firstLineChars="200"/>
        <w:contextualSpacing/>
        <w:rPr>
          <w:rFonts w:ascii="宋体" w:hAnsi="宋体"/>
          <w:color w:val="auto"/>
          <w:szCs w:val="21"/>
          <w:highlight w:val="none"/>
        </w:rPr>
      </w:pPr>
      <w:r>
        <w:rPr>
          <w:rFonts w:hint="eastAsia" w:ascii="宋体" w:hAnsi="宋体"/>
          <w:color w:val="auto"/>
          <w:szCs w:val="21"/>
          <w:highlight w:val="none"/>
        </w:rPr>
        <w:t>3.本投标有效期自投标截止之日起</w:t>
      </w:r>
      <w:r>
        <w:rPr>
          <w:rFonts w:ascii="宋体" w:hAnsi="宋体"/>
          <w:color w:val="auto"/>
          <w:szCs w:val="21"/>
          <w:highlight w:val="none"/>
          <w:u w:val="single"/>
        </w:rPr>
        <w:t xml:space="preserve">    </w:t>
      </w:r>
      <w:r>
        <w:rPr>
          <w:rFonts w:hint="eastAsia" w:ascii="宋体" w:hAnsi="宋体"/>
          <w:color w:val="auto"/>
          <w:szCs w:val="21"/>
          <w:highlight w:val="none"/>
        </w:rPr>
        <w:t>日。</w:t>
      </w:r>
    </w:p>
    <w:p w14:paraId="5ED6F737">
      <w:pPr>
        <w:keepNext/>
        <w:keepLines/>
        <w:spacing w:line="360" w:lineRule="auto"/>
        <w:ind w:firstLine="420" w:firstLineChars="200"/>
        <w:contextualSpacing/>
        <w:rPr>
          <w:rFonts w:ascii="宋体" w:hAnsi="宋体"/>
          <w:color w:val="auto"/>
          <w:szCs w:val="21"/>
          <w:highlight w:val="none"/>
        </w:rPr>
      </w:pPr>
      <w:r>
        <w:rPr>
          <w:rFonts w:hint="eastAsia" w:ascii="宋体" w:hAnsi="宋体"/>
          <w:color w:val="auto"/>
          <w:szCs w:val="21"/>
          <w:highlight w:val="none"/>
        </w:rPr>
        <w:t>4.如中标，本投标文件至本项目合同履行完毕止均保持有效，我方将按“招标文件”及政府采购法律法规的规定履行合同责任和义务。</w:t>
      </w:r>
    </w:p>
    <w:p w14:paraId="616E08EA">
      <w:pPr>
        <w:keepNext/>
        <w:keepLines/>
        <w:spacing w:line="360" w:lineRule="auto"/>
        <w:ind w:firstLine="420" w:firstLineChars="200"/>
        <w:contextualSpacing/>
        <w:rPr>
          <w:rFonts w:ascii="宋体" w:hAnsi="宋体"/>
          <w:color w:val="auto"/>
          <w:szCs w:val="21"/>
          <w:highlight w:val="none"/>
        </w:rPr>
      </w:pPr>
      <w:r>
        <w:rPr>
          <w:rFonts w:hint="eastAsia" w:ascii="宋体" w:hAnsi="宋体"/>
          <w:color w:val="auto"/>
          <w:szCs w:val="21"/>
          <w:highlight w:val="none"/>
        </w:rPr>
        <w:t>5.我方同意按照贵方要求提供与投标有关的一切数据或者资料。</w:t>
      </w:r>
    </w:p>
    <w:p w14:paraId="27660463">
      <w:pPr>
        <w:keepNext/>
        <w:keepLines/>
        <w:spacing w:line="360" w:lineRule="auto"/>
        <w:ind w:firstLine="420" w:firstLineChars="200"/>
        <w:contextualSpacing/>
        <w:rPr>
          <w:rFonts w:ascii="宋体" w:hAnsi="宋体"/>
          <w:color w:val="auto"/>
          <w:szCs w:val="21"/>
          <w:highlight w:val="none"/>
        </w:rPr>
      </w:pPr>
      <w:r>
        <w:rPr>
          <w:rFonts w:hint="eastAsia" w:ascii="宋体" w:hAnsi="宋体"/>
          <w:color w:val="auto"/>
          <w:szCs w:val="21"/>
          <w:highlight w:val="none"/>
        </w:rPr>
        <w:t>6.我方向贵方提交的所有投标文件、资料都是准确的和真实的。</w:t>
      </w:r>
    </w:p>
    <w:p w14:paraId="7AE7B242">
      <w:pPr>
        <w:keepNext/>
        <w:keepLines/>
        <w:spacing w:line="360" w:lineRule="auto"/>
        <w:ind w:firstLine="420" w:firstLineChars="200"/>
        <w:contextualSpacing/>
        <w:rPr>
          <w:rFonts w:ascii="宋体" w:hAnsi="宋体"/>
          <w:color w:val="auto"/>
          <w:szCs w:val="21"/>
          <w:highlight w:val="none"/>
        </w:rPr>
      </w:pPr>
      <w:r>
        <w:rPr>
          <w:rFonts w:hint="eastAsia" w:ascii="宋体" w:hAnsi="宋体"/>
          <w:color w:val="auto"/>
          <w:szCs w:val="21"/>
          <w:highlight w:val="none"/>
        </w:rPr>
        <w:t>7.以上事项如有虚假或者隐瞒，我方愿意承担一切后果，并不再寻求任何旨在减轻或者免除法律责任的辩解。</w:t>
      </w:r>
    </w:p>
    <w:p w14:paraId="49924E67">
      <w:pPr>
        <w:keepNext/>
        <w:keepLines/>
        <w:spacing w:line="360" w:lineRule="auto"/>
        <w:ind w:firstLine="420" w:firstLineChars="200"/>
        <w:contextualSpacing/>
        <w:rPr>
          <w:rFonts w:ascii="宋体" w:hAnsi="宋体"/>
          <w:color w:val="auto"/>
          <w:szCs w:val="21"/>
          <w:highlight w:val="none"/>
        </w:rPr>
      </w:pPr>
      <w:r>
        <w:rPr>
          <w:rFonts w:hint="eastAsia" w:ascii="宋体" w:hAnsi="宋体"/>
          <w:color w:val="auto"/>
          <w:szCs w:val="21"/>
          <w:highlight w:val="none"/>
        </w:rPr>
        <w:t>8.根据</w:t>
      </w:r>
      <w:r>
        <w:rPr>
          <w:rFonts w:ascii="宋体" w:hAnsi="宋体"/>
          <w:color w:val="auto"/>
          <w:szCs w:val="21"/>
          <w:highlight w:val="none"/>
        </w:rPr>
        <w:t>《中华人民共和国政府采购法实施条例》第五十条要求对政府采购合同进行公告</w:t>
      </w:r>
      <w:r>
        <w:rPr>
          <w:rFonts w:hint="eastAsia" w:ascii="宋体" w:hAnsi="宋体"/>
          <w:color w:val="auto"/>
          <w:szCs w:val="21"/>
          <w:highlight w:val="none"/>
        </w:rPr>
        <w:t>，</w:t>
      </w:r>
      <w:r>
        <w:rPr>
          <w:rFonts w:ascii="宋体" w:hAnsi="宋体"/>
          <w:color w:val="auto"/>
          <w:szCs w:val="21"/>
          <w:highlight w:val="none"/>
        </w:rPr>
        <w:t>但政府采购合同中涉及国家秘密、商业秘密的内容除外。</w:t>
      </w:r>
      <w:r>
        <w:rPr>
          <w:rFonts w:hint="eastAsia" w:ascii="宋体" w:hAnsi="宋体"/>
          <w:color w:val="auto"/>
          <w:szCs w:val="21"/>
          <w:highlight w:val="none"/>
        </w:rPr>
        <w:t>我方就对本次投标文件进行注明如下：（两项内容中必须选择一项）</w:t>
      </w:r>
    </w:p>
    <w:p w14:paraId="16E4023E">
      <w:pPr>
        <w:keepNext/>
        <w:keepLines/>
        <w:spacing w:line="360" w:lineRule="auto"/>
        <w:ind w:firstLine="420" w:firstLineChars="200"/>
        <w:contextualSpacing/>
        <w:rPr>
          <w:rFonts w:ascii="宋体" w:hAnsi="宋体"/>
          <w:color w:val="auto"/>
          <w:szCs w:val="21"/>
          <w:highlight w:val="none"/>
        </w:rPr>
      </w:pPr>
      <w:r>
        <w:rPr>
          <w:rFonts w:hint="eastAsia" w:ascii="宋体" w:hAnsi="宋体"/>
          <w:color w:val="auto"/>
          <w:szCs w:val="21"/>
          <w:highlight w:val="none"/>
        </w:rPr>
        <w:t>□我方本次投标文件</w:t>
      </w:r>
      <w:r>
        <w:rPr>
          <w:rFonts w:ascii="宋体" w:hAnsi="宋体" w:cs="宋体"/>
          <w:color w:val="auto"/>
          <w:kern w:val="0"/>
          <w:szCs w:val="21"/>
          <w:highlight w:val="none"/>
        </w:rPr>
        <w:t>内容中</w:t>
      </w:r>
      <w:r>
        <w:rPr>
          <w:rFonts w:hint="eastAsia" w:ascii="宋体" w:hAnsi="宋体"/>
          <w:color w:val="auto"/>
          <w:szCs w:val="21"/>
          <w:highlight w:val="none"/>
        </w:rPr>
        <w:t>未</w:t>
      </w:r>
      <w:r>
        <w:rPr>
          <w:rFonts w:ascii="宋体" w:hAnsi="宋体" w:cs="宋体"/>
          <w:color w:val="auto"/>
          <w:kern w:val="0"/>
          <w:szCs w:val="21"/>
          <w:highlight w:val="none"/>
        </w:rPr>
        <w:t>涉及商业秘密</w:t>
      </w:r>
      <w:r>
        <w:rPr>
          <w:rFonts w:hint="eastAsia" w:ascii="宋体" w:hAnsi="宋体" w:cs="宋体"/>
          <w:color w:val="auto"/>
          <w:kern w:val="0"/>
          <w:szCs w:val="21"/>
          <w:highlight w:val="none"/>
        </w:rPr>
        <w:t>；</w:t>
      </w:r>
    </w:p>
    <w:p w14:paraId="3E3B84E7">
      <w:pPr>
        <w:keepNext/>
        <w:keepLines/>
        <w:spacing w:line="360" w:lineRule="auto"/>
        <w:ind w:firstLine="420" w:firstLineChars="200"/>
        <w:contextualSpacing/>
        <w:rPr>
          <w:rFonts w:ascii="宋体" w:hAnsi="宋体"/>
          <w:color w:val="auto"/>
          <w:szCs w:val="21"/>
          <w:highlight w:val="none"/>
        </w:rPr>
      </w:pPr>
      <w:r>
        <w:rPr>
          <w:rFonts w:hint="eastAsia" w:ascii="宋体" w:hAnsi="宋体"/>
          <w:color w:val="auto"/>
          <w:szCs w:val="21"/>
          <w:highlight w:val="none"/>
        </w:rPr>
        <w:t>□我方本次投标文件</w:t>
      </w:r>
      <w:r>
        <w:rPr>
          <w:rFonts w:ascii="宋体" w:hAnsi="宋体" w:cs="宋体"/>
          <w:color w:val="auto"/>
          <w:kern w:val="0"/>
          <w:szCs w:val="21"/>
          <w:highlight w:val="none"/>
        </w:rPr>
        <w:t>涉及商业秘密</w:t>
      </w:r>
      <w:r>
        <w:rPr>
          <w:rFonts w:hint="eastAsia" w:ascii="宋体" w:hAnsi="宋体" w:cs="宋体"/>
          <w:color w:val="auto"/>
          <w:kern w:val="0"/>
          <w:szCs w:val="21"/>
          <w:highlight w:val="none"/>
        </w:rPr>
        <w:t>的</w:t>
      </w:r>
      <w:r>
        <w:rPr>
          <w:rFonts w:ascii="宋体" w:hAnsi="宋体" w:cs="宋体"/>
          <w:color w:val="auto"/>
          <w:kern w:val="0"/>
          <w:szCs w:val="21"/>
          <w:highlight w:val="none"/>
        </w:rPr>
        <w:t>内容</w:t>
      </w:r>
      <w:r>
        <w:rPr>
          <w:rFonts w:hint="eastAsia" w:ascii="宋体" w:hAnsi="宋体" w:cs="宋体"/>
          <w:color w:val="auto"/>
          <w:kern w:val="0"/>
          <w:szCs w:val="21"/>
          <w:highlight w:val="none"/>
        </w:rPr>
        <w:t>有：</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14:paraId="3EA0DD02">
      <w:pPr>
        <w:keepNext/>
        <w:keepLines/>
        <w:spacing w:line="360" w:lineRule="auto"/>
        <w:ind w:firstLine="420" w:firstLineChars="200"/>
        <w:contextualSpacing/>
        <w:rPr>
          <w:rFonts w:ascii="宋体" w:hAnsi="宋体"/>
          <w:color w:val="auto"/>
          <w:szCs w:val="21"/>
          <w:highlight w:val="none"/>
        </w:rPr>
      </w:pPr>
      <w:r>
        <w:rPr>
          <w:rFonts w:hint="eastAsia" w:ascii="宋体" w:hAnsi="宋体"/>
          <w:color w:val="auto"/>
          <w:szCs w:val="21"/>
          <w:highlight w:val="none"/>
        </w:rPr>
        <w:t>9.与本项目有关的一切正式往来信函请寄：</w:t>
      </w:r>
    </w:p>
    <w:p w14:paraId="70F318DB">
      <w:pPr>
        <w:keepNext/>
        <w:keepLines/>
        <w:spacing w:line="360" w:lineRule="auto"/>
        <w:ind w:firstLine="420" w:firstLineChars="200"/>
        <w:contextualSpacing/>
        <w:rPr>
          <w:rFonts w:ascii="宋体" w:hAnsi="宋体"/>
          <w:color w:val="auto"/>
          <w:szCs w:val="21"/>
          <w:highlight w:val="none"/>
          <w:u w:val="single"/>
        </w:rPr>
      </w:pPr>
      <w:r>
        <w:rPr>
          <w:rFonts w:hint="eastAsia" w:ascii="宋体" w:hAnsi="宋体"/>
          <w:color w:val="auto"/>
          <w:szCs w:val="21"/>
          <w:highlight w:val="none"/>
        </w:rPr>
        <w:t>地址：</w:t>
      </w:r>
      <w:r>
        <w:rPr>
          <w:rFonts w:hint="eastAsia" w:ascii="宋体" w:hAnsi="宋体"/>
          <w:color w:val="auto"/>
          <w:szCs w:val="21"/>
          <w:highlight w:val="none"/>
          <w:u w:val="single"/>
        </w:rPr>
        <w:t xml:space="preserve">          </w:t>
      </w:r>
      <w:r>
        <w:rPr>
          <w:rFonts w:hint="eastAsia" w:ascii="宋体" w:hAnsi="宋体"/>
          <w:color w:val="auto"/>
          <w:szCs w:val="21"/>
          <w:highlight w:val="none"/>
        </w:rPr>
        <w:t>邮编：</w:t>
      </w:r>
      <w:r>
        <w:rPr>
          <w:rFonts w:hint="eastAsia" w:ascii="宋体" w:hAnsi="宋体"/>
          <w:color w:val="auto"/>
          <w:szCs w:val="21"/>
          <w:highlight w:val="none"/>
          <w:u w:val="single"/>
        </w:rPr>
        <w:t xml:space="preserve">            </w:t>
      </w:r>
    </w:p>
    <w:p w14:paraId="095D3195">
      <w:pPr>
        <w:keepNext/>
        <w:keepLines/>
        <w:spacing w:line="360" w:lineRule="auto"/>
        <w:ind w:firstLine="420" w:firstLineChars="200"/>
        <w:contextualSpacing/>
        <w:rPr>
          <w:rFonts w:ascii="宋体" w:hAnsi="宋体"/>
          <w:color w:val="auto"/>
          <w:szCs w:val="21"/>
          <w:highlight w:val="none"/>
        </w:rPr>
      </w:pPr>
      <w:r>
        <w:rPr>
          <w:rFonts w:hint="eastAsia" w:ascii="宋体" w:hAnsi="宋体"/>
          <w:color w:val="auto"/>
          <w:szCs w:val="21"/>
          <w:highlight w:val="none"/>
        </w:rPr>
        <w:t>联系人：</w:t>
      </w:r>
      <w:r>
        <w:rPr>
          <w:rFonts w:hint="eastAsia" w:ascii="宋体" w:hAnsi="宋体"/>
          <w:color w:val="auto"/>
          <w:szCs w:val="21"/>
          <w:highlight w:val="none"/>
          <w:u w:val="single"/>
        </w:rPr>
        <w:t xml:space="preserve">        </w:t>
      </w:r>
      <w:r>
        <w:rPr>
          <w:rFonts w:hint="eastAsia" w:ascii="宋体" w:hAnsi="宋体"/>
          <w:color w:val="auto"/>
          <w:szCs w:val="21"/>
          <w:highlight w:val="none"/>
        </w:rPr>
        <w:t>电话：</w:t>
      </w:r>
      <w:r>
        <w:rPr>
          <w:rFonts w:hint="eastAsia" w:ascii="宋体" w:hAnsi="宋体"/>
          <w:color w:val="auto"/>
          <w:szCs w:val="21"/>
          <w:highlight w:val="none"/>
          <w:u w:val="single"/>
        </w:rPr>
        <w:t xml:space="preserve">        </w:t>
      </w:r>
      <w:r>
        <w:rPr>
          <w:rFonts w:hint="eastAsia" w:ascii="宋体" w:hAnsi="宋体"/>
          <w:color w:val="auto"/>
          <w:szCs w:val="21"/>
          <w:highlight w:val="none"/>
        </w:rPr>
        <w:t>传真：</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电子邮箱：</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p>
    <w:p w14:paraId="57376CE9">
      <w:pPr>
        <w:keepNext/>
        <w:keepLines/>
        <w:spacing w:line="360" w:lineRule="auto"/>
        <w:ind w:firstLine="420" w:firstLineChars="200"/>
        <w:contextualSpacing/>
        <w:rPr>
          <w:rFonts w:ascii="宋体" w:hAnsi="宋体"/>
          <w:color w:val="auto"/>
          <w:szCs w:val="21"/>
          <w:highlight w:val="none"/>
        </w:rPr>
      </w:pPr>
      <w:r>
        <w:rPr>
          <w:rFonts w:hint="eastAsia" w:ascii="宋体" w:hAnsi="宋体"/>
          <w:color w:val="auto"/>
          <w:szCs w:val="21"/>
          <w:highlight w:val="none"/>
        </w:rPr>
        <w:t>投标人名称：</w:t>
      </w:r>
      <w:r>
        <w:rPr>
          <w:rFonts w:hint="eastAsia" w:ascii="宋体" w:hAnsi="宋体"/>
          <w:color w:val="auto"/>
          <w:szCs w:val="21"/>
          <w:highlight w:val="none"/>
          <w:u w:val="single"/>
        </w:rPr>
        <w:t xml:space="preserve">                </w:t>
      </w:r>
    </w:p>
    <w:p w14:paraId="42953851">
      <w:pPr>
        <w:keepNext/>
        <w:keepLines/>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开户银行：</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银行账号：</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50D0314E">
      <w:pPr>
        <w:pStyle w:val="13"/>
        <w:keepNext/>
        <w:keepLines/>
        <w:spacing w:line="360" w:lineRule="auto"/>
        <w:rPr>
          <w:color w:val="auto"/>
          <w:szCs w:val="21"/>
          <w:highlight w:val="none"/>
        </w:rPr>
      </w:pPr>
    </w:p>
    <w:p w14:paraId="6CE84608">
      <w:pPr>
        <w:keepNext/>
        <w:keepLines/>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 xml:space="preserve">                           法定代表人或者委托代理人（签字或者电子签名）：</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 xml:space="preserve"> </w:t>
      </w:r>
    </w:p>
    <w:p w14:paraId="5AD04616">
      <w:pPr>
        <w:pStyle w:val="16"/>
        <w:keepNext/>
        <w:keepLines/>
        <w:spacing w:line="360" w:lineRule="auto"/>
        <w:contextualSpacing/>
        <w:jc w:val="center"/>
        <w:rPr>
          <w:color w:val="auto"/>
          <w:szCs w:val="21"/>
          <w:highlight w:val="none"/>
          <w:u w:val="single"/>
        </w:rPr>
      </w:pPr>
      <w:r>
        <w:rPr>
          <w:rFonts w:hint="eastAsia"/>
          <w:color w:val="auto"/>
          <w:szCs w:val="21"/>
          <w:highlight w:val="none"/>
        </w:rPr>
        <w:t xml:space="preserve"> </w:t>
      </w:r>
      <w:r>
        <w:rPr>
          <w:color w:val="auto"/>
          <w:szCs w:val="21"/>
          <w:highlight w:val="none"/>
        </w:rPr>
        <w:t xml:space="preserve">                                   </w:t>
      </w:r>
      <w:r>
        <w:rPr>
          <w:rFonts w:hint="eastAsia"/>
          <w:color w:val="auto"/>
          <w:szCs w:val="21"/>
          <w:highlight w:val="none"/>
        </w:rPr>
        <w:t>投标人名称（电子签章）：</w:t>
      </w:r>
      <w:r>
        <w:rPr>
          <w:rFonts w:hint="eastAsia"/>
          <w:color w:val="auto"/>
          <w:szCs w:val="21"/>
          <w:highlight w:val="none"/>
          <w:u w:val="single"/>
        </w:rPr>
        <w:t xml:space="preserve"> </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p>
    <w:p w14:paraId="42BD1855">
      <w:pPr>
        <w:pStyle w:val="16"/>
        <w:keepNext/>
        <w:keepLines/>
        <w:spacing w:line="360" w:lineRule="auto"/>
        <w:contextualSpacing/>
        <w:rPr>
          <w:color w:val="auto"/>
          <w:szCs w:val="21"/>
          <w:highlight w:val="none"/>
        </w:rPr>
      </w:pPr>
      <w:r>
        <w:rPr>
          <w:rFonts w:hint="eastAsia"/>
          <w:color w:val="auto"/>
          <w:szCs w:val="21"/>
          <w:highlight w:val="none"/>
        </w:rPr>
        <w:t xml:space="preserve">                                                         </w:t>
      </w:r>
      <w:r>
        <w:rPr>
          <w:rFonts w:hint="eastAsia"/>
          <w:color w:val="auto"/>
          <w:szCs w:val="21"/>
          <w:highlight w:val="none"/>
          <w:u w:val="single"/>
        </w:rPr>
        <w:t xml:space="preserve">      </w:t>
      </w:r>
      <w:r>
        <w:rPr>
          <w:rFonts w:hint="eastAsia"/>
          <w:color w:val="auto"/>
          <w:szCs w:val="21"/>
          <w:highlight w:val="none"/>
        </w:rPr>
        <w:t>年</w:t>
      </w:r>
      <w:r>
        <w:rPr>
          <w:rFonts w:hint="eastAsia"/>
          <w:color w:val="auto"/>
          <w:szCs w:val="21"/>
          <w:highlight w:val="none"/>
          <w:u w:val="single"/>
        </w:rPr>
        <w:t xml:space="preserve">    </w:t>
      </w:r>
      <w:r>
        <w:rPr>
          <w:rFonts w:hint="eastAsia"/>
          <w:color w:val="auto"/>
          <w:szCs w:val="21"/>
          <w:highlight w:val="none"/>
        </w:rPr>
        <w:t>月</w:t>
      </w:r>
      <w:r>
        <w:rPr>
          <w:rFonts w:hint="eastAsia"/>
          <w:color w:val="auto"/>
          <w:szCs w:val="21"/>
          <w:highlight w:val="none"/>
          <w:u w:val="single"/>
        </w:rPr>
        <w:t xml:space="preserve">     </w:t>
      </w:r>
      <w:r>
        <w:rPr>
          <w:rFonts w:hint="eastAsia"/>
          <w:color w:val="auto"/>
          <w:szCs w:val="21"/>
          <w:highlight w:val="none"/>
        </w:rPr>
        <w:t>日</w:t>
      </w:r>
    </w:p>
    <w:p w14:paraId="05B1605F">
      <w:pPr>
        <w:keepNext/>
        <w:keepLines/>
        <w:adjustRightInd w:val="0"/>
        <w:snapToGrid w:val="0"/>
        <w:spacing w:line="360" w:lineRule="auto"/>
        <w:ind w:firstLine="4515" w:firstLineChars="2150"/>
        <w:rPr>
          <w:rFonts w:ascii="宋体" w:hAnsi="宋体" w:cs="宋体"/>
          <w:color w:val="auto"/>
          <w:kern w:val="0"/>
          <w:szCs w:val="21"/>
          <w:highlight w:val="none"/>
          <w:lang w:val="zh-CN"/>
        </w:rPr>
        <w:sectPr>
          <w:pgSz w:w="11906" w:h="16838"/>
          <w:pgMar w:top="1440" w:right="1080" w:bottom="1440" w:left="1080" w:header="720" w:footer="720" w:gutter="0"/>
          <w:pgBorders>
            <w:top w:val="none" w:sz="0" w:space="0"/>
            <w:left w:val="none" w:sz="0" w:space="0"/>
            <w:bottom w:val="none" w:sz="0" w:space="0"/>
            <w:right w:val="none" w:sz="0" w:space="0"/>
          </w:pgBorders>
          <w:cols w:space="720" w:num="1"/>
          <w:docGrid w:linePitch="331" w:charSpace="0"/>
        </w:sectPr>
      </w:pPr>
    </w:p>
    <w:p w14:paraId="361926D4">
      <w:pPr>
        <w:keepNext/>
        <w:keepLines/>
        <w:snapToGrid w:val="0"/>
        <w:spacing w:line="360" w:lineRule="auto"/>
        <w:ind w:right="480"/>
        <w:outlineLvl w:val="2"/>
        <w:rPr>
          <w:rFonts w:ascii="宋体" w:hAnsi="宋体" w:cs="宋体"/>
          <w:b/>
          <w:color w:val="auto"/>
          <w:sz w:val="30"/>
          <w:szCs w:val="30"/>
          <w:highlight w:val="none"/>
        </w:rPr>
      </w:pPr>
      <w:bookmarkStart w:id="201" w:name="_Toc177716556"/>
      <w:r>
        <w:rPr>
          <w:rFonts w:hint="eastAsia" w:ascii="宋体" w:hAnsi="宋体" w:cs="宋体"/>
          <w:b/>
          <w:color w:val="auto"/>
          <w:sz w:val="30"/>
          <w:szCs w:val="30"/>
          <w:highlight w:val="none"/>
        </w:rPr>
        <w:t>二、开标一览表</w:t>
      </w:r>
      <w:bookmarkEnd w:id="201"/>
    </w:p>
    <w:p w14:paraId="7B4F6376">
      <w:pPr>
        <w:keepNext/>
        <w:keepLines/>
        <w:spacing w:line="360" w:lineRule="auto"/>
        <w:jc w:val="center"/>
        <w:rPr>
          <w:b/>
          <w:bCs/>
          <w:color w:val="auto"/>
          <w:sz w:val="32"/>
          <w:szCs w:val="40"/>
          <w:highlight w:val="none"/>
        </w:rPr>
      </w:pPr>
      <w:r>
        <w:rPr>
          <w:rFonts w:hint="eastAsia"/>
          <w:b/>
          <w:bCs/>
          <w:color w:val="auto"/>
          <w:sz w:val="32"/>
          <w:szCs w:val="40"/>
          <w:highlight w:val="none"/>
        </w:rPr>
        <w:t>开标一览表</w:t>
      </w:r>
    </w:p>
    <w:p w14:paraId="6EDE8DFE">
      <w:pPr>
        <w:keepNext/>
        <w:keepLines/>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项目名称：</w:t>
      </w:r>
      <w:r>
        <w:rPr>
          <w:rFonts w:hint="eastAsia" w:ascii="宋体" w:hAnsi="宋体" w:cs="宋体"/>
          <w:color w:val="auto"/>
          <w:szCs w:val="21"/>
          <w:highlight w:val="none"/>
          <w:u w:val="single"/>
        </w:rPr>
        <w:t>广西公安数字化反电诈平台项目</w:t>
      </w:r>
    </w:p>
    <w:p w14:paraId="58511376">
      <w:pPr>
        <w:keepNext/>
        <w:keepLines/>
        <w:snapToGrid w:val="0"/>
        <w:spacing w:line="360" w:lineRule="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项目编号：</w:t>
      </w:r>
      <w:r>
        <w:rPr>
          <w:rFonts w:hint="eastAsia" w:ascii="宋体" w:hAnsi="宋体" w:cs="宋体"/>
          <w:color w:val="auto"/>
          <w:szCs w:val="21"/>
          <w:highlight w:val="none"/>
          <w:u w:val="single"/>
          <w:lang w:eastAsia="zh-CN"/>
        </w:rPr>
        <w:t>GXZC2024-G3-006016-XYGC</w:t>
      </w:r>
    </w:p>
    <w:tbl>
      <w:tblPr>
        <w:tblStyle w:val="30"/>
        <w:tblW w:w="490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9"/>
        <w:gridCol w:w="3232"/>
        <w:gridCol w:w="1101"/>
        <w:gridCol w:w="1785"/>
        <w:gridCol w:w="1934"/>
        <w:gridCol w:w="1146"/>
      </w:tblGrid>
      <w:tr w14:paraId="24199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296" w:type="pct"/>
            <w:tcBorders>
              <w:top w:val="single" w:color="auto" w:sz="4" w:space="0"/>
              <w:left w:val="single" w:color="auto" w:sz="4" w:space="0"/>
              <w:bottom w:val="single" w:color="auto" w:sz="4" w:space="0"/>
              <w:right w:val="single" w:color="auto" w:sz="4" w:space="0"/>
            </w:tcBorders>
            <w:shd w:val="clear" w:color="auto" w:fill="D7D7D7"/>
            <w:vAlign w:val="center"/>
          </w:tcPr>
          <w:p w14:paraId="255F422F">
            <w:pPr>
              <w:keepNext/>
              <w:keepLines/>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序号</w:t>
            </w:r>
          </w:p>
        </w:tc>
        <w:tc>
          <w:tcPr>
            <w:tcW w:w="1653" w:type="pct"/>
            <w:tcBorders>
              <w:top w:val="single" w:color="auto" w:sz="4" w:space="0"/>
              <w:left w:val="single" w:color="auto" w:sz="4" w:space="0"/>
              <w:bottom w:val="single" w:color="auto" w:sz="4" w:space="0"/>
              <w:right w:val="single" w:color="auto" w:sz="4" w:space="0"/>
            </w:tcBorders>
            <w:shd w:val="clear" w:color="auto" w:fill="D7D7D7"/>
            <w:vAlign w:val="center"/>
          </w:tcPr>
          <w:p w14:paraId="770B4B11">
            <w:pPr>
              <w:keepNext/>
              <w:keepLines/>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标的名称</w:t>
            </w:r>
          </w:p>
        </w:tc>
        <w:tc>
          <w:tcPr>
            <w:tcW w:w="563" w:type="pct"/>
            <w:tcBorders>
              <w:top w:val="single" w:color="auto" w:sz="4" w:space="0"/>
              <w:left w:val="single" w:color="auto" w:sz="4" w:space="0"/>
              <w:bottom w:val="single" w:color="auto" w:sz="4" w:space="0"/>
              <w:right w:val="single" w:color="auto" w:sz="4" w:space="0"/>
            </w:tcBorders>
            <w:shd w:val="clear" w:color="auto" w:fill="D7D7D7"/>
            <w:vAlign w:val="center"/>
          </w:tcPr>
          <w:p w14:paraId="304BEA3D">
            <w:pPr>
              <w:keepNext/>
              <w:keepLines/>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数量及单位①</w:t>
            </w:r>
          </w:p>
        </w:tc>
        <w:tc>
          <w:tcPr>
            <w:tcW w:w="913" w:type="pct"/>
            <w:tcBorders>
              <w:top w:val="single" w:color="auto" w:sz="4" w:space="0"/>
              <w:left w:val="single" w:color="auto" w:sz="4" w:space="0"/>
              <w:bottom w:val="single" w:color="auto" w:sz="4" w:space="0"/>
              <w:right w:val="single" w:color="auto" w:sz="4" w:space="0"/>
            </w:tcBorders>
            <w:shd w:val="clear" w:color="auto" w:fill="D7D7D7"/>
            <w:vAlign w:val="center"/>
          </w:tcPr>
          <w:p w14:paraId="08B35443">
            <w:pPr>
              <w:keepNext/>
              <w:keepLines/>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投标单价（元）②</w:t>
            </w:r>
          </w:p>
        </w:tc>
        <w:tc>
          <w:tcPr>
            <w:tcW w:w="989" w:type="pct"/>
            <w:tcBorders>
              <w:top w:val="single" w:color="auto" w:sz="4" w:space="0"/>
              <w:left w:val="single" w:color="auto" w:sz="4" w:space="0"/>
              <w:bottom w:val="single" w:color="auto" w:sz="4" w:space="0"/>
              <w:right w:val="single" w:color="auto" w:sz="4" w:space="0"/>
            </w:tcBorders>
            <w:shd w:val="clear" w:color="auto" w:fill="D7D7D7"/>
            <w:vAlign w:val="center"/>
          </w:tcPr>
          <w:p w14:paraId="4B468890">
            <w:pPr>
              <w:keepNext/>
              <w:keepLines/>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投标报价（元）③</w:t>
            </w:r>
          </w:p>
          <w:p w14:paraId="4165064B">
            <w:pPr>
              <w:keepNext/>
              <w:keepLines/>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rPr>
              <w:t>③=①×②</w:t>
            </w:r>
            <w:r>
              <w:rPr>
                <w:rFonts w:hint="eastAsia" w:ascii="宋体" w:hAnsi="宋体" w:cs="宋体"/>
                <w:b/>
                <w:bCs/>
                <w:color w:val="auto"/>
                <w:szCs w:val="21"/>
                <w:highlight w:val="none"/>
                <w:lang w:eastAsia="zh-CN"/>
              </w:rPr>
              <w:t>)</w:t>
            </w:r>
          </w:p>
        </w:tc>
        <w:tc>
          <w:tcPr>
            <w:tcW w:w="584" w:type="pct"/>
            <w:tcBorders>
              <w:top w:val="single" w:color="auto" w:sz="4" w:space="0"/>
              <w:left w:val="single" w:color="auto" w:sz="4" w:space="0"/>
              <w:bottom w:val="single" w:color="auto" w:sz="4" w:space="0"/>
              <w:right w:val="single" w:color="auto" w:sz="4" w:space="0"/>
            </w:tcBorders>
            <w:shd w:val="clear" w:color="auto" w:fill="D7D7D7"/>
            <w:vAlign w:val="center"/>
          </w:tcPr>
          <w:p w14:paraId="23CF57A5">
            <w:pPr>
              <w:keepNext/>
              <w:keepLines/>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备注</w:t>
            </w:r>
          </w:p>
        </w:tc>
      </w:tr>
      <w:tr w14:paraId="40782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jc w:val="center"/>
        </w:trPr>
        <w:tc>
          <w:tcPr>
            <w:tcW w:w="296" w:type="pct"/>
            <w:tcBorders>
              <w:top w:val="single" w:color="auto" w:sz="4" w:space="0"/>
              <w:left w:val="single" w:color="auto" w:sz="4" w:space="0"/>
              <w:bottom w:val="single" w:color="auto" w:sz="4" w:space="0"/>
              <w:right w:val="single" w:color="auto" w:sz="4" w:space="0"/>
            </w:tcBorders>
            <w:vAlign w:val="center"/>
          </w:tcPr>
          <w:p w14:paraId="0E4D0718">
            <w:pPr>
              <w:keepNext/>
              <w:keepLines/>
              <w:spacing w:line="360" w:lineRule="auto"/>
              <w:jc w:val="center"/>
              <w:rPr>
                <w:rFonts w:ascii="宋体" w:hAnsi="宋体" w:cs="宋体"/>
                <w:color w:val="auto"/>
                <w:szCs w:val="21"/>
                <w:highlight w:val="none"/>
              </w:rPr>
            </w:pPr>
            <w:r>
              <w:rPr>
                <w:rFonts w:hint="eastAsia" w:ascii="宋体" w:hAnsi="宋体"/>
                <w:color w:val="auto"/>
                <w:szCs w:val="21"/>
                <w:highlight w:val="none"/>
              </w:rPr>
              <w:t>1</w:t>
            </w:r>
          </w:p>
        </w:tc>
        <w:tc>
          <w:tcPr>
            <w:tcW w:w="1653" w:type="pct"/>
            <w:tcBorders>
              <w:top w:val="single" w:color="auto" w:sz="4" w:space="0"/>
              <w:left w:val="single" w:color="auto" w:sz="4" w:space="0"/>
              <w:bottom w:val="single" w:color="auto" w:sz="4" w:space="0"/>
              <w:right w:val="single" w:color="auto" w:sz="4" w:space="0"/>
            </w:tcBorders>
            <w:vAlign w:val="center"/>
          </w:tcPr>
          <w:p w14:paraId="58D405D5">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广西公安数字化反电诈平台</w:t>
            </w:r>
          </w:p>
        </w:tc>
        <w:tc>
          <w:tcPr>
            <w:tcW w:w="563" w:type="pct"/>
            <w:tcBorders>
              <w:top w:val="single" w:color="auto" w:sz="4" w:space="0"/>
              <w:left w:val="single" w:color="auto" w:sz="4" w:space="0"/>
              <w:bottom w:val="single" w:color="auto" w:sz="4" w:space="0"/>
              <w:right w:val="single" w:color="auto" w:sz="4" w:space="0"/>
            </w:tcBorders>
            <w:vAlign w:val="center"/>
          </w:tcPr>
          <w:p w14:paraId="1BE312C8">
            <w:pPr>
              <w:keepNext/>
              <w:keepLines/>
              <w:spacing w:line="360" w:lineRule="auto"/>
              <w:jc w:val="center"/>
              <w:rPr>
                <w:rFonts w:ascii="宋体" w:hAnsi="宋体" w:cs="宋体"/>
                <w:color w:val="auto"/>
                <w:szCs w:val="21"/>
                <w:highlight w:val="none"/>
              </w:rPr>
            </w:pPr>
          </w:p>
        </w:tc>
        <w:tc>
          <w:tcPr>
            <w:tcW w:w="913" w:type="pct"/>
            <w:tcBorders>
              <w:top w:val="single" w:color="auto" w:sz="4" w:space="0"/>
              <w:left w:val="single" w:color="auto" w:sz="4" w:space="0"/>
              <w:bottom w:val="single" w:color="auto" w:sz="4" w:space="0"/>
              <w:right w:val="single" w:color="auto" w:sz="4" w:space="0"/>
            </w:tcBorders>
            <w:vAlign w:val="center"/>
          </w:tcPr>
          <w:p w14:paraId="4576E6E9">
            <w:pPr>
              <w:keepNext/>
              <w:keepLines/>
              <w:spacing w:line="360" w:lineRule="auto"/>
              <w:jc w:val="center"/>
              <w:rPr>
                <w:rFonts w:ascii="宋体" w:hAnsi="宋体" w:cs="宋体"/>
                <w:color w:val="auto"/>
                <w:szCs w:val="21"/>
                <w:highlight w:val="none"/>
                <w:u w:val="single"/>
              </w:rPr>
            </w:pPr>
          </w:p>
        </w:tc>
        <w:tc>
          <w:tcPr>
            <w:tcW w:w="989" w:type="pct"/>
            <w:tcBorders>
              <w:top w:val="single" w:color="auto" w:sz="4" w:space="0"/>
              <w:left w:val="single" w:color="auto" w:sz="4" w:space="0"/>
              <w:bottom w:val="single" w:color="auto" w:sz="4" w:space="0"/>
              <w:right w:val="single" w:color="auto" w:sz="4" w:space="0"/>
            </w:tcBorders>
            <w:vAlign w:val="center"/>
          </w:tcPr>
          <w:p w14:paraId="75CC2175">
            <w:pPr>
              <w:keepNext/>
              <w:keepLines/>
              <w:spacing w:line="360" w:lineRule="auto"/>
              <w:jc w:val="center"/>
              <w:rPr>
                <w:rFonts w:ascii="宋体" w:hAnsi="宋体" w:cs="宋体"/>
                <w:color w:val="auto"/>
                <w:szCs w:val="21"/>
                <w:highlight w:val="none"/>
              </w:rPr>
            </w:pPr>
          </w:p>
        </w:tc>
        <w:tc>
          <w:tcPr>
            <w:tcW w:w="584" w:type="pct"/>
            <w:tcBorders>
              <w:top w:val="single" w:color="auto" w:sz="4" w:space="0"/>
              <w:left w:val="single" w:color="auto" w:sz="4" w:space="0"/>
              <w:bottom w:val="single" w:color="auto" w:sz="4" w:space="0"/>
              <w:right w:val="single" w:color="auto" w:sz="4" w:space="0"/>
            </w:tcBorders>
            <w:vAlign w:val="center"/>
          </w:tcPr>
          <w:p w14:paraId="41E3BE1A">
            <w:pPr>
              <w:keepNext/>
              <w:keepLines/>
              <w:spacing w:line="360" w:lineRule="auto"/>
              <w:jc w:val="center"/>
              <w:rPr>
                <w:rFonts w:ascii="宋体" w:hAnsi="宋体" w:cs="宋体"/>
                <w:color w:val="auto"/>
                <w:szCs w:val="21"/>
                <w:highlight w:val="none"/>
              </w:rPr>
            </w:pPr>
          </w:p>
        </w:tc>
      </w:tr>
      <w:tr w14:paraId="38F2B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jc w:val="center"/>
        </w:trPr>
        <w:tc>
          <w:tcPr>
            <w:tcW w:w="296" w:type="pct"/>
            <w:tcBorders>
              <w:top w:val="single" w:color="auto" w:sz="4" w:space="0"/>
              <w:left w:val="single" w:color="auto" w:sz="4" w:space="0"/>
              <w:bottom w:val="single" w:color="auto" w:sz="4" w:space="0"/>
              <w:right w:val="single" w:color="auto" w:sz="4" w:space="0"/>
            </w:tcBorders>
            <w:vAlign w:val="center"/>
          </w:tcPr>
          <w:p w14:paraId="6F14C32D">
            <w:pPr>
              <w:keepNext/>
              <w:keepLines/>
              <w:spacing w:line="360" w:lineRule="auto"/>
              <w:jc w:val="center"/>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2</w:t>
            </w:r>
          </w:p>
        </w:tc>
        <w:tc>
          <w:tcPr>
            <w:tcW w:w="1653" w:type="pct"/>
            <w:tcBorders>
              <w:top w:val="single" w:color="auto" w:sz="4" w:space="0"/>
              <w:left w:val="single" w:color="auto" w:sz="4" w:space="0"/>
              <w:bottom w:val="single" w:color="auto" w:sz="4" w:space="0"/>
              <w:right w:val="single" w:color="auto" w:sz="4" w:space="0"/>
            </w:tcBorders>
            <w:vAlign w:val="center"/>
          </w:tcPr>
          <w:p w14:paraId="287EEAF7">
            <w:pPr>
              <w:spacing w:line="360" w:lineRule="auto"/>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第三方软件测评</w:t>
            </w:r>
          </w:p>
        </w:tc>
        <w:tc>
          <w:tcPr>
            <w:tcW w:w="563" w:type="pct"/>
            <w:tcBorders>
              <w:top w:val="single" w:color="auto" w:sz="4" w:space="0"/>
              <w:left w:val="single" w:color="auto" w:sz="4" w:space="0"/>
              <w:bottom w:val="single" w:color="auto" w:sz="4" w:space="0"/>
              <w:right w:val="single" w:color="auto" w:sz="4" w:space="0"/>
            </w:tcBorders>
            <w:vAlign w:val="center"/>
          </w:tcPr>
          <w:p w14:paraId="510C5EA9">
            <w:pPr>
              <w:keepNext/>
              <w:keepLines/>
              <w:spacing w:line="360" w:lineRule="auto"/>
              <w:jc w:val="center"/>
              <w:rPr>
                <w:rFonts w:ascii="宋体" w:hAnsi="宋体"/>
                <w:color w:val="auto"/>
                <w:szCs w:val="21"/>
                <w:highlight w:val="none"/>
              </w:rPr>
            </w:pPr>
          </w:p>
        </w:tc>
        <w:tc>
          <w:tcPr>
            <w:tcW w:w="913" w:type="pct"/>
            <w:tcBorders>
              <w:top w:val="single" w:color="auto" w:sz="4" w:space="0"/>
              <w:left w:val="single" w:color="auto" w:sz="4" w:space="0"/>
              <w:bottom w:val="single" w:color="auto" w:sz="4" w:space="0"/>
              <w:right w:val="single" w:color="auto" w:sz="4" w:space="0"/>
            </w:tcBorders>
            <w:vAlign w:val="center"/>
          </w:tcPr>
          <w:p w14:paraId="18078EA7">
            <w:pPr>
              <w:keepNext/>
              <w:keepLines/>
              <w:spacing w:line="360" w:lineRule="auto"/>
              <w:jc w:val="center"/>
              <w:rPr>
                <w:rFonts w:ascii="宋体" w:hAnsi="宋体" w:cs="宋体"/>
                <w:color w:val="auto"/>
                <w:szCs w:val="21"/>
                <w:highlight w:val="none"/>
                <w:u w:val="single"/>
              </w:rPr>
            </w:pPr>
          </w:p>
        </w:tc>
        <w:tc>
          <w:tcPr>
            <w:tcW w:w="989" w:type="pct"/>
            <w:tcBorders>
              <w:top w:val="single" w:color="auto" w:sz="4" w:space="0"/>
              <w:left w:val="single" w:color="auto" w:sz="4" w:space="0"/>
              <w:bottom w:val="single" w:color="auto" w:sz="4" w:space="0"/>
              <w:right w:val="single" w:color="auto" w:sz="4" w:space="0"/>
            </w:tcBorders>
            <w:vAlign w:val="center"/>
          </w:tcPr>
          <w:p w14:paraId="0DBBAD42">
            <w:pPr>
              <w:keepNext/>
              <w:keepLines/>
              <w:spacing w:line="360" w:lineRule="auto"/>
              <w:jc w:val="center"/>
              <w:rPr>
                <w:rFonts w:ascii="宋体" w:hAnsi="宋体" w:cs="宋体"/>
                <w:color w:val="auto"/>
                <w:szCs w:val="21"/>
                <w:highlight w:val="none"/>
              </w:rPr>
            </w:pPr>
          </w:p>
        </w:tc>
        <w:tc>
          <w:tcPr>
            <w:tcW w:w="584" w:type="pct"/>
            <w:tcBorders>
              <w:top w:val="single" w:color="auto" w:sz="4" w:space="0"/>
              <w:left w:val="single" w:color="auto" w:sz="4" w:space="0"/>
              <w:bottom w:val="single" w:color="auto" w:sz="4" w:space="0"/>
              <w:right w:val="single" w:color="auto" w:sz="4" w:space="0"/>
            </w:tcBorders>
            <w:vAlign w:val="center"/>
          </w:tcPr>
          <w:p w14:paraId="59BF88A2">
            <w:pPr>
              <w:keepNext/>
              <w:keepLines/>
              <w:spacing w:line="360" w:lineRule="auto"/>
              <w:jc w:val="center"/>
              <w:rPr>
                <w:rFonts w:ascii="宋体" w:hAnsi="宋体" w:cs="宋体"/>
                <w:color w:val="auto"/>
                <w:szCs w:val="21"/>
                <w:highlight w:val="none"/>
              </w:rPr>
            </w:pPr>
          </w:p>
        </w:tc>
      </w:tr>
      <w:tr w14:paraId="0831F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 w:hRule="atLeast"/>
          <w:jc w:val="center"/>
        </w:trPr>
        <w:tc>
          <w:tcPr>
            <w:tcW w:w="296" w:type="pct"/>
            <w:tcBorders>
              <w:top w:val="single" w:color="auto" w:sz="4" w:space="0"/>
              <w:left w:val="single" w:color="auto" w:sz="4" w:space="0"/>
              <w:bottom w:val="single" w:color="auto" w:sz="4" w:space="0"/>
              <w:right w:val="single" w:color="auto" w:sz="4" w:space="0"/>
            </w:tcBorders>
            <w:vAlign w:val="center"/>
          </w:tcPr>
          <w:p w14:paraId="1F709299">
            <w:pPr>
              <w:keepNext/>
              <w:keepLines/>
              <w:spacing w:line="360" w:lineRule="auto"/>
              <w:jc w:val="center"/>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3</w:t>
            </w:r>
          </w:p>
        </w:tc>
        <w:tc>
          <w:tcPr>
            <w:tcW w:w="1653" w:type="pct"/>
            <w:tcBorders>
              <w:top w:val="single" w:color="auto" w:sz="4" w:space="0"/>
              <w:left w:val="single" w:color="auto" w:sz="4" w:space="0"/>
              <w:bottom w:val="single" w:color="auto" w:sz="4" w:space="0"/>
              <w:right w:val="single" w:color="auto" w:sz="4" w:space="0"/>
            </w:tcBorders>
            <w:vAlign w:val="center"/>
          </w:tcPr>
          <w:p w14:paraId="262C5E6A">
            <w:pPr>
              <w:spacing w:line="360" w:lineRule="auto"/>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网络安全等级保护测评</w:t>
            </w:r>
          </w:p>
        </w:tc>
        <w:tc>
          <w:tcPr>
            <w:tcW w:w="563" w:type="pct"/>
            <w:tcBorders>
              <w:top w:val="single" w:color="auto" w:sz="4" w:space="0"/>
              <w:left w:val="single" w:color="auto" w:sz="4" w:space="0"/>
              <w:bottom w:val="single" w:color="auto" w:sz="4" w:space="0"/>
              <w:right w:val="single" w:color="auto" w:sz="4" w:space="0"/>
            </w:tcBorders>
            <w:vAlign w:val="center"/>
          </w:tcPr>
          <w:p w14:paraId="3621320B">
            <w:pPr>
              <w:keepNext/>
              <w:keepLines/>
              <w:spacing w:line="360" w:lineRule="auto"/>
              <w:jc w:val="center"/>
              <w:rPr>
                <w:rFonts w:ascii="宋体" w:hAnsi="宋体"/>
                <w:color w:val="auto"/>
                <w:szCs w:val="21"/>
                <w:highlight w:val="none"/>
              </w:rPr>
            </w:pPr>
          </w:p>
        </w:tc>
        <w:tc>
          <w:tcPr>
            <w:tcW w:w="913" w:type="pct"/>
            <w:tcBorders>
              <w:top w:val="single" w:color="auto" w:sz="4" w:space="0"/>
              <w:left w:val="single" w:color="auto" w:sz="4" w:space="0"/>
              <w:bottom w:val="single" w:color="auto" w:sz="4" w:space="0"/>
              <w:right w:val="single" w:color="auto" w:sz="4" w:space="0"/>
            </w:tcBorders>
            <w:vAlign w:val="center"/>
          </w:tcPr>
          <w:p w14:paraId="21E0380E">
            <w:pPr>
              <w:keepNext/>
              <w:keepLines/>
              <w:spacing w:line="360" w:lineRule="auto"/>
              <w:jc w:val="center"/>
              <w:rPr>
                <w:rFonts w:ascii="宋体" w:hAnsi="宋体" w:cs="宋体"/>
                <w:color w:val="auto"/>
                <w:szCs w:val="21"/>
                <w:highlight w:val="none"/>
                <w:u w:val="single"/>
              </w:rPr>
            </w:pPr>
          </w:p>
        </w:tc>
        <w:tc>
          <w:tcPr>
            <w:tcW w:w="989" w:type="pct"/>
            <w:tcBorders>
              <w:top w:val="single" w:color="auto" w:sz="4" w:space="0"/>
              <w:left w:val="single" w:color="auto" w:sz="4" w:space="0"/>
              <w:bottom w:val="single" w:color="auto" w:sz="4" w:space="0"/>
              <w:right w:val="single" w:color="auto" w:sz="4" w:space="0"/>
            </w:tcBorders>
            <w:vAlign w:val="center"/>
          </w:tcPr>
          <w:p w14:paraId="7AFF29CA">
            <w:pPr>
              <w:keepNext/>
              <w:keepLines/>
              <w:spacing w:line="360" w:lineRule="auto"/>
              <w:jc w:val="center"/>
              <w:rPr>
                <w:rFonts w:ascii="宋体" w:hAnsi="宋体" w:cs="宋体"/>
                <w:color w:val="auto"/>
                <w:szCs w:val="21"/>
                <w:highlight w:val="none"/>
              </w:rPr>
            </w:pPr>
          </w:p>
        </w:tc>
        <w:tc>
          <w:tcPr>
            <w:tcW w:w="584" w:type="pct"/>
            <w:tcBorders>
              <w:top w:val="single" w:color="auto" w:sz="4" w:space="0"/>
              <w:left w:val="single" w:color="auto" w:sz="4" w:space="0"/>
              <w:bottom w:val="single" w:color="auto" w:sz="4" w:space="0"/>
              <w:right w:val="single" w:color="auto" w:sz="4" w:space="0"/>
            </w:tcBorders>
            <w:vAlign w:val="center"/>
          </w:tcPr>
          <w:p w14:paraId="7B629FDB">
            <w:pPr>
              <w:keepNext/>
              <w:keepLines/>
              <w:spacing w:line="360" w:lineRule="auto"/>
              <w:jc w:val="center"/>
              <w:rPr>
                <w:rFonts w:ascii="宋体" w:hAnsi="宋体" w:cs="宋体"/>
                <w:color w:val="auto"/>
                <w:szCs w:val="21"/>
                <w:highlight w:val="none"/>
              </w:rPr>
            </w:pPr>
          </w:p>
        </w:tc>
      </w:tr>
      <w:tr w14:paraId="09098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jc w:val="center"/>
        </w:trPr>
        <w:tc>
          <w:tcPr>
            <w:tcW w:w="296" w:type="pct"/>
            <w:tcBorders>
              <w:top w:val="single" w:color="auto" w:sz="4" w:space="0"/>
              <w:left w:val="single" w:color="auto" w:sz="4" w:space="0"/>
              <w:bottom w:val="single" w:color="auto" w:sz="4" w:space="0"/>
              <w:right w:val="single" w:color="auto" w:sz="4" w:space="0"/>
            </w:tcBorders>
            <w:vAlign w:val="center"/>
          </w:tcPr>
          <w:p w14:paraId="7D8C77C8">
            <w:pPr>
              <w:keepNext/>
              <w:keepLines/>
              <w:spacing w:line="360" w:lineRule="auto"/>
              <w:jc w:val="center"/>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4</w:t>
            </w:r>
          </w:p>
        </w:tc>
        <w:tc>
          <w:tcPr>
            <w:tcW w:w="1653" w:type="pct"/>
            <w:tcBorders>
              <w:top w:val="single" w:color="auto" w:sz="4" w:space="0"/>
              <w:left w:val="single" w:color="auto" w:sz="4" w:space="0"/>
              <w:bottom w:val="single" w:color="auto" w:sz="4" w:space="0"/>
              <w:right w:val="single" w:color="auto" w:sz="4" w:space="0"/>
            </w:tcBorders>
            <w:vAlign w:val="center"/>
          </w:tcPr>
          <w:p w14:paraId="02DC1A74">
            <w:pPr>
              <w:spacing w:line="360" w:lineRule="auto"/>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商用密码应用系统安全性评估</w:t>
            </w:r>
          </w:p>
        </w:tc>
        <w:tc>
          <w:tcPr>
            <w:tcW w:w="563" w:type="pct"/>
            <w:tcBorders>
              <w:top w:val="single" w:color="auto" w:sz="4" w:space="0"/>
              <w:left w:val="single" w:color="auto" w:sz="4" w:space="0"/>
              <w:bottom w:val="single" w:color="auto" w:sz="4" w:space="0"/>
              <w:right w:val="single" w:color="auto" w:sz="4" w:space="0"/>
            </w:tcBorders>
            <w:vAlign w:val="center"/>
          </w:tcPr>
          <w:p w14:paraId="7472F05B">
            <w:pPr>
              <w:keepNext/>
              <w:keepLines/>
              <w:spacing w:line="360" w:lineRule="auto"/>
              <w:jc w:val="center"/>
              <w:rPr>
                <w:rFonts w:ascii="宋体" w:hAnsi="宋体"/>
                <w:color w:val="auto"/>
                <w:szCs w:val="21"/>
                <w:highlight w:val="none"/>
              </w:rPr>
            </w:pPr>
          </w:p>
        </w:tc>
        <w:tc>
          <w:tcPr>
            <w:tcW w:w="913" w:type="pct"/>
            <w:tcBorders>
              <w:top w:val="single" w:color="auto" w:sz="4" w:space="0"/>
              <w:left w:val="single" w:color="auto" w:sz="4" w:space="0"/>
              <w:bottom w:val="single" w:color="auto" w:sz="4" w:space="0"/>
              <w:right w:val="single" w:color="auto" w:sz="4" w:space="0"/>
            </w:tcBorders>
            <w:vAlign w:val="center"/>
          </w:tcPr>
          <w:p w14:paraId="7A4FC3A1">
            <w:pPr>
              <w:keepNext/>
              <w:keepLines/>
              <w:spacing w:line="360" w:lineRule="auto"/>
              <w:jc w:val="center"/>
              <w:rPr>
                <w:rFonts w:ascii="宋体" w:hAnsi="宋体" w:cs="宋体"/>
                <w:color w:val="auto"/>
                <w:szCs w:val="21"/>
                <w:highlight w:val="none"/>
                <w:u w:val="single"/>
              </w:rPr>
            </w:pPr>
          </w:p>
        </w:tc>
        <w:tc>
          <w:tcPr>
            <w:tcW w:w="989" w:type="pct"/>
            <w:tcBorders>
              <w:top w:val="single" w:color="auto" w:sz="4" w:space="0"/>
              <w:left w:val="single" w:color="auto" w:sz="4" w:space="0"/>
              <w:bottom w:val="single" w:color="auto" w:sz="4" w:space="0"/>
              <w:right w:val="single" w:color="auto" w:sz="4" w:space="0"/>
            </w:tcBorders>
            <w:vAlign w:val="center"/>
          </w:tcPr>
          <w:p w14:paraId="1DD5E86B">
            <w:pPr>
              <w:keepNext/>
              <w:keepLines/>
              <w:spacing w:line="360" w:lineRule="auto"/>
              <w:jc w:val="center"/>
              <w:rPr>
                <w:rFonts w:ascii="宋体" w:hAnsi="宋体" w:cs="宋体"/>
                <w:color w:val="auto"/>
                <w:szCs w:val="21"/>
                <w:highlight w:val="none"/>
              </w:rPr>
            </w:pPr>
          </w:p>
        </w:tc>
        <w:tc>
          <w:tcPr>
            <w:tcW w:w="584" w:type="pct"/>
            <w:tcBorders>
              <w:top w:val="single" w:color="auto" w:sz="4" w:space="0"/>
              <w:left w:val="single" w:color="auto" w:sz="4" w:space="0"/>
              <w:bottom w:val="single" w:color="auto" w:sz="4" w:space="0"/>
              <w:right w:val="single" w:color="auto" w:sz="4" w:space="0"/>
            </w:tcBorders>
            <w:vAlign w:val="center"/>
          </w:tcPr>
          <w:p w14:paraId="67DD10C3">
            <w:pPr>
              <w:keepNext/>
              <w:keepLines/>
              <w:spacing w:line="360" w:lineRule="auto"/>
              <w:jc w:val="center"/>
              <w:rPr>
                <w:rFonts w:ascii="宋体" w:hAnsi="宋体" w:cs="宋体"/>
                <w:color w:val="auto"/>
                <w:szCs w:val="21"/>
                <w:highlight w:val="none"/>
              </w:rPr>
            </w:pPr>
          </w:p>
        </w:tc>
      </w:tr>
      <w:tr w14:paraId="3F7F4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5000" w:type="pct"/>
            <w:gridSpan w:val="6"/>
            <w:tcBorders>
              <w:top w:val="single" w:color="auto" w:sz="4" w:space="0"/>
              <w:left w:val="single" w:color="auto" w:sz="4" w:space="0"/>
              <w:bottom w:val="single" w:color="auto" w:sz="4" w:space="0"/>
              <w:right w:val="single" w:color="auto" w:sz="4" w:space="0"/>
            </w:tcBorders>
            <w:vAlign w:val="center"/>
          </w:tcPr>
          <w:p w14:paraId="44417BC9">
            <w:pPr>
              <w:keepNext/>
              <w:keepLines/>
              <w:spacing w:line="360" w:lineRule="auto"/>
              <w:rPr>
                <w:rFonts w:ascii="宋体" w:hAnsi="宋体" w:cs="宋体"/>
                <w:color w:val="auto"/>
                <w:szCs w:val="21"/>
                <w:highlight w:val="none"/>
              </w:rPr>
            </w:pPr>
            <w:r>
              <w:rPr>
                <w:rFonts w:hint="eastAsia" w:ascii="宋体" w:hAnsi="宋体" w:cs="宋体"/>
                <w:color w:val="auto"/>
                <w:szCs w:val="21"/>
                <w:highlight w:val="none"/>
              </w:rPr>
              <w:t>投标总报价：</w:t>
            </w:r>
            <w:r>
              <w:rPr>
                <w:rFonts w:hint="eastAsia" w:ascii="宋体" w:hAnsi="宋体" w:cs="宋体"/>
                <w:color w:val="auto"/>
                <w:szCs w:val="21"/>
                <w:highlight w:val="none"/>
                <w:u w:val="single"/>
              </w:rPr>
              <w:t xml:space="preserve">（大写）人民币           （小写）（¥             ）  </w:t>
            </w:r>
          </w:p>
        </w:tc>
      </w:tr>
    </w:tbl>
    <w:p w14:paraId="1F59B70C">
      <w:pPr>
        <w:keepNext/>
        <w:keepLines/>
        <w:snapToGrid w:val="0"/>
        <w:spacing w:line="360" w:lineRule="auto"/>
        <w:jc w:val="left"/>
        <w:rPr>
          <w:rFonts w:ascii="仿宋" w:hAnsi="仿宋" w:eastAsia="仿宋" w:cs="仿宋"/>
          <w:b/>
          <w:bCs/>
          <w:color w:val="auto"/>
          <w:kern w:val="0"/>
          <w:szCs w:val="21"/>
          <w:highlight w:val="none"/>
          <w:lang w:val="zh-CN"/>
        </w:rPr>
      </w:pPr>
      <w:r>
        <w:rPr>
          <w:rFonts w:hint="eastAsia" w:ascii="仿宋" w:hAnsi="仿宋" w:eastAsia="仿宋" w:cs="仿宋"/>
          <w:b/>
          <w:bCs/>
          <w:color w:val="auto"/>
          <w:kern w:val="0"/>
          <w:szCs w:val="21"/>
          <w:highlight w:val="none"/>
          <w:lang w:val="zh-CN"/>
        </w:rPr>
        <w:t xml:space="preserve">注： </w:t>
      </w:r>
    </w:p>
    <w:p w14:paraId="4CDD7BAC">
      <w:pPr>
        <w:keepNext/>
        <w:keepLines/>
        <w:numPr>
          <w:ilvl w:val="0"/>
          <w:numId w:val="29"/>
        </w:numPr>
        <w:snapToGrid w:val="0"/>
        <w:spacing w:line="360" w:lineRule="auto"/>
        <w:ind w:left="5" w:firstLine="415"/>
        <w:jc w:val="left"/>
        <w:rPr>
          <w:rFonts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投标人需按本表格式填写，不得自行更改，也不得留空，必须加盖投标人电子签章，</w:t>
      </w:r>
      <w:r>
        <w:rPr>
          <w:rFonts w:hint="eastAsia" w:ascii="仿宋" w:hAnsi="仿宋" w:eastAsia="仿宋" w:cs="仿宋"/>
          <w:b/>
          <w:color w:val="auto"/>
          <w:kern w:val="0"/>
          <w:szCs w:val="21"/>
          <w:highlight w:val="none"/>
          <w:lang w:val="zh-CN"/>
        </w:rPr>
        <w:t>否则其投标作无效投标处理。</w:t>
      </w:r>
    </w:p>
    <w:p w14:paraId="7BC729DA">
      <w:pPr>
        <w:keepNext/>
        <w:keepLines/>
        <w:numPr>
          <w:ilvl w:val="0"/>
          <w:numId w:val="29"/>
        </w:numPr>
        <w:snapToGrid w:val="0"/>
        <w:spacing w:line="360" w:lineRule="auto"/>
        <w:ind w:left="5" w:firstLine="415"/>
        <w:jc w:val="left"/>
        <w:rPr>
          <w:rFonts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本表内容均不能涂改，</w:t>
      </w:r>
      <w:r>
        <w:rPr>
          <w:rFonts w:hint="eastAsia" w:ascii="仿宋" w:hAnsi="仿宋" w:eastAsia="仿宋" w:cs="仿宋"/>
          <w:b/>
          <w:color w:val="auto"/>
          <w:kern w:val="0"/>
          <w:szCs w:val="21"/>
          <w:highlight w:val="none"/>
          <w:lang w:val="zh-CN"/>
        </w:rPr>
        <w:t>否则其投标作无效投标处理。</w:t>
      </w:r>
    </w:p>
    <w:p w14:paraId="168EAA06">
      <w:pPr>
        <w:keepNext/>
        <w:keepLines/>
        <w:numPr>
          <w:ilvl w:val="0"/>
          <w:numId w:val="29"/>
        </w:numPr>
        <w:snapToGrid w:val="0"/>
        <w:spacing w:line="360" w:lineRule="auto"/>
        <w:ind w:left="5" w:firstLine="415"/>
        <w:jc w:val="left"/>
        <w:rPr>
          <w:rFonts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符合招标文件中列明的可享受中小企业扶持政策的投标人，请填写中小企业声明函。投标人提供的中小企业声明函内容不实的，属于提供虚假材料谋取中标、成交，依照《中华人民共和国政府采购法》等国家有关规定追究相应责任。</w:t>
      </w:r>
    </w:p>
    <w:p w14:paraId="03DB3D90">
      <w:pPr>
        <w:keepNext/>
        <w:keepLines/>
        <w:snapToGrid w:val="0"/>
        <w:spacing w:line="360" w:lineRule="auto"/>
        <w:ind w:firstLine="4410" w:firstLineChars="2100"/>
        <w:rPr>
          <w:rFonts w:ascii="仿宋" w:hAnsi="仿宋" w:eastAsia="仿宋" w:cs="仿宋"/>
          <w:color w:val="auto"/>
          <w:kern w:val="0"/>
          <w:szCs w:val="21"/>
          <w:highlight w:val="none"/>
          <w:lang w:val="zh-CN"/>
        </w:rPr>
      </w:pPr>
    </w:p>
    <w:p w14:paraId="5C2DF1E7">
      <w:pPr>
        <w:keepNext/>
        <w:keepLines/>
        <w:spacing w:line="360" w:lineRule="auto"/>
        <w:ind w:firstLine="480" w:firstLineChars="200"/>
        <w:contextualSpacing/>
        <w:jc w:val="left"/>
        <w:rPr>
          <w:rFonts w:ascii="宋体" w:hAnsi="宋体"/>
          <w:color w:val="auto"/>
          <w:szCs w:val="21"/>
          <w:highlight w:val="none"/>
        </w:rPr>
      </w:pPr>
      <w:r>
        <w:rPr>
          <w:rFonts w:hint="eastAsia" w:ascii="宋体" w:hAnsi="宋体"/>
          <w:color w:val="auto"/>
          <w:sz w:val="24"/>
          <w:highlight w:val="none"/>
        </w:rPr>
        <w:t xml:space="preserve">                       </w:t>
      </w:r>
      <w:r>
        <w:rPr>
          <w:rFonts w:hint="eastAsia" w:ascii="宋体" w:hAnsi="宋体"/>
          <w:color w:val="auto"/>
          <w:szCs w:val="21"/>
          <w:highlight w:val="none"/>
        </w:rPr>
        <w:t xml:space="preserve">      法定代表人或者委托代理人（签字或者电子签名）：</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 xml:space="preserve"> </w:t>
      </w:r>
    </w:p>
    <w:p w14:paraId="69C8E1CE">
      <w:pPr>
        <w:pStyle w:val="16"/>
        <w:keepNext/>
        <w:keepLines/>
        <w:spacing w:line="360" w:lineRule="auto"/>
        <w:contextualSpacing/>
        <w:jc w:val="center"/>
        <w:rPr>
          <w:color w:val="auto"/>
          <w:szCs w:val="21"/>
          <w:highlight w:val="none"/>
          <w:u w:val="single"/>
        </w:rPr>
      </w:pPr>
      <w:r>
        <w:rPr>
          <w:rFonts w:hint="eastAsia"/>
          <w:color w:val="auto"/>
          <w:szCs w:val="21"/>
          <w:highlight w:val="none"/>
        </w:rPr>
        <w:t xml:space="preserve"> </w:t>
      </w:r>
      <w:r>
        <w:rPr>
          <w:color w:val="auto"/>
          <w:szCs w:val="21"/>
          <w:highlight w:val="none"/>
        </w:rPr>
        <w:t xml:space="preserve">                                   </w:t>
      </w:r>
      <w:r>
        <w:rPr>
          <w:rFonts w:hint="eastAsia"/>
          <w:color w:val="auto"/>
          <w:szCs w:val="21"/>
          <w:highlight w:val="none"/>
        </w:rPr>
        <w:t>投标人名称（电子签章）：</w:t>
      </w:r>
      <w:r>
        <w:rPr>
          <w:rFonts w:hint="eastAsia"/>
          <w:color w:val="auto"/>
          <w:szCs w:val="21"/>
          <w:highlight w:val="none"/>
          <w:u w:val="single"/>
        </w:rPr>
        <w:t xml:space="preserve"> </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p>
    <w:p w14:paraId="50943E93">
      <w:pPr>
        <w:pStyle w:val="16"/>
        <w:keepNext/>
        <w:keepLines/>
        <w:spacing w:line="360" w:lineRule="auto"/>
        <w:contextualSpacing/>
        <w:rPr>
          <w:color w:val="auto"/>
          <w:szCs w:val="21"/>
          <w:highlight w:val="none"/>
        </w:rPr>
      </w:pPr>
      <w:r>
        <w:rPr>
          <w:rFonts w:hint="eastAsia"/>
          <w:color w:val="auto"/>
          <w:szCs w:val="21"/>
          <w:highlight w:val="none"/>
        </w:rPr>
        <w:t xml:space="preserve">                                                       </w:t>
      </w:r>
      <w:r>
        <w:rPr>
          <w:rFonts w:hint="eastAsia"/>
          <w:color w:val="auto"/>
          <w:szCs w:val="21"/>
          <w:highlight w:val="none"/>
          <w:u w:val="single"/>
        </w:rPr>
        <w:t xml:space="preserve">      </w:t>
      </w:r>
      <w:r>
        <w:rPr>
          <w:rFonts w:hint="eastAsia"/>
          <w:color w:val="auto"/>
          <w:szCs w:val="21"/>
          <w:highlight w:val="none"/>
        </w:rPr>
        <w:t>年</w:t>
      </w:r>
      <w:r>
        <w:rPr>
          <w:rFonts w:hint="eastAsia"/>
          <w:color w:val="auto"/>
          <w:szCs w:val="21"/>
          <w:highlight w:val="none"/>
          <w:u w:val="single"/>
        </w:rPr>
        <w:t xml:space="preserve">    </w:t>
      </w:r>
      <w:r>
        <w:rPr>
          <w:rFonts w:hint="eastAsia"/>
          <w:color w:val="auto"/>
          <w:szCs w:val="21"/>
          <w:highlight w:val="none"/>
        </w:rPr>
        <w:t>月</w:t>
      </w:r>
      <w:r>
        <w:rPr>
          <w:rFonts w:hint="eastAsia"/>
          <w:color w:val="auto"/>
          <w:szCs w:val="21"/>
          <w:highlight w:val="none"/>
          <w:u w:val="single"/>
        </w:rPr>
        <w:t xml:space="preserve">     </w:t>
      </w:r>
      <w:r>
        <w:rPr>
          <w:rFonts w:hint="eastAsia"/>
          <w:color w:val="auto"/>
          <w:szCs w:val="21"/>
          <w:highlight w:val="none"/>
        </w:rPr>
        <w:t>日</w:t>
      </w:r>
    </w:p>
    <w:p w14:paraId="703DDF73">
      <w:pPr>
        <w:keepNext/>
        <w:keepLines/>
        <w:widowControl/>
        <w:spacing w:line="360" w:lineRule="auto"/>
        <w:jc w:val="left"/>
        <w:rPr>
          <w:color w:val="auto"/>
          <w:szCs w:val="20"/>
          <w:highlight w:val="none"/>
          <w:lang w:val="zh-CN"/>
        </w:rPr>
      </w:pPr>
    </w:p>
    <w:p w14:paraId="1D88BDE6">
      <w:pPr>
        <w:keepNext/>
        <w:keepLines/>
        <w:spacing w:line="360" w:lineRule="auto"/>
        <w:rPr>
          <w:rFonts w:ascii="宋体" w:hAnsi="宋体" w:cs="宋体"/>
          <w:b/>
          <w:color w:val="auto"/>
          <w:sz w:val="30"/>
          <w:szCs w:val="30"/>
          <w:highlight w:val="none"/>
        </w:rPr>
      </w:pPr>
      <w:r>
        <w:rPr>
          <w:rFonts w:hint="eastAsia" w:ascii="宋体" w:hAnsi="宋体" w:cs="宋体"/>
          <w:b/>
          <w:color w:val="auto"/>
          <w:sz w:val="30"/>
          <w:szCs w:val="30"/>
          <w:highlight w:val="none"/>
        </w:rPr>
        <w:br w:type="page"/>
      </w:r>
    </w:p>
    <w:p w14:paraId="33D8E20E">
      <w:pPr>
        <w:keepNext/>
        <w:keepLines/>
        <w:spacing w:line="360" w:lineRule="auto"/>
        <w:outlineLvl w:val="2"/>
        <w:rPr>
          <w:rFonts w:ascii="宋体" w:hAnsi="宋体" w:cs="宋体"/>
          <w:b/>
          <w:color w:val="auto"/>
          <w:sz w:val="30"/>
          <w:szCs w:val="30"/>
          <w:highlight w:val="none"/>
        </w:rPr>
      </w:pPr>
      <w:bookmarkStart w:id="202" w:name="_Toc177716557"/>
      <w:r>
        <w:rPr>
          <w:rFonts w:hint="eastAsia" w:ascii="宋体" w:hAnsi="宋体" w:cs="宋体"/>
          <w:b/>
          <w:color w:val="auto"/>
          <w:sz w:val="30"/>
          <w:szCs w:val="30"/>
          <w:highlight w:val="none"/>
        </w:rPr>
        <w:t>三、中小企业声明函</w:t>
      </w:r>
      <w:bookmarkEnd w:id="202"/>
    </w:p>
    <w:p w14:paraId="1C670F66">
      <w:pPr>
        <w:keepNext/>
        <w:keepLines/>
        <w:spacing w:line="360" w:lineRule="auto"/>
        <w:jc w:val="center"/>
        <w:rPr>
          <w:b/>
          <w:bCs/>
          <w:color w:val="auto"/>
          <w:sz w:val="32"/>
          <w:szCs w:val="40"/>
          <w:highlight w:val="none"/>
        </w:rPr>
      </w:pPr>
      <w:r>
        <w:rPr>
          <w:rFonts w:hint="eastAsia"/>
          <w:b/>
          <w:bCs/>
          <w:color w:val="auto"/>
          <w:sz w:val="32"/>
          <w:szCs w:val="40"/>
          <w:highlight w:val="none"/>
        </w:rPr>
        <w:t>中小企业声明函</w:t>
      </w:r>
    </w:p>
    <w:p w14:paraId="5069DD35">
      <w:pPr>
        <w:pStyle w:val="14"/>
        <w:keepNext/>
        <w:keepLines/>
        <w:spacing w:line="360" w:lineRule="auto"/>
        <w:ind w:firstLine="0"/>
        <w:rPr>
          <w:rFonts w:hAnsi="宋体" w:cs="宋体"/>
          <w:color w:val="auto"/>
          <w:sz w:val="21"/>
          <w:szCs w:val="21"/>
          <w:highlight w:val="none"/>
        </w:rPr>
      </w:pPr>
      <w:r>
        <w:rPr>
          <w:rFonts w:hint="eastAsia" w:hAnsi="宋体" w:cs="宋体"/>
          <w:color w:val="auto"/>
          <w:sz w:val="21"/>
          <w:szCs w:val="21"/>
          <w:highlight w:val="none"/>
        </w:rPr>
        <w:t>说明：</w:t>
      </w:r>
    </w:p>
    <w:p w14:paraId="62D7EFA7">
      <w:pPr>
        <w:pStyle w:val="14"/>
        <w:keepNext/>
        <w:keepLines/>
        <w:spacing w:line="360" w:lineRule="auto"/>
        <w:ind w:firstLine="404" w:firstLineChars="200"/>
        <w:rPr>
          <w:rFonts w:hAnsi="宋体" w:cs="宋体"/>
          <w:color w:val="auto"/>
          <w:sz w:val="21"/>
          <w:szCs w:val="21"/>
          <w:highlight w:val="none"/>
        </w:rPr>
      </w:pPr>
      <w:r>
        <w:rPr>
          <w:rFonts w:hint="eastAsia" w:hAnsi="宋体" w:cs="宋体"/>
          <w:color w:val="auto"/>
          <w:sz w:val="21"/>
          <w:szCs w:val="21"/>
          <w:highlight w:val="none"/>
        </w:rPr>
        <w:t>1、本声明函主要供参加政府采购活动的中小企业填写，非中小企业无需填写。</w:t>
      </w:r>
    </w:p>
    <w:p w14:paraId="751FB01F">
      <w:pPr>
        <w:pStyle w:val="14"/>
        <w:keepNext/>
        <w:keepLines/>
        <w:spacing w:line="360" w:lineRule="auto"/>
        <w:ind w:firstLine="404" w:firstLineChars="200"/>
        <w:rPr>
          <w:rFonts w:hAnsi="宋体" w:cs="宋体"/>
          <w:color w:val="auto"/>
          <w:sz w:val="21"/>
          <w:szCs w:val="21"/>
          <w:highlight w:val="none"/>
        </w:rPr>
      </w:pPr>
      <w:r>
        <w:rPr>
          <w:rFonts w:hint="eastAsia" w:hAnsi="宋体" w:cs="宋体"/>
          <w:color w:val="auto"/>
          <w:sz w:val="21"/>
          <w:szCs w:val="21"/>
          <w:highlight w:val="none"/>
        </w:rPr>
        <w:t>2、小型、微型企业提供中型企业提供的服务的，视同为中型企业。</w:t>
      </w:r>
    </w:p>
    <w:p w14:paraId="09F827D2">
      <w:pPr>
        <w:pStyle w:val="14"/>
        <w:keepNext/>
        <w:keepLines/>
        <w:spacing w:line="360" w:lineRule="auto"/>
        <w:ind w:firstLine="404" w:firstLineChars="200"/>
        <w:rPr>
          <w:rFonts w:hAnsi="宋体" w:cs="宋体"/>
          <w:color w:val="auto"/>
          <w:sz w:val="21"/>
          <w:szCs w:val="21"/>
          <w:highlight w:val="none"/>
        </w:rPr>
      </w:pPr>
    </w:p>
    <w:p w14:paraId="43DF096F">
      <w:pPr>
        <w:pStyle w:val="13"/>
        <w:keepNext/>
        <w:keepLines/>
        <w:spacing w:after="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本公司（联合体）郑重声明，根据《政府采购促进中小企业发展管理办法》（财库﹝2020﹞46号）的规定，本公司（联合体）参加</w:t>
      </w:r>
      <w:r>
        <w:rPr>
          <w:rFonts w:hint="eastAsia" w:ascii="宋体" w:hAnsi="宋体" w:cs="宋体"/>
          <w:color w:val="auto"/>
          <w:szCs w:val="21"/>
          <w:highlight w:val="none"/>
          <w:u w:val="single"/>
        </w:rPr>
        <w:t>广西壮族自治区公安厅</w:t>
      </w:r>
      <w:r>
        <w:rPr>
          <w:rFonts w:hint="eastAsia" w:ascii="宋体" w:hAnsi="宋体" w:cs="宋体"/>
          <w:color w:val="auto"/>
          <w:szCs w:val="21"/>
          <w:highlight w:val="none"/>
        </w:rPr>
        <w:t>的</w:t>
      </w:r>
      <w:r>
        <w:rPr>
          <w:rFonts w:hint="eastAsia" w:ascii="宋体" w:hAnsi="宋体" w:cs="宋体"/>
          <w:color w:val="auto"/>
          <w:szCs w:val="21"/>
          <w:highlight w:val="none"/>
          <w:u w:val="single"/>
        </w:rPr>
        <w:t>广西公安数字化反电诈平台项目</w:t>
      </w:r>
      <w:r>
        <w:rPr>
          <w:rFonts w:hint="eastAsia" w:ascii="宋体" w:hAnsi="宋体" w:cs="宋体"/>
          <w:color w:val="auto"/>
          <w:szCs w:val="21"/>
          <w:highlight w:val="none"/>
        </w:rPr>
        <w:t>的采购活动，服务全部由符合政策要求的中小企业承接。相关企业（含联合体中的中小企业、签订分包意向协议的中小企业）的具体情况如下：</w:t>
      </w:r>
    </w:p>
    <w:p w14:paraId="56E0FE4A">
      <w:pPr>
        <w:pStyle w:val="13"/>
        <w:keepNext/>
        <w:keepLines/>
        <w:spacing w:after="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u w:val="single"/>
        </w:rPr>
        <w:t>（标的名称）</w:t>
      </w:r>
      <w:r>
        <w:rPr>
          <w:rFonts w:hint="eastAsia" w:ascii="宋体" w:hAnsi="宋体" w:cs="宋体"/>
          <w:color w:val="auto"/>
          <w:szCs w:val="21"/>
          <w:highlight w:val="none"/>
        </w:rPr>
        <w:t>，属于</w:t>
      </w:r>
      <w:r>
        <w:rPr>
          <w:rFonts w:hint="eastAsia" w:ascii="宋体" w:hAnsi="宋体" w:cs="宋体"/>
          <w:color w:val="auto"/>
          <w:szCs w:val="21"/>
          <w:highlight w:val="none"/>
          <w:u w:val="single"/>
        </w:rPr>
        <w:t>（采购文件中明确的所属行业）</w:t>
      </w:r>
      <w:r>
        <w:rPr>
          <w:rFonts w:hint="eastAsia" w:ascii="宋体" w:hAnsi="宋体" w:cs="宋体"/>
          <w:color w:val="auto"/>
          <w:szCs w:val="21"/>
          <w:highlight w:val="none"/>
        </w:rPr>
        <w:t>；承接企业为</w:t>
      </w:r>
      <w:r>
        <w:rPr>
          <w:rFonts w:hint="eastAsia" w:ascii="宋体" w:hAnsi="宋体" w:cs="宋体"/>
          <w:color w:val="auto"/>
          <w:szCs w:val="21"/>
          <w:highlight w:val="none"/>
          <w:u w:val="single"/>
        </w:rPr>
        <w:t>（企业名称）</w:t>
      </w:r>
      <w:r>
        <w:rPr>
          <w:rFonts w:hint="eastAsia" w:ascii="宋体" w:hAnsi="宋体" w:cs="宋体"/>
          <w:color w:val="auto"/>
          <w:szCs w:val="21"/>
          <w:highlight w:val="none"/>
        </w:rPr>
        <w:t>，从业人员</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人，营业收入为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万元，资产总额为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万元，属于</w:t>
      </w:r>
      <w:r>
        <w:rPr>
          <w:rFonts w:hint="eastAsia" w:ascii="宋体" w:hAnsi="宋体" w:cs="宋体"/>
          <w:color w:val="auto"/>
          <w:szCs w:val="21"/>
          <w:highlight w:val="none"/>
          <w:u w:val="single"/>
        </w:rPr>
        <w:t>（中型企业、小型企业、微型企业）</w:t>
      </w:r>
      <w:r>
        <w:rPr>
          <w:rFonts w:hint="eastAsia" w:ascii="宋体" w:hAnsi="宋体" w:cs="宋体"/>
          <w:color w:val="auto"/>
          <w:szCs w:val="21"/>
          <w:highlight w:val="none"/>
        </w:rPr>
        <w:t>；</w:t>
      </w:r>
    </w:p>
    <w:p w14:paraId="3BD76BEF">
      <w:pPr>
        <w:pStyle w:val="13"/>
        <w:keepNext/>
        <w:keepLines/>
        <w:spacing w:after="0"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2.</w:t>
      </w:r>
      <w:r>
        <w:rPr>
          <w:rFonts w:hint="eastAsia" w:ascii="宋体" w:hAnsi="宋体" w:cs="宋体"/>
          <w:color w:val="auto"/>
          <w:szCs w:val="21"/>
          <w:highlight w:val="none"/>
          <w:u w:val="single"/>
        </w:rPr>
        <w:t>（标的名称）</w:t>
      </w:r>
      <w:r>
        <w:rPr>
          <w:rFonts w:hint="eastAsia" w:ascii="宋体" w:hAnsi="宋体" w:cs="宋体"/>
          <w:color w:val="auto"/>
          <w:szCs w:val="21"/>
          <w:highlight w:val="none"/>
        </w:rPr>
        <w:t>，属于</w:t>
      </w:r>
      <w:r>
        <w:rPr>
          <w:rFonts w:hint="eastAsia" w:ascii="宋体" w:hAnsi="宋体" w:cs="宋体"/>
          <w:color w:val="auto"/>
          <w:szCs w:val="21"/>
          <w:highlight w:val="none"/>
          <w:u w:val="single"/>
        </w:rPr>
        <w:t>（采购文件中明确的所属行业）</w:t>
      </w:r>
      <w:r>
        <w:rPr>
          <w:rFonts w:hint="eastAsia" w:ascii="宋体" w:hAnsi="宋体" w:cs="宋体"/>
          <w:color w:val="auto"/>
          <w:szCs w:val="21"/>
          <w:highlight w:val="none"/>
        </w:rPr>
        <w:t>；承接企业为</w:t>
      </w:r>
      <w:r>
        <w:rPr>
          <w:rFonts w:hint="eastAsia" w:ascii="宋体" w:hAnsi="宋体" w:cs="宋体"/>
          <w:color w:val="auto"/>
          <w:szCs w:val="21"/>
          <w:highlight w:val="none"/>
          <w:u w:val="single"/>
        </w:rPr>
        <w:t>（企业名称）</w:t>
      </w:r>
      <w:r>
        <w:rPr>
          <w:rFonts w:hint="eastAsia" w:ascii="宋体" w:hAnsi="宋体" w:cs="宋体"/>
          <w:color w:val="auto"/>
          <w:szCs w:val="21"/>
          <w:highlight w:val="none"/>
        </w:rPr>
        <w:t>，从业人员</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人，营业收入为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万元，资产总额为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万元，属于</w:t>
      </w:r>
      <w:r>
        <w:rPr>
          <w:rFonts w:hint="eastAsia" w:ascii="宋体" w:hAnsi="宋体" w:cs="宋体"/>
          <w:color w:val="auto"/>
          <w:szCs w:val="21"/>
          <w:highlight w:val="none"/>
          <w:u w:val="single"/>
        </w:rPr>
        <w:t>（中型企业、小型企业、微型企业）</w:t>
      </w:r>
      <w:r>
        <w:rPr>
          <w:rFonts w:hint="eastAsia" w:ascii="宋体" w:hAnsi="宋体" w:cs="宋体"/>
          <w:color w:val="auto"/>
          <w:szCs w:val="21"/>
          <w:highlight w:val="none"/>
        </w:rPr>
        <w:t>；</w:t>
      </w:r>
    </w:p>
    <w:p w14:paraId="5070F94B">
      <w:pPr>
        <w:pStyle w:val="13"/>
        <w:keepNext/>
        <w:keepLines/>
        <w:spacing w:after="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……（略） </w:t>
      </w:r>
    </w:p>
    <w:p w14:paraId="02074556">
      <w:pPr>
        <w:pStyle w:val="13"/>
        <w:keepNext/>
        <w:keepLines/>
        <w:spacing w:after="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以上企业，不属于大企业的分支机构，不存在控股股东为大企业的情形，也不存在与大企业的负责人为同一人的情形。</w:t>
      </w:r>
    </w:p>
    <w:p w14:paraId="13358B81">
      <w:pPr>
        <w:pStyle w:val="13"/>
        <w:keepNext/>
        <w:keepLines/>
        <w:spacing w:after="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本企业对上述声明内容的真实性负责。如有虚假，将依法承担相应责任。</w:t>
      </w:r>
    </w:p>
    <w:p w14:paraId="571C1BD8">
      <w:pPr>
        <w:pStyle w:val="13"/>
        <w:keepNext/>
        <w:keepLines/>
        <w:spacing w:line="360" w:lineRule="auto"/>
        <w:ind w:right="142" w:firstLine="420" w:firstLineChars="200"/>
        <w:rPr>
          <w:rFonts w:ascii="宋体" w:hAnsi="宋体" w:cs="宋体"/>
          <w:color w:val="auto"/>
          <w:szCs w:val="21"/>
          <w:highlight w:val="none"/>
        </w:rPr>
      </w:pPr>
    </w:p>
    <w:p w14:paraId="1F78E6F1">
      <w:pPr>
        <w:pStyle w:val="16"/>
        <w:keepNext/>
        <w:keepLines/>
        <w:spacing w:line="360" w:lineRule="auto"/>
        <w:ind w:firstLine="420" w:firstLineChars="200"/>
        <w:rPr>
          <w:rFonts w:cs="宋体"/>
          <w:color w:val="auto"/>
          <w:szCs w:val="21"/>
          <w:highlight w:val="none"/>
        </w:rPr>
      </w:pPr>
    </w:p>
    <w:p w14:paraId="5E000061">
      <w:pPr>
        <w:keepNext/>
        <w:keepLines/>
        <w:snapToGrid w:val="0"/>
        <w:spacing w:line="360" w:lineRule="auto"/>
        <w:ind w:firstLine="4410" w:firstLineChars="2100"/>
        <w:rPr>
          <w:rFonts w:ascii="宋体" w:hAnsi="宋体" w:cs="宋体"/>
          <w:color w:val="auto"/>
          <w:kern w:val="0"/>
          <w:szCs w:val="21"/>
          <w:highlight w:val="none"/>
        </w:rPr>
      </w:pPr>
      <w:r>
        <w:rPr>
          <w:rFonts w:hint="eastAsia" w:ascii="宋体" w:hAnsi="宋体" w:cs="宋体"/>
          <w:color w:val="auto"/>
          <w:kern w:val="0"/>
          <w:szCs w:val="21"/>
          <w:highlight w:val="none"/>
          <w:lang w:val="zh-CN"/>
        </w:rPr>
        <w:t>投标人名称（电子签章）：</w:t>
      </w:r>
    </w:p>
    <w:p w14:paraId="47C1875D">
      <w:pPr>
        <w:keepNext/>
        <w:keepLines/>
        <w:snapToGrid w:val="0"/>
        <w:spacing w:line="360" w:lineRule="auto"/>
        <w:ind w:firstLine="4515" w:firstLineChars="215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日期</w:t>
      </w:r>
      <w:r>
        <w:rPr>
          <w:rFonts w:hint="eastAsia" w:ascii="宋体" w:hAnsi="宋体" w:cs="宋体"/>
          <w:color w:val="auto"/>
          <w:kern w:val="0"/>
          <w:szCs w:val="21"/>
          <w:highlight w:val="none"/>
        </w:rPr>
        <w:t xml:space="preserve">：  年  </w:t>
      </w:r>
      <w:r>
        <w:rPr>
          <w:rFonts w:hint="eastAsia" w:ascii="宋体" w:hAnsi="宋体" w:cs="宋体"/>
          <w:color w:val="auto"/>
          <w:kern w:val="0"/>
          <w:szCs w:val="21"/>
          <w:highlight w:val="none"/>
          <w:lang w:val="zh-CN"/>
        </w:rPr>
        <w:t>月</w:t>
      </w:r>
      <w:r>
        <w:rPr>
          <w:rFonts w:hint="eastAsia" w:ascii="宋体" w:hAnsi="宋体" w:cs="宋体"/>
          <w:color w:val="auto"/>
          <w:kern w:val="0"/>
          <w:szCs w:val="21"/>
          <w:highlight w:val="none"/>
        </w:rPr>
        <w:t xml:space="preserve">   </w:t>
      </w:r>
      <w:r>
        <w:rPr>
          <w:rFonts w:hint="eastAsia" w:ascii="宋体" w:hAnsi="宋体" w:cs="宋体"/>
          <w:color w:val="auto"/>
          <w:kern w:val="0"/>
          <w:szCs w:val="21"/>
          <w:highlight w:val="none"/>
          <w:lang w:val="zh-CN"/>
        </w:rPr>
        <w:t>日</w:t>
      </w:r>
    </w:p>
    <w:p w14:paraId="506E65D3">
      <w:pPr>
        <w:pStyle w:val="13"/>
        <w:keepNext/>
        <w:keepLines/>
        <w:spacing w:line="360" w:lineRule="auto"/>
        <w:ind w:right="142"/>
        <w:rPr>
          <w:rFonts w:ascii="仿宋" w:hAnsi="仿宋" w:eastAsia="仿宋" w:cs="仿宋"/>
          <w:color w:val="auto"/>
          <w:szCs w:val="21"/>
          <w:highlight w:val="none"/>
        </w:rPr>
      </w:pPr>
      <w:r>
        <w:rPr>
          <w:rFonts w:hint="eastAsia" w:ascii="仿宋" w:hAnsi="仿宋" w:eastAsia="仿宋" w:cs="仿宋"/>
          <w:color w:val="auto"/>
          <w:szCs w:val="21"/>
          <w:highlight w:val="none"/>
        </w:rPr>
        <w:t>注：</w:t>
      </w:r>
    </w:p>
    <w:p w14:paraId="427EE7F8">
      <w:pPr>
        <w:pStyle w:val="13"/>
        <w:keepNext/>
        <w:keepLines/>
        <w:spacing w:line="360" w:lineRule="auto"/>
        <w:ind w:right="142" w:firstLine="420" w:firstLineChars="200"/>
        <w:contextualSpacing/>
        <w:rPr>
          <w:rFonts w:ascii="仿宋" w:hAnsi="仿宋" w:eastAsia="仿宋" w:cs="仿宋"/>
          <w:color w:val="auto"/>
          <w:kern w:val="24"/>
          <w:szCs w:val="21"/>
          <w:highlight w:val="none"/>
        </w:rPr>
      </w:pPr>
      <w:r>
        <w:rPr>
          <w:rFonts w:hint="eastAsia" w:ascii="仿宋" w:hAnsi="仿宋" w:eastAsia="仿宋" w:cs="仿宋"/>
          <w:color w:val="auto"/>
          <w:kern w:val="24"/>
          <w:szCs w:val="21"/>
          <w:highlight w:val="none"/>
        </w:rPr>
        <w:t>1.从业人员、营业收入、资产总额填报上一年度数据，无上一年度数据的新成立企业可不填报。</w:t>
      </w:r>
    </w:p>
    <w:p w14:paraId="690D6F75">
      <w:pPr>
        <w:pStyle w:val="13"/>
        <w:keepNext/>
        <w:keepLines/>
        <w:spacing w:line="360" w:lineRule="auto"/>
        <w:ind w:right="142" w:firstLine="420" w:firstLineChars="200"/>
        <w:contextualSpacing/>
        <w:rPr>
          <w:rFonts w:ascii="仿宋" w:hAnsi="仿宋" w:eastAsia="仿宋" w:cs="仿宋"/>
          <w:color w:val="auto"/>
          <w:kern w:val="24"/>
          <w:szCs w:val="21"/>
          <w:highlight w:val="none"/>
          <w:lang w:val="zh-CN"/>
        </w:rPr>
      </w:pPr>
      <w:r>
        <w:rPr>
          <w:rFonts w:hint="eastAsia" w:ascii="仿宋" w:hAnsi="仿宋" w:eastAsia="仿宋" w:cs="仿宋"/>
          <w:color w:val="auto"/>
          <w:kern w:val="24"/>
          <w:szCs w:val="21"/>
          <w:highlight w:val="none"/>
        </w:rPr>
        <w:t>2.请根据自己的真实情况出具《中小企业声明函》。依法享受中小企业优惠政策的，采购人或者采购代理机构在公告中标结果时，同时公告其《中小企业声明函》，接受社会监督。</w:t>
      </w:r>
      <w:r>
        <w:rPr>
          <w:rFonts w:hint="eastAsia" w:ascii="仿宋" w:hAnsi="仿宋" w:eastAsia="仿宋" w:cs="仿宋"/>
          <w:color w:val="auto"/>
          <w:kern w:val="24"/>
          <w:szCs w:val="21"/>
          <w:highlight w:val="none"/>
          <w:lang w:val="zh-CN"/>
        </w:rPr>
        <w:t>投标人提供的中小企业声明函内容不实的，属于提供虚假材料谋取中标、成交，依照《中华人民共和国政府采购法》等国家有关规定追究相应责任。</w:t>
      </w:r>
    </w:p>
    <w:p w14:paraId="75A54798">
      <w:pPr>
        <w:keepNext/>
        <w:keepLines/>
        <w:widowControl/>
        <w:spacing w:line="360" w:lineRule="auto"/>
        <w:jc w:val="left"/>
        <w:rPr>
          <w:rFonts w:ascii="宋体" w:hAnsi="宋体" w:cs="宋体"/>
          <w:b/>
          <w:color w:val="auto"/>
          <w:sz w:val="30"/>
          <w:szCs w:val="30"/>
          <w:highlight w:val="none"/>
        </w:rPr>
      </w:pPr>
      <w:r>
        <w:rPr>
          <w:rFonts w:cs="宋体"/>
          <w:b/>
          <w:color w:val="auto"/>
          <w:sz w:val="30"/>
          <w:szCs w:val="30"/>
          <w:highlight w:val="none"/>
        </w:rPr>
        <w:br w:type="page"/>
      </w:r>
    </w:p>
    <w:p w14:paraId="73E065B1">
      <w:pPr>
        <w:keepNext/>
        <w:keepLines/>
        <w:spacing w:line="360" w:lineRule="auto"/>
        <w:outlineLvl w:val="2"/>
        <w:rPr>
          <w:rFonts w:ascii="宋体" w:hAnsi="宋体" w:cs="宋体"/>
          <w:b/>
          <w:color w:val="auto"/>
          <w:sz w:val="30"/>
          <w:szCs w:val="30"/>
          <w:highlight w:val="none"/>
        </w:rPr>
      </w:pPr>
      <w:bookmarkStart w:id="203" w:name="_Toc177716558"/>
      <w:r>
        <w:rPr>
          <w:rFonts w:hint="eastAsia" w:ascii="宋体" w:hAnsi="宋体" w:cs="宋体"/>
          <w:b/>
          <w:color w:val="auto"/>
          <w:sz w:val="30"/>
          <w:szCs w:val="30"/>
          <w:highlight w:val="none"/>
        </w:rPr>
        <w:t>四、残疾人福利性单位声明函</w:t>
      </w:r>
      <w:bookmarkEnd w:id="203"/>
    </w:p>
    <w:p w14:paraId="01FEBEE0">
      <w:pPr>
        <w:keepNext/>
        <w:keepLines/>
        <w:spacing w:line="360" w:lineRule="auto"/>
        <w:jc w:val="center"/>
        <w:rPr>
          <w:rFonts w:hint="eastAsia"/>
          <w:b/>
          <w:bCs/>
          <w:color w:val="auto"/>
          <w:sz w:val="32"/>
          <w:szCs w:val="40"/>
          <w:highlight w:val="none"/>
        </w:rPr>
      </w:pPr>
    </w:p>
    <w:p w14:paraId="318F7654">
      <w:pPr>
        <w:keepNext/>
        <w:keepLines/>
        <w:spacing w:line="360" w:lineRule="auto"/>
        <w:jc w:val="center"/>
        <w:rPr>
          <w:b/>
          <w:bCs/>
          <w:color w:val="auto"/>
          <w:sz w:val="32"/>
          <w:szCs w:val="40"/>
          <w:highlight w:val="none"/>
        </w:rPr>
      </w:pPr>
      <w:r>
        <w:rPr>
          <w:rFonts w:hint="eastAsia"/>
          <w:b/>
          <w:bCs/>
          <w:color w:val="auto"/>
          <w:sz w:val="32"/>
          <w:szCs w:val="40"/>
          <w:highlight w:val="none"/>
        </w:rPr>
        <w:t>残疾人福利性单位声明函</w:t>
      </w:r>
    </w:p>
    <w:p w14:paraId="69853007">
      <w:pPr>
        <w:pStyle w:val="16"/>
        <w:keepNext/>
        <w:keepLines/>
        <w:spacing w:line="360" w:lineRule="auto"/>
        <w:ind w:firstLine="480"/>
        <w:jc w:val="left"/>
        <w:rPr>
          <w:rFonts w:cs="宋体"/>
          <w:color w:val="auto"/>
          <w:szCs w:val="21"/>
          <w:highlight w:val="none"/>
        </w:rPr>
      </w:pPr>
      <w:r>
        <w:rPr>
          <w:rFonts w:hint="eastAsia" w:cs="宋体"/>
          <w:color w:val="auto"/>
          <w:szCs w:val="21"/>
          <w:highlight w:val="none"/>
        </w:rPr>
        <w:t>本公司郑重声明，根据《财政部 民政部 中国残疾人联合会关于促进残疾人就业政府采购政策的通知》（财库〔2017〕141号）的规定，本公司为符合条件的残疾人福利性单位，且本公司参加</w:t>
      </w:r>
      <w:r>
        <w:rPr>
          <w:rFonts w:hint="eastAsia" w:cs="宋体"/>
          <w:color w:val="auto"/>
          <w:szCs w:val="21"/>
          <w:highlight w:val="none"/>
          <w:u w:val="single"/>
        </w:rPr>
        <w:t xml:space="preserve"> 广西壮族自治区公安厅 </w:t>
      </w:r>
      <w:r>
        <w:rPr>
          <w:rFonts w:hint="eastAsia" w:cs="宋体"/>
          <w:color w:val="auto"/>
          <w:szCs w:val="21"/>
          <w:highlight w:val="none"/>
        </w:rPr>
        <w:t>单位的</w:t>
      </w:r>
      <w:r>
        <w:rPr>
          <w:rFonts w:hint="eastAsia" w:cs="宋体"/>
          <w:color w:val="auto"/>
          <w:szCs w:val="21"/>
          <w:highlight w:val="none"/>
          <w:u w:val="single"/>
        </w:rPr>
        <w:t>广西公安数字化反电诈平台项目</w:t>
      </w:r>
      <w:r>
        <w:rPr>
          <w:rFonts w:hint="eastAsia" w:cs="宋体"/>
          <w:color w:val="auto"/>
          <w:szCs w:val="21"/>
          <w:highlight w:val="none"/>
        </w:rPr>
        <w:t>采购活动提供本公司制造的货物（由本公司承担工程/提供服务），或者提供其他残疾人福利性单位制造的货物（不包括使用非残疾人福利性单位注册商标的货物）。</w:t>
      </w:r>
    </w:p>
    <w:p w14:paraId="585C93C7">
      <w:pPr>
        <w:pStyle w:val="16"/>
        <w:keepNext/>
        <w:keepLines/>
        <w:spacing w:line="360" w:lineRule="auto"/>
        <w:ind w:firstLine="420" w:firstLineChars="200"/>
        <w:jc w:val="left"/>
        <w:rPr>
          <w:rFonts w:cs="宋体"/>
          <w:color w:val="auto"/>
          <w:szCs w:val="21"/>
          <w:highlight w:val="none"/>
        </w:rPr>
      </w:pPr>
      <w:r>
        <w:rPr>
          <w:rFonts w:hint="eastAsia" w:cs="宋体"/>
          <w:color w:val="auto"/>
          <w:szCs w:val="21"/>
          <w:highlight w:val="none"/>
        </w:rPr>
        <w:t>本公司对上述声明的真实性负责。如有虚假，将依法承担相应责任。</w:t>
      </w:r>
    </w:p>
    <w:p w14:paraId="70997DE4">
      <w:pPr>
        <w:pStyle w:val="16"/>
        <w:keepNext/>
        <w:keepLines/>
        <w:spacing w:line="360" w:lineRule="auto"/>
        <w:ind w:firstLine="422"/>
        <w:jc w:val="left"/>
        <w:rPr>
          <w:rFonts w:cs="宋体"/>
          <w:b/>
          <w:color w:val="auto"/>
          <w:szCs w:val="21"/>
          <w:highlight w:val="none"/>
        </w:rPr>
      </w:pPr>
    </w:p>
    <w:p w14:paraId="776C6559">
      <w:pPr>
        <w:pStyle w:val="16"/>
        <w:keepNext/>
        <w:keepLines/>
        <w:spacing w:line="360" w:lineRule="auto"/>
        <w:ind w:firstLine="422"/>
        <w:jc w:val="left"/>
        <w:rPr>
          <w:rFonts w:cs="宋体"/>
          <w:b/>
          <w:color w:val="auto"/>
          <w:szCs w:val="21"/>
          <w:highlight w:val="none"/>
        </w:rPr>
      </w:pPr>
    </w:p>
    <w:p w14:paraId="722497CA">
      <w:pPr>
        <w:keepNext/>
        <w:keepLines/>
        <w:snapToGrid w:val="0"/>
        <w:spacing w:line="360" w:lineRule="auto"/>
        <w:ind w:left="5385" w:leftChars="1736" w:hanging="1739" w:hangingChars="825"/>
        <w:rPr>
          <w:rFonts w:ascii="宋体" w:hAnsi="宋体" w:cs="宋体"/>
          <w:color w:val="auto"/>
          <w:kern w:val="0"/>
          <w:szCs w:val="21"/>
          <w:highlight w:val="none"/>
        </w:rPr>
      </w:pPr>
      <w:r>
        <w:rPr>
          <w:rFonts w:hint="eastAsia" w:ascii="宋体" w:hAnsi="宋体" w:cs="宋体"/>
          <w:b/>
          <w:color w:val="auto"/>
          <w:szCs w:val="21"/>
          <w:highlight w:val="none"/>
        </w:rPr>
        <w:t xml:space="preserve">                                                                    </w:t>
      </w:r>
      <w:r>
        <w:rPr>
          <w:rFonts w:hint="eastAsia" w:ascii="宋体" w:hAnsi="宋体" w:cs="宋体"/>
          <w:color w:val="auto"/>
          <w:kern w:val="0"/>
          <w:szCs w:val="21"/>
          <w:highlight w:val="none"/>
          <w:lang w:val="zh-CN"/>
        </w:rPr>
        <w:t>投标人名称（电子签章）：</w:t>
      </w:r>
    </w:p>
    <w:p w14:paraId="71D3DD11">
      <w:pPr>
        <w:keepNext/>
        <w:keepLines/>
        <w:snapToGrid w:val="0"/>
        <w:spacing w:line="360" w:lineRule="auto"/>
        <w:ind w:firstLine="5565" w:firstLineChars="265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日期</w:t>
      </w:r>
      <w:r>
        <w:rPr>
          <w:rFonts w:hint="eastAsia" w:ascii="宋体" w:hAnsi="宋体" w:cs="宋体"/>
          <w:color w:val="auto"/>
          <w:kern w:val="0"/>
          <w:szCs w:val="21"/>
          <w:highlight w:val="none"/>
        </w:rPr>
        <w:t xml:space="preserve">：  年  </w:t>
      </w:r>
      <w:r>
        <w:rPr>
          <w:rFonts w:hint="eastAsia" w:ascii="宋体" w:hAnsi="宋体" w:cs="宋体"/>
          <w:color w:val="auto"/>
          <w:kern w:val="0"/>
          <w:szCs w:val="21"/>
          <w:highlight w:val="none"/>
          <w:lang w:val="zh-CN"/>
        </w:rPr>
        <w:t>月</w:t>
      </w:r>
      <w:r>
        <w:rPr>
          <w:rFonts w:hint="eastAsia" w:ascii="宋体" w:hAnsi="宋体" w:cs="宋体"/>
          <w:color w:val="auto"/>
          <w:kern w:val="0"/>
          <w:szCs w:val="21"/>
          <w:highlight w:val="none"/>
        </w:rPr>
        <w:t xml:space="preserve">   </w:t>
      </w:r>
      <w:r>
        <w:rPr>
          <w:rFonts w:hint="eastAsia" w:ascii="宋体" w:hAnsi="宋体" w:cs="宋体"/>
          <w:color w:val="auto"/>
          <w:kern w:val="0"/>
          <w:szCs w:val="21"/>
          <w:highlight w:val="none"/>
          <w:lang w:val="zh-CN"/>
        </w:rPr>
        <w:t>日</w:t>
      </w:r>
    </w:p>
    <w:p w14:paraId="478ADA24">
      <w:pPr>
        <w:pStyle w:val="16"/>
        <w:keepNext/>
        <w:keepLines/>
        <w:spacing w:line="360" w:lineRule="auto"/>
        <w:ind w:left="5180" w:leftChars="1979" w:hanging="1024" w:hangingChars="488"/>
        <w:rPr>
          <w:rFonts w:cs="宋体"/>
          <w:color w:val="auto"/>
          <w:szCs w:val="21"/>
          <w:highlight w:val="none"/>
        </w:rPr>
      </w:pPr>
    </w:p>
    <w:p w14:paraId="4C2182B0">
      <w:pPr>
        <w:pStyle w:val="16"/>
        <w:keepNext/>
        <w:keepLines/>
        <w:spacing w:line="360" w:lineRule="auto"/>
        <w:ind w:firstLine="420" w:firstLineChars="200"/>
        <w:jc w:val="left"/>
        <w:rPr>
          <w:rFonts w:ascii="仿宋" w:hAnsi="仿宋" w:eastAsia="仿宋" w:cs="仿宋"/>
          <w:color w:val="auto"/>
          <w:szCs w:val="21"/>
          <w:highlight w:val="none"/>
        </w:rPr>
      </w:pPr>
      <w:r>
        <w:rPr>
          <w:rFonts w:hint="eastAsia" w:ascii="仿宋" w:hAnsi="仿宋" w:eastAsia="仿宋" w:cs="仿宋"/>
          <w:color w:val="auto"/>
          <w:szCs w:val="21"/>
          <w:highlight w:val="none"/>
        </w:rPr>
        <w:t>注：请根据自己的真实情况出具《残疾人福利性单位声明函》。依法享受中小企业优惠政策的，采购人或者采购代理机构在公告中标结果时，同时公告其《残疾人福利性单位声明函》，接受社会监督；根据《关于政府采购支持监狱企业发展有关问题的通知》（财库[2014]68号）的规定，投标人提供由省级以上监狱管理局、戒毒管理局（含新疆生产建设兵团）出具的属于监狱企业证明文件的，视同为小型和微型企业。</w:t>
      </w:r>
    </w:p>
    <w:p w14:paraId="7151B1A8">
      <w:pPr>
        <w:pStyle w:val="10"/>
        <w:keepNext/>
        <w:keepLines/>
        <w:spacing w:line="360" w:lineRule="auto"/>
        <w:rPr>
          <w:color w:val="auto"/>
          <w:highlight w:val="none"/>
        </w:rPr>
      </w:pPr>
    </w:p>
    <w:p w14:paraId="46991F27">
      <w:pPr>
        <w:pStyle w:val="16"/>
        <w:keepNext/>
        <w:keepLines/>
        <w:spacing w:line="360" w:lineRule="auto"/>
        <w:ind w:firstLine="360" w:firstLineChars="150"/>
        <w:rPr>
          <w:rFonts w:cs="宋体"/>
          <w:color w:val="auto"/>
          <w:sz w:val="24"/>
          <w:szCs w:val="24"/>
          <w:highlight w:val="none"/>
        </w:rPr>
        <w:sectPr>
          <w:pgSz w:w="11906" w:h="16838"/>
          <w:pgMar w:top="1440" w:right="1080" w:bottom="1440" w:left="1080" w:header="720" w:footer="720" w:gutter="0"/>
          <w:pgBorders>
            <w:top w:val="none" w:sz="0" w:space="0"/>
            <w:left w:val="none" w:sz="0" w:space="0"/>
            <w:bottom w:val="none" w:sz="0" w:space="0"/>
            <w:right w:val="none" w:sz="0" w:space="0"/>
          </w:pgBorders>
          <w:cols w:space="720" w:num="1"/>
          <w:docGrid w:linePitch="331" w:charSpace="0"/>
        </w:sectPr>
      </w:pPr>
    </w:p>
    <w:p w14:paraId="0D1A0FA6">
      <w:pPr>
        <w:pStyle w:val="16"/>
        <w:keepNext/>
        <w:keepLines/>
        <w:spacing w:line="360" w:lineRule="auto"/>
        <w:jc w:val="center"/>
        <w:outlineLvl w:val="1"/>
        <w:rPr>
          <w:rFonts w:cs="宋体"/>
          <w:b/>
          <w:bCs/>
          <w:color w:val="auto"/>
          <w:sz w:val="28"/>
          <w:szCs w:val="28"/>
          <w:highlight w:val="none"/>
        </w:rPr>
      </w:pPr>
      <w:bookmarkStart w:id="204" w:name="_Toc177716559"/>
      <w:bookmarkStart w:id="205" w:name="_Toc29762"/>
      <w:bookmarkStart w:id="206" w:name="_Toc19686838"/>
      <w:bookmarkStart w:id="207" w:name="_Toc32641"/>
      <w:r>
        <w:rPr>
          <w:rFonts w:hint="eastAsia" w:cs="宋体"/>
          <w:b/>
          <w:bCs/>
          <w:color w:val="auto"/>
          <w:sz w:val="28"/>
          <w:szCs w:val="28"/>
          <w:highlight w:val="none"/>
        </w:rPr>
        <w:t>第四节 商务技术文件格式</w:t>
      </w:r>
      <w:bookmarkEnd w:id="204"/>
      <w:bookmarkEnd w:id="205"/>
      <w:bookmarkEnd w:id="206"/>
      <w:bookmarkEnd w:id="207"/>
    </w:p>
    <w:p w14:paraId="2938027F">
      <w:pPr>
        <w:keepNext/>
        <w:keepLines/>
        <w:snapToGrid w:val="0"/>
        <w:spacing w:before="120" w:beforeLines="50" w:after="50" w:line="360" w:lineRule="auto"/>
        <w:rPr>
          <w:rFonts w:ascii="宋体" w:hAnsi="宋体" w:cs="宋体"/>
          <w:color w:val="auto"/>
          <w:sz w:val="24"/>
          <w:highlight w:val="none"/>
        </w:rPr>
      </w:pPr>
      <w:r>
        <w:rPr>
          <w:rFonts w:hint="eastAsia" w:ascii="宋体" w:hAnsi="宋体" w:cs="宋体"/>
          <w:color w:val="auto"/>
          <w:sz w:val="24"/>
          <w:highlight w:val="none"/>
        </w:rPr>
        <w:t xml:space="preserve">    </w:t>
      </w:r>
    </w:p>
    <w:p w14:paraId="4E764636">
      <w:pPr>
        <w:keepNext/>
        <w:keepLines/>
        <w:snapToGrid w:val="0"/>
        <w:spacing w:before="120" w:beforeLines="50" w:after="50" w:line="360" w:lineRule="auto"/>
        <w:jc w:val="right"/>
        <w:rPr>
          <w:rFonts w:ascii="宋体" w:hAnsi="宋体" w:cs="宋体"/>
          <w:bCs/>
          <w:color w:val="auto"/>
          <w:highlight w:val="none"/>
        </w:rPr>
      </w:pPr>
    </w:p>
    <w:p w14:paraId="1388920B">
      <w:pPr>
        <w:keepNext/>
        <w:keepLines/>
        <w:snapToGrid w:val="0"/>
        <w:spacing w:before="120" w:beforeLines="50" w:after="50" w:line="360" w:lineRule="auto"/>
        <w:jc w:val="right"/>
        <w:rPr>
          <w:rFonts w:ascii="宋体" w:hAnsi="宋体" w:cs="宋体"/>
          <w:bCs/>
          <w:color w:val="auto"/>
          <w:sz w:val="24"/>
          <w:highlight w:val="none"/>
        </w:rPr>
      </w:pPr>
      <w:r>
        <w:rPr>
          <w:rFonts w:hint="eastAsia" w:ascii="宋体" w:hAnsi="宋体" w:cs="宋体"/>
          <w:bCs/>
          <w:color w:val="auto"/>
          <w:sz w:val="24"/>
          <w:highlight w:val="none"/>
        </w:rPr>
        <w:t>电子投标文件</w:t>
      </w:r>
    </w:p>
    <w:p w14:paraId="70CB7904">
      <w:pPr>
        <w:keepNext/>
        <w:keepLines/>
        <w:snapToGrid w:val="0"/>
        <w:spacing w:before="120" w:beforeLines="50" w:after="50" w:line="360" w:lineRule="auto"/>
        <w:rPr>
          <w:rFonts w:ascii="宋体" w:hAnsi="宋体" w:cs="宋体"/>
          <w:color w:val="auto"/>
          <w:sz w:val="24"/>
          <w:szCs w:val="20"/>
          <w:highlight w:val="none"/>
        </w:rPr>
      </w:pPr>
    </w:p>
    <w:p w14:paraId="411700B8">
      <w:pPr>
        <w:keepNext/>
        <w:keepLines/>
        <w:snapToGrid w:val="0"/>
        <w:spacing w:before="120" w:beforeLines="50" w:after="50" w:line="360" w:lineRule="auto"/>
        <w:jc w:val="center"/>
        <w:outlineLvl w:val="2"/>
        <w:rPr>
          <w:rFonts w:ascii="宋体" w:hAnsi="宋体" w:cs="宋体"/>
          <w:b/>
          <w:color w:val="auto"/>
          <w:sz w:val="24"/>
          <w:szCs w:val="20"/>
          <w:highlight w:val="none"/>
        </w:rPr>
      </w:pPr>
      <w:bookmarkStart w:id="208" w:name="_Toc177716560"/>
      <w:r>
        <w:rPr>
          <w:rFonts w:hint="eastAsia" w:ascii="宋体" w:hAnsi="宋体" w:cs="宋体"/>
          <w:b/>
          <w:color w:val="auto"/>
          <w:sz w:val="32"/>
          <w:szCs w:val="32"/>
          <w:highlight w:val="none"/>
        </w:rPr>
        <w:t>商务技术文件（封面）</w:t>
      </w:r>
      <w:bookmarkEnd w:id="208"/>
    </w:p>
    <w:p w14:paraId="34E3117A">
      <w:pPr>
        <w:keepNext/>
        <w:keepLines/>
        <w:snapToGrid w:val="0"/>
        <w:spacing w:before="120" w:beforeLines="50" w:after="50" w:line="360" w:lineRule="auto"/>
        <w:rPr>
          <w:rFonts w:ascii="宋体" w:hAnsi="宋体" w:cs="宋体"/>
          <w:bCs/>
          <w:color w:val="auto"/>
          <w:sz w:val="24"/>
          <w:szCs w:val="20"/>
          <w:highlight w:val="none"/>
        </w:rPr>
      </w:pPr>
    </w:p>
    <w:p w14:paraId="4360BC40">
      <w:pPr>
        <w:keepNext/>
        <w:keepLines/>
        <w:snapToGrid w:val="0"/>
        <w:spacing w:before="120" w:beforeLines="50" w:after="50" w:line="360" w:lineRule="auto"/>
        <w:rPr>
          <w:rFonts w:ascii="宋体" w:hAnsi="宋体" w:cs="宋体"/>
          <w:bCs/>
          <w:color w:val="auto"/>
          <w:sz w:val="24"/>
          <w:szCs w:val="20"/>
          <w:highlight w:val="none"/>
        </w:rPr>
      </w:pPr>
    </w:p>
    <w:p w14:paraId="5A8A04CE">
      <w:pPr>
        <w:keepNext/>
        <w:keepLines/>
        <w:snapToGrid w:val="0"/>
        <w:spacing w:before="120" w:beforeLines="50" w:after="50" w:line="360" w:lineRule="auto"/>
        <w:rPr>
          <w:rFonts w:ascii="宋体" w:hAnsi="宋体" w:cs="宋体"/>
          <w:bCs/>
          <w:color w:val="auto"/>
          <w:sz w:val="24"/>
          <w:szCs w:val="20"/>
          <w:highlight w:val="none"/>
        </w:rPr>
      </w:pPr>
    </w:p>
    <w:p w14:paraId="1C32D4C6">
      <w:pPr>
        <w:keepNext/>
        <w:keepLines/>
        <w:snapToGrid w:val="0"/>
        <w:spacing w:before="120" w:beforeLines="50" w:after="50" w:line="360" w:lineRule="auto"/>
        <w:rPr>
          <w:rFonts w:ascii="宋体" w:hAnsi="宋体" w:cs="宋体"/>
          <w:bCs/>
          <w:color w:val="auto"/>
          <w:sz w:val="24"/>
          <w:szCs w:val="20"/>
          <w:highlight w:val="none"/>
        </w:rPr>
      </w:pPr>
    </w:p>
    <w:p w14:paraId="2C2EB4AC">
      <w:pPr>
        <w:keepNext/>
        <w:keepLines/>
        <w:snapToGrid w:val="0"/>
        <w:spacing w:before="120" w:beforeLines="50" w:after="50" w:line="360" w:lineRule="auto"/>
        <w:rPr>
          <w:rFonts w:ascii="宋体" w:hAnsi="宋体" w:cs="宋体"/>
          <w:bCs/>
          <w:color w:val="auto"/>
          <w:sz w:val="24"/>
          <w:szCs w:val="20"/>
          <w:highlight w:val="none"/>
        </w:rPr>
      </w:pPr>
    </w:p>
    <w:p w14:paraId="722DE0ED">
      <w:pPr>
        <w:keepNext/>
        <w:keepLines/>
        <w:snapToGrid w:val="0"/>
        <w:spacing w:before="120" w:beforeLines="50" w:after="50" w:line="360" w:lineRule="auto"/>
        <w:rPr>
          <w:rFonts w:ascii="宋体" w:hAnsi="宋体" w:cs="宋体"/>
          <w:bCs/>
          <w:color w:val="auto"/>
          <w:sz w:val="24"/>
          <w:szCs w:val="20"/>
          <w:highlight w:val="none"/>
        </w:rPr>
      </w:pPr>
    </w:p>
    <w:p w14:paraId="5F017680">
      <w:pPr>
        <w:keepNext/>
        <w:keepLines/>
        <w:snapToGrid w:val="0"/>
        <w:spacing w:line="360" w:lineRule="auto"/>
        <w:ind w:firstLine="720" w:firstLineChars="300"/>
        <w:rPr>
          <w:rFonts w:ascii="宋体" w:hAnsi="宋体" w:cs="宋体"/>
          <w:bCs/>
          <w:color w:val="auto"/>
          <w:sz w:val="24"/>
          <w:highlight w:val="none"/>
        </w:rPr>
      </w:pPr>
      <w:r>
        <w:rPr>
          <w:rFonts w:hint="eastAsia" w:ascii="宋体" w:hAnsi="宋体" w:cs="宋体"/>
          <w:bCs/>
          <w:color w:val="auto"/>
          <w:sz w:val="24"/>
          <w:highlight w:val="none"/>
        </w:rPr>
        <w:t>项目名称：广西公安数字化反电诈平台项目</w:t>
      </w:r>
    </w:p>
    <w:p w14:paraId="4A4794B6">
      <w:pPr>
        <w:keepNext/>
        <w:keepLines/>
        <w:snapToGrid w:val="0"/>
        <w:spacing w:line="360" w:lineRule="auto"/>
        <w:ind w:firstLine="720" w:firstLineChars="300"/>
        <w:rPr>
          <w:rFonts w:hint="eastAsia" w:ascii="宋体" w:hAnsi="宋体" w:eastAsia="宋体" w:cs="宋体"/>
          <w:bCs/>
          <w:color w:val="auto"/>
          <w:sz w:val="24"/>
          <w:highlight w:val="none"/>
          <w:lang w:eastAsia="zh-CN"/>
        </w:rPr>
      </w:pPr>
      <w:r>
        <w:rPr>
          <w:rFonts w:hint="eastAsia" w:ascii="宋体" w:hAnsi="宋体" w:cs="宋体"/>
          <w:bCs/>
          <w:color w:val="auto"/>
          <w:sz w:val="24"/>
          <w:highlight w:val="none"/>
        </w:rPr>
        <w:t>项目编号：</w:t>
      </w:r>
      <w:r>
        <w:rPr>
          <w:rFonts w:hint="eastAsia" w:ascii="宋体" w:hAnsi="宋体" w:cs="宋体"/>
          <w:bCs/>
          <w:color w:val="auto"/>
          <w:sz w:val="24"/>
          <w:highlight w:val="none"/>
          <w:lang w:eastAsia="zh-CN"/>
        </w:rPr>
        <w:t>GXZC2024-G3-006016-XYGC</w:t>
      </w:r>
    </w:p>
    <w:p w14:paraId="0AC8C718">
      <w:pPr>
        <w:keepNext/>
        <w:keepLines/>
        <w:snapToGrid w:val="0"/>
        <w:spacing w:line="360" w:lineRule="auto"/>
        <w:ind w:firstLine="720" w:firstLineChars="300"/>
        <w:rPr>
          <w:rFonts w:ascii="宋体" w:hAnsi="宋体" w:cs="宋体"/>
          <w:bCs/>
          <w:color w:val="auto"/>
          <w:sz w:val="24"/>
          <w:highlight w:val="none"/>
        </w:rPr>
      </w:pPr>
      <w:r>
        <w:rPr>
          <w:rFonts w:hint="eastAsia" w:ascii="宋体" w:hAnsi="宋体" w:cs="宋体"/>
          <w:bCs/>
          <w:color w:val="auto"/>
          <w:sz w:val="24"/>
          <w:highlight w:val="none"/>
        </w:rPr>
        <w:t>所投分标：（此处有分标时填写具体分标号，无分标时填写“无”）</w:t>
      </w:r>
    </w:p>
    <w:p w14:paraId="1FE65BD9">
      <w:pPr>
        <w:keepNext/>
        <w:keepLines/>
        <w:snapToGrid w:val="0"/>
        <w:spacing w:line="360" w:lineRule="auto"/>
        <w:ind w:firstLine="720" w:firstLineChars="300"/>
        <w:rPr>
          <w:rFonts w:ascii="宋体" w:hAnsi="宋体" w:cs="宋体"/>
          <w:bCs/>
          <w:color w:val="auto"/>
          <w:sz w:val="24"/>
          <w:highlight w:val="none"/>
        </w:rPr>
      </w:pPr>
      <w:r>
        <w:rPr>
          <w:rFonts w:hint="eastAsia" w:ascii="宋体" w:hAnsi="宋体" w:cs="宋体"/>
          <w:bCs/>
          <w:color w:val="auto"/>
          <w:sz w:val="24"/>
          <w:highlight w:val="none"/>
        </w:rPr>
        <w:t>投标人名称：</w:t>
      </w:r>
    </w:p>
    <w:p w14:paraId="5A43F308">
      <w:pPr>
        <w:keepNext/>
        <w:keepLines/>
        <w:snapToGrid w:val="0"/>
        <w:spacing w:line="360" w:lineRule="auto"/>
        <w:ind w:firstLine="720" w:firstLineChars="300"/>
        <w:rPr>
          <w:rFonts w:ascii="宋体" w:hAnsi="宋体" w:cs="宋体"/>
          <w:bCs/>
          <w:color w:val="auto"/>
          <w:sz w:val="24"/>
          <w:highlight w:val="none"/>
        </w:rPr>
      </w:pPr>
      <w:r>
        <w:rPr>
          <w:rFonts w:hint="eastAsia" w:ascii="宋体" w:hAnsi="宋体" w:cs="宋体"/>
          <w:bCs/>
          <w:color w:val="auto"/>
          <w:sz w:val="24"/>
          <w:highlight w:val="none"/>
        </w:rPr>
        <w:t>投标人地址：</w:t>
      </w:r>
    </w:p>
    <w:p w14:paraId="47813DA0">
      <w:pPr>
        <w:pStyle w:val="10"/>
        <w:keepNext/>
        <w:keepLines/>
        <w:snapToGrid w:val="0"/>
        <w:spacing w:before="50" w:after="50" w:line="360" w:lineRule="auto"/>
        <w:ind w:firstLine="960" w:firstLineChars="400"/>
        <w:rPr>
          <w:rFonts w:ascii="宋体" w:hAnsi="宋体" w:cs="宋体"/>
          <w:bCs/>
          <w:color w:val="auto"/>
          <w:sz w:val="24"/>
          <w:szCs w:val="24"/>
          <w:highlight w:val="none"/>
        </w:rPr>
      </w:pPr>
    </w:p>
    <w:p w14:paraId="1CEADF47">
      <w:pPr>
        <w:keepNext/>
        <w:keepLines/>
        <w:snapToGrid w:val="0"/>
        <w:spacing w:before="120" w:beforeLines="50" w:after="50" w:line="360" w:lineRule="auto"/>
        <w:ind w:firstLine="645"/>
        <w:jc w:val="center"/>
        <w:rPr>
          <w:rFonts w:ascii="宋体" w:hAnsi="宋体" w:cs="宋体"/>
          <w:color w:val="auto"/>
          <w:sz w:val="24"/>
          <w:highlight w:val="none"/>
        </w:rPr>
      </w:pPr>
      <w:r>
        <w:rPr>
          <w:rFonts w:hint="eastAsia" w:ascii="宋体" w:hAnsi="宋体" w:cs="宋体"/>
          <w:color w:val="auto"/>
          <w:sz w:val="24"/>
          <w:highlight w:val="none"/>
        </w:rPr>
        <w:t>年  月  日</w:t>
      </w:r>
    </w:p>
    <w:p w14:paraId="3903A7E4">
      <w:pPr>
        <w:keepNext/>
        <w:keepLines/>
        <w:spacing w:line="360" w:lineRule="auto"/>
        <w:ind w:right="420"/>
        <w:rPr>
          <w:rFonts w:ascii="宋体" w:hAnsi="宋体" w:cs="宋体"/>
          <w:color w:val="auto"/>
          <w:sz w:val="24"/>
          <w:szCs w:val="20"/>
          <w:highlight w:val="none"/>
        </w:rPr>
      </w:pPr>
    </w:p>
    <w:p w14:paraId="744AE8F5">
      <w:pPr>
        <w:keepNext/>
        <w:keepLines/>
        <w:spacing w:line="360" w:lineRule="auto"/>
        <w:jc w:val="center"/>
        <w:rPr>
          <w:rFonts w:ascii="宋体" w:hAnsi="宋体" w:cs="宋体"/>
          <w:b/>
          <w:color w:val="auto"/>
          <w:kern w:val="0"/>
          <w:sz w:val="28"/>
          <w:szCs w:val="28"/>
          <w:highlight w:val="none"/>
        </w:rPr>
        <w:sectPr>
          <w:pgSz w:w="11906" w:h="16838"/>
          <w:pgMar w:top="1440" w:right="1080" w:bottom="1440" w:left="1080" w:header="720" w:footer="720" w:gutter="0"/>
          <w:pgBorders>
            <w:top w:val="none" w:sz="0" w:space="0"/>
            <w:left w:val="none" w:sz="0" w:space="0"/>
            <w:bottom w:val="none" w:sz="0" w:space="0"/>
            <w:right w:val="none" w:sz="0" w:space="0"/>
          </w:pgBorders>
          <w:cols w:space="720" w:num="1"/>
          <w:docGrid w:linePitch="331" w:charSpace="0"/>
        </w:sectPr>
      </w:pPr>
    </w:p>
    <w:p w14:paraId="4EC4CC60">
      <w:pPr>
        <w:keepNext/>
        <w:keepLines/>
        <w:spacing w:line="360" w:lineRule="auto"/>
        <w:jc w:val="center"/>
        <w:rPr>
          <w:rFonts w:ascii="宋体" w:hAnsi="宋体" w:cs="宋体"/>
          <w:b/>
          <w:color w:val="auto"/>
          <w:kern w:val="0"/>
          <w:sz w:val="28"/>
          <w:szCs w:val="28"/>
          <w:highlight w:val="none"/>
        </w:rPr>
      </w:pPr>
      <w:r>
        <w:rPr>
          <w:rFonts w:hint="eastAsia" w:ascii="宋体" w:hAnsi="宋体" w:cs="宋体"/>
          <w:b/>
          <w:color w:val="auto"/>
          <w:kern w:val="0"/>
          <w:sz w:val="28"/>
          <w:szCs w:val="28"/>
          <w:highlight w:val="none"/>
        </w:rPr>
        <w:t>商务技术文件目录</w:t>
      </w:r>
    </w:p>
    <w:p w14:paraId="14697EE5">
      <w:pPr>
        <w:pStyle w:val="16"/>
        <w:keepNext/>
        <w:keepLines/>
        <w:spacing w:line="360" w:lineRule="auto"/>
        <w:ind w:firstLine="480"/>
        <w:jc w:val="center"/>
        <w:rPr>
          <w:rFonts w:cs="宋体"/>
          <w:color w:val="auto"/>
          <w:sz w:val="24"/>
          <w:szCs w:val="24"/>
          <w:highlight w:val="none"/>
        </w:rPr>
      </w:pPr>
      <w:r>
        <w:rPr>
          <w:rFonts w:hint="eastAsia" w:cs="宋体"/>
          <w:color w:val="auto"/>
          <w:sz w:val="24"/>
          <w:szCs w:val="24"/>
          <w:highlight w:val="none"/>
        </w:rPr>
        <w:t>（根据招标文件规定及投标人提供的材料自行编写目录）</w:t>
      </w:r>
    </w:p>
    <w:p w14:paraId="4466A7CA">
      <w:pPr>
        <w:pStyle w:val="10"/>
        <w:keepNext/>
        <w:keepLines/>
        <w:spacing w:line="360" w:lineRule="auto"/>
        <w:rPr>
          <w:color w:val="auto"/>
          <w:highlight w:val="none"/>
        </w:rPr>
      </w:pPr>
    </w:p>
    <w:p w14:paraId="7A651343">
      <w:pPr>
        <w:keepNext/>
        <w:keepLines/>
        <w:widowControl/>
        <w:spacing w:line="360" w:lineRule="auto"/>
        <w:jc w:val="left"/>
        <w:rPr>
          <w:rFonts w:ascii="宋体" w:hAnsi="宋体" w:cs="宋体"/>
          <w:color w:val="auto"/>
          <w:sz w:val="24"/>
          <w:highlight w:val="none"/>
        </w:rPr>
      </w:pPr>
      <w:r>
        <w:rPr>
          <w:rFonts w:ascii="宋体" w:hAnsi="宋体" w:cs="宋体"/>
          <w:color w:val="auto"/>
          <w:sz w:val="24"/>
          <w:highlight w:val="none"/>
        </w:rPr>
        <w:br w:type="page"/>
      </w:r>
    </w:p>
    <w:p w14:paraId="6B916D6C">
      <w:pPr>
        <w:keepNext/>
        <w:keepLines/>
        <w:spacing w:line="360" w:lineRule="auto"/>
        <w:outlineLvl w:val="2"/>
        <w:rPr>
          <w:rFonts w:ascii="宋体" w:hAnsi="宋体" w:cs="宋体"/>
          <w:b/>
          <w:color w:val="auto"/>
          <w:sz w:val="30"/>
          <w:szCs w:val="30"/>
          <w:highlight w:val="none"/>
        </w:rPr>
      </w:pPr>
      <w:bookmarkStart w:id="209" w:name="_Toc177716561"/>
      <w:r>
        <w:rPr>
          <w:rFonts w:hint="eastAsia" w:ascii="宋体" w:hAnsi="宋体" w:cs="宋体"/>
          <w:b/>
          <w:color w:val="auto"/>
          <w:sz w:val="30"/>
          <w:szCs w:val="30"/>
          <w:highlight w:val="none"/>
        </w:rPr>
        <w:t>一、无串通投标行为的承诺函</w:t>
      </w:r>
      <w:bookmarkEnd w:id="209"/>
    </w:p>
    <w:p w14:paraId="75FA1F49">
      <w:pPr>
        <w:keepNext/>
        <w:keepLines/>
        <w:spacing w:line="360" w:lineRule="auto"/>
        <w:jc w:val="center"/>
        <w:rPr>
          <w:b/>
          <w:bCs/>
          <w:color w:val="auto"/>
          <w:sz w:val="32"/>
          <w:szCs w:val="40"/>
          <w:highlight w:val="none"/>
        </w:rPr>
      </w:pPr>
      <w:r>
        <w:rPr>
          <w:rFonts w:hint="eastAsia"/>
          <w:b/>
          <w:bCs/>
          <w:color w:val="auto"/>
          <w:sz w:val="32"/>
          <w:szCs w:val="40"/>
          <w:highlight w:val="none"/>
        </w:rPr>
        <w:t>无串通投标行为的承诺函</w:t>
      </w:r>
    </w:p>
    <w:p w14:paraId="70C5B191">
      <w:pPr>
        <w:keepNext/>
        <w:keepLines/>
        <w:spacing w:line="360" w:lineRule="auto"/>
        <w:jc w:val="left"/>
        <w:rPr>
          <w:rFonts w:ascii="宋体" w:hAnsi="宋体" w:cs="宋体"/>
          <w:b/>
          <w:color w:val="auto"/>
          <w:szCs w:val="21"/>
          <w:highlight w:val="none"/>
        </w:rPr>
      </w:pPr>
    </w:p>
    <w:p w14:paraId="672B2439">
      <w:pPr>
        <w:keepNext/>
        <w:keepLines/>
        <w:spacing w:line="360" w:lineRule="auto"/>
        <w:jc w:val="left"/>
        <w:rPr>
          <w:rFonts w:ascii="宋体" w:hAnsi="宋体" w:cs="宋体"/>
          <w:b/>
          <w:color w:val="auto"/>
          <w:szCs w:val="21"/>
          <w:highlight w:val="none"/>
        </w:rPr>
      </w:pPr>
      <w:r>
        <w:rPr>
          <w:rFonts w:hint="eastAsia" w:ascii="宋体" w:hAnsi="宋体" w:cs="宋体"/>
          <w:b/>
          <w:color w:val="auto"/>
          <w:szCs w:val="21"/>
          <w:highlight w:val="none"/>
        </w:rPr>
        <w:t>一、我方承诺无下列相互串通投标的情形：</w:t>
      </w:r>
    </w:p>
    <w:p w14:paraId="6518E03F">
      <w:pPr>
        <w:keepNext/>
        <w:keepLines/>
        <w:spacing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1.不同投标人的投标文件由同一单位或者个人编制；或者不同投标人报名的IP地址一致的；或者编制标书硬件设备CPU编号、硬盘编号、网卡地址一致的情况。</w:t>
      </w:r>
    </w:p>
    <w:p w14:paraId="3D1FC8C3">
      <w:pPr>
        <w:keepNext/>
        <w:keepLines/>
        <w:spacing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2.不同投标人委托同一单位或者个人办理投标事宜；</w:t>
      </w:r>
    </w:p>
    <w:p w14:paraId="3B18EE07">
      <w:pPr>
        <w:keepNext/>
        <w:keepLines/>
        <w:spacing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3.不同的投标人的投标文件载明的项目管理员为同一个人；</w:t>
      </w:r>
    </w:p>
    <w:p w14:paraId="44DF1D2E">
      <w:pPr>
        <w:keepNext/>
        <w:keepLines/>
        <w:spacing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4.不同投标人的投标文件异常一致或者投标报价呈规律性差异；</w:t>
      </w:r>
    </w:p>
    <w:p w14:paraId="4259E359">
      <w:pPr>
        <w:keepNext/>
        <w:keepLines/>
        <w:spacing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5.不同投标人的投标文件相互混装；</w:t>
      </w:r>
    </w:p>
    <w:p w14:paraId="7C41BB8A">
      <w:pPr>
        <w:keepNext/>
        <w:keepLines/>
        <w:spacing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6.不同投标人的投标保证金从同一单位或者个人账户转出。</w:t>
      </w:r>
    </w:p>
    <w:p w14:paraId="45F7CBAF">
      <w:pPr>
        <w:keepNext/>
        <w:keepLines/>
        <w:spacing w:line="360" w:lineRule="auto"/>
        <w:jc w:val="left"/>
        <w:rPr>
          <w:rFonts w:ascii="宋体" w:hAnsi="宋体" w:cs="宋体"/>
          <w:color w:val="auto"/>
          <w:szCs w:val="21"/>
          <w:highlight w:val="none"/>
        </w:rPr>
      </w:pPr>
      <w:r>
        <w:rPr>
          <w:rFonts w:hint="eastAsia" w:ascii="宋体" w:hAnsi="宋体" w:cs="宋体"/>
          <w:b/>
          <w:color w:val="auto"/>
          <w:szCs w:val="21"/>
          <w:highlight w:val="none"/>
        </w:rPr>
        <w:t>二、我方承诺无下列恶意串通的情形：</w:t>
      </w:r>
    </w:p>
    <w:p w14:paraId="35E0FE54">
      <w:pPr>
        <w:keepNext/>
        <w:keepLines/>
        <w:spacing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1.投标人直接或者间接从采购人或者采购代理机构处获得其他投标人的相关信息并修改其投标文件；</w:t>
      </w:r>
    </w:p>
    <w:p w14:paraId="50ECCC58">
      <w:pPr>
        <w:keepNext/>
        <w:keepLines/>
        <w:spacing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2.投标人按照采购人或者采购代理机构的授意撤换、修改投标文件；</w:t>
      </w:r>
    </w:p>
    <w:p w14:paraId="24432DD5">
      <w:pPr>
        <w:keepNext/>
        <w:keepLines/>
        <w:spacing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3.投标人之间协商报价、技术方案等投标文件或者投标文件的实质性内容；</w:t>
      </w:r>
    </w:p>
    <w:p w14:paraId="39227136">
      <w:pPr>
        <w:keepNext/>
        <w:keepLines/>
        <w:spacing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4.属于同一集团、协会、商会等组织成员的投标人按照该组织要求协同参加政府采购活动；</w:t>
      </w:r>
    </w:p>
    <w:p w14:paraId="7154772E">
      <w:pPr>
        <w:keepNext/>
        <w:keepLines/>
        <w:spacing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5.投标人之间事先约定一致抬高或者压低投标报价，或者在招标项目中事先约定轮流以高价位或者低价位中标，或者事先约定由某一特定投标人中标，然后再参加投标；</w:t>
      </w:r>
    </w:p>
    <w:p w14:paraId="1808CB36">
      <w:pPr>
        <w:keepNext/>
        <w:keepLines/>
        <w:spacing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6.投标人之间商定部分投标人放弃参加政府采购活动或者放弃中标；</w:t>
      </w:r>
    </w:p>
    <w:p w14:paraId="7E3F5806">
      <w:pPr>
        <w:keepNext/>
        <w:keepLines/>
        <w:spacing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7.投标人与采购人或者采购代理机构之间、投标人相互之间，为谋求特定投标人中标或者排斥其他投标人的其他串通行为。</w:t>
      </w:r>
    </w:p>
    <w:p w14:paraId="674772C1">
      <w:pPr>
        <w:keepNext/>
        <w:keepLines/>
        <w:spacing w:line="360" w:lineRule="auto"/>
        <w:ind w:firstLine="413" w:firstLineChars="196"/>
        <w:jc w:val="left"/>
        <w:rPr>
          <w:rFonts w:ascii="宋体" w:hAnsi="宋体" w:cs="宋体"/>
          <w:b/>
          <w:color w:val="auto"/>
          <w:szCs w:val="21"/>
          <w:highlight w:val="none"/>
        </w:rPr>
      </w:pPr>
      <w:r>
        <w:rPr>
          <w:rFonts w:hint="eastAsia" w:ascii="宋体" w:hAnsi="宋体" w:cs="宋体"/>
          <w:b/>
          <w:color w:val="auto"/>
          <w:szCs w:val="21"/>
          <w:highlight w:val="none"/>
        </w:rPr>
        <w:t>以上情形一经核查属实，接受政府采购监管部门对我方认定存在围标串标行为，我方愿意承担一切后果，并不再寻求任何旨在减轻或者免除法律责任的辩解。</w:t>
      </w:r>
    </w:p>
    <w:p w14:paraId="4EB51ED0">
      <w:pPr>
        <w:keepNext/>
        <w:keepLines/>
        <w:snapToGrid w:val="0"/>
        <w:spacing w:line="360" w:lineRule="auto"/>
        <w:ind w:firstLine="4935" w:firstLineChars="2350"/>
        <w:rPr>
          <w:rFonts w:ascii="宋体" w:hAnsi="宋体" w:cs="宋体"/>
          <w:color w:val="auto"/>
          <w:szCs w:val="21"/>
          <w:highlight w:val="none"/>
        </w:rPr>
      </w:pPr>
      <w:r>
        <w:rPr>
          <w:rFonts w:hint="eastAsia" w:ascii="宋体" w:hAnsi="宋体" w:cs="宋体"/>
          <w:color w:val="auto"/>
          <w:szCs w:val="21"/>
          <w:highlight w:val="none"/>
        </w:rPr>
        <w:t xml:space="preserve">  </w:t>
      </w:r>
    </w:p>
    <w:p w14:paraId="5D783ADF">
      <w:pPr>
        <w:keepNext/>
        <w:keepLines/>
        <w:snapToGrid w:val="0"/>
        <w:spacing w:line="360" w:lineRule="auto"/>
        <w:ind w:firstLine="5258" w:firstLineChars="2191"/>
        <w:rPr>
          <w:rFonts w:ascii="宋体" w:hAnsi="宋体" w:cs="宋体"/>
          <w:color w:val="auto"/>
          <w:kern w:val="0"/>
          <w:sz w:val="24"/>
          <w:highlight w:val="none"/>
          <w:lang w:val="zh-CN"/>
        </w:rPr>
      </w:pPr>
    </w:p>
    <w:p w14:paraId="2238EEEC">
      <w:pPr>
        <w:keepNext/>
        <w:keepLines/>
        <w:snapToGrid w:val="0"/>
        <w:spacing w:line="360" w:lineRule="auto"/>
        <w:ind w:firstLine="5258" w:firstLineChars="2191"/>
        <w:rPr>
          <w:rFonts w:ascii="宋体" w:hAnsi="宋体" w:cs="宋体"/>
          <w:color w:val="auto"/>
          <w:kern w:val="0"/>
          <w:sz w:val="24"/>
          <w:highlight w:val="none"/>
        </w:rPr>
      </w:pPr>
      <w:r>
        <w:rPr>
          <w:rFonts w:hint="eastAsia" w:ascii="宋体" w:hAnsi="宋体" w:cs="宋体"/>
          <w:color w:val="auto"/>
          <w:kern w:val="0"/>
          <w:sz w:val="24"/>
          <w:highlight w:val="none"/>
          <w:lang w:val="zh-CN"/>
        </w:rPr>
        <w:t>投标人名称（电子签章）：</w:t>
      </w:r>
    </w:p>
    <w:p w14:paraId="0A07DEC6">
      <w:pPr>
        <w:keepNext/>
        <w:keepLines/>
        <w:snapToGrid w:val="0"/>
        <w:spacing w:line="360" w:lineRule="auto"/>
        <w:ind w:firstLine="5280" w:firstLineChars="2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53082B29">
      <w:pPr>
        <w:keepNext/>
        <w:keepLines/>
        <w:spacing w:line="360" w:lineRule="auto"/>
        <w:outlineLvl w:val="2"/>
        <w:rPr>
          <w:rFonts w:ascii="宋体" w:hAnsi="宋体" w:cs="宋体"/>
          <w:b/>
          <w:color w:val="auto"/>
          <w:sz w:val="30"/>
          <w:szCs w:val="30"/>
          <w:highlight w:val="none"/>
        </w:rPr>
      </w:pPr>
      <w:r>
        <w:rPr>
          <w:rFonts w:hint="eastAsia" w:cs="宋体"/>
          <w:b/>
          <w:color w:val="auto"/>
          <w:sz w:val="24"/>
          <w:highlight w:val="none"/>
        </w:rPr>
        <w:br w:type="page"/>
      </w:r>
      <w:bookmarkStart w:id="210" w:name="_Toc177716562"/>
      <w:r>
        <w:rPr>
          <w:rFonts w:hint="eastAsia" w:ascii="宋体" w:hAnsi="宋体" w:cs="宋体"/>
          <w:b/>
          <w:color w:val="auto"/>
          <w:sz w:val="30"/>
          <w:szCs w:val="30"/>
          <w:highlight w:val="none"/>
        </w:rPr>
        <w:t>二、法定代表人身份证明</w:t>
      </w:r>
      <w:bookmarkEnd w:id="210"/>
    </w:p>
    <w:p w14:paraId="16A302F3">
      <w:pPr>
        <w:keepNext/>
        <w:keepLines/>
        <w:spacing w:line="360" w:lineRule="auto"/>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法定</w:t>
      </w:r>
      <w:r>
        <w:rPr>
          <w:rFonts w:hint="eastAsia"/>
          <w:b/>
          <w:bCs/>
          <w:color w:val="auto"/>
          <w:sz w:val="32"/>
          <w:szCs w:val="40"/>
          <w:highlight w:val="none"/>
        </w:rPr>
        <w:t>代表人</w:t>
      </w:r>
      <w:r>
        <w:rPr>
          <w:rFonts w:hint="eastAsia" w:ascii="宋体" w:hAnsi="宋体" w:cs="宋体"/>
          <w:b/>
          <w:color w:val="auto"/>
          <w:kern w:val="0"/>
          <w:sz w:val="32"/>
          <w:szCs w:val="32"/>
          <w:highlight w:val="none"/>
        </w:rPr>
        <w:t>身份证明</w:t>
      </w:r>
    </w:p>
    <w:p w14:paraId="19B619AB">
      <w:pPr>
        <w:keepNext/>
        <w:keepLines/>
        <w:spacing w:line="360" w:lineRule="auto"/>
        <w:ind w:left="540"/>
        <w:rPr>
          <w:rFonts w:ascii="宋体" w:hAnsi="宋体" w:cs="宋体"/>
          <w:color w:val="auto"/>
          <w:sz w:val="24"/>
          <w:highlight w:val="none"/>
        </w:rPr>
      </w:pPr>
      <w:r>
        <w:rPr>
          <w:rFonts w:hint="eastAsia" w:ascii="宋体" w:hAnsi="宋体" w:cs="宋体"/>
          <w:color w:val="auto"/>
          <w:sz w:val="24"/>
          <w:highlight w:val="none"/>
        </w:rPr>
        <w:t>投 标 人：</w:t>
      </w:r>
      <w:r>
        <w:rPr>
          <w:rFonts w:hint="eastAsia" w:ascii="宋体" w:hAnsi="宋体" w:cs="宋体"/>
          <w:color w:val="auto"/>
          <w:sz w:val="24"/>
          <w:highlight w:val="none"/>
          <w:u w:val="single"/>
        </w:rPr>
        <w:t xml:space="preserve">                                                        </w:t>
      </w:r>
    </w:p>
    <w:p w14:paraId="5DE54226">
      <w:pPr>
        <w:keepNext/>
        <w:keepLines/>
        <w:spacing w:line="360" w:lineRule="auto"/>
        <w:ind w:left="540"/>
        <w:rPr>
          <w:rFonts w:ascii="宋体" w:hAnsi="宋体" w:cs="宋体"/>
          <w:color w:val="auto"/>
          <w:sz w:val="24"/>
          <w:highlight w:val="none"/>
        </w:rPr>
      </w:pPr>
      <w:r>
        <w:rPr>
          <w:rFonts w:hint="eastAsia" w:ascii="宋体" w:hAnsi="宋体" w:cs="宋体"/>
          <w:color w:val="auto"/>
          <w:sz w:val="24"/>
          <w:highlight w:val="none"/>
        </w:rPr>
        <w:t>地    址：</w:t>
      </w:r>
      <w:r>
        <w:rPr>
          <w:rFonts w:hint="eastAsia" w:ascii="宋体" w:hAnsi="宋体" w:cs="宋体"/>
          <w:color w:val="auto"/>
          <w:sz w:val="24"/>
          <w:highlight w:val="none"/>
          <w:u w:val="single"/>
        </w:rPr>
        <w:t xml:space="preserve">                                                        </w:t>
      </w:r>
    </w:p>
    <w:p w14:paraId="33BAC83F">
      <w:pPr>
        <w:keepNext/>
        <w:keepLines/>
        <w:spacing w:line="360" w:lineRule="auto"/>
        <w:ind w:left="540"/>
        <w:rPr>
          <w:rFonts w:ascii="宋体" w:hAnsi="宋体" w:cs="宋体"/>
          <w:color w:val="auto"/>
          <w:sz w:val="24"/>
          <w:highlight w:val="none"/>
        </w:rPr>
      </w:pPr>
      <w:r>
        <w:rPr>
          <w:rFonts w:hint="eastAsia" w:ascii="宋体" w:hAnsi="宋体" w:cs="宋体"/>
          <w:color w:val="auto"/>
          <w:sz w:val="24"/>
          <w:highlight w:val="none"/>
        </w:rPr>
        <w:t>姓    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性      别：</w:t>
      </w:r>
      <w:r>
        <w:rPr>
          <w:rFonts w:hint="eastAsia" w:ascii="宋体" w:hAnsi="宋体" w:cs="宋体"/>
          <w:color w:val="auto"/>
          <w:sz w:val="24"/>
          <w:highlight w:val="none"/>
          <w:u w:val="single"/>
        </w:rPr>
        <w:t xml:space="preserve">                </w:t>
      </w:r>
    </w:p>
    <w:p w14:paraId="508C5327">
      <w:pPr>
        <w:keepNext/>
        <w:keepLines/>
        <w:spacing w:line="360" w:lineRule="auto"/>
        <w:ind w:left="540"/>
        <w:rPr>
          <w:rFonts w:ascii="宋体" w:hAnsi="宋体" w:cs="宋体"/>
          <w:color w:val="auto"/>
          <w:sz w:val="24"/>
          <w:highlight w:val="none"/>
          <w:u w:val="single"/>
        </w:rPr>
      </w:pPr>
      <w:r>
        <w:rPr>
          <w:rFonts w:hint="eastAsia" w:ascii="宋体" w:hAnsi="宋体" w:cs="宋体"/>
          <w:color w:val="auto"/>
          <w:sz w:val="24"/>
          <w:highlight w:val="none"/>
        </w:rPr>
        <w:t>年    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职      务：</w:t>
      </w:r>
      <w:r>
        <w:rPr>
          <w:rFonts w:hint="eastAsia" w:ascii="宋体" w:hAnsi="宋体" w:cs="宋体"/>
          <w:color w:val="auto"/>
          <w:sz w:val="24"/>
          <w:highlight w:val="none"/>
          <w:u w:val="single"/>
        </w:rPr>
        <w:t xml:space="preserve">                </w:t>
      </w:r>
    </w:p>
    <w:p w14:paraId="61FC402F">
      <w:pPr>
        <w:keepNext/>
        <w:keepLines/>
        <w:spacing w:line="360" w:lineRule="auto"/>
        <w:ind w:left="540"/>
        <w:rPr>
          <w:rFonts w:ascii="宋体" w:hAnsi="宋体" w:cs="宋体"/>
          <w:color w:val="auto"/>
          <w:sz w:val="24"/>
          <w:highlight w:val="none"/>
        </w:rPr>
      </w:pPr>
      <w:r>
        <w:rPr>
          <w:rFonts w:hint="eastAsia" w:ascii="宋体" w:hAnsi="宋体" w:cs="宋体"/>
          <w:color w:val="auto"/>
          <w:sz w:val="24"/>
          <w:highlight w:val="none"/>
        </w:rPr>
        <w:t>身份证号码：</w:t>
      </w:r>
      <w:r>
        <w:rPr>
          <w:rFonts w:hint="eastAsia" w:ascii="宋体" w:hAnsi="宋体" w:cs="宋体"/>
          <w:color w:val="auto"/>
          <w:sz w:val="24"/>
          <w:highlight w:val="none"/>
          <w:u w:val="single"/>
        </w:rPr>
        <w:t xml:space="preserve">                                 </w:t>
      </w:r>
    </w:p>
    <w:p w14:paraId="32E8E014">
      <w:pPr>
        <w:keepNext/>
        <w:keepLines/>
        <w:spacing w:line="360" w:lineRule="auto"/>
        <w:ind w:left="540"/>
        <w:rPr>
          <w:rFonts w:ascii="宋体" w:hAnsi="宋体" w:cs="宋体"/>
          <w:color w:val="auto"/>
          <w:sz w:val="24"/>
          <w:highlight w:val="none"/>
        </w:rPr>
      </w:pPr>
      <w:r>
        <w:rPr>
          <w:rFonts w:hint="eastAsia" w:ascii="宋体" w:hAnsi="宋体" w:cs="宋体"/>
          <w:color w:val="auto"/>
          <w:sz w:val="24"/>
          <w:highlight w:val="none"/>
        </w:rPr>
        <w:t>系</w:t>
      </w:r>
      <w:r>
        <w:rPr>
          <w:rFonts w:hint="eastAsia" w:ascii="宋体" w:hAnsi="宋体" w:cs="宋体"/>
          <w:color w:val="auto"/>
          <w:sz w:val="24"/>
          <w:highlight w:val="none"/>
          <w:u w:val="single"/>
        </w:rPr>
        <w:t xml:space="preserve">            （投标人名称）              </w:t>
      </w:r>
      <w:r>
        <w:rPr>
          <w:rFonts w:hint="eastAsia" w:ascii="宋体" w:hAnsi="宋体" w:cs="宋体"/>
          <w:color w:val="auto"/>
          <w:sz w:val="24"/>
          <w:highlight w:val="none"/>
        </w:rPr>
        <w:t>的法定代表人。</w:t>
      </w:r>
    </w:p>
    <w:p w14:paraId="15F9EABE">
      <w:pPr>
        <w:keepNext/>
        <w:keepLines/>
        <w:spacing w:line="360" w:lineRule="auto"/>
        <w:ind w:left="540"/>
        <w:rPr>
          <w:rFonts w:ascii="宋体" w:hAnsi="宋体" w:cs="宋体"/>
          <w:color w:val="auto"/>
          <w:sz w:val="24"/>
          <w:highlight w:val="none"/>
        </w:rPr>
      </w:pPr>
      <w:r>
        <w:rPr>
          <w:rFonts w:hint="eastAsia" w:ascii="宋体" w:hAnsi="宋体" w:cs="宋体"/>
          <w:color w:val="auto"/>
          <w:sz w:val="24"/>
          <w:highlight w:val="none"/>
        </w:rPr>
        <w:t>特此证明。</w:t>
      </w:r>
    </w:p>
    <w:p w14:paraId="00DBBAA6">
      <w:pPr>
        <w:keepNext/>
        <w:keepLines/>
        <w:spacing w:line="360" w:lineRule="auto"/>
        <w:ind w:left="540"/>
        <w:rPr>
          <w:rFonts w:ascii="宋体" w:hAnsi="宋体" w:cs="宋体"/>
          <w:color w:val="auto"/>
          <w:sz w:val="24"/>
          <w:highlight w:val="none"/>
        </w:rPr>
      </w:pPr>
    </w:p>
    <w:p w14:paraId="59F558DF">
      <w:pPr>
        <w:keepNext/>
        <w:keepLines/>
        <w:spacing w:line="360" w:lineRule="auto"/>
        <w:ind w:left="540"/>
        <w:rPr>
          <w:rFonts w:ascii="宋体" w:hAnsi="宋体" w:cs="宋体"/>
          <w:color w:val="auto"/>
          <w:sz w:val="24"/>
          <w:highlight w:val="none"/>
        </w:rPr>
      </w:pPr>
    </w:p>
    <w:p w14:paraId="58EEEC94">
      <w:pPr>
        <w:keepNext/>
        <w:keepLines/>
        <w:spacing w:line="360" w:lineRule="auto"/>
        <w:ind w:left="540"/>
        <w:rPr>
          <w:rFonts w:ascii="宋体" w:hAnsi="宋体" w:cs="宋体"/>
          <w:color w:val="auto"/>
          <w:sz w:val="24"/>
          <w:highlight w:val="none"/>
        </w:rPr>
      </w:pPr>
      <w:r>
        <w:rPr>
          <w:rFonts w:hint="eastAsia" w:ascii="宋体" w:hAnsi="宋体" w:cs="宋体"/>
          <w:color w:val="auto"/>
          <w:sz w:val="24"/>
          <w:highlight w:val="none"/>
        </w:rPr>
        <w:t>附件：法定代表人有效身份证正反面复印件</w:t>
      </w:r>
    </w:p>
    <w:p w14:paraId="70466FDA">
      <w:pPr>
        <w:keepNext/>
        <w:keepLines/>
        <w:spacing w:line="360" w:lineRule="auto"/>
        <w:ind w:left="540"/>
        <w:rPr>
          <w:rFonts w:ascii="宋体" w:hAnsi="宋体" w:cs="宋体"/>
          <w:color w:val="auto"/>
          <w:sz w:val="24"/>
          <w:highlight w:val="none"/>
        </w:rPr>
      </w:pPr>
    </w:p>
    <w:p w14:paraId="6D80EEAB">
      <w:pPr>
        <w:keepNext/>
        <w:keepLines/>
        <w:snapToGrid w:val="0"/>
        <w:spacing w:line="360" w:lineRule="auto"/>
        <w:ind w:firstLine="4935" w:firstLineChars="2350"/>
        <w:rPr>
          <w:rFonts w:ascii="宋体" w:hAnsi="宋体" w:cs="宋体"/>
          <w:color w:val="auto"/>
          <w:kern w:val="0"/>
          <w:sz w:val="24"/>
          <w:highlight w:val="none"/>
        </w:rPr>
      </w:pPr>
      <w:r>
        <w:rPr>
          <w:rFonts w:hint="eastAsia" w:ascii="宋体" w:hAnsi="宋体" w:cs="宋体"/>
          <w:color w:val="auto"/>
          <w:szCs w:val="21"/>
          <w:highlight w:val="none"/>
        </w:rPr>
        <w:t xml:space="preserve">  </w:t>
      </w:r>
      <w:r>
        <w:rPr>
          <w:rFonts w:hint="eastAsia" w:ascii="宋体" w:hAnsi="宋体" w:cs="宋体"/>
          <w:color w:val="auto"/>
          <w:kern w:val="0"/>
          <w:sz w:val="24"/>
          <w:highlight w:val="none"/>
          <w:lang w:val="zh-CN"/>
        </w:rPr>
        <w:t>投标人名称（电子签章）：</w:t>
      </w:r>
    </w:p>
    <w:p w14:paraId="1198FD7F">
      <w:pPr>
        <w:keepNext/>
        <w:keepLines/>
        <w:snapToGrid w:val="0"/>
        <w:spacing w:line="360" w:lineRule="auto"/>
        <w:ind w:firstLine="5160" w:firstLineChars="215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6F97AABE">
      <w:pPr>
        <w:keepNext/>
        <w:keepLines/>
        <w:snapToGrid w:val="0"/>
        <w:spacing w:before="120" w:beforeLines="50" w:after="50" w:line="360" w:lineRule="auto"/>
        <w:jc w:val="center"/>
        <w:rPr>
          <w:rFonts w:ascii="宋体" w:hAnsi="宋体" w:cs="宋体"/>
          <w:b/>
          <w:color w:val="auto"/>
          <w:sz w:val="24"/>
          <w:highlight w:val="none"/>
        </w:rPr>
      </w:pPr>
    </w:p>
    <w:p w14:paraId="73F32541">
      <w:pPr>
        <w:keepNext/>
        <w:keepLines/>
        <w:snapToGrid w:val="0"/>
        <w:spacing w:before="120" w:beforeLines="50" w:after="50" w:line="360" w:lineRule="auto"/>
        <w:ind w:firstLine="600" w:firstLineChars="250"/>
        <w:jc w:val="left"/>
        <w:rPr>
          <w:rFonts w:ascii="仿宋" w:hAnsi="仿宋" w:eastAsia="仿宋" w:cs="仿宋"/>
          <w:color w:val="auto"/>
          <w:sz w:val="24"/>
          <w:highlight w:val="none"/>
        </w:rPr>
      </w:pPr>
      <w:r>
        <w:rPr>
          <w:rFonts w:hint="eastAsia" w:ascii="仿宋" w:hAnsi="仿宋" w:eastAsia="仿宋" w:cs="仿宋"/>
          <w:color w:val="auto"/>
          <w:sz w:val="24"/>
          <w:highlight w:val="none"/>
        </w:rPr>
        <w:t>注：自然人投标的无需提供</w:t>
      </w:r>
    </w:p>
    <w:p w14:paraId="02C6B5EB">
      <w:pPr>
        <w:keepNext/>
        <w:keepLines/>
        <w:snapToGrid w:val="0"/>
        <w:spacing w:before="120" w:beforeLines="50" w:after="50" w:line="360" w:lineRule="auto"/>
        <w:ind w:firstLine="600" w:firstLineChars="250"/>
        <w:jc w:val="left"/>
        <w:rPr>
          <w:rFonts w:ascii="宋体" w:hAnsi="宋体" w:cs="宋体"/>
          <w:color w:val="auto"/>
          <w:sz w:val="24"/>
          <w:highlight w:val="none"/>
        </w:rPr>
      </w:pPr>
    </w:p>
    <w:p w14:paraId="54BD1984">
      <w:pPr>
        <w:keepNext/>
        <w:keepLines/>
        <w:snapToGrid w:val="0"/>
        <w:spacing w:before="120" w:beforeLines="50" w:after="50" w:line="360" w:lineRule="auto"/>
        <w:ind w:firstLine="602" w:firstLineChars="250"/>
        <w:jc w:val="left"/>
        <w:rPr>
          <w:rFonts w:ascii="宋体" w:hAnsi="宋体" w:cs="宋体"/>
          <w:b/>
          <w:color w:val="auto"/>
          <w:sz w:val="24"/>
          <w:szCs w:val="20"/>
          <w:highlight w:val="none"/>
        </w:rPr>
      </w:pPr>
    </w:p>
    <w:p w14:paraId="0FE06B34">
      <w:pPr>
        <w:pStyle w:val="16"/>
        <w:keepNext/>
        <w:keepLines/>
        <w:snapToGrid w:val="0"/>
        <w:spacing w:before="295" w:after="240" w:line="360" w:lineRule="auto"/>
        <w:ind w:firstLine="482"/>
        <w:jc w:val="center"/>
        <w:rPr>
          <w:rFonts w:cs="宋体"/>
          <w:b/>
          <w:color w:val="auto"/>
          <w:sz w:val="24"/>
          <w:highlight w:val="none"/>
        </w:rPr>
        <w:sectPr>
          <w:footerReference r:id="rId14" w:type="first"/>
          <w:footerReference r:id="rId12" w:type="default"/>
          <w:footerReference r:id="rId13" w:type="even"/>
          <w:pgSz w:w="11906" w:h="16838"/>
          <w:pgMar w:top="1440" w:right="1080" w:bottom="1440" w:left="1080" w:header="851" w:footer="992" w:gutter="0"/>
          <w:pgBorders>
            <w:top w:val="none" w:sz="0" w:space="0"/>
            <w:left w:val="none" w:sz="0" w:space="0"/>
            <w:bottom w:val="none" w:sz="0" w:space="0"/>
            <w:right w:val="none" w:sz="0" w:space="0"/>
          </w:pgBorders>
          <w:cols w:space="720" w:num="1"/>
          <w:docGrid w:linePitch="312" w:charSpace="0"/>
        </w:sectPr>
      </w:pPr>
    </w:p>
    <w:p w14:paraId="1E49FFED">
      <w:pPr>
        <w:pStyle w:val="16"/>
        <w:keepNext/>
        <w:keepLines/>
        <w:snapToGrid w:val="0"/>
        <w:spacing w:before="295" w:after="240" w:line="360" w:lineRule="auto"/>
        <w:jc w:val="left"/>
        <w:rPr>
          <w:rFonts w:cs="宋体"/>
          <w:b/>
          <w:color w:val="auto"/>
          <w:sz w:val="24"/>
          <w:highlight w:val="none"/>
        </w:rPr>
      </w:pPr>
      <w:r>
        <w:rPr>
          <w:rFonts w:hint="eastAsia" w:cs="宋体"/>
          <w:b/>
          <w:color w:val="auto"/>
          <w:sz w:val="24"/>
          <w:highlight w:val="none"/>
        </w:rPr>
        <w:t>附件：</w:t>
      </w:r>
    </w:p>
    <w:tbl>
      <w:tblPr>
        <w:tblStyle w:val="30"/>
        <w:tblW w:w="84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1"/>
      </w:tblGrid>
      <w:tr w14:paraId="7238C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5" w:hRule="atLeast"/>
          <w:jc w:val="center"/>
        </w:trPr>
        <w:tc>
          <w:tcPr>
            <w:tcW w:w="8461" w:type="dxa"/>
          </w:tcPr>
          <w:p w14:paraId="494A63CC">
            <w:pPr>
              <w:keepNext/>
              <w:keepLines/>
              <w:spacing w:line="360" w:lineRule="auto"/>
              <w:rPr>
                <w:rFonts w:ascii="宋体" w:hAnsi="宋体" w:cs="宋体"/>
                <w:b/>
                <w:color w:val="auto"/>
                <w:sz w:val="24"/>
                <w:highlight w:val="none"/>
              </w:rPr>
            </w:pPr>
          </w:p>
          <w:p w14:paraId="1438A011">
            <w:pPr>
              <w:keepNext/>
              <w:keepLines/>
              <w:spacing w:line="360" w:lineRule="auto"/>
              <w:rPr>
                <w:rFonts w:ascii="宋体" w:hAnsi="宋体" w:cs="宋体"/>
                <w:b/>
                <w:color w:val="auto"/>
                <w:sz w:val="24"/>
                <w:highlight w:val="none"/>
              </w:rPr>
            </w:pPr>
            <w:r>
              <w:rPr>
                <w:rFonts w:hint="eastAsia" w:ascii="宋体" w:hAnsi="宋体" w:cs="宋体"/>
                <w:b/>
                <w:color w:val="auto"/>
                <w:sz w:val="24"/>
                <w:highlight w:val="none"/>
              </w:rPr>
              <w:t>法定代表人身份证复印件粘贴处（正、反面）</w:t>
            </w:r>
          </w:p>
        </w:tc>
      </w:tr>
    </w:tbl>
    <w:p w14:paraId="3B7DEBD9">
      <w:pPr>
        <w:keepNext/>
        <w:keepLines/>
        <w:spacing w:line="360" w:lineRule="auto"/>
        <w:outlineLvl w:val="2"/>
        <w:rPr>
          <w:rFonts w:ascii="宋体" w:hAnsi="宋体" w:cs="宋体"/>
          <w:b/>
          <w:color w:val="auto"/>
          <w:sz w:val="30"/>
          <w:szCs w:val="30"/>
          <w:highlight w:val="none"/>
        </w:rPr>
      </w:pPr>
      <w:r>
        <w:rPr>
          <w:rFonts w:hint="eastAsia" w:cs="宋体"/>
          <w:b/>
          <w:color w:val="auto"/>
          <w:sz w:val="24"/>
          <w:highlight w:val="none"/>
        </w:rPr>
        <w:br w:type="page"/>
      </w:r>
      <w:bookmarkStart w:id="211" w:name="_Toc177716563"/>
      <w:r>
        <w:rPr>
          <w:rFonts w:hint="eastAsia" w:ascii="宋体" w:hAnsi="宋体" w:cs="宋体"/>
          <w:b/>
          <w:color w:val="auto"/>
          <w:sz w:val="30"/>
          <w:szCs w:val="30"/>
          <w:highlight w:val="none"/>
        </w:rPr>
        <w:t>三、法定代表人授权委托书</w:t>
      </w:r>
      <w:bookmarkEnd w:id="211"/>
    </w:p>
    <w:p w14:paraId="1C305439">
      <w:pPr>
        <w:keepNext/>
        <w:keepLines/>
        <w:spacing w:line="360" w:lineRule="auto"/>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法定</w:t>
      </w:r>
      <w:r>
        <w:rPr>
          <w:rFonts w:hint="eastAsia"/>
          <w:b/>
          <w:bCs/>
          <w:color w:val="auto"/>
          <w:sz w:val="32"/>
          <w:szCs w:val="40"/>
          <w:highlight w:val="none"/>
        </w:rPr>
        <w:t>代表人</w:t>
      </w:r>
      <w:r>
        <w:rPr>
          <w:rFonts w:hint="eastAsia" w:ascii="宋体" w:hAnsi="宋体" w:cs="宋体"/>
          <w:b/>
          <w:color w:val="auto"/>
          <w:kern w:val="0"/>
          <w:sz w:val="32"/>
          <w:szCs w:val="32"/>
          <w:highlight w:val="none"/>
        </w:rPr>
        <w:t>授权委托书</w:t>
      </w:r>
    </w:p>
    <w:p w14:paraId="034259ED">
      <w:pPr>
        <w:pStyle w:val="16"/>
        <w:keepNext/>
        <w:keepLines/>
        <w:spacing w:line="360" w:lineRule="auto"/>
        <w:rPr>
          <w:rFonts w:cs="宋体"/>
          <w:color w:val="auto"/>
          <w:highlight w:val="none"/>
        </w:rPr>
      </w:pPr>
      <w:r>
        <w:rPr>
          <w:rFonts w:hint="eastAsia" w:cs="宋体"/>
          <w:color w:val="auto"/>
          <w:highlight w:val="none"/>
        </w:rPr>
        <w:t>致：</w:t>
      </w:r>
      <w:r>
        <w:rPr>
          <w:rFonts w:hint="eastAsia" w:cs="宋体"/>
          <w:color w:val="auto"/>
          <w:highlight w:val="none"/>
          <w:u w:val="single"/>
        </w:rPr>
        <w:t>广西壮族自治区公安厅：</w:t>
      </w:r>
    </w:p>
    <w:p w14:paraId="61373CFC">
      <w:pPr>
        <w:keepNext/>
        <w:keepLines/>
        <w:spacing w:line="360" w:lineRule="auto"/>
        <w:ind w:firstLine="495" w:firstLineChars="236"/>
        <w:contextualSpacing/>
        <w:rPr>
          <w:rFonts w:ascii="宋体" w:hAnsi="宋体"/>
          <w:color w:val="auto"/>
          <w:szCs w:val="21"/>
          <w:highlight w:val="none"/>
        </w:rPr>
      </w:pPr>
      <w:r>
        <w:rPr>
          <w:rFonts w:hint="eastAsia" w:ascii="宋体" w:hAnsi="宋体"/>
          <w:color w:val="auto"/>
          <w:szCs w:val="21"/>
          <w:highlight w:val="none"/>
        </w:rPr>
        <w:t>我</w:t>
      </w:r>
      <w:r>
        <w:rPr>
          <w:rFonts w:hint="eastAsia" w:ascii="宋体" w:hAnsi="宋体"/>
          <w:color w:val="auto"/>
          <w:szCs w:val="21"/>
          <w:highlight w:val="none"/>
          <w:u w:val="single"/>
        </w:rPr>
        <w:t xml:space="preserve">       </w:t>
      </w:r>
      <w:r>
        <w:rPr>
          <w:rFonts w:hint="eastAsia" w:ascii="宋体" w:hAnsi="宋体"/>
          <w:color w:val="auto"/>
          <w:szCs w:val="21"/>
          <w:highlight w:val="none"/>
        </w:rPr>
        <w:t>（姓名）系</w:t>
      </w:r>
      <w:r>
        <w:rPr>
          <w:rFonts w:hint="eastAsia" w:ascii="宋体" w:hAnsi="宋体"/>
          <w:color w:val="auto"/>
          <w:szCs w:val="21"/>
          <w:highlight w:val="none"/>
          <w:u w:val="single"/>
        </w:rPr>
        <w:t xml:space="preserve">      </w:t>
      </w:r>
      <w:r>
        <w:rPr>
          <w:rFonts w:hint="eastAsia" w:ascii="宋体" w:hAnsi="宋体"/>
          <w:color w:val="auto"/>
          <w:szCs w:val="21"/>
          <w:highlight w:val="none"/>
        </w:rPr>
        <w:t>（投标人名称）的法定代表人，现授权委托</w:t>
      </w:r>
      <w:r>
        <w:rPr>
          <w:rFonts w:hint="eastAsia" w:ascii="宋体" w:hAnsi="宋体"/>
          <w:color w:val="auto"/>
          <w:szCs w:val="21"/>
          <w:highlight w:val="none"/>
          <w:u w:val="single"/>
        </w:rPr>
        <w:t xml:space="preserve">              （姓名）</w:t>
      </w:r>
      <w:r>
        <w:rPr>
          <w:rFonts w:hint="eastAsia" w:ascii="宋体" w:hAnsi="宋体"/>
          <w:color w:val="auto"/>
          <w:szCs w:val="21"/>
          <w:highlight w:val="none"/>
        </w:rPr>
        <w:t>以我方的名义参加</w:t>
      </w:r>
      <w:r>
        <w:rPr>
          <w:rFonts w:hint="eastAsia" w:ascii="宋体" w:hAnsi="宋体"/>
          <w:color w:val="auto"/>
          <w:szCs w:val="21"/>
          <w:highlight w:val="none"/>
          <w:u w:val="single"/>
        </w:rPr>
        <w:t xml:space="preserve">              </w:t>
      </w:r>
      <w:r>
        <w:rPr>
          <w:rFonts w:hint="eastAsia" w:ascii="宋体" w:hAnsi="宋体"/>
          <w:color w:val="auto"/>
          <w:szCs w:val="21"/>
          <w:highlight w:val="none"/>
        </w:rPr>
        <w:t>项目的投标活动，并代表我方全权办理针对上述项目的所有采购程序和环节的具体事务和签署相关文件。</w:t>
      </w:r>
    </w:p>
    <w:p w14:paraId="3FB84CA6">
      <w:pPr>
        <w:keepNext/>
        <w:keepLines/>
        <w:spacing w:line="360" w:lineRule="auto"/>
        <w:contextualSpacing/>
        <w:rPr>
          <w:rFonts w:ascii="宋体" w:hAnsi="宋体"/>
          <w:color w:val="auto"/>
          <w:szCs w:val="21"/>
          <w:highlight w:val="none"/>
        </w:rPr>
      </w:pPr>
      <w:r>
        <w:rPr>
          <w:rFonts w:hint="eastAsia" w:ascii="宋体" w:hAnsi="宋体"/>
          <w:color w:val="auto"/>
          <w:szCs w:val="21"/>
          <w:highlight w:val="none"/>
        </w:rPr>
        <w:t xml:space="preserve">    我方对委托代理人的签字或者电子签名事项负全部责任。</w:t>
      </w:r>
    </w:p>
    <w:p w14:paraId="65A292CD">
      <w:pPr>
        <w:keepNext/>
        <w:keepLines/>
        <w:spacing w:line="360" w:lineRule="auto"/>
        <w:ind w:firstLine="480"/>
        <w:contextualSpacing/>
        <w:rPr>
          <w:rFonts w:ascii="宋体" w:hAnsi="宋体"/>
          <w:color w:val="auto"/>
          <w:szCs w:val="21"/>
          <w:highlight w:val="none"/>
        </w:rPr>
      </w:pPr>
      <w:r>
        <w:rPr>
          <w:rFonts w:hint="eastAsia" w:ascii="宋体" w:hAnsi="宋体"/>
          <w:color w:val="auto"/>
          <w:szCs w:val="21"/>
          <w:highlight w:val="none"/>
          <w:u w:val="single"/>
        </w:rPr>
        <w:t>本授权书自签署之日起生效，在撤销授权的书面通知以前，本授权书一直有效。委托代理人在授权书有效期内签署的所有文件不因授权的撤销而失效。</w:t>
      </w:r>
    </w:p>
    <w:p w14:paraId="6BE53384">
      <w:pPr>
        <w:keepNext/>
        <w:keepLines/>
        <w:spacing w:line="360" w:lineRule="auto"/>
        <w:ind w:firstLine="480"/>
        <w:contextualSpacing/>
        <w:rPr>
          <w:rFonts w:ascii="宋体" w:hAnsi="宋体"/>
          <w:color w:val="auto"/>
          <w:szCs w:val="21"/>
          <w:highlight w:val="none"/>
        </w:rPr>
      </w:pPr>
      <w:r>
        <w:rPr>
          <w:rFonts w:hint="eastAsia" w:ascii="宋体" w:hAnsi="宋体"/>
          <w:color w:val="auto"/>
          <w:szCs w:val="21"/>
          <w:highlight w:val="none"/>
        </w:rPr>
        <w:t>委托代理人无转委托权，特此委托。</w:t>
      </w:r>
    </w:p>
    <w:p w14:paraId="5D6831E6">
      <w:pPr>
        <w:pStyle w:val="16"/>
        <w:keepNext/>
        <w:keepLines/>
        <w:spacing w:line="360" w:lineRule="auto"/>
        <w:ind w:firstLine="420"/>
        <w:rPr>
          <w:rFonts w:cs="宋体"/>
          <w:color w:val="auto"/>
          <w:highlight w:val="none"/>
        </w:rPr>
      </w:pPr>
    </w:p>
    <w:p w14:paraId="7ACEBEE7">
      <w:pPr>
        <w:pStyle w:val="16"/>
        <w:keepNext/>
        <w:keepLines/>
        <w:spacing w:line="360" w:lineRule="auto"/>
        <w:ind w:firstLine="420"/>
        <w:rPr>
          <w:rFonts w:cs="宋体"/>
          <w:color w:val="auto"/>
          <w:highlight w:val="none"/>
        </w:rPr>
      </w:pPr>
      <w:r>
        <w:rPr>
          <w:rFonts w:hint="eastAsia" w:cs="宋体"/>
          <w:color w:val="auto"/>
          <w:highlight w:val="none"/>
        </w:rPr>
        <w:t>附件：</w:t>
      </w:r>
      <w:r>
        <w:rPr>
          <w:rFonts w:hint="eastAsia" w:cs="宋体"/>
          <w:color w:val="auto"/>
          <w:szCs w:val="21"/>
          <w:highlight w:val="none"/>
        </w:rPr>
        <w:t>委托代理人有效身份证正反面复印件</w:t>
      </w:r>
    </w:p>
    <w:p w14:paraId="5E88F773">
      <w:pPr>
        <w:pStyle w:val="16"/>
        <w:keepNext/>
        <w:keepLines/>
        <w:spacing w:line="360" w:lineRule="auto"/>
        <w:ind w:firstLine="420"/>
        <w:rPr>
          <w:rFonts w:cs="宋体"/>
          <w:color w:val="auto"/>
          <w:highlight w:val="none"/>
        </w:rPr>
      </w:pPr>
    </w:p>
    <w:p w14:paraId="722DD58C">
      <w:pPr>
        <w:pStyle w:val="16"/>
        <w:keepNext/>
        <w:keepLines/>
        <w:spacing w:line="360" w:lineRule="auto"/>
        <w:ind w:firstLine="420"/>
        <w:rPr>
          <w:rFonts w:cs="宋体"/>
          <w:color w:val="auto"/>
          <w:highlight w:val="none"/>
          <w:u w:val="single"/>
        </w:rPr>
      </w:pPr>
      <w:r>
        <w:rPr>
          <w:rFonts w:hint="eastAsia" w:cs="宋体"/>
          <w:color w:val="auto"/>
          <w:highlight w:val="none"/>
        </w:rPr>
        <w:t>投标人名称（电子签章）：</w:t>
      </w:r>
      <w:r>
        <w:rPr>
          <w:rFonts w:hint="eastAsia" w:cs="宋体"/>
          <w:color w:val="auto"/>
          <w:highlight w:val="none"/>
          <w:u w:val="single"/>
        </w:rPr>
        <w:t xml:space="preserve">                                      </w:t>
      </w:r>
    </w:p>
    <w:p w14:paraId="5ED3DB99">
      <w:pPr>
        <w:pStyle w:val="16"/>
        <w:keepNext/>
        <w:keepLines/>
        <w:spacing w:line="360" w:lineRule="auto"/>
        <w:ind w:firstLine="420"/>
        <w:rPr>
          <w:rFonts w:cs="宋体"/>
          <w:color w:val="auto"/>
          <w:highlight w:val="none"/>
          <w:u w:val="single"/>
        </w:rPr>
      </w:pPr>
      <w:r>
        <w:rPr>
          <w:rFonts w:hint="eastAsia" w:cs="宋体"/>
          <w:color w:val="auto"/>
          <w:highlight w:val="none"/>
        </w:rPr>
        <w:t>法定代表人（签字或者盖章或者电子签名）：</w:t>
      </w:r>
      <w:r>
        <w:rPr>
          <w:rFonts w:hint="eastAsia" w:cs="宋体"/>
          <w:color w:val="auto"/>
          <w:highlight w:val="none"/>
          <w:u w:val="single"/>
        </w:rPr>
        <w:t xml:space="preserve">                      </w:t>
      </w:r>
    </w:p>
    <w:p w14:paraId="72D6708A">
      <w:pPr>
        <w:pStyle w:val="16"/>
        <w:keepNext/>
        <w:keepLines/>
        <w:spacing w:line="360" w:lineRule="auto"/>
        <w:ind w:firstLine="420"/>
        <w:rPr>
          <w:rFonts w:cs="宋体"/>
          <w:color w:val="auto"/>
          <w:highlight w:val="none"/>
          <w:u w:val="single"/>
        </w:rPr>
      </w:pPr>
      <w:r>
        <w:rPr>
          <w:rFonts w:hint="eastAsia" w:cs="宋体"/>
          <w:color w:val="auto"/>
          <w:highlight w:val="none"/>
        </w:rPr>
        <w:t>法定代表人身份证号码：</w:t>
      </w:r>
      <w:r>
        <w:rPr>
          <w:rFonts w:hint="eastAsia" w:cs="宋体"/>
          <w:color w:val="auto"/>
          <w:highlight w:val="none"/>
          <w:u w:val="single"/>
        </w:rPr>
        <w:t xml:space="preserve">                                        </w:t>
      </w:r>
    </w:p>
    <w:p w14:paraId="7E8773EB">
      <w:pPr>
        <w:pStyle w:val="16"/>
        <w:keepNext/>
        <w:keepLines/>
        <w:spacing w:line="360" w:lineRule="auto"/>
        <w:ind w:firstLine="420" w:firstLineChars="200"/>
        <w:rPr>
          <w:rFonts w:cs="宋体"/>
          <w:color w:val="auto"/>
          <w:highlight w:val="none"/>
        </w:rPr>
      </w:pPr>
      <w:r>
        <w:rPr>
          <w:rFonts w:hint="eastAsia" w:cs="宋体"/>
          <w:color w:val="auto"/>
          <w:highlight w:val="none"/>
        </w:rPr>
        <w:t>委托代理人（签字或者电子签名）：</w:t>
      </w:r>
      <w:r>
        <w:rPr>
          <w:rFonts w:hint="eastAsia" w:cs="宋体"/>
          <w:color w:val="auto"/>
          <w:highlight w:val="none"/>
          <w:u w:val="single"/>
        </w:rPr>
        <w:t xml:space="preserve">                             </w:t>
      </w:r>
    </w:p>
    <w:p w14:paraId="17FD22A6">
      <w:pPr>
        <w:pStyle w:val="16"/>
        <w:keepNext/>
        <w:keepLines/>
        <w:spacing w:line="360" w:lineRule="auto"/>
        <w:ind w:firstLine="420"/>
        <w:rPr>
          <w:rFonts w:cs="宋体"/>
          <w:color w:val="auto"/>
          <w:highlight w:val="none"/>
          <w:u w:val="single"/>
        </w:rPr>
      </w:pPr>
      <w:r>
        <w:rPr>
          <w:rFonts w:hint="eastAsia" w:cs="宋体"/>
          <w:color w:val="auto"/>
          <w:highlight w:val="none"/>
        </w:rPr>
        <w:t>委托代理人身份证号码：</w:t>
      </w:r>
      <w:r>
        <w:rPr>
          <w:rFonts w:hint="eastAsia" w:cs="宋体"/>
          <w:color w:val="auto"/>
          <w:highlight w:val="none"/>
          <w:u w:val="single"/>
        </w:rPr>
        <w:t xml:space="preserve">                                      </w:t>
      </w:r>
    </w:p>
    <w:p w14:paraId="370A0AAA">
      <w:pPr>
        <w:keepNext/>
        <w:keepLines/>
        <w:spacing w:line="360" w:lineRule="auto"/>
        <w:rPr>
          <w:rFonts w:ascii="宋体" w:hAnsi="宋体" w:cs="宋体"/>
          <w:color w:val="auto"/>
          <w:szCs w:val="21"/>
          <w:highlight w:val="none"/>
        </w:rPr>
      </w:pPr>
    </w:p>
    <w:p w14:paraId="60B462EC">
      <w:pPr>
        <w:keepNext/>
        <w:keepLines/>
        <w:spacing w:line="360" w:lineRule="auto"/>
        <w:rPr>
          <w:rFonts w:ascii="宋体" w:hAnsi="宋体" w:cs="宋体"/>
          <w:color w:val="auto"/>
          <w:szCs w:val="21"/>
          <w:highlight w:val="none"/>
        </w:rPr>
      </w:pPr>
    </w:p>
    <w:p w14:paraId="0E83E09E">
      <w:pPr>
        <w:keepNext/>
        <w:keepLines/>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注：</w:t>
      </w:r>
    </w:p>
    <w:p w14:paraId="5F070761">
      <w:pPr>
        <w:keepNext/>
        <w:keepLines/>
        <w:spacing w:line="360" w:lineRule="auto"/>
        <w:ind w:firstLine="420" w:firstLineChars="200"/>
        <w:contextualSpacing/>
        <w:rPr>
          <w:rFonts w:ascii="仿宋" w:hAnsi="仿宋" w:eastAsia="仿宋" w:cs="仿宋"/>
          <w:color w:val="auto"/>
          <w:szCs w:val="21"/>
          <w:highlight w:val="none"/>
        </w:rPr>
      </w:pPr>
      <w:r>
        <w:rPr>
          <w:rFonts w:hint="eastAsia" w:ascii="仿宋" w:hAnsi="仿宋" w:eastAsia="仿宋" w:cs="仿宋"/>
          <w:color w:val="auto"/>
          <w:szCs w:val="21"/>
          <w:highlight w:val="none"/>
        </w:rPr>
        <w:t>1.</w:t>
      </w:r>
      <w:bookmarkStart w:id="212" w:name="_Hlk65851555"/>
      <w:bookmarkStart w:id="213" w:name="_Hlk65851620"/>
      <w:r>
        <w:rPr>
          <w:rFonts w:hint="eastAsia" w:ascii="仿宋" w:hAnsi="仿宋" w:eastAsia="仿宋" w:cs="仿宋"/>
          <w:color w:val="auto"/>
          <w:szCs w:val="21"/>
          <w:highlight w:val="none"/>
        </w:rPr>
        <w:t>法定代表人必须在授权委托书上签字或者盖章或者电子签名，</w:t>
      </w:r>
      <w:bookmarkEnd w:id="212"/>
      <w:r>
        <w:rPr>
          <w:rFonts w:hint="eastAsia" w:ascii="仿宋" w:hAnsi="仿宋" w:eastAsia="仿宋" w:cs="仿宋"/>
          <w:color w:val="auto"/>
          <w:szCs w:val="21"/>
          <w:highlight w:val="none"/>
        </w:rPr>
        <w:t>委托代理人必须在授权委托书上签字或者电子签名，</w:t>
      </w:r>
      <w:r>
        <w:rPr>
          <w:rFonts w:hint="eastAsia" w:ascii="仿宋" w:hAnsi="仿宋" w:eastAsia="仿宋" w:cs="仿宋"/>
          <w:b/>
          <w:bCs/>
          <w:color w:val="auto"/>
          <w:szCs w:val="21"/>
          <w:highlight w:val="none"/>
        </w:rPr>
        <w:t>否则按无效投标处理</w:t>
      </w:r>
      <w:r>
        <w:rPr>
          <w:rFonts w:hint="eastAsia" w:ascii="仿宋" w:hAnsi="仿宋" w:eastAsia="仿宋" w:cs="仿宋"/>
          <w:color w:val="auto"/>
          <w:szCs w:val="21"/>
          <w:highlight w:val="none"/>
        </w:rPr>
        <w:t>；</w:t>
      </w:r>
      <w:bookmarkEnd w:id="213"/>
    </w:p>
    <w:p w14:paraId="5C08183A">
      <w:pPr>
        <w:keepNext/>
        <w:keepLines/>
        <w:spacing w:line="360" w:lineRule="auto"/>
        <w:ind w:firstLine="420" w:firstLineChars="200"/>
        <w:contextualSpacing/>
        <w:jc w:val="left"/>
        <w:rPr>
          <w:rFonts w:ascii="仿宋" w:hAnsi="仿宋" w:eastAsia="仿宋" w:cs="仿宋"/>
          <w:color w:val="auto"/>
          <w:szCs w:val="21"/>
          <w:highlight w:val="none"/>
        </w:rPr>
      </w:pPr>
      <w:r>
        <w:rPr>
          <w:rFonts w:hint="eastAsia" w:ascii="仿宋" w:hAnsi="仿宋" w:eastAsia="仿宋" w:cs="仿宋"/>
          <w:color w:val="auto"/>
          <w:szCs w:val="21"/>
          <w:highlight w:val="none"/>
        </w:rPr>
        <w:t>2.法人、其他组织投标时“我方”是指“我单位”，自然人投标时“我方”是指“本人”。</w:t>
      </w:r>
    </w:p>
    <w:p w14:paraId="447E8420">
      <w:pPr>
        <w:keepNext/>
        <w:keepLines/>
        <w:spacing w:line="360" w:lineRule="auto"/>
        <w:rPr>
          <w:rFonts w:ascii="宋体" w:hAnsi="宋体" w:cs="宋体"/>
          <w:b/>
          <w:color w:val="auto"/>
          <w:szCs w:val="21"/>
          <w:highlight w:val="none"/>
        </w:rPr>
      </w:pPr>
    </w:p>
    <w:p w14:paraId="575A88AD">
      <w:pPr>
        <w:keepNext/>
        <w:keepLines/>
        <w:spacing w:line="360" w:lineRule="auto"/>
        <w:rPr>
          <w:rFonts w:ascii="宋体" w:hAnsi="宋体" w:cs="宋体"/>
          <w:b/>
          <w:color w:val="auto"/>
          <w:sz w:val="24"/>
          <w:highlight w:val="none"/>
        </w:rPr>
        <w:sectPr>
          <w:pgSz w:w="11906" w:h="16838"/>
          <w:pgMar w:top="1440" w:right="1080" w:bottom="1440" w:left="1080" w:header="851" w:footer="992" w:gutter="0"/>
          <w:pgBorders>
            <w:top w:val="none" w:sz="0" w:space="0"/>
            <w:left w:val="none" w:sz="0" w:space="0"/>
            <w:bottom w:val="none" w:sz="0" w:space="0"/>
            <w:right w:val="none" w:sz="0" w:space="0"/>
          </w:pgBorders>
          <w:cols w:space="720" w:num="1"/>
          <w:docGrid w:linePitch="312" w:charSpace="0"/>
        </w:sectPr>
      </w:pPr>
    </w:p>
    <w:p w14:paraId="34400866">
      <w:pPr>
        <w:pStyle w:val="16"/>
        <w:keepNext/>
        <w:keepLines/>
        <w:snapToGrid w:val="0"/>
        <w:spacing w:before="295" w:after="240" w:line="360" w:lineRule="auto"/>
        <w:ind w:firstLine="482"/>
        <w:jc w:val="left"/>
        <w:rPr>
          <w:rFonts w:cs="宋体"/>
          <w:b/>
          <w:color w:val="auto"/>
          <w:sz w:val="24"/>
          <w:highlight w:val="none"/>
        </w:rPr>
      </w:pPr>
      <w:r>
        <w:rPr>
          <w:rFonts w:hint="eastAsia" w:cs="宋体"/>
          <w:b/>
          <w:color w:val="auto"/>
          <w:sz w:val="24"/>
          <w:highlight w:val="none"/>
        </w:rPr>
        <w:t>附件：</w:t>
      </w:r>
    </w:p>
    <w:tbl>
      <w:tblPr>
        <w:tblStyle w:val="30"/>
        <w:tblW w:w="79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5"/>
      </w:tblGrid>
      <w:tr w14:paraId="63903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1" w:hRule="atLeast"/>
          <w:jc w:val="center"/>
        </w:trPr>
        <w:tc>
          <w:tcPr>
            <w:tcW w:w="7985" w:type="dxa"/>
          </w:tcPr>
          <w:p w14:paraId="1AF4516B">
            <w:pPr>
              <w:keepNext/>
              <w:keepLines/>
              <w:spacing w:line="360" w:lineRule="auto"/>
              <w:rPr>
                <w:rFonts w:ascii="宋体" w:hAnsi="宋体" w:cs="宋体"/>
                <w:b/>
                <w:color w:val="auto"/>
                <w:sz w:val="24"/>
                <w:highlight w:val="none"/>
              </w:rPr>
            </w:pPr>
          </w:p>
          <w:p w14:paraId="661BEE09">
            <w:pPr>
              <w:keepNext/>
              <w:keepLines/>
              <w:spacing w:line="360" w:lineRule="auto"/>
              <w:rPr>
                <w:rFonts w:ascii="宋体" w:hAnsi="宋体" w:cs="宋体"/>
                <w:b/>
                <w:color w:val="auto"/>
                <w:sz w:val="24"/>
                <w:highlight w:val="none"/>
              </w:rPr>
            </w:pPr>
            <w:r>
              <w:rPr>
                <w:rFonts w:hint="eastAsia" w:ascii="宋体" w:hAnsi="宋体" w:cs="宋体"/>
                <w:b/>
                <w:color w:val="auto"/>
                <w:sz w:val="24"/>
                <w:highlight w:val="none"/>
              </w:rPr>
              <w:t>委托代理人身份证复印件粘贴处（正、反面）</w:t>
            </w:r>
          </w:p>
        </w:tc>
      </w:tr>
    </w:tbl>
    <w:p w14:paraId="306DB3B9">
      <w:pPr>
        <w:keepNext/>
        <w:keepLines/>
        <w:snapToGrid w:val="0"/>
        <w:spacing w:before="50" w:after="120" w:afterLines="50" w:line="360" w:lineRule="auto"/>
        <w:jc w:val="left"/>
        <w:rPr>
          <w:rFonts w:ascii="宋体" w:hAnsi="宋体" w:cs="宋体"/>
          <w:b/>
          <w:color w:val="auto"/>
          <w:sz w:val="30"/>
          <w:szCs w:val="30"/>
          <w:highlight w:val="none"/>
        </w:rPr>
      </w:pPr>
    </w:p>
    <w:p w14:paraId="5E6A1186">
      <w:pPr>
        <w:keepNext/>
        <w:keepLines/>
        <w:spacing w:line="360" w:lineRule="auto"/>
        <w:outlineLvl w:val="2"/>
        <w:rPr>
          <w:rFonts w:ascii="宋体" w:hAnsi="宋体" w:cs="宋体"/>
          <w:b/>
          <w:color w:val="auto"/>
          <w:sz w:val="30"/>
          <w:szCs w:val="30"/>
          <w:highlight w:val="none"/>
        </w:rPr>
      </w:pPr>
      <w:bookmarkStart w:id="214" w:name="_Toc177716564"/>
      <w:r>
        <w:rPr>
          <w:rFonts w:hint="eastAsia" w:ascii="宋体" w:hAnsi="宋体" w:cs="宋体"/>
          <w:b/>
          <w:color w:val="auto"/>
          <w:sz w:val="30"/>
          <w:szCs w:val="30"/>
          <w:highlight w:val="none"/>
        </w:rPr>
        <w:t>四、商务条款偏离表</w:t>
      </w:r>
      <w:bookmarkEnd w:id="214"/>
    </w:p>
    <w:p w14:paraId="11A55B56">
      <w:pPr>
        <w:keepNext/>
        <w:keepLines/>
        <w:spacing w:line="360" w:lineRule="auto"/>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商务条款偏离表</w:t>
      </w:r>
    </w:p>
    <w:p w14:paraId="1F164786">
      <w:pPr>
        <w:pStyle w:val="16"/>
        <w:keepNext/>
        <w:keepLines/>
        <w:spacing w:line="360" w:lineRule="auto"/>
        <w:ind w:firstLine="420" w:firstLineChars="200"/>
        <w:rPr>
          <w:rFonts w:ascii="仿宋" w:hAnsi="仿宋" w:eastAsia="仿宋" w:cs="仿宋"/>
          <w:color w:val="auto"/>
          <w:highlight w:val="none"/>
        </w:rPr>
      </w:pPr>
      <w:r>
        <w:rPr>
          <w:rFonts w:hint="eastAsia" w:ascii="仿宋" w:hAnsi="仿宋" w:eastAsia="仿宋" w:cs="仿宋"/>
          <w:color w:val="auto"/>
          <w:highlight w:val="none"/>
        </w:rPr>
        <w:t>请逐条对应本项目招标文件“第二章 采购需求”中“商务要求”，详细填写相应的具体内容。“偏离说明”一栏应当选择“正偏离”“负偏离”或“无偏离”进行填写。</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4"/>
        <w:gridCol w:w="3306"/>
        <w:gridCol w:w="3306"/>
        <w:gridCol w:w="1274"/>
      </w:tblGrid>
      <w:tr w14:paraId="5E4C7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594" w:type="dxa"/>
            <w:tcBorders>
              <w:top w:val="single" w:color="auto" w:sz="4" w:space="0"/>
              <w:left w:val="single" w:color="auto" w:sz="4" w:space="0"/>
              <w:bottom w:val="single" w:color="auto" w:sz="4" w:space="0"/>
              <w:right w:val="single" w:color="auto" w:sz="4" w:space="0"/>
            </w:tcBorders>
            <w:shd w:val="clear" w:color="auto" w:fill="D7D7D7"/>
            <w:vAlign w:val="center"/>
          </w:tcPr>
          <w:p w14:paraId="4DDA32F0">
            <w:pPr>
              <w:keepNext/>
              <w:keepLines/>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内容</w:t>
            </w:r>
          </w:p>
        </w:tc>
        <w:tc>
          <w:tcPr>
            <w:tcW w:w="3306" w:type="dxa"/>
            <w:tcBorders>
              <w:top w:val="single" w:color="auto" w:sz="4" w:space="0"/>
              <w:left w:val="single" w:color="auto" w:sz="4" w:space="0"/>
              <w:bottom w:val="single" w:color="auto" w:sz="4" w:space="0"/>
              <w:right w:val="single" w:color="auto" w:sz="4" w:space="0"/>
            </w:tcBorders>
            <w:shd w:val="clear" w:color="auto" w:fill="D7D7D7"/>
            <w:vAlign w:val="center"/>
          </w:tcPr>
          <w:p w14:paraId="6FA3F88B">
            <w:pPr>
              <w:keepNext/>
              <w:keepLines/>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招标文件的商务要求</w:t>
            </w:r>
          </w:p>
        </w:tc>
        <w:tc>
          <w:tcPr>
            <w:tcW w:w="3306" w:type="dxa"/>
            <w:tcBorders>
              <w:top w:val="single" w:color="auto" w:sz="4" w:space="0"/>
              <w:left w:val="single" w:color="auto" w:sz="4" w:space="0"/>
              <w:bottom w:val="single" w:color="auto" w:sz="4" w:space="0"/>
              <w:right w:val="single" w:color="auto" w:sz="4" w:space="0"/>
            </w:tcBorders>
            <w:shd w:val="clear" w:color="auto" w:fill="D7D7D7"/>
            <w:vAlign w:val="center"/>
          </w:tcPr>
          <w:p w14:paraId="61623971">
            <w:pPr>
              <w:keepNext/>
              <w:keepLines/>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投标文件承诺的商务条款</w:t>
            </w:r>
          </w:p>
        </w:tc>
        <w:tc>
          <w:tcPr>
            <w:tcW w:w="1274" w:type="dxa"/>
            <w:tcBorders>
              <w:top w:val="single" w:color="auto" w:sz="4" w:space="0"/>
              <w:left w:val="single" w:color="auto" w:sz="4" w:space="0"/>
              <w:bottom w:val="single" w:color="auto" w:sz="4" w:space="0"/>
              <w:right w:val="single" w:color="auto" w:sz="4" w:space="0"/>
            </w:tcBorders>
            <w:shd w:val="clear" w:color="auto" w:fill="D7D7D7"/>
            <w:vAlign w:val="center"/>
          </w:tcPr>
          <w:p w14:paraId="2689CAD2">
            <w:pPr>
              <w:keepNext/>
              <w:keepLines/>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偏离说明</w:t>
            </w:r>
          </w:p>
        </w:tc>
      </w:tr>
      <w:tr w14:paraId="67E44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4" w:type="dxa"/>
            <w:tcBorders>
              <w:top w:val="single" w:color="auto" w:sz="4" w:space="0"/>
              <w:left w:val="single" w:color="auto" w:sz="4" w:space="0"/>
              <w:bottom w:val="single" w:color="auto" w:sz="4" w:space="0"/>
              <w:right w:val="single" w:color="auto" w:sz="4" w:space="0"/>
            </w:tcBorders>
            <w:vAlign w:val="center"/>
          </w:tcPr>
          <w:p w14:paraId="57CFA286">
            <w:pPr>
              <w:keepNext/>
              <w:keepLines/>
              <w:spacing w:line="360" w:lineRule="auto"/>
              <w:jc w:val="center"/>
              <w:rPr>
                <w:rFonts w:ascii="宋体" w:hAnsi="宋体" w:cs="宋体"/>
                <w:color w:val="auto"/>
                <w:szCs w:val="21"/>
                <w:highlight w:val="none"/>
                <w:lang w:bidi="ar"/>
              </w:rPr>
            </w:pPr>
            <w:r>
              <w:rPr>
                <w:rFonts w:hint="eastAsia" w:ascii="宋体" w:hAnsi="宋体" w:cs="宋体"/>
                <w:color w:val="auto"/>
                <w:szCs w:val="21"/>
                <w:highlight w:val="none"/>
                <w:lang w:bidi="ar"/>
              </w:rPr>
              <w:t>合同签订期</w:t>
            </w:r>
          </w:p>
        </w:tc>
        <w:tc>
          <w:tcPr>
            <w:tcW w:w="3306" w:type="dxa"/>
            <w:tcBorders>
              <w:top w:val="single" w:color="auto" w:sz="4" w:space="0"/>
              <w:left w:val="single" w:color="auto" w:sz="4" w:space="0"/>
              <w:bottom w:val="single" w:color="auto" w:sz="4" w:space="0"/>
              <w:right w:val="single" w:color="auto" w:sz="4" w:space="0"/>
            </w:tcBorders>
            <w:vAlign w:val="center"/>
          </w:tcPr>
          <w:p w14:paraId="6E1B1A0E">
            <w:pPr>
              <w:keepNext/>
              <w:keepLines/>
              <w:spacing w:line="360" w:lineRule="auto"/>
              <w:jc w:val="center"/>
              <w:rPr>
                <w:rFonts w:ascii="宋体" w:hAnsi="宋体" w:cs="宋体"/>
                <w:color w:val="auto"/>
                <w:szCs w:val="21"/>
                <w:highlight w:val="none"/>
              </w:rPr>
            </w:pPr>
            <w:r>
              <w:rPr>
                <w:rFonts w:hint="eastAsia" w:ascii="宋体" w:hAnsi="宋体" w:cs="宋体"/>
                <w:color w:val="auto"/>
                <w:szCs w:val="21"/>
                <w:highlight w:val="none"/>
              </w:rPr>
              <w:t>……</w:t>
            </w:r>
          </w:p>
        </w:tc>
        <w:tc>
          <w:tcPr>
            <w:tcW w:w="3306" w:type="dxa"/>
            <w:tcBorders>
              <w:top w:val="single" w:color="auto" w:sz="4" w:space="0"/>
              <w:left w:val="single" w:color="auto" w:sz="4" w:space="0"/>
              <w:bottom w:val="single" w:color="auto" w:sz="4" w:space="0"/>
              <w:right w:val="single" w:color="auto" w:sz="4" w:space="0"/>
            </w:tcBorders>
            <w:vAlign w:val="center"/>
          </w:tcPr>
          <w:p w14:paraId="126EFA4D">
            <w:pPr>
              <w:keepNext/>
              <w:keepLines/>
              <w:spacing w:line="360" w:lineRule="auto"/>
              <w:jc w:val="center"/>
              <w:rPr>
                <w:rFonts w:ascii="宋体" w:hAnsi="宋体" w:cs="宋体"/>
                <w:color w:val="auto"/>
                <w:szCs w:val="21"/>
                <w:highlight w:val="none"/>
              </w:rPr>
            </w:pPr>
            <w:r>
              <w:rPr>
                <w:rFonts w:hint="eastAsia" w:ascii="宋体" w:hAnsi="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vAlign w:val="center"/>
          </w:tcPr>
          <w:p w14:paraId="3B7E2DDD">
            <w:pPr>
              <w:keepNext/>
              <w:keepLines/>
              <w:spacing w:line="360" w:lineRule="auto"/>
              <w:jc w:val="center"/>
              <w:rPr>
                <w:rFonts w:ascii="宋体" w:hAnsi="宋体" w:cs="宋体"/>
                <w:color w:val="auto"/>
                <w:szCs w:val="21"/>
                <w:highlight w:val="none"/>
              </w:rPr>
            </w:pPr>
            <w:r>
              <w:rPr>
                <w:rFonts w:hint="eastAsia" w:ascii="宋体" w:hAnsi="宋体" w:cs="宋体"/>
                <w:color w:val="auto"/>
                <w:szCs w:val="21"/>
                <w:highlight w:val="none"/>
              </w:rPr>
              <w:t>正偏离（负偏离或无偏离）</w:t>
            </w:r>
          </w:p>
        </w:tc>
      </w:tr>
      <w:tr w14:paraId="2A622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4" w:type="dxa"/>
            <w:tcBorders>
              <w:top w:val="single" w:color="auto" w:sz="4" w:space="0"/>
              <w:left w:val="single" w:color="auto" w:sz="4" w:space="0"/>
              <w:bottom w:val="single" w:color="auto" w:sz="4" w:space="0"/>
              <w:right w:val="single" w:color="auto" w:sz="4" w:space="0"/>
            </w:tcBorders>
            <w:vAlign w:val="center"/>
          </w:tcPr>
          <w:p w14:paraId="22A1BC0B">
            <w:pPr>
              <w:keepNext/>
              <w:keepLines/>
              <w:spacing w:line="360" w:lineRule="auto"/>
              <w:jc w:val="center"/>
              <w:rPr>
                <w:rFonts w:ascii="宋体" w:hAnsi="宋体"/>
                <w:color w:val="auto"/>
                <w:szCs w:val="21"/>
                <w:highlight w:val="none"/>
                <w:lang w:bidi="ar"/>
              </w:rPr>
            </w:pPr>
            <w:r>
              <w:rPr>
                <w:rFonts w:hint="eastAsia" w:ascii="宋体" w:hAnsi="宋体" w:cs="宋体"/>
                <w:color w:val="auto"/>
                <w:szCs w:val="21"/>
                <w:highlight w:val="none"/>
                <w:lang w:bidi="ar"/>
              </w:rPr>
              <w:t>交付时间和地点</w:t>
            </w:r>
          </w:p>
        </w:tc>
        <w:tc>
          <w:tcPr>
            <w:tcW w:w="3306" w:type="dxa"/>
            <w:tcBorders>
              <w:top w:val="single" w:color="auto" w:sz="4" w:space="0"/>
              <w:left w:val="single" w:color="auto" w:sz="4" w:space="0"/>
              <w:bottom w:val="single" w:color="auto" w:sz="4" w:space="0"/>
              <w:right w:val="single" w:color="auto" w:sz="4" w:space="0"/>
            </w:tcBorders>
            <w:vAlign w:val="center"/>
          </w:tcPr>
          <w:p w14:paraId="0AD7ECA2">
            <w:pPr>
              <w:keepNext/>
              <w:keepLines/>
              <w:spacing w:line="360" w:lineRule="auto"/>
              <w:jc w:val="center"/>
              <w:rPr>
                <w:rFonts w:ascii="宋体" w:hAnsi="宋体" w:cs="宋体"/>
                <w:color w:val="auto"/>
                <w:szCs w:val="21"/>
                <w:highlight w:val="none"/>
              </w:rPr>
            </w:pPr>
            <w:r>
              <w:rPr>
                <w:rFonts w:hint="eastAsia" w:ascii="宋体" w:hAnsi="宋体" w:cs="宋体"/>
                <w:color w:val="auto"/>
                <w:szCs w:val="21"/>
                <w:highlight w:val="none"/>
              </w:rPr>
              <w:t>……</w:t>
            </w:r>
          </w:p>
        </w:tc>
        <w:tc>
          <w:tcPr>
            <w:tcW w:w="3306" w:type="dxa"/>
            <w:tcBorders>
              <w:top w:val="single" w:color="auto" w:sz="4" w:space="0"/>
              <w:left w:val="single" w:color="auto" w:sz="4" w:space="0"/>
              <w:bottom w:val="single" w:color="auto" w:sz="4" w:space="0"/>
              <w:right w:val="single" w:color="auto" w:sz="4" w:space="0"/>
            </w:tcBorders>
            <w:vAlign w:val="center"/>
          </w:tcPr>
          <w:p w14:paraId="5FBBFBA9">
            <w:pPr>
              <w:keepNext/>
              <w:keepLines/>
              <w:spacing w:line="360" w:lineRule="auto"/>
              <w:jc w:val="center"/>
              <w:rPr>
                <w:rFonts w:ascii="宋体" w:hAnsi="宋体" w:cs="宋体"/>
                <w:color w:val="auto"/>
                <w:szCs w:val="21"/>
                <w:highlight w:val="none"/>
              </w:rPr>
            </w:pPr>
            <w:r>
              <w:rPr>
                <w:rFonts w:hint="eastAsia" w:ascii="宋体" w:hAnsi="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vAlign w:val="center"/>
          </w:tcPr>
          <w:p w14:paraId="7D035795">
            <w:pPr>
              <w:keepNext/>
              <w:keepLines/>
              <w:spacing w:line="360" w:lineRule="auto"/>
              <w:jc w:val="center"/>
              <w:rPr>
                <w:rFonts w:ascii="宋体" w:hAnsi="宋体" w:cs="宋体"/>
                <w:color w:val="auto"/>
                <w:szCs w:val="21"/>
                <w:highlight w:val="none"/>
              </w:rPr>
            </w:pPr>
            <w:r>
              <w:rPr>
                <w:rFonts w:hint="eastAsia" w:ascii="宋体" w:hAnsi="宋体" w:cs="宋体"/>
                <w:color w:val="auto"/>
                <w:szCs w:val="21"/>
                <w:highlight w:val="none"/>
              </w:rPr>
              <w:t>正偏离（负偏离或无偏离）</w:t>
            </w:r>
          </w:p>
        </w:tc>
      </w:tr>
      <w:tr w14:paraId="4EDDB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4" w:type="dxa"/>
            <w:tcBorders>
              <w:top w:val="single" w:color="auto" w:sz="4" w:space="0"/>
              <w:left w:val="single" w:color="auto" w:sz="4" w:space="0"/>
              <w:bottom w:val="single" w:color="auto" w:sz="4" w:space="0"/>
              <w:right w:val="single" w:color="auto" w:sz="4" w:space="0"/>
            </w:tcBorders>
            <w:vAlign w:val="center"/>
          </w:tcPr>
          <w:p w14:paraId="19B7092A">
            <w:pPr>
              <w:keepNext/>
              <w:keepLines/>
              <w:widowControl/>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……（略）</w:t>
            </w:r>
          </w:p>
        </w:tc>
        <w:tc>
          <w:tcPr>
            <w:tcW w:w="3306" w:type="dxa"/>
            <w:tcBorders>
              <w:top w:val="single" w:color="auto" w:sz="4" w:space="0"/>
              <w:left w:val="single" w:color="auto" w:sz="4" w:space="0"/>
              <w:bottom w:val="single" w:color="auto" w:sz="4" w:space="0"/>
              <w:right w:val="single" w:color="auto" w:sz="4" w:space="0"/>
            </w:tcBorders>
            <w:vAlign w:val="center"/>
          </w:tcPr>
          <w:p w14:paraId="3711DABA">
            <w:pPr>
              <w:keepNext/>
              <w:keepLines/>
              <w:spacing w:line="360" w:lineRule="auto"/>
              <w:jc w:val="center"/>
              <w:rPr>
                <w:rFonts w:ascii="宋体" w:hAnsi="宋体" w:cs="宋体"/>
                <w:color w:val="auto"/>
                <w:szCs w:val="21"/>
                <w:highlight w:val="none"/>
              </w:rPr>
            </w:pPr>
            <w:r>
              <w:rPr>
                <w:rFonts w:hint="eastAsia" w:ascii="宋体" w:hAnsi="宋体" w:cs="宋体"/>
                <w:color w:val="auto"/>
                <w:szCs w:val="21"/>
                <w:highlight w:val="none"/>
              </w:rPr>
              <w:t>……（略）</w:t>
            </w:r>
          </w:p>
        </w:tc>
        <w:tc>
          <w:tcPr>
            <w:tcW w:w="3306" w:type="dxa"/>
            <w:tcBorders>
              <w:top w:val="single" w:color="auto" w:sz="4" w:space="0"/>
              <w:left w:val="single" w:color="auto" w:sz="4" w:space="0"/>
              <w:bottom w:val="single" w:color="auto" w:sz="4" w:space="0"/>
              <w:right w:val="single" w:color="auto" w:sz="4" w:space="0"/>
            </w:tcBorders>
            <w:vAlign w:val="center"/>
          </w:tcPr>
          <w:p w14:paraId="35487B20">
            <w:pPr>
              <w:keepNext/>
              <w:keepLines/>
              <w:spacing w:line="360" w:lineRule="auto"/>
              <w:jc w:val="center"/>
              <w:rPr>
                <w:rFonts w:ascii="宋体" w:hAnsi="宋体" w:cs="宋体"/>
                <w:color w:val="auto"/>
                <w:szCs w:val="21"/>
                <w:highlight w:val="none"/>
              </w:rPr>
            </w:pPr>
            <w:r>
              <w:rPr>
                <w:rFonts w:hint="eastAsia" w:ascii="宋体" w:hAnsi="宋体" w:cs="宋体"/>
                <w:color w:val="auto"/>
                <w:szCs w:val="21"/>
                <w:highlight w:val="none"/>
              </w:rPr>
              <w:t>……（略）</w:t>
            </w:r>
          </w:p>
        </w:tc>
        <w:tc>
          <w:tcPr>
            <w:tcW w:w="1274" w:type="dxa"/>
            <w:tcBorders>
              <w:top w:val="single" w:color="auto" w:sz="4" w:space="0"/>
              <w:left w:val="single" w:color="auto" w:sz="4" w:space="0"/>
              <w:bottom w:val="single" w:color="auto" w:sz="4" w:space="0"/>
              <w:right w:val="single" w:color="auto" w:sz="4" w:space="0"/>
            </w:tcBorders>
            <w:vAlign w:val="center"/>
          </w:tcPr>
          <w:p w14:paraId="5DB76B10">
            <w:pPr>
              <w:keepNext/>
              <w:keepLines/>
              <w:spacing w:line="360" w:lineRule="auto"/>
              <w:jc w:val="center"/>
              <w:rPr>
                <w:rFonts w:ascii="宋体" w:hAnsi="宋体" w:cs="宋体"/>
                <w:color w:val="auto"/>
                <w:szCs w:val="21"/>
                <w:highlight w:val="none"/>
              </w:rPr>
            </w:pPr>
            <w:r>
              <w:rPr>
                <w:rFonts w:hint="eastAsia" w:ascii="宋体" w:hAnsi="宋体" w:cs="宋体"/>
                <w:color w:val="auto"/>
                <w:szCs w:val="21"/>
                <w:highlight w:val="none"/>
              </w:rPr>
              <w:t>……</w:t>
            </w:r>
          </w:p>
        </w:tc>
      </w:tr>
      <w:tr w14:paraId="11E0A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480" w:type="dxa"/>
            <w:gridSpan w:val="4"/>
            <w:tcBorders>
              <w:top w:val="single" w:color="auto" w:sz="4" w:space="0"/>
              <w:left w:val="single" w:color="auto" w:sz="4" w:space="0"/>
              <w:bottom w:val="single" w:color="auto" w:sz="4" w:space="0"/>
              <w:right w:val="single" w:color="auto" w:sz="4" w:space="0"/>
            </w:tcBorders>
          </w:tcPr>
          <w:p w14:paraId="15653ACC">
            <w:pPr>
              <w:keepNext/>
              <w:keepLines/>
              <w:spacing w:line="360" w:lineRule="auto"/>
              <w:rPr>
                <w:rFonts w:ascii="宋体" w:hAnsi="宋体" w:cs="宋体"/>
                <w:color w:val="auto"/>
                <w:szCs w:val="21"/>
                <w:highlight w:val="none"/>
              </w:rPr>
            </w:pPr>
            <w:r>
              <w:rPr>
                <w:rFonts w:hint="eastAsia" w:ascii="宋体" w:hAnsi="宋体" w:cs="宋体"/>
                <w:color w:val="auto"/>
                <w:szCs w:val="21"/>
                <w:highlight w:val="none"/>
              </w:rPr>
              <w:t>分标</w:t>
            </w:r>
            <w:r>
              <w:rPr>
                <w:rFonts w:hint="eastAsia" w:ascii="宋体" w:hAnsi="宋体" w:cs="宋体"/>
                <w:color w:val="auto"/>
                <w:szCs w:val="21"/>
                <w:highlight w:val="none"/>
                <w:u w:val="single"/>
              </w:rPr>
              <w:t>　　</w:t>
            </w:r>
            <w:r>
              <w:rPr>
                <w:rFonts w:hint="eastAsia" w:ascii="宋体" w:hAnsi="宋体" w:cs="宋体"/>
                <w:color w:val="auto"/>
                <w:szCs w:val="21"/>
                <w:highlight w:val="none"/>
              </w:rPr>
              <w:t>（此处有分标时填写具体分标号，无分标时填写“无”）</w:t>
            </w:r>
          </w:p>
        </w:tc>
      </w:tr>
    </w:tbl>
    <w:p w14:paraId="734147BE">
      <w:pPr>
        <w:pStyle w:val="16"/>
        <w:keepNext/>
        <w:keepLines/>
        <w:spacing w:line="360" w:lineRule="auto"/>
        <w:rPr>
          <w:rFonts w:ascii="仿宋" w:hAnsi="仿宋" w:eastAsia="仿宋" w:cs="仿宋"/>
          <w:color w:val="auto"/>
          <w:highlight w:val="none"/>
        </w:rPr>
      </w:pPr>
      <w:r>
        <w:rPr>
          <w:rFonts w:hint="eastAsia" w:ascii="仿宋" w:hAnsi="仿宋" w:eastAsia="仿宋" w:cs="仿宋"/>
          <w:color w:val="auto"/>
          <w:highlight w:val="none"/>
        </w:rPr>
        <w:t>注：</w:t>
      </w:r>
    </w:p>
    <w:p w14:paraId="4C4681E2">
      <w:pPr>
        <w:pStyle w:val="16"/>
        <w:keepNext/>
        <w:keepLines/>
        <w:spacing w:line="360" w:lineRule="auto"/>
        <w:ind w:left="-8" w:firstLine="426" w:firstLineChars="203"/>
        <w:rPr>
          <w:rFonts w:ascii="仿宋" w:hAnsi="仿宋" w:eastAsia="仿宋" w:cs="仿宋"/>
          <w:b/>
          <w:bCs/>
          <w:color w:val="auto"/>
          <w:highlight w:val="none"/>
        </w:rPr>
      </w:pPr>
      <w:r>
        <w:rPr>
          <w:rFonts w:hint="eastAsia" w:ascii="仿宋" w:hAnsi="仿宋" w:eastAsia="仿宋" w:cs="仿宋"/>
          <w:color w:val="auto"/>
          <w:highlight w:val="none"/>
        </w:rPr>
        <w:t>1.表格内容均需按要求填写并盖章，不得留空，</w:t>
      </w:r>
      <w:r>
        <w:rPr>
          <w:rFonts w:hint="eastAsia" w:ascii="仿宋" w:hAnsi="仿宋" w:eastAsia="仿宋" w:cs="仿宋"/>
          <w:b/>
          <w:bCs/>
          <w:color w:val="auto"/>
          <w:highlight w:val="none"/>
        </w:rPr>
        <w:t>否则按投标无效处理。</w:t>
      </w:r>
    </w:p>
    <w:p w14:paraId="0D913DE2">
      <w:pPr>
        <w:pStyle w:val="16"/>
        <w:keepNext/>
        <w:keepLines/>
        <w:spacing w:line="360" w:lineRule="auto"/>
        <w:ind w:left="-8" w:firstLine="428" w:firstLineChars="203"/>
        <w:rPr>
          <w:rFonts w:ascii="仿宋" w:hAnsi="仿宋" w:eastAsia="仿宋" w:cs="仿宋"/>
          <w:b/>
          <w:bCs/>
          <w:color w:val="auto"/>
          <w:szCs w:val="21"/>
          <w:highlight w:val="none"/>
        </w:rPr>
      </w:pPr>
      <w:r>
        <w:rPr>
          <w:rFonts w:hint="eastAsia" w:ascii="仿宋" w:hAnsi="仿宋" w:eastAsia="仿宋" w:cs="仿宋"/>
          <w:b/>
          <w:bCs/>
          <w:color w:val="auto"/>
          <w:highlight w:val="none"/>
        </w:rPr>
        <w:t>2.如果招标文件需求为小于或大于某个数值标准时，投标文件承诺不得直接复制招标文件需求，投标文件承诺内容应当写明投</w:t>
      </w:r>
      <w:r>
        <w:rPr>
          <w:rFonts w:hint="eastAsia" w:ascii="仿宋" w:hAnsi="仿宋" w:eastAsia="仿宋" w:cs="仿宋"/>
          <w:b/>
          <w:bCs/>
          <w:color w:val="auto"/>
          <w:szCs w:val="21"/>
          <w:highlight w:val="none"/>
        </w:rPr>
        <w:t>标服务（货物）具体参数或商务响应承诺的具体数值，否则按投标无效处理。</w:t>
      </w:r>
    </w:p>
    <w:p w14:paraId="76C3AE89">
      <w:pPr>
        <w:pStyle w:val="16"/>
        <w:keepNext/>
        <w:keepLines/>
        <w:spacing w:line="360" w:lineRule="auto"/>
        <w:ind w:left="-8" w:firstLine="426" w:firstLineChars="203"/>
        <w:rPr>
          <w:rFonts w:ascii="仿宋" w:hAnsi="仿宋" w:eastAsia="仿宋" w:cs="仿宋"/>
          <w:color w:val="auto"/>
          <w:szCs w:val="21"/>
          <w:highlight w:val="none"/>
        </w:rPr>
      </w:pPr>
      <w:r>
        <w:rPr>
          <w:rFonts w:hint="eastAsia" w:ascii="仿宋" w:hAnsi="仿宋" w:eastAsia="仿宋" w:cs="仿宋"/>
          <w:color w:val="auto"/>
          <w:szCs w:val="21"/>
          <w:highlight w:val="none"/>
        </w:rPr>
        <w:t>3.当投标文件的商务内容低于招标文件要求时，投标人应当如实写明“负偏离”，否则视为虚假应标。</w:t>
      </w:r>
    </w:p>
    <w:p w14:paraId="42131ECE">
      <w:pPr>
        <w:pStyle w:val="16"/>
        <w:keepNext/>
        <w:keepLines/>
        <w:spacing w:line="360" w:lineRule="auto"/>
        <w:ind w:left="-8" w:firstLine="426" w:firstLineChars="203"/>
        <w:rPr>
          <w:rFonts w:ascii="仿宋" w:hAnsi="仿宋" w:eastAsia="仿宋" w:cs="仿宋"/>
          <w:color w:val="auto"/>
          <w:szCs w:val="21"/>
          <w:highlight w:val="none"/>
        </w:rPr>
      </w:pPr>
      <w:r>
        <w:rPr>
          <w:rFonts w:hint="eastAsia" w:ascii="仿宋" w:hAnsi="仿宋" w:eastAsia="仿宋" w:cs="仿宋"/>
          <w:color w:val="auto"/>
          <w:szCs w:val="21"/>
          <w:highlight w:val="none"/>
        </w:rPr>
        <w:t>4.采购需求中带“▲”等符号的条款，也要分别在本表“招标文件的商务需求”“投标文件承诺的商务条款”中标记。</w:t>
      </w:r>
    </w:p>
    <w:p w14:paraId="67AEC61F">
      <w:pPr>
        <w:keepNext/>
        <w:keepLines/>
        <w:snapToGrid w:val="0"/>
        <w:spacing w:before="50" w:after="50" w:line="360" w:lineRule="auto"/>
        <w:ind w:left="-8" w:firstLine="426" w:firstLineChars="203"/>
        <w:rPr>
          <w:rFonts w:ascii="宋体" w:hAnsi="宋体" w:cs="宋体"/>
          <w:color w:val="auto"/>
          <w:szCs w:val="21"/>
          <w:highlight w:val="none"/>
        </w:rPr>
      </w:pPr>
    </w:p>
    <w:p w14:paraId="52627936">
      <w:pPr>
        <w:keepNext/>
        <w:keepLines/>
        <w:snapToGrid w:val="0"/>
        <w:spacing w:line="360" w:lineRule="auto"/>
        <w:ind w:firstLine="5355" w:firstLineChars="2550"/>
        <w:rPr>
          <w:rFonts w:ascii="宋体" w:hAnsi="宋体" w:cs="宋体"/>
          <w:color w:val="auto"/>
          <w:kern w:val="0"/>
          <w:szCs w:val="21"/>
          <w:highlight w:val="none"/>
        </w:rPr>
      </w:pPr>
      <w:r>
        <w:rPr>
          <w:rFonts w:hint="eastAsia" w:ascii="宋体" w:hAnsi="宋体" w:cs="宋体"/>
          <w:color w:val="auto"/>
          <w:szCs w:val="21"/>
          <w:highlight w:val="none"/>
        </w:rPr>
        <w:t xml:space="preserve">  </w:t>
      </w:r>
      <w:r>
        <w:rPr>
          <w:rFonts w:hint="eastAsia" w:ascii="宋体" w:hAnsi="宋体" w:cs="宋体"/>
          <w:color w:val="auto"/>
          <w:kern w:val="0"/>
          <w:szCs w:val="21"/>
          <w:highlight w:val="none"/>
          <w:lang w:val="zh-CN"/>
        </w:rPr>
        <w:t>投标人名称（电子签章）：</w:t>
      </w:r>
    </w:p>
    <w:p w14:paraId="7116923C">
      <w:pPr>
        <w:keepNext/>
        <w:keepLines/>
        <w:snapToGrid w:val="0"/>
        <w:spacing w:line="360" w:lineRule="auto"/>
        <w:ind w:firstLine="4515" w:firstLineChars="2150"/>
        <w:jc w:val="center"/>
        <w:rPr>
          <w:rFonts w:ascii="宋体" w:hAnsi="宋体" w:cs="宋体"/>
          <w:color w:val="auto"/>
          <w:kern w:val="0"/>
          <w:szCs w:val="21"/>
          <w:highlight w:val="none"/>
          <w:lang w:val="zh-CN"/>
        </w:rPr>
        <w:sectPr>
          <w:footerReference r:id="rId15" w:type="default"/>
          <w:pgSz w:w="11906" w:h="16838"/>
          <w:pgMar w:top="1440" w:right="1080" w:bottom="1440" w:left="1080" w:header="720" w:footer="720" w:gutter="0"/>
          <w:pgBorders>
            <w:top w:val="none" w:sz="0" w:space="0"/>
            <w:left w:val="none" w:sz="0" w:space="0"/>
            <w:bottom w:val="none" w:sz="0" w:space="0"/>
            <w:right w:val="none" w:sz="0" w:space="0"/>
          </w:pgBorders>
          <w:cols w:space="720" w:num="1"/>
          <w:docGrid w:linePitch="331" w:charSpace="0"/>
        </w:sectPr>
      </w:pPr>
      <w:r>
        <w:rPr>
          <w:rFonts w:hint="eastAsia" w:ascii="宋体" w:hAnsi="宋体" w:cs="宋体"/>
          <w:color w:val="auto"/>
          <w:kern w:val="0"/>
          <w:szCs w:val="21"/>
          <w:highlight w:val="none"/>
          <w:lang w:val="zh-CN"/>
        </w:rPr>
        <w:t>日期</w:t>
      </w:r>
      <w:r>
        <w:rPr>
          <w:rFonts w:hint="eastAsia" w:ascii="宋体" w:hAnsi="宋体" w:cs="宋体"/>
          <w:color w:val="auto"/>
          <w:kern w:val="0"/>
          <w:szCs w:val="21"/>
          <w:highlight w:val="none"/>
        </w:rPr>
        <w:t xml:space="preserve">：  年  </w:t>
      </w:r>
      <w:r>
        <w:rPr>
          <w:rFonts w:hint="eastAsia" w:ascii="宋体" w:hAnsi="宋体" w:cs="宋体"/>
          <w:color w:val="auto"/>
          <w:kern w:val="0"/>
          <w:szCs w:val="21"/>
          <w:highlight w:val="none"/>
          <w:lang w:val="zh-CN"/>
        </w:rPr>
        <w:t>月</w:t>
      </w:r>
      <w:r>
        <w:rPr>
          <w:rFonts w:hint="eastAsia" w:ascii="宋体" w:hAnsi="宋体" w:cs="宋体"/>
          <w:color w:val="auto"/>
          <w:kern w:val="0"/>
          <w:szCs w:val="21"/>
          <w:highlight w:val="none"/>
        </w:rPr>
        <w:t xml:space="preserve">   </w:t>
      </w:r>
      <w:r>
        <w:rPr>
          <w:rFonts w:hint="eastAsia" w:ascii="宋体" w:hAnsi="宋体" w:cs="宋体"/>
          <w:color w:val="auto"/>
          <w:kern w:val="0"/>
          <w:szCs w:val="21"/>
          <w:highlight w:val="none"/>
          <w:lang w:val="zh-CN"/>
        </w:rPr>
        <w:t>日</w:t>
      </w:r>
    </w:p>
    <w:p w14:paraId="4026387F">
      <w:pPr>
        <w:keepNext/>
        <w:keepLines/>
        <w:spacing w:line="360" w:lineRule="auto"/>
        <w:outlineLvl w:val="2"/>
        <w:rPr>
          <w:rFonts w:ascii="宋体" w:hAnsi="宋体" w:cs="宋体"/>
          <w:b/>
          <w:color w:val="auto"/>
          <w:sz w:val="30"/>
          <w:szCs w:val="30"/>
          <w:highlight w:val="none"/>
        </w:rPr>
      </w:pPr>
      <w:bookmarkStart w:id="215" w:name="_Toc177716565"/>
      <w:r>
        <w:rPr>
          <w:rFonts w:hint="eastAsia" w:ascii="宋体" w:hAnsi="宋体" w:cs="宋体"/>
          <w:b/>
          <w:color w:val="auto"/>
          <w:sz w:val="30"/>
          <w:szCs w:val="30"/>
          <w:highlight w:val="none"/>
        </w:rPr>
        <w:t>五、技术需求偏离表</w:t>
      </w:r>
      <w:bookmarkEnd w:id="215"/>
    </w:p>
    <w:p w14:paraId="6CECFA1D">
      <w:pPr>
        <w:keepNext/>
        <w:keepLines/>
        <w:spacing w:line="360" w:lineRule="auto"/>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技术需求偏离表</w:t>
      </w:r>
    </w:p>
    <w:p w14:paraId="51F649B0">
      <w:pPr>
        <w:pStyle w:val="16"/>
        <w:keepNext/>
        <w:keepLines/>
        <w:spacing w:line="360" w:lineRule="auto"/>
        <w:ind w:firstLine="420" w:firstLineChars="200"/>
        <w:rPr>
          <w:rFonts w:ascii="仿宋" w:hAnsi="仿宋" w:eastAsia="仿宋" w:cs="仿宋"/>
          <w:color w:val="auto"/>
          <w:highlight w:val="none"/>
        </w:rPr>
      </w:pPr>
      <w:r>
        <w:rPr>
          <w:rFonts w:hint="eastAsia" w:ascii="仿宋" w:hAnsi="仿宋" w:eastAsia="仿宋" w:cs="仿宋"/>
          <w:color w:val="auto"/>
          <w:highlight w:val="none"/>
        </w:rPr>
        <w:t>请逐条对应本项目招标文件“第二章 采购需求”中“技术需求”，详细填写相应的具体内容。“偏离说明”一栏应当选择“正偏离”“负偏离”或“无偏离”进行填写。</w:t>
      </w:r>
    </w:p>
    <w:tbl>
      <w:tblPr>
        <w:tblStyle w:val="30"/>
        <w:tblW w:w="147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1370"/>
        <w:gridCol w:w="4863"/>
        <w:gridCol w:w="1375"/>
        <w:gridCol w:w="5345"/>
        <w:gridCol w:w="1121"/>
      </w:tblGrid>
      <w:tr w14:paraId="4728D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899" w:type="dxa"/>
            <w:gridSpan w:val="3"/>
            <w:tcBorders>
              <w:top w:val="single" w:color="auto" w:sz="4" w:space="0"/>
              <w:left w:val="single" w:color="auto" w:sz="4" w:space="0"/>
              <w:bottom w:val="single" w:color="auto" w:sz="4" w:space="0"/>
              <w:right w:val="single" w:color="auto" w:sz="4" w:space="0"/>
            </w:tcBorders>
            <w:shd w:val="clear" w:color="auto" w:fill="D7D7D7"/>
            <w:vAlign w:val="center"/>
          </w:tcPr>
          <w:p w14:paraId="061B7A21">
            <w:pPr>
              <w:keepNext/>
              <w:keepLines/>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招标文件需求</w:t>
            </w:r>
          </w:p>
        </w:tc>
        <w:tc>
          <w:tcPr>
            <w:tcW w:w="6720" w:type="dxa"/>
            <w:gridSpan w:val="2"/>
            <w:tcBorders>
              <w:top w:val="single" w:color="auto" w:sz="4" w:space="0"/>
              <w:left w:val="single" w:color="auto" w:sz="4" w:space="0"/>
              <w:bottom w:val="single" w:color="auto" w:sz="4" w:space="0"/>
              <w:right w:val="single" w:color="auto" w:sz="4" w:space="0"/>
            </w:tcBorders>
            <w:shd w:val="clear" w:color="auto" w:fill="D7D7D7"/>
            <w:vAlign w:val="center"/>
          </w:tcPr>
          <w:p w14:paraId="452426DF">
            <w:pPr>
              <w:keepNext/>
              <w:keepLines/>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投标文件承诺</w:t>
            </w:r>
          </w:p>
        </w:tc>
        <w:tc>
          <w:tcPr>
            <w:tcW w:w="1121" w:type="dxa"/>
            <w:vMerge w:val="restart"/>
            <w:tcBorders>
              <w:top w:val="single" w:color="auto" w:sz="4" w:space="0"/>
              <w:left w:val="single" w:color="auto" w:sz="4" w:space="0"/>
              <w:bottom w:val="single" w:color="auto" w:sz="4" w:space="0"/>
              <w:right w:val="single" w:color="auto" w:sz="4" w:space="0"/>
            </w:tcBorders>
            <w:shd w:val="clear" w:color="auto" w:fill="D7D7D7"/>
            <w:vAlign w:val="center"/>
          </w:tcPr>
          <w:p w14:paraId="230B7A16">
            <w:pPr>
              <w:keepNext/>
              <w:keepLines/>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偏离说明</w:t>
            </w:r>
          </w:p>
        </w:tc>
      </w:tr>
      <w:tr w14:paraId="542D9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6" w:type="dxa"/>
            <w:tcBorders>
              <w:top w:val="single" w:color="auto" w:sz="4" w:space="0"/>
              <w:left w:val="single" w:color="auto" w:sz="4" w:space="0"/>
              <w:bottom w:val="single" w:color="auto" w:sz="4" w:space="0"/>
              <w:right w:val="single" w:color="auto" w:sz="4" w:space="0"/>
            </w:tcBorders>
            <w:shd w:val="clear" w:color="auto" w:fill="D7D7D7"/>
            <w:vAlign w:val="center"/>
          </w:tcPr>
          <w:p w14:paraId="731A81DA">
            <w:pPr>
              <w:keepNext/>
              <w:keepLines/>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序号</w:t>
            </w:r>
          </w:p>
        </w:tc>
        <w:tc>
          <w:tcPr>
            <w:tcW w:w="1370" w:type="dxa"/>
            <w:tcBorders>
              <w:top w:val="single" w:color="auto" w:sz="4" w:space="0"/>
              <w:left w:val="single" w:color="auto" w:sz="4" w:space="0"/>
              <w:bottom w:val="single" w:color="auto" w:sz="4" w:space="0"/>
              <w:right w:val="single" w:color="auto" w:sz="4" w:space="0"/>
            </w:tcBorders>
            <w:shd w:val="clear" w:color="auto" w:fill="D7D7D7"/>
            <w:vAlign w:val="center"/>
          </w:tcPr>
          <w:p w14:paraId="6C030914">
            <w:pPr>
              <w:keepNext/>
              <w:keepLines/>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标的名称</w:t>
            </w:r>
          </w:p>
        </w:tc>
        <w:tc>
          <w:tcPr>
            <w:tcW w:w="4863" w:type="dxa"/>
            <w:tcBorders>
              <w:top w:val="single" w:color="auto" w:sz="4" w:space="0"/>
              <w:left w:val="single" w:color="auto" w:sz="4" w:space="0"/>
              <w:bottom w:val="single" w:color="auto" w:sz="4" w:space="0"/>
              <w:right w:val="single" w:color="auto" w:sz="4" w:space="0"/>
            </w:tcBorders>
            <w:shd w:val="clear" w:color="auto" w:fill="D7D7D7"/>
            <w:vAlign w:val="center"/>
          </w:tcPr>
          <w:p w14:paraId="676D4DC9">
            <w:pPr>
              <w:keepNext/>
              <w:keepLines/>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技术需求</w:t>
            </w:r>
          </w:p>
        </w:tc>
        <w:tc>
          <w:tcPr>
            <w:tcW w:w="1375" w:type="dxa"/>
            <w:tcBorders>
              <w:top w:val="single" w:color="auto" w:sz="4" w:space="0"/>
              <w:left w:val="single" w:color="auto" w:sz="4" w:space="0"/>
              <w:bottom w:val="single" w:color="auto" w:sz="4" w:space="0"/>
              <w:right w:val="single" w:color="auto" w:sz="4" w:space="0"/>
            </w:tcBorders>
            <w:shd w:val="clear" w:color="auto" w:fill="D7D7D7"/>
            <w:vAlign w:val="center"/>
          </w:tcPr>
          <w:p w14:paraId="3756E579">
            <w:pPr>
              <w:keepNext/>
              <w:keepLines/>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标的名称</w:t>
            </w:r>
          </w:p>
        </w:tc>
        <w:tc>
          <w:tcPr>
            <w:tcW w:w="5345" w:type="dxa"/>
            <w:tcBorders>
              <w:top w:val="single" w:color="auto" w:sz="4" w:space="0"/>
              <w:left w:val="single" w:color="auto" w:sz="4" w:space="0"/>
              <w:bottom w:val="single" w:color="auto" w:sz="4" w:space="0"/>
              <w:right w:val="single" w:color="auto" w:sz="4" w:space="0"/>
            </w:tcBorders>
            <w:shd w:val="clear" w:color="auto" w:fill="D7D7D7"/>
            <w:vAlign w:val="center"/>
          </w:tcPr>
          <w:p w14:paraId="02A82823">
            <w:pPr>
              <w:keepNext/>
              <w:keepLines/>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承诺提供服务的内容</w:t>
            </w:r>
          </w:p>
        </w:tc>
        <w:tc>
          <w:tcPr>
            <w:tcW w:w="1121" w:type="dxa"/>
            <w:vMerge w:val="continue"/>
            <w:tcBorders>
              <w:top w:val="single" w:color="auto" w:sz="4" w:space="0"/>
              <w:left w:val="single" w:color="auto" w:sz="4" w:space="0"/>
              <w:bottom w:val="single" w:color="auto" w:sz="4" w:space="0"/>
              <w:right w:val="single" w:color="auto" w:sz="4" w:space="0"/>
            </w:tcBorders>
            <w:shd w:val="clear" w:color="auto" w:fill="D7D7D7"/>
            <w:vAlign w:val="center"/>
          </w:tcPr>
          <w:p w14:paraId="196FA3E9">
            <w:pPr>
              <w:keepNext/>
              <w:keepLines/>
              <w:widowControl/>
              <w:spacing w:line="360" w:lineRule="auto"/>
              <w:jc w:val="left"/>
              <w:rPr>
                <w:rFonts w:ascii="宋体" w:hAnsi="宋体" w:cs="宋体"/>
                <w:color w:val="auto"/>
                <w:szCs w:val="21"/>
                <w:highlight w:val="none"/>
              </w:rPr>
            </w:pPr>
          </w:p>
        </w:tc>
      </w:tr>
      <w:tr w14:paraId="0BC20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6" w:type="dxa"/>
            <w:tcBorders>
              <w:top w:val="single" w:color="auto" w:sz="4" w:space="0"/>
              <w:left w:val="single" w:color="auto" w:sz="4" w:space="0"/>
              <w:bottom w:val="single" w:color="auto" w:sz="4" w:space="0"/>
              <w:right w:val="single" w:color="auto" w:sz="4" w:space="0"/>
            </w:tcBorders>
            <w:vAlign w:val="center"/>
          </w:tcPr>
          <w:p w14:paraId="3BDDBF8B">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w:t>
            </w:r>
          </w:p>
        </w:tc>
        <w:tc>
          <w:tcPr>
            <w:tcW w:w="1370" w:type="dxa"/>
            <w:tcBorders>
              <w:top w:val="single" w:color="auto" w:sz="4" w:space="0"/>
              <w:left w:val="single" w:color="auto" w:sz="4" w:space="0"/>
              <w:bottom w:val="single" w:color="auto" w:sz="4" w:space="0"/>
              <w:right w:val="single" w:color="auto" w:sz="4" w:space="0"/>
            </w:tcBorders>
            <w:shd w:val="clear" w:color="auto" w:fill="auto"/>
            <w:vAlign w:val="center"/>
          </w:tcPr>
          <w:p w14:paraId="5066BDB9">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广西公安数字化反电诈平台</w:t>
            </w:r>
          </w:p>
        </w:tc>
        <w:tc>
          <w:tcPr>
            <w:tcW w:w="4863" w:type="dxa"/>
            <w:tcBorders>
              <w:top w:val="single" w:color="auto" w:sz="4" w:space="0"/>
              <w:left w:val="single" w:color="auto" w:sz="4" w:space="0"/>
              <w:bottom w:val="single" w:color="auto" w:sz="4" w:space="0"/>
              <w:right w:val="single" w:color="auto" w:sz="4" w:space="0"/>
            </w:tcBorders>
            <w:vAlign w:val="center"/>
          </w:tcPr>
          <w:p w14:paraId="79D17FF1">
            <w:pPr>
              <w:keepNext/>
              <w:keepLines/>
              <w:spacing w:line="360" w:lineRule="auto"/>
              <w:jc w:val="center"/>
              <w:rPr>
                <w:rFonts w:ascii="宋体" w:hAnsi="宋体" w:cs="宋体"/>
                <w:color w:val="auto"/>
                <w:highlight w:val="none"/>
              </w:rPr>
            </w:pPr>
            <w:r>
              <w:rPr>
                <w:rFonts w:hint="eastAsia" w:ascii="宋体" w:hAnsi="宋体" w:cs="宋体"/>
                <w:color w:val="auto"/>
                <w:szCs w:val="21"/>
                <w:highlight w:val="none"/>
              </w:rPr>
              <w:t>……</w:t>
            </w:r>
          </w:p>
        </w:tc>
        <w:tc>
          <w:tcPr>
            <w:tcW w:w="1375" w:type="dxa"/>
            <w:tcBorders>
              <w:top w:val="single" w:color="auto" w:sz="4" w:space="0"/>
              <w:left w:val="single" w:color="auto" w:sz="4" w:space="0"/>
              <w:bottom w:val="single" w:color="auto" w:sz="4" w:space="0"/>
              <w:right w:val="single" w:color="auto" w:sz="4" w:space="0"/>
            </w:tcBorders>
            <w:vAlign w:val="center"/>
          </w:tcPr>
          <w:p w14:paraId="56539751">
            <w:pPr>
              <w:keepNext/>
              <w:keepLines/>
              <w:spacing w:line="360" w:lineRule="auto"/>
              <w:jc w:val="center"/>
              <w:rPr>
                <w:rFonts w:ascii="宋体" w:hAnsi="宋体" w:cs="宋体"/>
                <w:color w:val="auto"/>
                <w:szCs w:val="21"/>
                <w:highlight w:val="none"/>
              </w:rPr>
            </w:pPr>
            <w:r>
              <w:rPr>
                <w:rFonts w:hint="eastAsia" w:ascii="宋体" w:hAnsi="宋体" w:cs="宋体"/>
                <w:color w:val="auto"/>
                <w:szCs w:val="21"/>
                <w:highlight w:val="none"/>
              </w:rPr>
              <w:t>……</w:t>
            </w:r>
          </w:p>
        </w:tc>
        <w:tc>
          <w:tcPr>
            <w:tcW w:w="5345" w:type="dxa"/>
            <w:tcBorders>
              <w:top w:val="single" w:color="auto" w:sz="4" w:space="0"/>
              <w:left w:val="single" w:color="auto" w:sz="4" w:space="0"/>
              <w:bottom w:val="single" w:color="auto" w:sz="4" w:space="0"/>
              <w:right w:val="single" w:color="auto" w:sz="4" w:space="0"/>
            </w:tcBorders>
            <w:vAlign w:val="center"/>
          </w:tcPr>
          <w:p w14:paraId="7A543826">
            <w:pPr>
              <w:keepNext/>
              <w:keepLines/>
              <w:spacing w:line="360" w:lineRule="auto"/>
              <w:jc w:val="center"/>
              <w:rPr>
                <w:rFonts w:ascii="宋体" w:hAnsi="宋体" w:cs="宋体"/>
                <w:color w:val="auto"/>
                <w:szCs w:val="21"/>
                <w:highlight w:val="none"/>
              </w:rPr>
            </w:pPr>
            <w:r>
              <w:rPr>
                <w:rFonts w:hint="eastAsia" w:ascii="宋体" w:hAnsi="宋体" w:cs="宋体"/>
                <w:color w:val="auto"/>
                <w:szCs w:val="21"/>
                <w:highlight w:val="none"/>
              </w:rPr>
              <w:t>……</w:t>
            </w:r>
          </w:p>
        </w:tc>
        <w:tc>
          <w:tcPr>
            <w:tcW w:w="1121" w:type="dxa"/>
            <w:tcBorders>
              <w:top w:val="single" w:color="auto" w:sz="4" w:space="0"/>
              <w:left w:val="single" w:color="auto" w:sz="4" w:space="0"/>
              <w:bottom w:val="single" w:color="auto" w:sz="4" w:space="0"/>
              <w:right w:val="single" w:color="auto" w:sz="4" w:space="0"/>
            </w:tcBorders>
            <w:vAlign w:val="center"/>
          </w:tcPr>
          <w:p w14:paraId="639C76DA">
            <w:pPr>
              <w:keepNext/>
              <w:keepLines/>
              <w:spacing w:line="360" w:lineRule="auto"/>
              <w:jc w:val="center"/>
              <w:rPr>
                <w:rFonts w:ascii="宋体" w:hAnsi="宋体" w:cs="宋体"/>
                <w:color w:val="auto"/>
                <w:szCs w:val="21"/>
                <w:highlight w:val="none"/>
              </w:rPr>
            </w:pPr>
            <w:r>
              <w:rPr>
                <w:rFonts w:hint="eastAsia" w:ascii="宋体" w:hAnsi="宋体" w:cs="宋体"/>
                <w:color w:val="auto"/>
                <w:szCs w:val="21"/>
                <w:highlight w:val="none"/>
              </w:rPr>
              <w:t>正偏离（负偏离或无偏离）</w:t>
            </w:r>
          </w:p>
        </w:tc>
      </w:tr>
      <w:tr w14:paraId="422D4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6" w:type="dxa"/>
            <w:tcBorders>
              <w:top w:val="single" w:color="auto" w:sz="4" w:space="0"/>
              <w:left w:val="single" w:color="auto" w:sz="4" w:space="0"/>
              <w:bottom w:val="single" w:color="auto" w:sz="4" w:space="0"/>
              <w:right w:val="single" w:color="auto" w:sz="4" w:space="0"/>
            </w:tcBorders>
            <w:vAlign w:val="center"/>
          </w:tcPr>
          <w:p w14:paraId="3644CFF8">
            <w:pPr>
              <w:spacing w:line="360" w:lineRule="auto"/>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2</w:t>
            </w:r>
          </w:p>
        </w:tc>
        <w:tc>
          <w:tcPr>
            <w:tcW w:w="1370" w:type="dxa"/>
            <w:tcBorders>
              <w:top w:val="single" w:color="auto" w:sz="4" w:space="0"/>
              <w:left w:val="single" w:color="auto" w:sz="4" w:space="0"/>
              <w:bottom w:val="single" w:color="auto" w:sz="4" w:space="0"/>
              <w:right w:val="single" w:color="auto" w:sz="4" w:space="0"/>
            </w:tcBorders>
            <w:vAlign w:val="center"/>
          </w:tcPr>
          <w:p w14:paraId="6EF641EC">
            <w:pPr>
              <w:spacing w:line="360" w:lineRule="auto"/>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第三方软件测评</w:t>
            </w:r>
          </w:p>
        </w:tc>
        <w:tc>
          <w:tcPr>
            <w:tcW w:w="4863" w:type="dxa"/>
            <w:tcBorders>
              <w:top w:val="single" w:color="auto" w:sz="4" w:space="0"/>
              <w:left w:val="single" w:color="auto" w:sz="4" w:space="0"/>
              <w:bottom w:val="single" w:color="auto" w:sz="4" w:space="0"/>
              <w:right w:val="single" w:color="auto" w:sz="4" w:space="0"/>
            </w:tcBorders>
            <w:vAlign w:val="center"/>
          </w:tcPr>
          <w:p w14:paraId="3855304A">
            <w:pPr>
              <w:keepNext/>
              <w:keepLines/>
              <w:spacing w:line="360" w:lineRule="auto"/>
              <w:jc w:val="center"/>
              <w:rPr>
                <w:rFonts w:ascii="宋体" w:hAnsi="宋体" w:cs="宋体"/>
                <w:color w:val="auto"/>
                <w:szCs w:val="21"/>
                <w:highlight w:val="none"/>
              </w:rPr>
            </w:pPr>
            <w:r>
              <w:rPr>
                <w:rFonts w:hint="eastAsia" w:ascii="宋体" w:hAnsi="宋体" w:cs="宋体"/>
                <w:color w:val="auto"/>
                <w:szCs w:val="21"/>
                <w:highlight w:val="none"/>
              </w:rPr>
              <w:t>……</w:t>
            </w:r>
          </w:p>
        </w:tc>
        <w:tc>
          <w:tcPr>
            <w:tcW w:w="1375" w:type="dxa"/>
            <w:tcBorders>
              <w:top w:val="single" w:color="auto" w:sz="4" w:space="0"/>
              <w:left w:val="single" w:color="auto" w:sz="4" w:space="0"/>
              <w:bottom w:val="single" w:color="auto" w:sz="4" w:space="0"/>
              <w:right w:val="single" w:color="auto" w:sz="4" w:space="0"/>
            </w:tcBorders>
            <w:vAlign w:val="center"/>
          </w:tcPr>
          <w:p w14:paraId="09CD3F18">
            <w:pPr>
              <w:keepNext/>
              <w:keepLines/>
              <w:spacing w:line="360" w:lineRule="auto"/>
              <w:jc w:val="center"/>
              <w:rPr>
                <w:rFonts w:ascii="宋体" w:hAnsi="宋体" w:cs="宋体"/>
                <w:color w:val="auto"/>
                <w:szCs w:val="21"/>
                <w:highlight w:val="none"/>
              </w:rPr>
            </w:pPr>
            <w:r>
              <w:rPr>
                <w:rFonts w:hint="eastAsia" w:ascii="宋体" w:hAnsi="宋体" w:cs="宋体"/>
                <w:color w:val="auto"/>
                <w:szCs w:val="21"/>
                <w:highlight w:val="none"/>
              </w:rPr>
              <w:t>……</w:t>
            </w:r>
          </w:p>
        </w:tc>
        <w:tc>
          <w:tcPr>
            <w:tcW w:w="5345" w:type="dxa"/>
            <w:tcBorders>
              <w:top w:val="single" w:color="auto" w:sz="4" w:space="0"/>
              <w:left w:val="single" w:color="auto" w:sz="4" w:space="0"/>
              <w:bottom w:val="single" w:color="auto" w:sz="4" w:space="0"/>
              <w:right w:val="single" w:color="auto" w:sz="4" w:space="0"/>
            </w:tcBorders>
            <w:vAlign w:val="center"/>
          </w:tcPr>
          <w:p w14:paraId="7CDCF19C">
            <w:pPr>
              <w:keepNext/>
              <w:keepLines/>
              <w:spacing w:line="360" w:lineRule="auto"/>
              <w:jc w:val="center"/>
              <w:rPr>
                <w:rFonts w:ascii="宋体" w:hAnsi="宋体" w:cs="宋体"/>
                <w:color w:val="auto"/>
                <w:szCs w:val="21"/>
                <w:highlight w:val="none"/>
              </w:rPr>
            </w:pPr>
            <w:r>
              <w:rPr>
                <w:rFonts w:hint="eastAsia" w:ascii="宋体" w:hAnsi="宋体" w:cs="宋体"/>
                <w:color w:val="auto"/>
                <w:szCs w:val="21"/>
                <w:highlight w:val="none"/>
              </w:rPr>
              <w:t>……</w:t>
            </w:r>
          </w:p>
        </w:tc>
        <w:tc>
          <w:tcPr>
            <w:tcW w:w="1121" w:type="dxa"/>
            <w:tcBorders>
              <w:top w:val="single" w:color="auto" w:sz="4" w:space="0"/>
              <w:left w:val="single" w:color="auto" w:sz="4" w:space="0"/>
              <w:bottom w:val="single" w:color="auto" w:sz="4" w:space="0"/>
              <w:right w:val="single" w:color="auto" w:sz="4" w:space="0"/>
            </w:tcBorders>
            <w:vAlign w:val="center"/>
          </w:tcPr>
          <w:p w14:paraId="122B3006">
            <w:pPr>
              <w:keepNext/>
              <w:keepLines/>
              <w:spacing w:line="360" w:lineRule="auto"/>
              <w:jc w:val="center"/>
              <w:rPr>
                <w:rFonts w:ascii="宋体" w:hAnsi="宋体" w:cs="宋体"/>
                <w:color w:val="auto"/>
                <w:szCs w:val="21"/>
                <w:highlight w:val="none"/>
              </w:rPr>
            </w:pPr>
            <w:r>
              <w:rPr>
                <w:rFonts w:hint="eastAsia" w:ascii="宋体" w:hAnsi="宋体" w:cs="宋体"/>
                <w:color w:val="auto"/>
                <w:szCs w:val="21"/>
                <w:highlight w:val="none"/>
              </w:rPr>
              <w:t>……</w:t>
            </w:r>
          </w:p>
        </w:tc>
      </w:tr>
      <w:tr w14:paraId="0CF0B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6" w:type="dxa"/>
            <w:tcBorders>
              <w:top w:val="single" w:color="auto" w:sz="4" w:space="0"/>
              <w:left w:val="single" w:color="auto" w:sz="4" w:space="0"/>
              <w:bottom w:val="single" w:color="auto" w:sz="4" w:space="0"/>
              <w:right w:val="single" w:color="auto" w:sz="4" w:space="0"/>
            </w:tcBorders>
            <w:vAlign w:val="center"/>
          </w:tcPr>
          <w:p w14:paraId="0D32E0A6">
            <w:pPr>
              <w:spacing w:line="360" w:lineRule="auto"/>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3</w:t>
            </w:r>
          </w:p>
        </w:tc>
        <w:tc>
          <w:tcPr>
            <w:tcW w:w="1370" w:type="dxa"/>
            <w:tcBorders>
              <w:top w:val="single" w:color="auto" w:sz="4" w:space="0"/>
              <w:left w:val="single" w:color="auto" w:sz="4" w:space="0"/>
              <w:bottom w:val="single" w:color="auto" w:sz="4" w:space="0"/>
              <w:right w:val="single" w:color="auto" w:sz="4" w:space="0"/>
            </w:tcBorders>
            <w:vAlign w:val="center"/>
          </w:tcPr>
          <w:p w14:paraId="03E09BB2">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网络安全等级保护测评</w:t>
            </w:r>
          </w:p>
        </w:tc>
        <w:tc>
          <w:tcPr>
            <w:tcW w:w="4863" w:type="dxa"/>
            <w:tcBorders>
              <w:top w:val="single" w:color="auto" w:sz="4" w:space="0"/>
              <w:left w:val="single" w:color="auto" w:sz="4" w:space="0"/>
              <w:bottom w:val="single" w:color="auto" w:sz="4" w:space="0"/>
              <w:right w:val="single" w:color="auto" w:sz="4" w:space="0"/>
            </w:tcBorders>
            <w:vAlign w:val="center"/>
          </w:tcPr>
          <w:p w14:paraId="515BD69F">
            <w:pPr>
              <w:keepNext/>
              <w:keepLines/>
              <w:spacing w:line="360" w:lineRule="auto"/>
              <w:jc w:val="center"/>
              <w:rPr>
                <w:rFonts w:ascii="宋体" w:hAnsi="宋体" w:cs="宋体"/>
                <w:color w:val="auto"/>
                <w:szCs w:val="21"/>
                <w:highlight w:val="none"/>
              </w:rPr>
            </w:pPr>
            <w:r>
              <w:rPr>
                <w:rFonts w:hint="eastAsia" w:ascii="宋体" w:hAnsi="宋体" w:cs="宋体"/>
                <w:color w:val="auto"/>
                <w:szCs w:val="21"/>
                <w:highlight w:val="none"/>
              </w:rPr>
              <w:t>……</w:t>
            </w:r>
          </w:p>
        </w:tc>
        <w:tc>
          <w:tcPr>
            <w:tcW w:w="1375" w:type="dxa"/>
            <w:tcBorders>
              <w:top w:val="single" w:color="auto" w:sz="4" w:space="0"/>
              <w:left w:val="single" w:color="auto" w:sz="4" w:space="0"/>
              <w:bottom w:val="single" w:color="auto" w:sz="4" w:space="0"/>
              <w:right w:val="single" w:color="auto" w:sz="4" w:space="0"/>
            </w:tcBorders>
            <w:vAlign w:val="center"/>
          </w:tcPr>
          <w:p w14:paraId="0B5A2C24">
            <w:pPr>
              <w:keepNext/>
              <w:keepLines/>
              <w:spacing w:line="360" w:lineRule="auto"/>
              <w:jc w:val="center"/>
              <w:rPr>
                <w:rFonts w:ascii="宋体" w:hAnsi="宋体" w:cs="宋体"/>
                <w:color w:val="auto"/>
                <w:szCs w:val="21"/>
                <w:highlight w:val="none"/>
              </w:rPr>
            </w:pPr>
            <w:r>
              <w:rPr>
                <w:rFonts w:hint="eastAsia" w:ascii="宋体" w:hAnsi="宋体" w:cs="宋体"/>
                <w:color w:val="auto"/>
                <w:szCs w:val="21"/>
                <w:highlight w:val="none"/>
              </w:rPr>
              <w:t>……</w:t>
            </w:r>
          </w:p>
        </w:tc>
        <w:tc>
          <w:tcPr>
            <w:tcW w:w="5345" w:type="dxa"/>
            <w:tcBorders>
              <w:top w:val="single" w:color="auto" w:sz="4" w:space="0"/>
              <w:left w:val="single" w:color="auto" w:sz="4" w:space="0"/>
              <w:bottom w:val="single" w:color="auto" w:sz="4" w:space="0"/>
              <w:right w:val="single" w:color="auto" w:sz="4" w:space="0"/>
            </w:tcBorders>
            <w:vAlign w:val="center"/>
          </w:tcPr>
          <w:p w14:paraId="1076B136">
            <w:pPr>
              <w:keepNext/>
              <w:keepLines/>
              <w:spacing w:line="360" w:lineRule="auto"/>
              <w:jc w:val="center"/>
              <w:rPr>
                <w:rFonts w:ascii="宋体" w:hAnsi="宋体" w:cs="宋体"/>
                <w:color w:val="auto"/>
                <w:szCs w:val="21"/>
                <w:highlight w:val="none"/>
              </w:rPr>
            </w:pPr>
            <w:r>
              <w:rPr>
                <w:rFonts w:hint="eastAsia" w:ascii="宋体" w:hAnsi="宋体" w:cs="宋体"/>
                <w:color w:val="auto"/>
                <w:szCs w:val="21"/>
                <w:highlight w:val="none"/>
              </w:rPr>
              <w:t>……</w:t>
            </w:r>
          </w:p>
        </w:tc>
        <w:tc>
          <w:tcPr>
            <w:tcW w:w="1121" w:type="dxa"/>
            <w:tcBorders>
              <w:top w:val="single" w:color="auto" w:sz="4" w:space="0"/>
              <w:left w:val="single" w:color="auto" w:sz="4" w:space="0"/>
              <w:bottom w:val="single" w:color="auto" w:sz="4" w:space="0"/>
              <w:right w:val="single" w:color="auto" w:sz="4" w:space="0"/>
            </w:tcBorders>
            <w:vAlign w:val="center"/>
          </w:tcPr>
          <w:p w14:paraId="29CB0BF9">
            <w:pPr>
              <w:keepNext/>
              <w:keepLines/>
              <w:spacing w:line="360" w:lineRule="auto"/>
              <w:jc w:val="center"/>
              <w:rPr>
                <w:rFonts w:ascii="宋体" w:hAnsi="宋体" w:cs="宋体"/>
                <w:color w:val="auto"/>
                <w:szCs w:val="21"/>
                <w:highlight w:val="none"/>
              </w:rPr>
            </w:pPr>
            <w:r>
              <w:rPr>
                <w:rFonts w:hint="eastAsia" w:ascii="宋体" w:hAnsi="宋体" w:cs="宋体"/>
                <w:color w:val="auto"/>
                <w:szCs w:val="21"/>
                <w:highlight w:val="none"/>
              </w:rPr>
              <w:t>……</w:t>
            </w:r>
          </w:p>
        </w:tc>
      </w:tr>
      <w:tr w14:paraId="1E9B3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6" w:type="dxa"/>
            <w:tcBorders>
              <w:top w:val="single" w:color="auto" w:sz="4" w:space="0"/>
              <w:left w:val="single" w:color="auto" w:sz="4" w:space="0"/>
              <w:bottom w:val="single" w:color="auto" w:sz="4" w:space="0"/>
              <w:right w:val="single" w:color="auto" w:sz="4" w:space="0"/>
            </w:tcBorders>
            <w:vAlign w:val="center"/>
          </w:tcPr>
          <w:p w14:paraId="2B9DD74E">
            <w:pPr>
              <w:spacing w:line="360" w:lineRule="auto"/>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4</w:t>
            </w:r>
          </w:p>
        </w:tc>
        <w:tc>
          <w:tcPr>
            <w:tcW w:w="1370" w:type="dxa"/>
            <w:tcBorders>
              <w:top w:val="single" w:color="auto" w:sz="4" w:space="0"/>
              <w:left w:val="single" w:color="auto" w:sz="4" w:space="0"/>
              <w:bottom w:val="single" w:color="auto" w:sz="4" w:space="0"/>
              <w:right w:val="single" w:color="auto" w:sz="4" w:space="0"/>
            </w:tcBorders>
            <w:vAlign w:val="center"/>
          </w:tcPr>
          <w:p w14:paraId="44CE4966">
            <w:pPr>
              <w:spacing w:line="360" w:lineRule="auto"/>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商用密码应用系统安全性评估</w:t>
            </w:r>
          </w:p>
        </w:tc>
        <w:tc>
          <w:tcPr>
            <w:tcW w:w="4863" w:type="dxa"/>
            <w:tcBorders>
              <w:top w:val="single" w:color="auto" w:sz="4" w:space="0"/>
              <w:left w:val="single" w:color="auto" w:sz="4" w:space="0"/>
              <w:bottom w:val="single" w:color="auto" w:sz="4" w:space="0"/>
              <w:right w:val="single" w:color="auto" w:sz="4" w:space="0"/>
            </w:tcBorders>
            <w:vAlign w:val="center"/>
          </w:tcPr>
          <w:p w14:paraId="4C32C5F6">
            <w:pPr>
              <w:keepNext/>
              <w:keepLines/>
              <w:spacing w:line="360" w:lineRule="auto"/>
              <w:jc w:val="center"/>
              <w:rPr>
                <w:rFonts w:ascii="宋体" w:hAnsi="宋体" w:cs="宋体"/>
                <w:color w:val="auto"/>
                <w:szCs w:val="21"/>
                <w:highlight w:val="none"/>
              </w:rPr>
            </w:pPr>
            <w:r>
              <w:rPr>
                <w:rFonts w:hint="eastAsia" w:ascii="宋体" w:hAnsi="宋体" w:cs="宋体"/>
                <w:color w:val="auto"/>
                <w:szCs w:val="21"/>
                <w:highlight w:val="none"/>
              </w:rPr>
              <w:t>……</w:t>
            </w:r>
          </w:p>
        </w:tc>
        <w:tc>
          <w:tcPr>
            <w:tcW w:w="1375" w:type="dxa"/>
            <w:tcBorders>
              <w:top w:val="single" w:color="auto" w:sz="4" w:space="0"/>
              <w:left w:val="single" w:color="auto" w:sz="4" w:space="0"/>
              <w:bottom w:val="single" w:color="auto" w:sz="4" w:space="0"/>
              <w:right w:val="single" w:color="auto" w:sz="4" w:space="0"/>
            </w:tcBorders>
            <w:vAlign w:val="center"/>
          </w:tcPr>
          <w:p w14:paraId="668BE32C">
            <w:pPr>
              <w:keepNext/>
              <w:keepLines/>
              <w:spacing w:line="360" w:lineRule="auto"/>
              <w:jc w:val="center"/>
              <w:rPr>
                <w:rFonts w:ascii="宋体" w:hAnsi="宋体" w:cs="宋体"/>
                <w:color w:val="auto"/>
                <w:szCs w:val="21"/>
                <w:highlight w:val="none"/>
              </w:rPr>
            </w:pPr>
            <w:r>
              <w:rPr>
                <w:rFonts w:hint="eastAsia" w:ascii="宋体" w:hAnsi="宋体" w:cs="宋体"/>
                <w:color w:val="auto"/>
                <w:szCs w:val="21"/>
                <w:highlight w:val="none"/>
              </w:rPr>
              <w:t>……</w:t>
            </w:r>
          </w:p>
        </w:tc>
        <w:tc>
          <w:tcPr>
            <w:tcW w:w="5345" w:type="dxa"/>
            <w:tcBorders>
              <w:top w:val="single" w:color="auto" w:sz="4" w:space="0"/>
              <w:left w:val="single" w:color="auto" w:sz="4" w:space="0"/>
              <w:bottom w:val="single" w:color="auto" w:sz="4" w:space="0"/>
              <w:right w:val="single" w:color="auto" w:sz="4" w:space="0"/>
            </w:tcBorders>
            <w:vAlign w:val="center"/>
          </w:tcPr>
          <w:p w14:paraId="1DB87318">
            <w:pPr>
              <w:keepNext/>
              <w:keepLines/>
              <w:spacing w:line="360" w:lineRule="auto"/>
              <w:jc w:val="center"/>
              <w:rPr>
                <w:rFonts w:ascii="宋体" w:hAnsi="宋体" w:cs="宋体"/>
                <w:color w:val="auto"/>
                <w:szCs w:val="21"/>
                <w:highlight w:val="none"/>
              </w:rPr>
            </w:pPr>
            <w:r>
              <w:rPr>
                <w:rFonts w:hint="eastAsia" w:ascii="宋体" w:hAnsi="宋体" w:cs="宋体"/>
                <w:color w:val="auto"/>
                <w:szCs w:val="21"/>
                <w:highlight w:val="none"/>
              </w:rPr>
              <w:t>……</w:t>
            </w:r>
          </w:p>
        </w:tc>
        <w:tc>
          <w:tcPr>
            <w:tcW w:w="1121" w:type="dxa"/>
            <w:tcBorders>
              <w:top w:val="single" w:color="auto" w:sz="4" w:space="0"/>
              <w:left w:val="single" w:color="auto" w:sz="4" w:space="0"/>
              <w:bottom w:val="single" w:color="auto" w:sz="4" w:space="0"/>
              <w:right w:val="single" w:color="auto" w:sz="4" w:space="0"/>
            </w:tcBorders>
            <w:vAlign w:val="center"/>
          </w:tcPr>
          <w:p w14:paraId="4D2DBA35">
            <w:pPr>
              <w:keepNext/>
              <w:keepLines/>
              <w:spacing w:line="360" w:lineRule="auto"/>
              <w:jc w:val="center"/>
              <w:rPr>
                <w:rFonts w:ascii="宋体" w:hAnsi="宋体" w:cs="宋体"/>
                <w:color w:val="auto"/>
                <w:szCs w:val="21"/>
                <w:highlight w:val="none"/>
              </w:rPr>
            </w:pPr>
            <w:r>
              <w:rPr>
                <w:rFonts w:hint="eastAsia" w:ascii="宋体" w:hAnsi="宋体" w:cs="宋体"/>
                <w:color w:val="auto"/>
                <w:szCs w:val="21"/>
                <w:highlight w:val="none"/>
              </w:rPr>
              <w:t>……</w:t>
            </w:r>
          </w:p>
        </w:tc>
      </w:tr>
      <w:tr w14:paraId="23F1C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40" w:type="dxa"/>
            <w:gridSpan w:val="6"/>
            <w:tcBorders>
              <w:top w:val="single" w:color="auto" w:sz="4" w:space="0"/>
              <w:left w:val="single" w:color="auto" w:sz="4" w:space="0"/>
              <w:bottom w:val="single" w:color="auto" w:sz="4" w:space="0"/>
              <w:right w:val="single" w:color="auto" w:sz="4" w:space="0"/>
            </w:tcBorders>
            <w:vAlign w:val="center"/>
          </w:tcPr>
          <w:p w14:paraId="0B39EA95">
            <w:pPr>
              <w:keepNext/>
              <w:keepLines/>
              <w:spacing w:line="360" w:lineRule="auto"/>
              <w:rPr>
                <w:rFonts w:ascii="宋体" w:hAnsi="宋体" w:cs="宋体"/>
                <w:color w:val="auto"/>
                <w:szCs w:val="21"/>
                <w:highlight w:val="none"/>
              </w:rPr>
            </w:pPr>
            <w:r>
              <w:rPr>
                <w:rFonts w:hint="eastAsia" w:ascii="宋体" w:hAnsi="宋体" w:cs="宋体"/>
                <w:color w:val="auto"/>
                <w:szCs w:val="21"/>
                <w:highlight w:val="none"/>
              </w:rPr>
              <w:t>分标</w:t>
            </w:r>
            <w:r>
              <w:rPr>
                <w:rFonts w:hint="eastAsia" w:ascii="宋体" w:hAnsi="宋体" w:cs="宋体"/>
                <w:color w:val="auto"/>
                <w:szCs w:val="21"/>
                <w:highlight w:val="none"/>
                <w:u w:val="single"/>
              </w:rPr>
              <w:t>　　</w:t>
            </w:r>
            <w:r>
              <w:rPr>
                <w:rFonts w:hint="eastAsia" w:ascii="宋体" w:hAnsi="宋体" w:cs="宋体"/>
                <w:color w:val="auto"/>
                <w:szCs w:val="21"/>
                <w:highlight w:val="none"/>
              </w:rPr>
              <w:t>（此处有分标时填写具体分标号，无分标时填写“无”）</w:t>
            </w:r>
          </w:p>
        </w:tc>
      </w:tr>
    </w:tbl>
    <w:p w14:paraId="4E9A42FC">
      <w:pPr>
        <w:pStyle w:val="16"/>
        <w:keepNext/>
        <w:keepLines/>
        <w:spacing w:line="360" w:lineRule="auto"/>
        <w:rPr>
          <w:rFonts w:ascii="仿宋" w:hAnsi="仿宋" w:eastAsia="仿宋" w:cs="仿宋"/>
          <w:color w:val="auto"/>
          <w:highlight w:val="none"/>
        </w:rPr>
      </w:pPr>
      <w:r>
        <w:rPr>
          <w:rFonts w:hint="eastAsia" w:ascii="仿宋" w:hAnsi="仿宋" w:eastAsia="仿宋" w:cs="仿宋"/>
          <w:color w:val="auto"/>
          <w:highlight w:val="none"/>
        </w:rPr>
        <w:t>注：</w:t>
      </w:r>
    </w:p>
    <w:p w14:paraId="4E479A34">
      <w:pPr>
        <w:pStyle w:val="16"/>
        <w:keepNext/>
        <w:keepLines/>
        <w:spacing w:line="360" w:lineRule="auto"/>
        <w:ind w:left="-8" w:firstLine="426" w:firstLineChars="203"/>
        <w:rPr>
          <w:rFonts w:ascii="仿宋" w:hAnsi="仿宋" w:eastAsia="仿宋" w:cs="仿宋"/>
          <w:color w:val="auto"/>
          <w:highlight w:val="none"/>
        </w:rPr>
      </w:pPr>
      <w:r>
        <w:rPr>
          <w:rFonts w:hint="eastAsia" w:ascii="仿宋" w:hAnsi="仿宋" w:eastAsia="仿宋" w:cs="仿宋"/>
          <w:color w:val="auto"/>
          <w:highlight w:val="none"/>
        </w:rPr>
        <w:t>1.表格内容均须按要求填写并盖章，不得留空，</w:t>
      </w:r>
      <w:r>
        <w:rPr>
          <w:rFonts w:hint="eastAsia" w:ascii="仿宋" w:hAnsi="仿宋" w:eastAsia="仿宋" w:cs="仿宋"/>
          <w:b/>
          <w:bCs/>
          <w:color w:val="auto"/>
          <w:highlight w:val="none"/>
        </w:rPr>
        <w:t>否则按投标无效处理</w:t>
      </w:r>
      <w:r>
        <w:rPr>
          <w:rFonts w:hint="eastAsia" w:ascii="仿宋" w:hAnsi="仿宋" w:eastAsia="仿宋" w:cs="仿宋"/>
          <w:color w:val="auto"/>
          <w:highlight w:val="none"/>
        </w:rPr>
        <w:t>。</w:t>
      </w:r>
    </w:p>
    <w:p w14:paraId="5BFC1FB8">
      <w:pPr>
        <w:pStyle w:val="16"/>
        <w:keepNext/>
        <w:keepLines/>
        <w:spacing w:line="360" w:lineRule="auto"/>
        <w:ind w:left="-8" w:firstLine="426" w:firstLineChars="203"/>
        <w:rPr>
          <w:rFonts w:ascii="仿宋" w:hAnsi="仿宋" w:eastAsia="仿宋" w:cs="仿宋"/>
          <w:color w:val="auto"/>
          <w:szCs w:val="21"/>
          <w:highlight w:val="none"/>
        </w:rPr>
      </w:pPr>
      <w:r>
        <w:rPr>
          <w:rFonts w:hint="eastAsia" w:ascii="仿宋" w:hAnsi="仿宋" w:eastAsia="仿宋" w:cs="仿宋"/>
          <w:color w:val="auto"/>
          <w:highlight w:val="none"/>
        </w:rPr>
        <w:t>2.当投标文件的服务内容低于招标文件</w:t>
      </w:r>
      <w:r>
        <w:rPr>
          <w:rFonts w:hint="eastAsia" w:ascii="仿宋" w:hAnsi="仿宋" w:eastAsia="仿宋" w:cs="仿宋"/>
          <w:color w:val="auto"/>
          <w:szCs w:val="21"/>
          <w:highlight w:val="none"/>
        </w:rPr>
        <w:t>要求时，投标人应当如实写明“负偏离”，否则视为虚假应标。</w:t>
      </w:r>
    </w:p>
    <w:p w14:paraId="7254362C">
      <w:pPr>
        <w:pStyle w:val="16"/>
        <w:keepNext/>
        <w:keepLines/>
        <w:spacing w:line="360" w:lineRule="auto"/>
        <w:ind w:left="-8" w:firstLine="428" w:firstLineChars="203"/>
        <w:rPr>
          <w:rFonts w:ascii="仿宋" w:hAnsi="仿宋" w:eastAsia="仿宋" w:cs="仿宋"/>
          <w:b/>
          <w:bCs/>
          <w:color w:val="auto"/>
          <w:highlight w:val="none"/>
        </w:rPr>
      </w:pPr>
      <w:r>
        <w:rPr>
          <w:rFonts w:hint="eastAsia" w:ascii="仿宋" w:hAnsi="仿宋" w:eastAsia="仿宋" w:cs="仿宋"/>
          <w:b/>
          <w:bCs/>
          <w:color w:val="auto"/>
          <w:highlight w:val="none"/>
        </w:rPr>
        <w:t>3.如果招标文件需求为小于或大于某个数值标准时，投标文件承诺不得直接复制招标文件需求，投标文件承诺内容应当写明投标服务（货物）具体参数或商务响应承诺的具体数值，否则按投标无效处理。</w:t>
      </w:r>
    </w:p>
    <w:p w14:paraId="1D841B85">
      <w:pPr>
        <w:pStyle w:val="38"/>
        <w:rPr>
          <w:rFonts w:eastAsia="仿宋"/>
          <w:color w:val="auto"/>
          <w:highlight w:val="none"/>
        </w:rPr>
      </w:pPr>
    </w:p>
    <w:p w14:paraId="29039806">
      <w:pPr>
        <w:keepNext/>
        <w:keepLines/>
        <w:snapToGrid w:val="0"/>
        <w:spacing w:line="360" w:lineRule="auto"/>
        <w:ind w:firstLine="4935" w:firstLineChars="2350"/>
        <w:rPr>
          <w:rFonts w:ascii="宋体" w:hAnsi="宋体" w:cs="宋体"/>
          <w:color w:val="auto"/>
          <w:szCs w:val="21"/>
          <w:highlight w:val="none"/>
        </w:rPr>
      </w:pPr>
      <w:r>
        <w:rPr>
          <w:rFonts w:hint="eastAsia" w:ascii="宋体" w:hAnsi="宋体" w:cs="宋体"/>
          <w:color w:val="auto"/>
          <w:szCs w:val="21"/>
          <w:highlight w:val="none"/>
        </w:rPr>
        <w:t xml:space="preserve">  </w:t>
      </w:r>
    </w:p>
    <w:p w14:paraId="62D318FD">
      <w:pPr>
        <w:keepNext/>
        <w:keepLines/>
        <w:snapToGrid w:val="0"/>
        <w:spacing w:line="360" w:lineRule="auto"/>
        <w:ind w:firstLine="4935" w:firstLineChars="2350"/>
        <w:rPr>
          <w:rFonts w:ascii="宋体" w:hAnsi="宋体" w:cs="宋体"/>
          <w:color w:val="auto"/>
          <w:kern w:val="0"/>
          <w:szCs w:val="21"/>
          <w:highlight w:val="none"/>
        </w:rPr>
      </w:pPr>
      <w:r>
        <w:rPr>
          <w:rFonts w:hint="eastAsia" w:ascii="宋体" w:hAnsi="宋体" w:cs="宋体"/>
          <w:color w:val="auto"/>
          <w:kern w:val="0"/>
          <w:szCs w:val="21"/>
          <w:highlight w:val="none"/>
          <w:lang w:val="zh-CN"/>
        </w:rPr>
        <w:t>投标人名称（电子签章）：</w:t>
      </w:r>
    </w:p>
    <w:p w14:paraId="7F171740">
      <w:pPr>
        <w:keepNext/>
        <w:keepLines/>
        <w:snapToGrid w:val="0"/>
        <w:spacing w:line="360" w:lineRule="auto"/>
        <w:ind w:firstLine="5145" w:firstLineChars="2450"/>
        <w:rPr>
          <w:rFonts w:ascii="宋体" w:hAnsi="宋体" w:cs="宋体"/>
          <w:color w:val="auto"/>
          <w:kern w:val="0"/>
          <w:szCs w:val="21"/>
          <w:highlight w:val="none"/>
          <w:lang w:val="zh-CN"/>
        </w:rPr>
        <w:sectPr>
          <w:pgSz w:w="16838" w:h="11906" w:orient="landscape"/>
          <w:pgMar w:top="1440" w:right="1080" w:bottom="1440" w:left="1080" w:header="720" w:footer="720" w:gutter="0"/>
          <w:pgBorders>
            <w:top w:val="none" w:sz="0" w:space="0"/>
            <w:left w:val="none" w:sz="0" w:space="0"/>
            <w:bottom w:val="none" w:sz="0" w:space="0"/>
            <w:right w:val="none" w:sz="0" w:space="0"/>
          </w:pgBorders>
          <w:cols w:space="720" w:num="1"/>
          <w:docGrid w:linePitch="331" w:charSpace="0"/>
        </w:sectPr>
      </w:pPr>
      <w:r>
        <w:rPr>
          <w:rFonts w:hint="eastAsia" w:ascii="宋体" w:hAnsi="宋体" w:cs="宋体"/>
          <w:color w:val="auto"/>
          <w:kern w:val="0"/>
          <w:szCs w:val="21"/>
          <w:highlight w:val="none"/>
          <w:lang w:val="zh-CN"/>
        </w:rPr>
        <w:t>日期</w:t>
      </w:r>
      <w:r>
        <w:rPr>
          <w:rFonts w:hint="eastAsia" w:ascii="宋体" w:hAnsi="宋体" w:cs="宋体"/>
          <w:color w:val="auto"/>
          <w:kern w:val="0"/>
          <w:szCs w:val="21"/>
          <w:highlight w:val="none"/>
        </w:rPr>
        <w:t xml:space="preserve">：  年  </w:t>
      </w:r>
      <w:r>
        <w:rPr>
          <w:rFonts w:hint="eastAsia" w:ascii="宋体" w:hAnsi="宋体" w:cs="宋体"/>
          <w:color w:val="auto"/>
          <w:kern w:val="0"/>
          <w:szCs w:val="21"/>
          <w:highlight w:val="none"/>
          <w:lang w:val="zh-CN"/>
        </w:rPr>
        <w:t>月</w:t>
      </w:r>
      <w:r>
        <w:rPr>
          <w:rFonts w:hint="eastAsia" w:ascii="宋体" w:hAnsi="宋体" w:cs="宋体"/>
          <w:color w:val="auto"/>
          <w:kern w:val="0"/>
          <w:szCs w:val="21"/>
          <w:highlight w:val="none"/>
        </w:rPr>
        <w:t xml:space="preserve">   </w:t>
      </w:r>
      <w:r>
        <w:rPr>
          <w:rFonts w:hint="eastAsia" w:ascii="宋体" w:hAnsi="宋体" w:cs="宋体"/>
          <w:color w:val="auto"/>
          <w:kern w:val="0"/>
          <w:szCs w:val="21"/>
          <w:highlight w:val="none"/>
          <w:lang w:val="zh-CN"/>
        </w:rPr>
        <w:t>日</w:t>
      </w:r>
    </w:p>
    <w:p w14:paraId="5A0AD7A7">
      <w:pPr>
        <w:keepNext/>
        <w:keepLines/>
        <w:spacing w:line="360" w:lineRule="auto"/>
        <w:outlineLvl w:val="2"/>
        <w:rPr>
          <w:rFonts w:ascii="宋体" w:hAnsi="宋体" w:cs="宋体"/>
          <w:b/>
          <w:color w:val="auto"/>
          <w:sz w:val="30"/>
          <w:szCs w:val="30"/>
          <w:highlight w:val="none"/>
        </w:rPr>
      </w:pPr>
      <w:bookmarkStart w:id="216" w:name="_Toc177716566"/>
      <w:r>
        <w:rPr>
          <w:rFonts w:hint="eastAsia" w:ascii="宋体" w:hAnsi="宋体" w:cs="宋体"/>
          <w:b/>
          <w:color w:val="auto"/>
          <w:sz w:val="30"/>
          <w:szCs w:val="30"/>
          <w:highlight w:val="none"/>
        </w:rPr>
        <w:t>六、项目实施人员一览表</w:t>
      </w:r>
      <w:bookmarkEnd w:id="216"/>
    </w:p>
    <w:p w14:paraId="78520493">
      <w:pPr>
        <w:keepNext/>
        <w:keepLines/>
        <w:spacing w:line="360" w:lineRule="auto"/>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项目实施人员一览表</w:t>
      </w:r>
    </w:p>
    <w:p w14:paraId="601D666E">
      <w:pPr>
        <w:keepNext/>
        <w:keepLines/>
        <w:autoSpaceDE w:val="0"/>
        <w:autoSpaceDN w:val="0"/>
        <w:spacing w:line="360" w:lineRule="auto"/>
        <w:jc w:val="center"/>
        <w:rPr>
          <w:rFonts w:ascii="宋体" w:hAnsi="宋体" w:cs="宋体"/>
          <w:b/>
          <w:color w:val="auto"/>
          <w:sz w:val="24"/>
          <w:highlight w:val="none"/>
        </w:rPr>
      </w:pPr>
      <w:r>
        <w:rPr>
          <w:rFonts w:hint="eastAsia" w:ascii="宋体" w:hAnsi="宋体" w:cs="宋体"/>
          <w:color w:val="auto"/>
          <w:sz w:val="24"/>
          <w:highlight w:val="none"/>
        </w:rPr>
        <w:t>（格式仅供参考）</w:t>
      </w:r>
    </w:p>
    <w:tbl>
      <w:tblPr>
        <w:tblStyle w:val="30"/>
        <w:tblW w:w="9526" w:type="dxa"/>
        <w:jc w:val="center"/>
        <w:tblLayout w:type="fixed"/>
        <w:tblCellMar>
          <w:top w:w="0" w:type="dxa"/>
          <w:left w:w="108" w:type="dxa"/>
          <w:bottom w:w="0" w:type="dxa"/>
          <w:right w:w="108" w:type="dxa"/>
        </w:tblCellMar>
      </w:tblPr>
      <w:tblGrid>
        <w:gridCol w:w="474"/>
        <w:gridCol w:w="889"/>
        <w:gridCol w:w="466"/>
        <w:gridCol w:w="662"/>
        <w:gridCol w:w="1170"/>
        <w:gridCol w:w="1487"/>
        <w:gridCol w:w="1163"/>
        <w:gridCol w:w="1187"/>
        <w:gridCol w:w="950"/>
        <w:gridCol w:w="1078"/>
      </w:tblGrid>
      <w:tr w14:paraId="1C52AA4B">
        <w:tblPrEx>
          <w:tblCellMar>
            <w:top w:w="0" w:type="dxa"/>
            <w:left w:w="108" w:type="dxa"/>
            <w:bottom w:w="0" w:type="dxa"/>
            <w:right w:w="108" w:type="dxa"/>
          </w:tblCellMar>
        </w:tblPrEx>
        <w:trPr>
          <w:jc w:val="center"/>
        </w:trPr>
        <w:tc>
          <w:tcPr>
            <w:tcW w:w="474" w:type="dxa"/>
            <w:tcBorders>
              <w:top w:val="single" w:color="auto" w:sz="6" w:space="0"/>
              <w:left w:val="single" w:color="auto" w:sz="6" w:space="0"/>
              <w:bottom w:val="single" w:color="auto" w:sz="6" w:space="0"/>
              <w:right w:val="single" w:color="auto" w:sz="6" w:space="0"/>
            </w:tcBorders>
            <w:shd w:val="clear" w:color="auto" w:fill="D7D7D7"/>
            <w:vAlign w:val="center"/>
          </w:tcPr>
          <w:p w14:paraId="24CF2751">
            <w:pPr>
              <w:keepNext/>
              <w:keepLines/>
              <w:autoSpaceDE w:val="0"/>
              <w:autoSpaceDN w:val="0"/>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序号</w:t>
            </w:r>
          </w:p>
        </w:tc>
        <w:tc>
          <w:tcPr>
            <w:tcW w:w="889" w:type="dxa"/>
            <w:tcBorders>
              <w:top w:val="single" w:color="auto" w:sz="6" w:space="0"/>
              <w:left w:val="single" w:color="auto" w:sz="6" w:space="0"/>
              <w:bottom w:val="single" w:color="auto" w:sz="6" w:space="0"/>
              <w:right w:val="single" w:color="auto" w:sz="6" w:space="0"/>
            </w:tcBorders>
            <w:shd w:val="clear" w:color="auto" w:fill="D7D7D7"/>
            <w:vAlign w:val="center"/>
          </w:tcPr>
          <w:p w14:paraId="6F684C4D">
            <w:pPr>
              <w:keepNext/>
              <w:keepLines/>
              <w:autoSpaceDE w:val="0"/>
              <w:autoSpaceDN w:val="0"/>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姓名</w:t>
            </w:r>
          </w:p>
        </w:tc>
        <w:tc>
          <w:tcPr>
            <w:tcW w:w="466" w:type="dxa"/>
            <w:tcBorders>
              <w:top w:val="single" w:color="auto" w:sz="6" w:space="0"/>
              <w:left w:val="single" w:color="auto" w:sz="6" w:space="0"/>
              <w:bottom w:val="single" w:color="auto" w:sz="6" w:space="0"/>
              <w:right w:val="single" w:color="auto" w:sz="6" w:space="0"/>
            </w:tcBorders>
            <w:shd w:val="clear" w:color="auto" w:fill="D7D7D7"/>
            <w:vAlign w:val="center"/>
          </w:tcPr>
          <w:p w14:paraId="1CF8D9A9">
            <w:pPr>
              <w:keepNext/>
              <w:keepLines/>
              <w:autoSpaceDE w:val="0"/>
              <w:autoSpaceDN w:val="0"/>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性别</w:t>
            </w:r>
          </w:p>
        </w:tc>
        <w:tc>
          <w:tcPr>
            <w:tcW w:w="662" w:type="dxa"/>
            <w:tcBorders>
              <w:top w:val="single" w:color="auto" w:sz="6" w:space="0"/>
              <w:left w:val="single" w:color="auto" w:sz="6" w:space="0"/>
              <w:bottom w:val="single" w:color="auto" w:sz="6" w:space="0"/>
              <w:right w:val="single" w:color="auto" w:sz="6" w:space="0"/>
            </w:tcBorders>
            <w:shd w:val="clear" w:color="auto" w:fill="D7D7D7"/>
            <w:vAlign w:val="center"/>
          </w:tcPr>
          <w:p w14:paraId="6062335C">
            <w:pPr>
              <w:keepNext/>
              <w:keepLines/>
              <w:autoSpaceDE w:val="0"/>
              <w:autoSpaceDN w:val="0"/>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年龄</w:t>
            </w:r>
          </w:p>
        </w:tc>
        <w:tc>
          <w:tcPr>
            <w:tcW w:w="1170" w:type="dxa"/>
            <w:tcBorders>
              <w:top w:val="single" w:color="auto" w:sz="6" w:space="0"/>
              <w:left w:val="single" w:color="auto" w:sz="6" w:space="0"/>
              <w:bottom w:val="single" w:color="auto" w:sz="6" w:space="0"/>
              <w:right w:val="single" w:color="auto" w:sz="6" w:space="0"/>
            </w:tcBorders>
            <w:shd w:val="clear" w:color="auto" w:fill="D7D7D7"/>
            <w:vAlign w:val="center"/>
          </w:tcPr>
          <w:p w14:paraId="168370B2">
            <w:pPr>
              <w:keepNext/>
              <w:keepLines/>
              <w:autoSpaceDE w:val="0"/>
              <w:autoSpaceDN w:val="0"/>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学历</w:t>
            </w:r>
          </w:p>
          <w:p w14:paraId="1DD94A4A">
            <w:pPr>
              <w:keepNext/>
              <w:keepLines/>
              <w:autoSpaceDE w:val="0"/>
              <w:autoSpaceDN w:val="0"/>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（页码）</w:t>
            </w:r>
          </w:p>
        </w:tc>
        <w:tc>
          <w:tcPr>
            <w:tcW w:w="1487" w:type="dxa"/>
            <w:tcBorders>
              <w:top w:val="single" w:color="auto" w:sz="6" w:space="0"/>
              <w:left w:val="single" w:color="auto" w:sz="6" w:space="0"/>
              <w:bottom w:val="single" w:color="auto" w:sz="6" w:space="0"/>
              <w:right w:val="single" w:color="auto" w:sz="6" w:space="0"/>
            </w:tcBorders>
            <w:shd w:val="clear" w:color="auto" w:fill="D7D7D7"/>
            <w:vAlign w:val="center"/>
          </w:tcPr>
          <w:p w14:paraId="389D0DDA">
            <w:pPr>
              <w:keepNext/>
              <w:keepLines/>
              <w:autoSpaceDE w:val="0"/>
              <w:autoSpaceDN w:val="0"/>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专业及职称</w:t>
            </w:r>
          </w:p>
          <w:p w14:paraId="34BAFBC3">
            <w:pPr>
              <w:keepNext/>
              <w:keepLines/>
              <w:autoSpaceDE w:val="0"/>
              <w:autoSpaceDN w:val="0"/>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（页码）</w:t>
            </w:r>
          </w:p>
        </w:tc>
        <w:tc>
          <w:tcPr>
            <w:tcW w:w="1163" w:type="dxa"/>
            <w:tcBorders>
              <w:top w:val="single" w:color="auto" w:sz="6" w:space="0"/>
              <w:left w:val="single" w:color="auto" w:sz="6" w:space="0"/>
              <w:bottom w:val="single" w:color="auto" w:sz="6" w:space="0"/>
              <w:right w:val="single" w:color="auto" w:sz="6" w:space="0"/>
            </w:tcBorders>
            <w:shd w:val="clear" w:color="auto" w:fill="D7D7D7"/>
            <w:vAlign w:val="center"/>
          </w:tcPr>
          <w:p w14:paraId="5BA61BDC">
            <w:pPr>
              <w:keepNext/>
              <w:keepLines/>
              <w:autoSpaceDE w:val="0"/>
              <w:autoSpaceDN w:val="0"/>
              <w:spacing w:line="360" w:lineRule="auto"/>
              <w:jc w:val="center"/>
              <w:rPr>
                <w:rFonts w:ascii="宋体" w:hAnsi="宋体" w:cs="宋体"/>
                <w:b/>
                <w:bCs/>
                <w:color w:val="auto"/>
                <w:szCs w:val="21"/>
                <w:highlight w:val="none"/>
              </w:rPr>
            </w:pPr>
            <w:r>
              <w:rPr>
                <w:rFonts w:hint="eastAsia" w:ascii="宋体" w:hAnsi="宋体"/>
                <w:b/>
                <w:bCs/>
                <w:color w:val="auto"/>
                <w:szCs w:val="21"/>
                <w:highlight w:val="none"/>
              </w:rPr>
              <w:t>资格（注册）证书</w:t>
            </w:r>
            <w:r>
              <w:rPr>
                <w:rFonts w:hint="eastAsia" w:ascii="宋体" w:hAnsi="宋体" w:cs="宋体"/>
                <w:b/>
                <w:bCs/>
                <w:color w:val="auto"/>
                <w:szCs w:val="21"/>
                <w:highlight w:val="none"/>
              </w:rPr>
              <w:t>（页码）</w:t>
            </w:r>
          </w:p>
        </w:tc>
        <w:tc>
          <w:tcPr>
            <w:tcW w:w="1187" w:type="dxa"/>
            <w:tcBorders>
              <w:top w:val="single" w:color="auto" w:sz="6" w:space="0"/>
              <w:left w:val="single" w:color="auto" w:sz="6" w:space="0"/>
              <w:bottom w:val="single" w:color="auto" w:sz="6" w:space="0"/>
              <w:right w:val="single" w:color="auto" w:sz="6" w:space="0"/>
            </w:tcBorders>
            <w:shd w:val="clear" w:color="auto" w:fill="D7D7D7"/>
            <w:vAlign w:val="center"/>
          </w:tcPr>
          <w:p w14:paraId="0F36FC5B">
            <w:pPr>
              <w:keepNext/>
              <w:keepLines/>
              <w:autoSpaceDE w:val="0"/>
              <w:autoSpaceDN w:val="0"/>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本项目中的职责</w:t>
            </w:r>
          </w:p>
        </w:tc>
        <w:tc>
          <w:tcPr>
            <w:tcW w:w="950" w:type="dxa"/>
            <w:tcBorders>
              <w:top w:val="single" w:color="auto" w:sz="6" w:space="0"/>
              <w:left w:val="single" w:color="auto" w:sz="6" w:space="0"/>
              <w:bottom w:val="single" w:color="auto" w:sz="6" w:space="0"/>
              <w:right w:val="single" w:color="auto" w:sz="6" w:space="0"/>
            </w:tcBorders>
            <w:shd w:val="clear" w:color="auto" w:fill="D7D7D7"/>
            <w:vAlign w:val="center"/>
          </w:tcPr>
          <w:p w14:paraId="017A57F7">
            <w:pPr>
              <w:keepNext/>
              <w:keepLines/>
              <w:autoSpaceDE w:val="0"/>
              <w:autoSpaceDN w:val="0"/>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项目经历</w:t>
            </w:r>
          </w:p>
        </w:tc>
        <w:tc>
          <w:tcPr>
            <w:tcW w:w="1078" w:type="dxa"/>
            <w:tcBorders>
              <w:top w:val="single" w:color="auto" w:sz="6" w:space="0"/>
              <w:left w:val="single" w:color="auto" w:sz="6" w:space="0"/>
              <w:bottom w:val="single" w:color="auto" w:sz="6" w:space="0"/>
              <w:right w:val="single" w:color="auto" w:sz="6" w:space="0"/>
            </w:tcBorders>
            <w:shd w:val="clear" w:color="auto" w:fill="D7D7D7"/>
            <w:vAlign w:val="center"/>
          </w:tcPr>
          <w:p w14:paraId="512BCA03">
            <w:pPr>
              <w:keepNext/>
              <w:keepLines/>
              <w:autoSpaceDE w:val="0"/>
              <w:autoSpaceDN w:val="0"/>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其他说明</w:t>
            </w:r>
          </w:p>
        </w:tc>
      </w:tr>
      <w:tr w14:paraId="5009CE9B">
        <w:tblPrEx>
          <w:tblCellMar>
            <w:top w:w="0" w:type="dxa"/>
            <w:left w:w="108" w:type="dxa"/>
            <w:bottom w:w="0" w:type="dxa"/>
            <w:right w:w="108" w:type="dxa"/>
          </w:tblCellMar>
        </w:tblPrEx>
        <w:trPr>
          <w:trHeight w:val="479" w:hRule="atLeast"/>
          <w:jc w:val="center"/>
        </w:trPr>
        <w:tc>
          <w:tcPr>
            <w:tcW w:w="474" w:type="dxa"/>
            <w:tcBorders>
              <w:top w:val="single" w:color="auto" w:sz="6" w:space="0"/>
              <w:left w:val="single" w:color="auto" w:sz="6" w:space="0"/>
              <w:bottom w:val="single" w:color="auto" w:sz="6" w:space="0"/>
              <w:right w:val="single" w:color="auto" w:sz="6" w:space="0"/>
            </w:tcBorders>
          </w:tcPr>
          <w:p w14:paraId="1C5FEDBE">
            <w:pPr>
              <w:keepNext/>
              <w:keepLines/>
              <w:autoSpaceDE w:val="0"/>
              <w:autoSpaceDN w:val="0"/>
              <w:spacing w:line="360" w:lineRule="auto"/>
              <w:jc w:val="center"/>
              <w:rPr>
                <w:rFonts w:ascii="宋体" w:hAnsi="宋体" w:cs="宋体"/>
                <w:color w:val="auto"/>
                <w:szCs w:val="21"/>
                <w:highlight w:val="none"/>
              </w:rPr>
            </w:pPr>
          </w:p>
        </w:tc>
        <w:tc>
          <w:tcPr>
            <w:tcW w:w="889" w:type="dxa"/>
            <w:tcBorders>
              <w:top w:val="single" w:color="auto" w:sz="6" w:space="0"/>
              <w:left w:val="single" w:color="auto" w:sz="6" w:space="0"/>
              <w:bottom w:val="single" w:color="auto" w:sz="6" w:space="0"/>
              <w:right w:val="single" w:color="auto" w:sz="6" w:space="0"/>
            </w:tcBorders>
          </w:tcPr>
          <w:p w14:paraId="3B300306">
            <w:pPr>
              <w:keepNext/>
              <w:keepLines/>
              <w:autoSpaceDE w:val="0"/>
              <w:autoSpaceDN w:val="0"/>
              <w:spacing w:line="360" w:lineRule="auto"/>
              <w:rPr>
                <w:rFonts w:ascii="宋体" w:hAnsi="宋体" w:cs="宋体"/>
                <w:color w:val="auto"/>
                <w:szCs w:val="21"/>
                <w:highlight w:val="none"/>
              </w:rPr>
            </w:pPr>
          </w:p>
        </w:tc>
        <w:tc>
          <w:tcPr>
            <w:tcW w:w="466" w:type="dxa"/>
            <w:tcBorders>
              <w:top w:val="single" w:color="auto" w:sz="6" w:space="0"/>
              <w:left w:val="single" w:color="auto" w:sz="6" w:space="0"/>
              <w:bottom w:val="single" w:color="auto" w:sz="6" w:space="0"/>
              <w:right w:val="single" w:color="auto" w:sz="6" w:space="0"/>
            </w:tcBorders>
          </w:tcPr>
          <w:p w14:paraId="72BB4DCE">
            <w:pPr>
              <w:keepNext/>
              <w:keepLines/>
              <w:autoSpaceDE w:val="0"/>
              <w:autoSpaceDN w:val="0"/>
              <w:spacing w:line="360" w:lineRule="auto"/>
              <w:rPr>
                <w:rFonts w:ascii="宋体" w:hAnsi="宋体" w:cs="宋体"/>
                <w:color w:val="auto"/>
                <w:szCs w:val="21"/>
                <w:highlight w:val="none"/>
              </w:rPr>
            </w:pPr>
          </w:p>
        </w:tc>
        <w:tc>
          <w:tcPr>
            <w:tcW w:w="662" w:type="dxa"/>
            <w:tcBorders>
              <w:top w:val="single" w:color="auto" w:sz="6" w:space="0"/>
              <w:left w:val="single" w:color="auto" w:sz="6" w:space="0"/>
              <w:bottom w:val="single" w:color="auto" w:sz="6" w:space="0"/>
              <w:right w:val="single" w:color="auto" w:sz="6" w:space="0"/>
            </w:tcBorders>
          </w:tcPr>
          <w:p w14:paraId="183C4A95">
            <w:pPr>
              <w:keepNext/>
              <w:keepLines/>
              <w:autoSpaceDE w:val="0"/>
              <w:autoSpaceDN w:val="0"/>
              <w:spacing w:line="360" w:lineRule="auto"/>
              <w:rPr>
                <w:rFonts w:ascii="宋体" w:hAnsi="宋体" w:cs="宋体"/>
                <w:color w:val="auto"/>
                <w:szCs w:val="21"/>
                <w:highlight w:val="none"/>
              </w:rPr>
            </w:pPr>
          </w:p>
        </w:tc>
        <w:tc>
          <w:tcPr>
            <w:tcW w:w="1170" w:type="dxa"/>
            <w:tcBorders>
              <w:top w:val="single" w:color="auto" w:sz="6" w:space="0"/>
              <w:left w:val="single" w:color="auto" w:sz="6" w:space="0"/>
              <w:bottom w:val="single" w:color="auto" w:sz="6" w:space="0"/>
              <w:right w:val="single" w:color="auto" w:sz="6" w:space="0"/>
            </w:tcBorders>
          </w:tcPr>
          <w:p w14:paraId="59DA099C">
            <w:pPr>
              <w:keepNext/>
              <w:keepLines/>
              <w:autoSpaceDE w:val="0"/>
              <w:autoSpaceDN w:val="0"/>
              <w:spacing w:line="360" w:lineRule="auto"/>
              <w:rPr>
                <w:rFonts w:ascii="宋体" w:hAnsi="宋体" w:cs="宋体"/>
                <w:color w:val="auto"/>
                <w:szCs w:val="21"/>
                <w:highlight w:val="none"/>
              </w:rPr>
            </w:pPr>
          </w:p>
        </w:tc>
        <w:tc>
          <w:tcPr>
            <w:tcW w:w="1487" w:type="dxa"/>
            <w:tcBorders>
              <w:top w:val="single" w:color="auto" w:sz="6" w:space="0"/>
              <w:left w:val="single" w:color="auto" w:sz="6" w:space="0"/>
              <w:bottom w:val="single" w:color="auto" w:sz="6" w:space="0"/>
              <w:right w:val="single" w:color="auto" w:sz="6" w:space="0"/>
            </w:tcBorders>
          </w:tcPr>
          <w:p w14:paraId="75242375">
            <w:pPr>
              <w:keepNext/>
              <w:keepLines/>
              <w:autoSpaceDE w:val="0"/>
              <w:autoSpaceDN w:val="0"/>
              <w:spacing w:line="360" w:lineRule="auto"/>
              <w:rPr>
                <w:rFonts w:ascii="宋体" w:hAnsi="宋体" w:cs="宋体"/>
                <w:color w:val="auto"/>
                <w:szCs w:val="21"/>
                <w:highlight w:val="none"/>
              </w:rPr>
            </w:pPr>
          </w:p>
        </w:tc>
        <w:tc>
          <w:tcPr>
            <w:tcW w:w="1163" w:type="dxa"/>
            <w:tcBorders>
              <w:top w:val="single" w:color="auto" w:sz="6" w:space="0"/>
              <w:left w:val="single" w:color="auto" w:sz="6" w:space="0"/>
              <w:bottom w:val="single" w:color="auto" w:sz="6" w:space="0"/>
              <w:right w:val="single" w:color="auto" w:sz="6" w:space="0"/>
            </w:tcBorders>
          </w:tcPr>
          <w:p w14:paraId="2F91F447">
            <w:pPr>
              <w:keepNext/>
              <w:keepLines/>
              <w:autoSpaceDE w:val="0"/>
              <w:autoSpaceDN w:val="0"/>
              <w:spacing w:line="360" w:lineRule="auto"/>
              <w:rPr>
                <w:rFonts w:ascii="宋体" w:hAnsi="宋体" w:cs="宋体"/>
                <w:color w:val="auto"/>
                <w:szCs w:val="21"/>
                <w:highlight w:val="none"/>
              </w:rPr>
            </w:pPr>
          </w:p>
        </w:tc>
        <w:tc>
          <w:tcPr>
            <w:tcW w:w="1187" w:type="dxa"/>
            <w:tcBorders>
              <w:top w:val="single" w:color="auto" w:sz="6" w:space="0"/>
              <w:left w:val="single" w:color="auto" w:sz="6" w:space="0"/>
              <w:bottom w:val="single" w:color="auto" w:sz="6" w:space="0"/>
              <w:right w:val="single" w:color="auto" w:sz="6" w:space="0"/>
            </w:tcBorders>
          </w:tcPr>
          <w:p w14:paraId="5B1912DA">
            <w:pPr>
              <w:keepNext/>
              <w:keepLines/>
              <w:autoSpaceDE w:val="0"/>
              <w:autoSpaceDN w:val="0"/>
              <w:spacing w:line="360" w:lineRule="auto"/>
              <w:rPr>
                <w:rFonts w:ascii="宋体" w:hAnsi="宋体" w:cs="宋体"/>
                <w:color w:val="auto"/>
                <w:szCs w:val="21"/>
                <w:highlight w:val="none"/>
              </w:rPr>
            </w:pPr>
          </w:p>
        </w:tc>
        <w:tc>
          <w:tcPr>
            <w:tcW w:w="950" w:type="dxa"/>
            <w:tcBorders>
              <w:top w:val="single" w:color="auto" w:sz="6" w:space="0"/>
              <w:left w:val="single" w:color="auto" w:sz="6" w:space="0"/>
              <w:bottom w:val="single" w:color="auto" w:sz="6" w:space="0"/>
              <w:right w:val="single" w:color="auto" w:sz="6" w:space="0"/>
            </w:tcBorders>
          </w:tcPr>
          <w:p w14:paraId="0634BDF6">
            <w:pPr>
              <w:keepNext/>
              <w:keepLines/>
              <w:autoSpaceDE w:val="0"/>
              <w:autoSpaceDN w:val="0"/>
              <w:spacing w:line="360" w:lineRule="auto"/>
              <w:rPr>
                <w:rFonts w:ascii="宋体" w:hAnsi="宋体" w:cs="宋体"/>
                <w:color w:val="auto"/>
                <w:szCs w:val="21"/>
                <w:highlight w:val="none"/>
              </w:rPr>
            </w:pPr>
          </w:p>
        </w:tc>
        <w:tc>
          <w:tcPr>
            <w:tcW w:w="1078" w:type="dxa"/>
            <w:tcBorders>
              <w:top w:val="single" w:color="auto" w:sz="6" w:space="0"/>
              <w:left w:val="single" w:color="auto" w:sz="6" w:space="0"/>
              <w:bottom w:val="single" w:color="auto" w:sz="6" w:space="0"/>
              <w:right w:val="single" w:color="auto" w:sz="6" w:space="0"/>
            </w:tcBorders>
          </w:tcPr>
          <w:p w14:paraId="1603CFF2">
            <w:pPr>
              <w:keepNext/>
              <w:keepLines/>
              <w:autoSpaceDE w:val="0"/>
              <w:autoSpaceDN w:val="0"/>
              <w:spacing w:line="360" w:lineRule="auto"/>
              <w:rPr>
                <w:rFonts w:ascii="宋体" w:hAnsi="宋体" w:cs="宋体"/>
                <w:color w:val="auto"/>
                <w:szCs w:val="21"/>
                <w:highlight w:val="none"/>
              </w:rPr>
            </w:pPr>
          </w:p>
        </w:tc>
      </w:tr>
      <w:tr w14:paraId="0764EEAC">
        <w:tblPrEx>
          <w:tblCellMar>
            <w:top w:w="0" w:type="dxa"/>
            <w:left w:w="108" w:type="dxa"/>
            <w:bottom w:w="0" w:type="dxa"/>
            <w:right w:w="108" w:type="dxa"/>
          </w:tblCellMar>
        </w:tblPrEx>
        <w:trPr>
          <w:trHeight w:val="473" w:hRule="atLeast"/>
          <w:jc w:val="center"/>
        </w:trPr>
        <w:tc>
          <w:tcPr>
            <w:tcW w:w="474" w:type="dxa"/>
            <w:tcBorders>
              <w:top w:val="single" w:color="auto" w:sz="6" w:space="0"/>
              <w:left w:val="single" w:color="auto" w:sz="6" w:space="0"/>
              <w:bottom w:val="single" w:color="auto" w:sz="6" w:space="0"/>
              <w:right w:val="single" w:color="auto" w:sz="6" w:space="0"/>
            </w:tcBorders>
          </w:tcPr>
          <w:p w14:paraId="526E4938">
            <w:pPr>
              <w:keepNext/>
              <w:keepLines/>
              <w:autoSpaceDE w:val="0"/>
              <w:autoSpaceDN w:val="0"/>
              <w:spacing w:line="360" w:lineRule="auto"/>
              <w:jc w:val="center"/>
              <w:rPr>
                <w:rFonts w:ascii="宋体" w:hAnsi="宋体" w:cs="宋体"/>
                <w:color w:val="auto"/>
                <w:szCs w:val="21"/>
                <w:highlight w:val="none"/>
              </w:rPr>
            </w:pPr>
          </w:p>
        </w:tc>
        <w:tc>
          <w:tcPr>
            <w:tcW w:w="889" w:type="dxa"/>
            <w:tcBorders>
              <w:top w:val="single" w:color="auto" w:sz="6" w:space="0"/>
              <w:left w:val="single" w:color="auto" w:sz="6" w:space="0"/>
              <w:bottom w:val="single" w:color="auto" w:sz="6" w:space="0"/>
              <w:right w:val="single" w:color="auto" w:sz="6" w:space="0"/>
            </w:tcBorders>
          </w:tcPr>
          <w:p w14:paraId="24067C3B">
            <w:pPr>
              <w:keepNext/>
              <w:keepLines/>
              <w:autoSpaceDE w:val="0"/>
              <w:autoSpaceDN w:val="0"/>
              <w:spacing w:line="360" w:lineRule="auto"/>
              <w:rPr>
                <w:rFonts w:ascii="宋体" w:hAnsi="宋体" w:cs="宋体"/>
                <w:color w:val="auto"/>
                <w:szCs w:val="21"/>
                <w:highlight w:val="none"/>
              </w:rPr>
            </w:pPr>
          </w:p>
        </w:tc>
        <w:tc>
          <w:tcPr>
            <w:tcW w:w="466" w:type="dxa"/>
            <w:tcBorders>
              <w:top w:val="single" w:color="auto" w:sz="6" w:space="0"/>
              <w:left w:val="single" w:color="auto" w:sz="6" w:space="0"/>
              <w:bottom w:val="single" w:color="auto" w:sz="6" w:space="0"/>
              <w:right w:val="single" w:color="auto" w:sz="6" w:space="0"/>
            </w:tcBorders>
          </w:tcPr>
          <w:p w14:paraId="629A20E6">
            <w:pPr>
              <w:keepNext/>
              <w:keepLines/>
              <w:autoSpaceDE w:val="0"/>
              <w:autoSpaceDN w:val="0"/>
              <w:spacing w:line="360" w:lineRule="auto"/>
              <w:rPr>
                <w:rFonts w:ascii="宋体" w:hAnsi="宋体" w:cs="宋体"/>
                <w:color w:val="auto"/>
                <w:szCs w:val="21"/>
                <w:highlight w:val="none"/>
              </w:rPr>
            </w:pPr>
          </w:p>
        </w:tc>
        <w:tc>
          <w:tcPr>
            <w:tcW w:w="662" w:type="dxa"/>
            <w:tcBorders>
              <w:top w:val="single" w:color="auto" w:sz="6" w:space="0"/>
              <w:left w:val="single" w:color="auto" w:sz="6" w:space="0"/>
              <w:bottom w:val="single" w:color="auto" w:sz="6" w:space="0"/>
              <w:right w:val="single" w:color="auto" w:sz="6" w:space="0"/>
            </w:tcBorders>
          </w:tcPr>
          <w:p w14:paraId="76CE834B">
            <w:pPr>
              <w:keepNext/>
              <w:keepLines/>
              <w:autoSpaceDE w:val="0"/>
              <w:autoSpaceDN w:val="0"/>
              <w:spacing w:line="360" w:lineRule="auto"/>
              <w:rPr>
                <w:rFonts w:ascii="宋体" w:hAnsi="宋体" w:cs="宋体"/>
                <w:color w:val="auto"/>
                <w:szCs w:val="21"/>
                <w:highlight w:val="none"/>
              </w:rPr>
            </w:pPr>
          </w:p>
        </w:tc>
        <w:tc>
          <w:tcPr>
            <w:tcW w:w="1170" w:type="dxa"/>
            <w:tcBorders>
              <w:top w:val="single" w:color="auto" w:sz="6" w:space="0"/>
              <w:left w:val="single" w:color="auto" w:sz="6" w:space="0"/>
              <w:bottom w:val="single" w:color="auto" w:sz="6" w:space="0"/>
              <w:right w:val="single" w:color="auto" w:sz="6" w:space="0"/>
            </w:tcBorders>
          </w:tcPr>
          <w:p w14:paraId="4C8368B6">
            <w:pPr>
              <w:keepNext/>
              <w:keepLines/>
              <w:autoSpaceDE w:val="0"/>
              <w:autoSpaceDN w:val="0"/>
              <w:spacing w:line="360" w:lineRule="auto"/>
              <w:rPr>
                <w:rFonts w:ascii="宋体" w:hAnsi="宋体" w:cs="宋体"/>
                <w:color w:val="auto"/>
                <w:szCs w:val="21"/>
                <w:highlight w:val="none"/>
              </w:rPr>
            </w:pPr>
          </w:p>
        </w:tc>
        <w:tc>
          <w:tcPr>
            <w:tcW w:w="1487" w:type="dxa"/>
            <w:tcBorders>
              <w:top w:val="single" w:color="auto" w:sz="6" w:space="0"/>
              <w:left w:val="single" w:color="auto" w:sz="6" w:space="0"/>
              <w:bottom w:val="single" w:color="auto" w:sz="6" w:space="0"/>
              <w:right w:val="single" w:color="auto" w:sz="6" w:space="0"/>
            </w:tcBorders>
          </w:tcPr>
          <w:p w14:paraId="02AF1042">
            <w:pPr>
              <w:keepNext/>
              <w:keepLines/>
              <w:autoSpaceDE w:val="0"/>
              <w:autoSpaceDN w:val="0"/>
              <w:spacing w:line="360" w:lineRule="auto"/>
              <w:rPr>
                <w:rFonts w:ascii="宋体" w:hAnsi="宋体" w:cs="宋体"/>
                <w:color w:val="auto"/>
                <w:szCs w:val="21"/>
                <w:highlight w:val="none"/>
              </w:rPr>
            </w:pPr>
          </w:p>
        </w:tc>
        <w:tc>
          <w:tcPr>
            <w:tcW w:w="1163" w:type="dxa"/>
            <w:tcBorders>
              <w:top w:val="single" w:color="auto" w:sz="6" w:space="0"/>
              <w:left w:val="single" w:color="auto" w:sz="6" w:space="0"/>
              <w:bottom w:val="single" w:color="auto" w:sz="6" w:space="0"/>
              <w:right w:val="single" w:color="auto" w:sz="6" w:space="0"/>
            </w:tcBorders>
          </w:tcPr>
          <w:p w14:paraId="4E5C0B9A">
            <w:pPr>
              <w:keepNext/>
              <w:keepLines/>
              <w:autoSpaceDE w:val="0"/>
              <w:autoSpaceDN w:val="0"/>
              <w:spacing w:line="360" w:lineRule="auto"/>
              <w:rPr>
                <w:rFonts w:ascii="宋体" w:hAnsi="宋体" w:cs="宋体"/>
                <w:color w:val="auto"/>
                <w:szCs w:val="21"/>
                <w:highlight w:val="none"/>
              </w:rPr>
            </w:pPr>
          </w:p>
        </w:tc>
        <w:tc>
          <w:tcPr>
            <w:tcW w:w="1187" w:type="dxa"/>
            <w:tcBorders>
              <w:top w:val="single" w:color="auto" w:sz="6" w:space="0"/>
              <w:left w:val="single" w:color="auto" w:sz="6" w:space="0"/>
              <w:bottom w:val="single" w:color="auto" w:sz="6" w:space="0"/>
              <w:right w:val="single" w:color="auto" w:sz="6" w:space="0"/>
            </w:tcBorders>
          </w:tcPr>
          <w:p w14:paraId="5B9F90FE">
            <w:pPr>
              <w:keepNext/>
              <w:keepLines/>
              <w:autoSpaceDE w:val="0"/>
              <w:autoSpaceDN w:val="0"/>
              <w:spacing w:line="360" w:lineRule="auto"/>
              <w:rPr>
                <w:rFonts w:ascii="宋体" w:hAnsi="宋体" w:cs="宋体"/>
                <w:color w:val="auto"/>
                <w:szCs w:val="21"/>
                <w:highlight w:val="none"/>
              </w:rPr>
            </w:pPr>
          </w:p>
        </w:tc>
        <w:tc>
          <w:tcPr>
            <w:tcW w:w="950" w:type="dxa"/>
            <w:tcBorders>
              <w:top w:val="single" w:color="auto" w:sz="6" w:space="0"/>
              <w:left w:val="single" w:color="auto" w:sz="6" w:space="0"/>
              <w:bottom w:val="single" w:color="auto" w:sz="6" w:space="0"/>
              <w:right w:val="single" w:color="auto" w:sz="6" w:space="0"/>
            </w:tcBorders>
          </w:tcPr>
          <w:p w14:paraId="4687F6F8">
            <w:pPr>
              <w:keepNext/>
              <w:keepLines/>
              <w:autoSpaceDE w:val="0"/>
              <w:autoSpaceDN w:val="0"/>
              <w:spacing w:line="360" w:lineRule="auto"/>
              <w:rPr>
                <w:rFonts w:ascii="宋体" w:hAnsi="宋体" w:cs="宋体"/>
                <w:color w:val="auto"/>
                <w:szCs w:val="21"/>
                <w:highlight w:val="none"/>
              </w:rPr>
            </w:pPr>
          </w:p>
        </w:tc>
        <w:tc>
          <w:tcPr>
            <w:tcW w:w="1078" w:type="dxa"/>
            <w:tcBorders>
              <w:top w:val="single" w:color="auto" w:sz="6" w:space="0"/>
              <w:left w:val="single" w:color="auto" w:sz="6" w:space="0"/>
              <w:bottom w:val="single" w:color="auto" w:sz="6" w:space="0"/>
              <w:right w:val="single" w:color="auto" w:sz="6" w:space="0"/>
            </w:tcBorders>
          </w:tcPr>
          <w:p w14:paraId="2E428805">
            <w:pPr>
              <w:keepNext/>
              <w:keepLines/>
              <w:autoSpaceDE w:val="0"/>
              <w:autoSpaceDN w:val="0"/>
              <w:spacing w:line="360" w:lineRule="auto"/>
              <w:rPr>
                <w:rFonts w:ascii="宋体" w:hAnsi="宋体" w:cs="宋体"/>
                <w:color w:val="auto"/>
                <w:szCs w:val="21"/>
                <w:highlight w:val="none"/>
              </w:rPr>
            </w:pPr>
          </w:p>
        </w:tc>
      </w:tr>
      <w:tr w14:paraId="50F11F29">
        <w:tblPrEx>
          <w:tblCellMar>
            <w:top w:w="0" w:type="dxa"/>
            <w:left w:w="108" w:type="dxa"/>
            <w:bottom w:w="0" w:type="dxa"/>
            <w:right w:w="108" w:type="dxa"/>
          </w:tblCellMar>
        </w:tblPrEx>
        <w:trPr>
          <w:trHeight w:val="473" w:hRule="atLeast"/>
          <w:jc w:val="center"/>
        </w:trPr>
        <w:tc>
          <w:tcPr>
            <w:tcW w:w="474" w:type="dxa"/>
            <w:tcBorders>
              <w:top w:val="single" w:color="auto" w:sz="6" w:space="0"/>
              <w:left w:val="single" w:color="auto" w:sz="6" w:space="0"/>
              <w:bottom w:val="single" w:color="auto" w:sz="6" w:space="0"/>
              <w:right w:val="single" w:color="auto" w:sz="6" w:space="0"/>
            </w:tcBorders>
          </w:tcPr>
          <w:p w14:paraId="471DA008">
            <w:pPr>
              <w:keepNext/>
              <w:keepLines/>
              <w:autoSpaceDE w:val="0"/>
              <w:autoSpaceDN w:val="0"/>
              <w:spacing w:line="360" w:lineRule="auto"/>
              <w:jc w:val="center"/>
              <w:rPr>
                <w:rFonts w:ascii="宋体" w:hAnsi="宋体" w:cs="宋体"/>
                <w:color w:val="auto"/>
                <w:szCs w:val="21"/>
                <w:highlight w:val="none"/>
              </w:rPr>
            </w:pPr>
          </w:p>
        </w:tc>
        <w:tc>
          <w:tcPr>
            <w:tcW w:w="889" w:type="dxa"/>
            <w:tcBorders>
              <w:top w:val="single" w:color="auto" w:sz="6" w:space="0"/>
              <w:left w:val="single" w:color="auto" w:sz="6" w:space="0"/>
              <w:bottom w:val="single" w:color="auto" w:sz="6" w:space="0"/>
              <w:right w:val="single" w:color="auto" w:sz="6" w:space="0"/>
            </w:tcBorders>
          </w:tcPr>
          <w:p w14:paraId="31366F24">
            <w:pPr>
              <w:keepNext/>
              <w:keepLines/>
              <w:autoSpaceDE w:val="0"/>
              <w:autoSpaceDN w:val="0"/>
              <w:spacing w:line="360" w:lineRule="auto"/>
              <w:rPr>
                <w:rFonts w:ascii="宋体" w:hAnsi="宋体" w:cs="宋体"/>
                <w:color w:val="auto"/>
                <w:szCs w:val="21"/>
                <w:highlight w:val="none"/>
              </w:rPr>
            </w:pPr>
          </w:p>
        </w:tc>
        <w:tc>
          <w:tcPr>
            <w:tcW w:w="466" w:type="dxa"/>
            <w:tcBorders>
              <w:top w:val="single" w:color="auto" w:sz="6" w:space="0"/>
              <w:left w:val="single" w:color="auto" w:sz="6" w:space="0"/>
              <w:bottom w:val="single" w:color="auto" w:sz="6" w:space="0"/>
              <w:right w:val="single" w:color="auto" w:sz="6" w:space="0"/>
            </w:tcBorders>
          </w:tcPr>
          <w:p w14:paraId="7F6A05BA">
            <w:pPr>
              <w:keepNext/>
              <w:keepLines/>
              <w:autoSpaceDE w:val="0"/>
              <w:autoSpaceDN w:val="0"/>
              <w:spacing w:line="360" w:lineRule="auto"/>
              <w:rPr>
                <w:rFonts w:ascii="宋体" w:hAnsi="宋体" w:cs="宋体"/>
                <w:color w:val="auto"/>
                <w:szCs w:val="21"/>
                <w:highlight w:val="none"/>
              </w:rPr>
            </w:pPr>
          </w:p>
        </w:tc>
        <w:tc>
          <w:tcPr>
            <w:tcW w:w="662" w:type="dxa"/>
            <w:tcBorders>
              <w:top w:val="single" w:color="auto" w:sz="6" w:space="0"/>
              <w:left w:val="single" w:color="auto" w:sz="6" w:space="0"/>
              <w:bottom w:val="single" w:color="auto" w:sz="6" w:space="0"/>
              <w:right w:val="single" w:color="auto" w:sz="6" w:space="0"/>
            </w:tcBorders>
          </w:tcPr>
          <w:p w14:paraId="02940A36">
            <w:pPr>
              <w:keepNext/>
              <w:keepLines/>
              <w:autoSpaceDE w:val="0"/>
              <w:autoSpaceDN w:val="0"/>
              <w:spacing w:line="360" w:lineRule="auto"/>
              <w:rPr>
                <w:rFonts w:ascii="宋体" w:hAnsi="宋体" w:cs="宋体"/>
                <w:color w:val="auto"/>
                <w:szCs w:val="21"/>
                <w:highlight w:val="none"/>
              </w:rPr>
            </w:pPr>
          </w:p>
        </w:tc>
        <w:tc>
          <w:tcPr>
            <w:tcW w:w="1170" w:type="dxa"/>
            <w:tcBorders>
              <w:top w:val="single" w:color="auto" w:sz="6" w:space="0"/>
              <w:left w:val="single" w:color="auto" w:sz="6" w:space="0"/>
              <w:bottom w:val="single" w:color="auto" w:sz="6" w:space="0"/>
              <w:right w:val="single" w:color="auto" w:sz="6" w:space="0"/>
            </w:tcBorders>
          </w:tcPr>
          <w:p w14:paraId="25F4EFFD">
            <w:pPr>
              <w:keepNext/>
              <w:keepLines/>
              <w:autoSpaceDE w:val="0"/>
              <w:autoSpaceDN w:val="0"/>
              <w:spacing w:line="360" w:lineRule="auto"/>
              <w:rPr>
                <w:rFonts w:ascii="宋体" w:hAnsi="宋体" w:cs="宋体"/>
                <w:color w:val="auto"/>
                <w:szCs w:val="21"/>
                <w:highlight w:val="none"/>
              </w:rPr>
            </w:pPr>
          </w:p>
        </w:tc>
        <w:tc>
          <w:tcPr>
            <w:tcW w:w="1487" w:type="dxa"/>
            <w:tcBorders>
              <w:top w:val="single" w:color="auto" w:sz="6" w:space="0"/>
              <w:left w:val="single" w:color="auto" w:sz="6" w:space="0"/>
              <w:bottom w:val="single" w:color="auto" w:sz="6" w:space="0"/>
              <w:right w:val="single" w:color="auto" w:sz="6" w:space="0"/>
            </w:tcBorders>
          </w:tcPr>
          <w:p w14:paraId="4671D181">
            <w:pPr>
              <w:keepNext/>
              <w:keepLines/>
              <w:autoSpaceDE w:val="0"/>
              <w:autoSpaceDN w:val="0"/>
              <w:spacing w:line="360" w:lineRule="auto"/>
              <w:rPr>
                <w:rFonts w:ascii="宋体" w:hAnsi="宋体" w:cs="宋体"/>
                <w:color w:val="auto"/>
                <w:szCs w:val="21"/>
                <w:highlight w:val="none"/>
              </w:rPr>
            </w:pPr>
          </w:p>
        </w:tc>
        <w:tc>
          <w:tcPr>
            <w:tcW w:w="1163" w:type="dxa"/>
            <w:tcBorders>
              <w:top w:val="single" w:color="auto" w:sz="6" w:space="0"/>
              <w:left w:val="single" w:color="auto" w:sz="6" w:space="0"/>
              <w:bottom w:val="single" w:color="auto" w:sz="6" w:space="0"/>
              <w:right w:val="single" w:color="auto" w:sz="6" w:space="0"/>
            </w:tcBorders>
          </w:tcPr>
          <w:p w14:paraId="48809797">
            <w:pPr>
              <w:keepNext/>
              <w:keepLines/>
              <w:autoSpaceDE w:val="0"/>
              <w:autoSpaceDN w:val="0"/>
              <w:spacing w:line="360" w:lineRule="auto"/>
              <w:rPr>
                <w:rFonts w:ascii="宋体" w:hAnsi="宋体" w:cs="宋体"/>
                <w:color w:val="auto"/>
                <w:szCs w:val="21"/>
                <w:highlight w:val="none"/>
              </w:rPr>
            </w:pPr>
          </w:p>
        </w:tc>
        <w:tc>
          <w:tcPr>
            <w:tcW w:w="1187" w:type="dxa"/>
            <w:tcBorders>
              <w:top w:val="single" w:color="auto" w:sz="6" w:space="0"/>
              <w:left w:val="single" w:color="auto" w:sz="6" w:space="0"/>
              <w:bottom w:val="single" w:color="auto" w:sz="6" w:space="0"/>
              <w:right w:val="single" w:color="auto" w:sz="6" w:space="0"/>
            </w:tcBorders>
          </w:tcPr>
          <w:p w14:paraId="4669A071">
            <w:pPr>
              <w:keepNext/>
              <w:keepLines/>
              <w:autoSpaceDE w:val="0"/>
              <w:autoSpaceDN w:val="0"/>
              <w:spacing w:line="360" w:lineRule="auto"/>
              <w:rPr>
                <w:rFonts w:ascii="宋体" w:hAnsi="宋体" w:cs="宋体"/>
                <w:color w:val="auto"/>
                <w:szCs w:val="21"/>
                <w:highlight w:val="none"/>
              </w:rPr>
            </w:pPr>
          </w:p>
        </w:tc>
        <w:tc>
          <w:tcPr>
            <w:tcW w:w="950" w:type="dxa"/>
            <w:tcBorders>
              <w:top w:val="single" w:color="auto" w:sz="6" w:space="0"/>
              <w:left w:val="single" w:color="auto" w:sz="6" w:space="0"/>
              <w:bottom w:val="single" w:color="auto" w:sz="6" w:space="0"/>
              <w:right w:val="single" w:color="auto" w:sz="6" w:space="0"/>
            </w:tcBorders>
          </w:tcPr>
          <w:p w14:paraId="73278800">
            <w:pPr>
              <w:keepNext/>
              <w:keepLines/>
              <w:autoSpaceDE w:val="0"/>
              <w:autoSpaceDN w:val="0"/>
              <w:spacing w:line="360" w:lineRule="auto"/>
              <w:rPr>
                <w:rFonts w:ascii="宋体" w:hAnsi="宋体" w:cs="宋体"/>
                <w:color w:val="auto"/>
                <w:szCs w:val="21"/>
                <w:highlight w:val="none"/>
              </w:rPr>
            </w:pPr>
          </w:p>
        </w:tc>
        <w:tc>
          <w:tcPr>
            <w:tcW w:w="1078" w:type="dxa"/>
            <w:tcBorders>
              <w:top w:val="single" w:color="auto" w:sz="6" w:space="0"/>
              <w:left w:val="single" w:color="auto" w:sz="6" w:space="0"/>
              <w:bottom w:val="single" w:color="auto" w:sz="6" w:space="0"/>
              <w:right w:val="single" w:color="auto" w:sz="6" w:space="0"/>
            </w:tcBorders>
          </w:tcPr>
          <w:p w14:paraId="10BF2F79">
            <w:pPr>
              <w:keepNext/>
              <w:keepLines/>
              <w:autoSpaceDE w:val="0"/>
              <w:autoSpaceDN w:val="0"/>
              <w:spacing w:line="360" w:lineRule="auto"/>
              <w:rPr>
                <w:rFonts w:ascii="宋体" w:hAnsi="宋体" w:cs="宋体"/>
                <w:color w:val="auto"/>
                <w:szCs w:val="21"/>
                <w:highlight w:val="none"/>
              </w:rPr>
            </w:pPr>
          </w:p>
        </w:tc>
      </w:tr>
      <w:tr w14:paraId="6B930E31">
        <w:tblPrEx>
          <w:tblCellMar>
            <w:top w:w="0" w:type="dxa"/>
            <w:left w:w="108" w:type="dxa"/>
            <w:bottom w:w="0" w:type="dxa"/>
            <w:right w:w="108" w:type="dxa"/>
          </w:tblCellMar>
        </w:tblPrEx>
        <w:trPr>
          <w:trHeight w:val="473" w:hRule="atLeast"/>
          <w:jc w:val="center"/>
        </w:trPr>
        <w:tc>
          <w:tcPr>
            <w:tcW w:w="474" w:type="dxa"/>
            <w:tcBorders>
              <w:top w:val="single" w:color="auto" w:sz="6" w:space="0"/>
              <w:left w:val="single" w:color="auto" w:sz="6" w:space="0"/>
              <w:bottom w:val="single" w:color="auto" w:sz="6" w:space="0"/>
              <w:right w:val="single" w:color="auto" w:sz="6" w:space="0"/>
            </w:tcBorders>
          </w:tcPr>
          <w:p w14:paraId="00C31F9F">
            <w:pPr>
              <w:keepNext/>
              <w:keepLines/>
              <w:autoSpaceDE w:val="0"/>
              <w:autoSpaceDN w:val="0"/>
              <w:spacing w:line="360" w:lineRule="auto"/>
              <w:jc w:val="center"/>
              <w:rPr>
                <w:rFonts w:ascii="宋体" w:hAnsi="宋体" w:cs="宋体"/>
                <w:color w:val="auto"/>
                <w:szCs w:val="21"/>
                <w:highlight w:val="none"/>
              </w:rPr>
            </w:pPr>
          </w:p>
        </w:tc>
        <w:tc>
          <w:tcPr>
            <w:tcW w:w="889" w:type="dxa"/>
            <w:tcBorders>
              <w:top w:val="single" w:color="auto" w:sz="6" w:space="0"/>
              <w:left w:val="single" w:color="auto" w:sz="6" w:space="0"/>
              <w:bottom w:val="single" w:color="auto" w:sz="6" w:space="0"/>
              <w:right w:val="single" w:color="auto" w:sz="6" w:space="0"/>
            </w:tcBorders>
          </w:tcPr>
          <w:p w14:paraId="338B9ECB">
            <w:pPr>
              <w:keepNext/>
              <w:keepLines/>
              <w:autoSpaceDE w:val="0"/>
              <w:autoSpaceDN w:val="0"/>
              <w:spacing w:line="360" w:lineRule="auto"/>
              <w:rPr>
                <w:rFonts w:ascii="宋体" w:hAnsi="宋体" w:cs="宋体"/>
                <w:color w:val="auto"/>
                <w:szCs w:val="21"/>
                <w:highlight w:val="none"/>
              </w:rPr>
            </w:pPr>
          </w:p>
        </w:tc>
        <w:tc>
          <w:tcPr>
            <w:tcW w:w="466" w:type="dxa"/>
            <w:tcBorders>
              <w:top w:val="single" w:color="auto" w:sz="6" w:space="0"/>
              <w:left w:val="single" w:color="auto" w:sz="6" w:space="0"/>
              <w:bottom w:val="single" w:color="auto" w:sz="6" w:space="0"/>
              <w:right w:val="single" w:color="auto" w:sz="6" w:space="0"/>
            </w:tcBorders>
          </w:tcPr>
          <w:p w14:paraId="48077C46">
            <w:pPr>
              <w:keepNext/>
              <w:keepLines/>
              <w:autoSpaceDE w:val="0"/>
              <w:autoSpaceDN w:val="0"/>
              <w:spacing w:line="360" w:lineRule="auto"/>
              <w:rPr>
                <w:rFonts w:ascii="宋体" w:hAnsi="宋体" w:cs="宋体"/>
                <w:color w:val="auto"/>
                <w:szCs w:val="21"/>
                <w:highlight w:val="none"/>
              </w:rPr>
            </w:pPr>
          </w:p>
        </w:tc>
        <w:tc>
          <w:tcPr>
            <w:tcW w:w="662" w:type="dxa"/>
            <w:tcBorders>
              <w:top w:val="single" w:color="auto" w:sz="6" w:space="0"/>
              <w:left w:val="single" w:color="auto" w:sz="6" w:space="0"/>
              <w:bottom w:val="single" w:color="auto" w:sz="6" w:space="0"/>
              <w:right w:val="single" w:color="auto" w:sz="6" w:space="0"/>
            </w:tcBorders>
          </w:tcPr>
          <w:p w14:paraId="2E5EEA00">
            <w:pPr>
              <w:keepNext/>
              <w:keepLines/>
              <w:autoSpaceDE w:val="0"/>
              <w:autoSpaceDN w:val="0"/>
              <w:spacing w:line="360" w:lineRule="auto"/>
              <w:rPr>
                <w:rFonts w:ascii="宋体" w:hAnsi="宋体" w:cs="宋体"/>
                <w:color w:val="auto"/>
                <w:szCs w:val="21"/>
                <w:highlight w:val="none"/>
              </w:rPr>
            </w:pPr>
          </w:p>
        </w:tc>
        <w:tc>
          <w:tcPr>
            <w:tcW w:w="1170" w:type="dxa"/>
            <w:tcBorders>
              <w:top w:val="single" w:color="auto" w:sz="6" w:space="0"/>
              <w:left w:val="single" w:color="auto" w:sz="6" w:space="0"/>
              <w:bottom w:val="single" w:color="auto" w:sz="6" w:space="0"/>
              <w:right w:val="single" w:color="auto" w:sz="6" w:space="0"/>
            </w:tcBorders>
          </w:tcPr>
          <w:p w14:paraId="5DED45D7">
            <w:pPr>
              <w:keepNext/>
              <w:keepLines/>
              <w:autoSpaceDE w:val="0"/>
              <w:autoSpaceDN w:val="0"/>
              <w:spacing w:line="360" w:lineRule="auto"/>
              <w:rPr>
                <w:rFonts w:ascii="宋体" w:hAnsi="宋体" w:cs="宋体"/>
                <w:color w:val="auto"/>
                <w:szCs w:val="21"/>
                <w:highlight w:val="none"/>
              </w:rPr>
            </w:pPr>
          </w:p>
        </w:tc>
        <w:tc>
          <w:tcPr>
            <w:tcW w:w="1487" w:type="dxa"/>
            <w:tcBorders>
              <w:top w:val="single" w:color="auto" w:sz="6" w:space="0"/>
              <w:left w:val="single" w:color="auto" w:sz="6" w:space="0"/>
              <w:bottom w:val="single" w:color="auto" w:sz="6" w:space="0"/>
              <w:right w:val="single" w:color="auto" w:sz="6" w:space="0"/>
            </w:tcBorders>
          </w:tcPr>
          <w:p w14:paraId="624717F6">
            <w:pPr>
              <w:keepNext/>
              <w:keepLines/>
              <w:autoSpaceDE w:val="0"/>
              <w:autoSpaceDN w:val="0"/>
              <w:spacing w:line="360" w:lineRule="auto"/>
              <w:rPr>
                <w:rFonts w:ascii="宋体" w:hAnsi="宋体" w:cs="宋体"/>
                <w:color w:val="auto"/>
                <w:szCs w:val="21"/>
                <w:highlight w:val="none"/>
              </w:rPr>
            </w:pPr>
          </w:p>
        </w:tc>
        <w:tc>
          <w:tcPr>
            <w:tcW w:w="1163" w:type="dxa"/>
            <w:tcBorders>
              <w:top w:val="single" w:color="auto" w:sz="6" w:space="0"/>
              <w:left w:val="single" w:color="auto" w:sz="6" w:space="0"/>
              <w:bottom w:val="single" w:color="auto" w:sz="6" w:space="0"/>
              <w:right w:val="single" w:color="auto" w:sz="6" w:space="0"/>
            </w:tcBorders>
          </w:tcPr>
          <w:p w14:paraId="72630EE3">
            <w:pPr>
              <w:keepNext/>
              <w:keepLines/>
              <w:autoSpaceDE w:val="0"/>
              <w:autoSpaceDN w:val="0"/>
              <w:spacing w:line="360" w:lineRule="auto"/>
              <w:rPr>
                <w:rFonts w:ascii="宋体" w:hAnsi="宋体" w:cs="宋体"/>
                <w:color w:val="auto"/>
                <w:szCs w:val="21"/>
                <w:highlight w:val="none"/>
              </w:rPr>
            </w:pPr>
          </w:p>
        </w:tc>
        <w:tc>
          <w:tcPr>
            <w:tcW w:w="1187" w:type="dxa"/>
            <w:tcBorders>
              <w:top w:val="single" w:color="auto" w:sz="6" w:space="0"/>
              <w:left w:val="single" w:color="auto" w:sz="6" w:space="0"/>
              <w:bottom w:val="single" w:color="auto" w:sz="6" w:space="0"/>
              <w:right w:val="single" w:color="auto" w:sz="6" w:space="0"/>
            </w:tcBorders>
          </w:tcPr>
          <w:p w14:paraId="1E634CD7">
            <w:pPr>
              <w:keepNext/>
              <w:keepLines/>
              <w:autoSpaceDE w:val="0"/>
              <w:autoSpaceDN w:val="0"/>
              <w:spacing w:line="360" w:lineRule="auto"/>
              <w:rPr>
                <w:rFonts w:ascii="宋体" w:hAnsi="宋体" w:cs="宋体"/>
                <w:color w:val="auto"/>
                <w:szCs w:val="21"/>
                <w:highlight w:val="none"/>
              </w:rPr>
            </w:pPr>
          </w:p>
        </w:tc>
        <w:tc>
          <w:tcPr>
            <w:tcW w:w="950" w:type="dxa"/>
            <w:tcBorders>
              <w:top w:val="single" w:color="auto" w:sz="6" w:space="0"/>
              <w:left w:val="single" w:color="auto" w:sz="6" w:space="0"/>
              <w:bottom w:val="single" w:color="auto" w:sz="6" w:space="0"/>
              <w:right w:val="single" w:color="auto" w:sz="6" w:space="0"/>
            </w:tcBorders>
          </w:tcPr>
          <w:p w14:paraId="490E80CA">
            <w:pPr>
              <w:keepNext/>
              <w:keepLines/>
              <w:autoSpaceDE w:val="0"/>
              <w:autoSpaceDN w:val="0"/>
              <w:spacing w:line="360" w:lineRule="auto"/>
              <w:rPr>
                <w:rFonts w:ascii="宋体" w:hAnsi="宋体" w:cs="宋体"/>
                <w:color w:val="auto"/>
                <w:szCs w:val="21"/>
                <w:highlight w:val="none"/>
              </w:rPr>
            </w:pPr>
          </w:p>
        </w:tc>
        <w:tc>
          <w:tcPr>
            <w:tcW w:w="1078" w:type="dxa"/>
            <w:tcBorders>
              <w:top w:val="single" w:color="auto" w:sz="6" w:space="0"/>
              <w:left w:val="single" w:color="auto" w:sz="6" w:space="0"/>
              <w:bottom w:val="single" w:color="auto" w:sz="6" w:space="0"/>
              <w:right w:val="single" w:color="auto" w:sz="6" w:space="0"/>
            </w:tcBorders>
          </w:tcPr>
          <w:p w14:paraId="7D89F057">
            <w:pPr>
              <w:keepNext/>
              <w:keepLines/>
              <w:autoSpaceDE w:val="0"/>
              <w:autoSpaceDN w:val="0"/>
              <w:spacing w:line="360" w:lineRule="auto"/>
              <w:rPr>
                <w:rFonts w:ascii="宋体" w:hAnsi="宋体" w:cs="宋体"/>
                <w:color w:val="auto"/>
                <w:szCs w:val="21"/>
                <w:highlight w:val="none"/>
              </w:rPr>
            </w:pPr>
          </w:p>
        </w:tc>
      </w:tr>
    </w:tbl>
    <w:p w14:paraId="2482E0B9">
      <w:pPr>
        <w:keepNext/>
        <w:keepLines/>
        <w:spacing w:line="360" w:lineRule="auto"/>
        <w:rPr>
          <w:rFonts w:ascii="仿宋" w:hAnsi="仿宋" w:eastAsia="仿宋" w:cs="仿宋"/>
          <w:bCs/>
          <w:color w:val="auto"/>
          <w:szCs w:val="21"/>
          <w:highlight w:val="none"/>
        </w:rPr>
      </w:pPr>
      <w:r>
        <w:rPr>
          <w:rFonts w:hint="eastAsia" w:ascii="仿宋" w:hAnsi="仿宋" w:eastAsia="仿宋" w:cs="仿宋"/>
          <w:bCs/>
          <w:color w:val="auto"/>
          <w:szCs w:val="21"/>
          <w:highlight w:val="none"/>
        </w:rPr>
        <w:t>注：格式仅供参考，投标人可按第二章及第四章的要求自行编制。</w:t>
      </w:r>
    </w:p>
    <w:p w14:paraId="22DEB314">
      <w:pPr>
        <w:keepNext/>
        <w:keepLines/>
        <w:spacing w:line="360" w:lineRule="auto"/>
        <w:jc w:val="left"/>
        <w:rPr>
          <w:rFonts w:ascii="宋体" w:hAnsi="宋体" w:cs="宋体"/>
          <w:b/>
          <w:color w:val="auto"/>
          <w:sz w:val="30"/>
          <w:szCs w:val="30"/>
          <w:highlight w:val="none"/>
        </w:rPr>
      </w:pPr>
      <w:r>
        <w:rPr>
          <w:rFonts w:ascii="宋体" w:hAnsi="宋体" w:cs="宋体"/>
          <w:b/>
          <w:color w:val="auto"/>
          <w:sz w:val="30"/>
          <w:szCs w:val="30"/>
          <w:highlight w:val="none"/>
        </w:rPr>
        <w:br w:type="page"/>
      </w:r>
    </w:p>
    <w:p w14:paraId="3DBED128">
      <w:pPr>
        <w:keepNext/>
        <w:keepLines/>
        <w:spacing w:line="360" w:lineRule="auto"/>
        <w:outlineLvl w:val="2"/>
        <w:rPr>
          <w:rFonts w:ascii="宋体" w:hAnsi="宋体" w:cs="宋体"/>
          <w:b/>
          <w:color w:val="auto"/>
          <w:sz w:val="30"/>
          <w:szCs w:val="30"/>
          <w:highlight w:val="none"/>
        </w:rPr>
      </w:pPr>
      <w:bookmarkStart w:id="217" w:name="_Toc177716567"/>
      <w:r>
        <w:rPr>
          <w:rFonts w:hint="eastAsia" w:ascii="宋体" w:hAnsi="宋体" w:cs="宋体"/>
          <w:b/>
          <w:color w:val="auto"/>
          <w:sz w:val="30"/>
          <w:szCs w:val="30"/>
          <w:highlight w:val="none"/>
        </w:rPr>
        <w:t>七、投标人业绩证明材料</w:t>
      </w:r>
      <w:bookmarkEnd w:id="217"/>
    </w:p>
    <w:p w14:paraId="07CDF31E">
      <w:pPr>
        <w:keepNext/>
        <w:keepLines/>
        <w:spacing w:line="360" w:lineRule="auto"/>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投标人业绩情况一览表</w:t>
      </w:r>
    </w:p>
    <w:tbl>
      <w:tblPr>
        <w:tblStyle w:val="30"/>
        <w:tblW w:w="4987"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079"/>
        <w:gridCol w:w="2006"/>
        <w:gridCol w:w="1638"/>
        <w:gridCol w:w="2115"/>
        <w:gridCol w:w="1783"/>
        <w:gridCol w:w="1315"/>
      </w:tblGrid>
      <w:tr w14:paraId="75E0F0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43" w:type="pct"/>
            <w:tcBorders>
              <w:top w:val="single" w:color="auto" w:sz="4" w:space="0"/>
              <w:left w:val="single" w:color="auto" w:sz="4" w:space="0"/>
              <w:bottom w:val="single" w:color="auto" w:sz="4" w:space="0"/>
              <w:right w:val="single" w:color="auto" w:sz="4" w:space="0"/>
            </w:tcBorders>
            <w:shd w:val="clear" w:color="auto" w:fill="D7D7D7"/>
            <w:vAlign w:val="center"/>
          </w:tcPr>
          <w:p w14:paraId="7453E37E">
            <w:pPr>
              <w:keepNext/>
              <w:keepLines/>
              <w:snapToGrid w:val="0"/>
              <w:spacing w:line="360" w:lineRule="auto"/>
              <w:jc w:val="center"/>
              <w:rPr>
                <w:rFonts w:ascii="宋体" w:hAnsi="宋体"/>
                <w:b/>
                <w:bCs/>
                <w:color w:val="auto"/>
                <w:szCs w:val="21"/>
                <w:highlight w:val="none"/>
              </w:rPr>
            </w:pPr>
            <w:r>
              <w:rPr>
                <w:rFonts w:hint="eastAsia" w:ascii="宋体" w:hAnsi="宋体"/>
                <w:b/>
                <w:bCs/>
                <w:color w:val="auto"/>
                <w:szCs w:val="21"/>
                <w:highlight w:val="none"/>
              </w:rPr>
              <w:t>序号</w:t>
            </w:r>
          </w:p>
        </w:tc>
        <w:tc>
          <w:tcPr>
            <w:tcW w:w="1009" w:type="pct"/>
            <w:tcBorders>
              <w:top w:val="single" w:color="auto" w:sz="4" w:space="0"/>
              <w:left w:val="single" w:color="auto" w:sz="4" w:space="0"/>
              <w:bottom w:val="single" w:color="auto" w:sz="4" w:space="0"/>
              <w:right w:val="single" w:color="auto" w:sz="4" w:space="0"/>
            </w:tcBorders>
            <w:shd w:val="clear" w:color="auto" w:fill="D7D7D7"/>
            <w:vAlign w:val="center"/>
          </w:tcPr>
          <w:p w14:paraId="2DA892A6">
            <w:pPr>
              <w:keepNext/>
              <w:keepLines/>
              <w:snapToGrid w:val="0"/>
              <w:spacing w:line="360" w:lineRule="auto"/>
              <w:jc w:val="center"/>
              <w:rPr>
                <w:rFonts w:ascii="宋体" w:hAnsi="宋体"/>
                <w:b/>
                <w:bCs/>
                <w:color w:val="auto"/>
                <w:szCs w:val="21"/>
                <w:highlight w:val="none"/>
              </w:rPr>
            </w:pPr>
            <w:r>
              <w:rPr>
                <w:rFonts w:hint="eastAsia" w:ascii="宋体" w:hAnsi="宋体"/>
                <w:b/>
                <w:bCs/>
                <w:color w:val="auto"/>
                <w:szCs w:val="21"/>
                <w:highlight w:val="none"/>
              </w:rPr>
              <w:t>采购人名称</w:t>
            </w:r>
          </w:p>
        </w:tc>
        <w:tc>
          <w:tcPr>
            <w:tcW w:w="824" w:type="pct"/>
            <w:tcBorders>
              <w:top w:val="single" w:color="auto" w:sz="4" w:space="0"/>
              <w:left w:val="single" w:color="auto" w:sz="4" w:space="0"/>
              <w:bottom w:val="single" w:color="auto" w:sz="4" w:space="0"/>
              <w:right w:val="single" w:color="auto" w:sz="4" w:space="0"/>
            </w:tcBorders>
            <w:shd w:val="clear" w:color="auto" w:fill="D7D7D7"/>
            <w:vAlign w:val="center"/>
          </w:tcPr>
          <w:p w14:paraId="4106A574">
            <w:pPr>
              <w:keepNext/>
              <w:keepLines/>
              <w:snapToGrid w:val="0"/>
              <w:spacing w:line="360" w:lineRule="auto"/>
              <w:jc w:val="center"/>
              <w:rPr>
                <w:rFonts w:ascii="宋体" w:hAnsi="宋体"/>
                <w:b/>
                <w:bCs/>
                <w:color w:val="auto"/>
                <w:szCs w:val="21"/>
                <w:highlight w:val="none"/>
              </w:rPr>
            </w:pPr>
            <w:r>
              <w:rPr>
                <w:rFonts w:hint="eastAsia" w:ascii="宋体" w:hAnsi="宋体"/>
                <w:b/>
                <w:bCs/>
                <w:color w:val="auto"/>
                <w:szCs w:val="21"/>
                <w:highlight w:val="none"/>
              </w:rPr>
              <w:t>合同名称</w:t>
            </w:r>
          </w:p>
        </w:tc>
        <w:tc>
          <w:tcPr>
            <w:tcW w:w="1064" w:type="pct"/>
            <w:tcBorders>
              <w:top w:val="single" w:color="auto" w:sz="4" w:space="0"/>
              <w:left w:val="single" w:color="auto" w:sz="4" w:space="0"/>
              <w:bottom w:val="single" w:color="auto" w:sz="4" w:space="0"/>
              <w:right w:val="single" w:color="auto" w:sz="4" w:space="0"/>
            </w:tcBorders>
            <w:shd w:val="clear" w:color="auto" w:fill="D7D7D7"/>
            <w:vAlign w:val="center"/>
          </w:tcPr>
          <w:p w14:paraId="5A0D646F">
            <w:pPr>
              <w:keepNext/>
              <w:keepLines/>
              <w:snapToGrid w:val="0"/>
              <w:spacing w:line="360" w:lineRule="auto"/>
              <w:jc w:val="center"/>
              <w:rPr>
                <w:rFonts w:ascii="宋体" w:hAnsi="宋体"/>
                <w:b/>
                <w:bCs/>
                <w:color w:val="auto"/>
                <w:szCs w:val="21"/>
                <w:highlight w:val="none"/>
              </w:rPr>
            </w:pPr>
            <w:r>
              <w:rPr>
                <w:rFonts w:hint="eastAsia" w:ascii="宋体" w:hAnsi="宋体"/>
                <w:b/>
                <w:bCs/>
                <w:color w:val="auto"/>
                <w:szCs w:val="21"/>
                <w:highlight w:val="none"/>
              </w:rPr>
              <w:t>合同内容或概况</w:t>
            </w:r>
          </w:p>
        </w:tc>
        <w:tc>
          <w:tcPr>
            <w:tcW w:w="897" w:type="pct"/>
            <w:tcBorders>
              <w:top w:val="single" w:color="auto" w:sz="4" w:space="0"/>
              <w:left w:val="single" w:color="auto" w:sz="4" w:space="0"/>
              <w:bottom w:val="single" w:color="auto" w:sz="4" w:space="0"/>
              <w:right w:val="single" w:color="auto" w:sz="4" w:space="0"/>
            </w:tcBorders>
            <w:shd w:val="clear" w:color="auto" w:fill="D7D7D7"/>
            <w:vAlign w:val="center"/>
          </w:tcPr>
          <w:p w14:paraId="2EBB839C">
            <w:pPr>
              <w:keepNext/>
              <w:keepLines/>
              <w:snapToGrid w:val="0"/>
              <w:spacing w:line="360" w:lineRule="auto"/>
              <w:jc w:val="center"/>
              <w:rPr>
                <w:rFonts w:ascii="宋体" w:hAnsi="宋体"/>
                <w:b/>
                <w:bCs/>
                <w:color w:val="auto"/>
                <w:szCs w:val="21"/>
                <w:highlight w:val="none"/>
              </w:rPr>
            </w:pPr>
            <w:r>
              <w:rPr>
                <w:rFonts w:hint="eastAsia" w:ascii="宋体" w:hAnsi="宋体"/>
                <w:b/>
                <w:bCs/>
                <w:color w:val="auto"/>
                <w:szCs w:val="21"/>
                <w:highlight w:val="none"/>
              </w:rPr>
              <w:t>合同签订时间</w:t>
            </w:r>
          </w:p>
        </w:tc>
        <w:tc>
          <w:tcPr>
            <w:tcW w:w="661" w:type="pct"/>
            <w:tcBorders>
              <w:top w:val="single" w:color="auto" w:sz="4" w:space="0"/>
              <w:left w:val="single" w:color="auto" w:sz="4" w:space="0"/>
              <w:bottom w:val="single" w:color="auto" w:sz="4" w:space="0"/>
              <w:right w:val="single" w:color="auto" w:sz="4" w:space="0"/>
            </w:tcBorders>
            <w:shd w:val="clear" w:color="auto" w:fill="D7D7D7"/>
            <w:vAlign w:val="center"/>
          </w:tcPr>
          <w:p w14:paraId="164C7D73">
            <w:pPr>
              <w:keepNext/>
              <w:keepLines/>
              <w:snapToGrid w:val="0"/>
              <w:spacing w:line="360" w:lineRule="auto"/>
              <w:jc w:val="center"/>
              <w:rPr>
                <w:rFonts w:ascii="宋体" w:hAnsi="宋体"/>
                <w:b/>
                <w:bCs/>
                <w:color w:val="auto"/>
                <w:szCs w:val="21"/>
                <w:highlight w:val="none"/>
              </w:rPr>
            </w:pPr>
            <w:r>
              <w:rPr>
                <w:rFonts w:hint="eastAsia" w:ascii="宋体" w:hAnsi="宋体"/>
                <w:b/>
                <w:bCs/>
                <w:color w:val="auto"/>
                <w:szCs w:val="21"/>
                <w:highlight w:val="none"/>
              </w:rPr>
              <w:t>备注</w:t>
            </w:r>
          </w:p>
        </w:tc>
      </w:tr>
      <w:tr w14:paraId="7B944A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43" w:type="pct"/>
            <w:tcBorders>
              <w:top w:val="single" w:color="auto" w:sz="4" w:space="0"/>
              <w:left w:val="single" w:color="auto" w:sz="4" w:space="0"/>
              <w:bottom w:val="single" w:color="auto" w:sz="4" w:space="0"/>
              <w:right w:val="single" w:color="auto" w:sz="4" w:space="0"/>
            </w:tcBorders>
            <w:vAlign w:val="center"/>
          </w:tcPr>
          <w:p w14:paraId="2B9CEA67">
            <w:pPr>
              <w:pStyle w:val="10"/>
              <w:keepNext/>
              <w:keepLines/>
              <w:spacing w:line="360" w:lineRule="auto"/>
              <w:ind w:firstLine="0"/>
              <w:jc w:val="center"/>
              <w:rPr>
                <w:rFonts w:ascii="宋体" w:hAnsi="宋体"/>
                <w:color w:val="auto"/>
                <w:szCs w:val="21"/>
                <w:highlight w:val="none"/>
              </w:rPr>
            </w:pPr>
            <w:r>
              <w:rPr>
                <w:rFonts w:hint="eastAsia" w:ascii="宋体" w:hAnsi="宋体"/>
                <w:color w:val="auto"/>
                <w:szCs w:val="21"/>
                <w:highlight w:val="none"/>
              </w:rPr>
              <w:t>…</w:t>
            </w:r>
          </w:p>
        </w:tc>
        <w:tc>
          <w:tcPr>
            <w:tcW w:w="1009" w:type="pct"/>
            <w:tcBorders>
              <w:top w:val="single" w:color="auto" w:sz="4" w:space="0"/>
              <w:left w:val="single" w:color="auto" w:sz="4" w:space="0"/>
              <w:bottom w:val="single" w:color="auto" w:sz="4" w:space="0"/>
              <w:right w:val="single" w:color="auto" w:sz="4" w:space="0"/>
            </w:tcBorders>
            <w:vAlign w:val="center"/>
          </w:tcPr>
          <w:p w14:paraId="19E08508">
            <w:pPr>
              <w:pStyle w:val="10"/>
              <w:keepNext/>
              <w:keepLines/>
              <w:spacing w:line="360" w:lineRule="auto"/>
              <w:ind w:firstLine="0"/>
              <w:jc w:val="center"/>
              <w:rPr>
                <w:rFonts w:ascii="宋体" w:hAnsi="宋体"/>
                <w:color w:val="auto"/>
                <w:szCs w:val="21"/>
                <w:highlight w:val="none"/>
              </w:rPr>
            </w:pPr>
            <w:r>
              <w:rPr>
                <w:rFonts w:hint="eastAsia" w:ascii="宋体" w:hAnsi="宋体"/>
                <w:color w:val="auto"/>
                <w:szCs w:val="21"/>
                <w:highlight w:val="none"/>
              </w:rPr>
              <w:t>……</w:t>
            </w:r>
          </w:p>
        </w:tc>
        <w:tc>
          <w:tcPr>
            <w:tcW w:w="824" w:type="pct"/>
            <w:tcBorders>
              <w:top w:val="single" w:color="auto" w:sz="4" w:space="0"/>
              <w:left w:val="single" w:color="auto" w:sz="4" w:space="0"/>
              <w:bottom w:val="single" w:color="auto" w:sz="4" w:space="0"/>
              <w:right w:val="single" w:color="auto" w:sz="4" w:space="0"/>
            </w:tcBorders>
            <w:vAlign w:val="center"/>
          </w:tcPr>
          <w:p w14:paraId="324080F7">
            <w:pPr>
              <w:keepNext/>
              <w:keepLines/>
              <w:snapToGrid w:val="0"/>
              <w:spacing w:line="360" w:lineRule="auto"/>
              <w:jc w:val="center"/>
              <w:rPr>
                <w:rFonts w:ascii="宋体" w:hAnsi="宋体"/>
                <w:color w:val="auto"/>
                <w:szCs w:val="21"/>
                <w:highlight w:val="none"/>
              </w:rPr>
            </w:pPr>
            <w:r>
              <w:rPr>
                <w:rFonts w:hint="eastAsia" w:ascii="宋体" w:hAnsi="宋体"/>
                <w:color w:val="auto"/>
                <w:szCs w:val="21"/>
                <w:highlight w:val="none"/>
              </w:rPr>
              <w:t>……</w:t>
            </w:r>
          </w:p>
        </w:tc>
        <w:tc>
          <w:tcPr>
            <w:tcW w:w="1064" w:type="pct"/>
            <w:tcBorders>
              <w:top w:val="single" w:color="auto" w:sz="4" w:space="0"/>
              <w:left w:val="single" w:color="auto" w:sz="4" w:space="0"/>
              <w:bottom w:val="single" w:color="auto" w:sz="4" w:space="0"/>
              <w:right w:val="single" w:color="auto" w:sz="4" w:space="0"/>
            </w:tcBorders>
            <w:vAlign w:val="center"/>
          </w:tcPr>
          <w:p w14:paraId="5EBB53AB">
            <w:pPr>
              <w:keepNext/>
              <w:keepLines/>
              <w:snapToGrid w:val="0"/>
              <w:spacing w:line="360" w:lineRule="auto"/>
              <w:jc w:val="center"/>
              <w:rPr>
                <w:rFonts w:ascii="宋体" w:hAnsi="宋体"/>
                <w:color w:val="auto"/>
                <w:szCs w:val="21"/>
                <w:highlight w:val="none"/>
              </w:rPr>
            </w:pPr>
            <w:r>
              <w:rPr>
                <w:rFonts w:hint="eastAsia" w:ascii="宋体" w:hAnsi="宋体"/>
                <w:color w:val="auto"/>
                <w:szCs w:val="21"/>
                <w:highlight w:val="none"/>
              </w:rPr>
              <w:t>……</w:t>
            </w:r>
          </w:p>
        </w:tc>
        <w:tc>
          <w:tcPr>
            <w:tcW w:w="897" w:type="pct"/>
            <w:tcBorders>
              <w:top w:val="single" w:color="auto" w:sz="4" w:space="0"/>
              <w:left w:val="single" w:color="auto" w:sz="4" w:space="0"/>
              <w:bottom w:val="single" w:color="auto" w:sz="4" w:space="0"/>
              <w:right w:val="single" w:color="auto" w:sz="4" w:space="0"/>
            </w:tcBorders>
            <w:vAlign w:val="center"/>
          </w:tcPr>
          <w:p w14:paraId="0A37AC59">
            <w:pPr>
              <w:keepNext/>
              <w:keepLines/>
              <w:snapToGrid w:val="0"/>
              <w:spacing w:line="360" w:lineRule="auto"/>
              <w:jc w:val="center"/>
              <w:rPr>
                <w:rFonts w:ascii="宋体" w:hAnsi="宋体"/>
                <w:color w:val="auto"/>
                <w:szCs w:val="21"/>
                <w:highlight w:val="none"/>
              </w:rPr>
            </w:pPr>
            <w:r>
              <w:rPr>
                <w:rFonts w:hint="eastAsia" w:ascii="宋体" w:hAnsi="宋体"/>
                <w:color w:val="auto"/>
                <w:szCs w:val="21"/>
                <w:highlight w:val="none"/>
              </w:rPr>
              <w:t>……</w:t>
            </w:r>
          </w:p>
        </w:tc>
        <w:tc>
          <w:tcPr>
            <w:tcW w:w="661" w:type="pct"/>
            <w:tcBorders>
              <w:top w:val="single" w:color="auto" w:sz="4" w:space="0"/>
              <w:left w:val="single" w:color="auto" w:sz="4" w:space="0"/>
              <w:bottom w:val="single" w:color="auto" w:sz="4" w:space="0"/>
              <w:right w:val="single" w:color="auto" w:sz="4" w:space="0"/>
            </w:tcBorders>
            <w:vAlign w:val="center"/>
          </w:tcPr>
          <w:p w14:paraId="54887A03">
            <w:pPr>
              <w:keepNext/>
              <w:keepLines/>
              <w:snapToGrid w:val="0"/>
              <w:spacing w:line="360" w:lineRule="auto"/>
              <w:jc w:val="center"/>
              <w:rPr>
                <w:rFonts w:ascii="宋体" w:hAnsi="宋体"/>
                <w:color w:val="auto"/>
                <w:szCs w:val="21"/>
                <w:highlight w:val="none"/>
              </w:rPr>
            </w:pPr>
            <w:r>
              <w:rPr>
                <w:rFonts w:hint="eastAsia" w:ascii="宋体" w:hAnsi="宋体"/>
                <w:color w:val="auto"/>
                <w:szCs w:val="21"/>
                <w:highlight w:val="none"/>
              </w:rPr>
              <w:t>……</w:t>
            </w:r>
          </w:p>
        </w:tc>
      </w:tr>
      <w:tr w14:paraId="0F7003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43" w:type="pct"/>
            <w:tcBorders>
              <w:top w:val="single" w:color="auto" w:sz="4" w:space="0"/>
              <w:left w:val="single" w:color="auto" w:sz="4" w:space="0"/>
              <w:bottom w:val="single" w:color="auto" w:sz="4" w:space="0"/>
              <w:right w:val="single" w:color="auto" w:sz="4" w:space="0"/>
            </w:tcBorders>
            <w:vAlign w:val="center"/>
          </w:tcPr>
          <w:p w14:paraId="004029EA">
            <w:pPr>
              <w:pStyle w:val="10"/>
              <w:keepNext/>
              <w:keepLines/>
              <w:spacing w:line="360" w:lineRule="auto"/>
              <w:ind w:firstLine="0"/>
              <w:jc w:val="center"/>
              <w:rPr>
                <w:rFonts w:ascii="宋体" w:hAnsi="宋体"/>
                <w:color w:val="auto"/>
                <w:szCs w:val="21"/>
                <w:highlight w:val="none"/>
              </w:rPr>
            </w:pPr>
            <w:r>
              <w:rPr>
                <w:rFonts w:hint="eastAsia" w:ascii="宋体" w:hAnsi="宋体"/>
                <w:color w:val="auto"/>
                <w:szCs w:val="21"/>
                <w:highlight w:val="none"/>
              </w:rPr>
              <w:t>…</w:t>
            </w:r>
          </w:p>
        </w:tc>
        <w:tc>
          <w:tcPr>
            <w:tcW w:w="1009" w:type="pct"/>
            <w:tcBorders>
              <w:top w:val="single" w:color="auto" w:sz="4" w:space="0"/>
              <w:left w:val="single" w:color="auto" w:sz="4" w:space="0"/>
              <w:bottom w:val="single" w:color="auto" w:sz="4" w:space="0"/>
              <w:right w:val="single" w:color="auto" w:sz="4" w:space="0"/>
            </w:tcBorders>
            <w:vAlign w:val="center"/>
          </w:tcPr>
          <w:p w14:paraId="11AD63F6">
            <w:pPr>
              <w:pStyle w:val="10"/>
              <w:keepNext/>
              <w:keepLines/>
              <w:spacing w:line="360" w:lineRule="auto"/>
              <w:ind w:firstLine="0"/>
              <w:jc w:val="center"/>
              <w:rPr>
                <w:rFonts w:ascii="宋体" w:hAnsi="宋体"/>
                <w:color w:val="auto"/>
                <w:szCs w:val="21"/>
                <w:highlight w:val="none"/>
              </w:rPr>
            </w:pPr>
            <w:r>
              <w:rPr>
                <w:rFonts w:hint="eastAsia" w:ascii="宋体" w:hAnsi="宋体"/>
                <w:color w:val="auto"/>
                <w:szCs w:val="21"/>
                <w:highlight w:val="none"/>
              </w:rPr>
              <w:t>……</w:t>
            </w:r>
          </w:p>
        </w:tc>
        <w:tc>
          <w:tcPr>
            <w:tcW w:w="824" w:type="pct"/>
            <w:tcBorders>
              <w:top w:val="single" w:color="auto" w:sz="4" w:space="0"/>
              <w:left w:val="single" w:color="auto" w:sz="4" w:space="0"/>
              <w:bottom w:val="single" w:color="auto" w:sz="4" w:space="0"/>
              <w:right w:val="single" w:color="auto" w:sz="4" w:space="0"/>
            </w:tcBorders>
            <w:vAlign w:val="center"/>
          </w:tcPr>
          <w:p w14:paraId="2DAB94E0">
            <w:pPr>
              <w:keepNext/>
              <w:keepLines/>
              <w:snapToGrid w:val="0"/>
              <w:spacing w:line="360" w:lineRule="auto"/>
              <w:jc w:val="center"/>
              <w:rPr>
                <w:rFonts w:ascii="宋体" w:hAnsi="宋体"/>
                <w:color w:val="auto"/>
                <w:szCs w:val="21"/>
                <w:highlight w:val="none"/>
              </w:rPr>
            </w:pPr>
            <w:r>
              <w:rPr>
                <w:rFonts w:hint="eastAsia" w:ascii="宋体" w:hAnsi="宋体"/>
                <w:color w:val="auto"/>
                <w:szCs w:val="21"/>
                <w:highlight w:val="none"/>
              </w:rPr>
              <w:t>……</w:t>
            </w:r>
          </w:p>
        </w:tc>
        <w:tc>
          <w:tcPr>
            <w:tcW w:w="1064" w:type="pct"/>
            <w:tcBorders>
              <w:top w:val="single" w:color="auto" w:sz="4" w:space="0"/>
              <w:left w:val="single" w:color="auto" w:sz="4" w:space="0"/>
              <w:bottom w:val="single" w:color="auto" w:sz="4" w:space="0"/>
              <w:right w:val="single" w:color="auto" w:sz="4" w:space="0"/>
            </w:tcBorders>
            <w:vAlign w:val="center"/>
          </w:tcPr>
          <w:p w14:paraId="6F5515BB">
            <w:pPr>
              <w:keepNext/>
              <w:keepLines/>
              <w:snapToGrid w:val="0"/>
              <w:spacing w:line="360" w:lineRule="auto"/>
              <w:jc w:val="center"/>
              <w:rPr>
                <w:rFonts w:ascii="宋体" w:hAnsi="宋体"/>
                <w:color w:val="auto"/>
                <w:szCs w:val="21"/>
                <w:highlight w:val="none"/>
              </w:rPr>
            </w:pPr>
            <w:r>
              <w:rPr>
                <w:rFonts w:hint="eastAsia" w:ascii="宋体" w:hAnsi="宋体"/>
                <w:color w:val="auto"/>
                <w:szCs w:val="21"/>
                <w:highlight w:val="none"/>
              </w:rPr>
              <w:t>……</w:t>
            </w:r>
          </w:p>
        </w:tc>
        <w:tc>
          <w:tcPr>
            <w:tcW w:w="897" w:type="pct"/>
            <w:tcBorders>
              <w:top w:val="single" w:color="auto" w:sz="4" w:space="0"/>
              <w:left w:val="single" w:color="auto" w:sz="4" w:space="0"/>
              <w:bottom w:val="single" w:color="auto" w:sz="4" w:space="0"/>
              <w:right w:val="single" w:color="auto" w:sz="4" w:space="0"/>
            </w:tcBorders>
            <w:vAlign w:val="center"/>
          </w:tcPr>
          <w:p w14:paraId="1D93AF1F">
            <w:pPr>
              <w:keepNext/>
              <w:keepLines/>
              <w:snapToGrid w:val="0"/>
              <w:spacing w:line="360" w:lineRule="auto"/>
              <w:jc w:val="center"/>
              <w:rPr>
                <w:rFonts w:ascii="宋体" w:hAnsi="宋体"/>
                <w:color w:val="auto"/>
                <w:szCs w:val="21"/>
                <w:highlight w:val="none"/>
              </w:rPr>
            </w:pPr>
            <w:r>
              <w:rPr>
                <w:rFonts w:hint="eastAsia" w:ascii="宋体" w:hAnsi="宋体"/>
                <w:color w:val="auto"/>
                <w:szCs w:val="21"/>
                <w:highlight w:val="none"/>
              </w:rPr>
              <w:t>……</w:t>
            </w:r>
          </w:p>
        </w:tc>
        <w:tc>
          <w:tcPr>
            <w:tcW w:w="661" w:type="pct"/>
            <w:tcBorders>
              <w:top w:val="single" w:color="auto" w:sz="4" w:space="0"/>
              <w:left w:val="single" w:color="auto" w:sz="4" w:space="0"/>
              <w:bottom w:val="single" w:color="auto" w:sz="4" w:space="0"/>
              <w:right w:val="single" w:color="auto" w:sz="4" w:space="0"/>
            </w:tcBorders>
            <w:vAlign w:val="center"/>
          </w:tcPr>
          <w:p w14:paraId="40216E9E">
            <w:pPr>
              <w:keepNext/>
              <w:keepLines/>
              <w:snapToGrid w:val="0"/>
              <w:spacing w:line="360" w:lineRule="auto"/>
              <w:jc w:val="center"/>
              <w:rPr>
                <w:rFonts w:ascii="宋体" w:hAnsi="宋体"/>
                <w:color w:val="auto"/>
                <w:szCs w:val="21"/>
                <w:highlight w:val="none"/>
              </w:rPr>
            </w:pPr>
            <w:r>
              <w:rPr>
                <w:rFonts w:hint="eastAsia" w:ascii="宋体" w:hAnsi="宋体"/>
                <w:color w:val="auto"/>
                <w:szCs w:val="21"/>
                <w:highlight w:val="none"/>
              </w:rPr>
              <w:t>……</w:t>
            </w:r>
          </w:p>
        </w:tc>
      </w:tr>
    </w:tbl>
    <w:p w14:paraId="11CF3215">
      <w:pPr>
        <w:pStyle w:val="11"/>
        <w:keepNext/>
        <w:keepLines/>
        <w:spacing w:before="0" w:after="0" w:line="360" w:lineRule="auto"/>
        <w:contextualSpacing/>
        <w:rPr>
          <w:rFonts w:ascii="宋体" w:hAnsi="宋体" w:eastAsia="宋体" w:cs="宋体"/>
          <w:color w:val="auto"/>
          <w:szCs w:val="21"/>
          <w:highlight w:val="none"/>
        </w:rPr>
      </w:pPr>
    </w:p>
    <w:p w14:paraId="10654076">
      <w:pPr>
        <w:pStyle w:val="11"/>
        <w:keepNext/>
        <w:keepLines/>
        <w:spacing w:before="0" w:after="0" w:line="360" w:lineRule="auto"/>
        <w:contextualSpacing/>
        <w:rPr>
          <w:rFonts w:ascii="仿宋" w:hAnsi="仿宋" w:eastAsia="仿宋" w:cs="仿宋"/>
          <w:b/>
          <w:bCs/>
          <w:color w:val="auto"/>
          <w:szCs w:val="21"/>
          <w:highlight w:val="none"/>
        </w:rPr>
      </w:pPr>
      <w:r>
        <w:rPr>
          <w:rFonts w:hint="eastAsia" w:ascii="仿宋" w:hAnsi="仿宋" w:eastAsia="仿宋" w:cs="仿宋"/>
          <w:b/>
          <w:bCs/>
          <w:color w:val="auto"/>
          <w:szCs w:val="21"/>
          <w:highlight w:val="none"/>
        </w:rPr>
        <w:t>注：</w:t>
      </w:r>
    </w:p>
    <w:p w14:paraId="0746F320">
      <w:pPr>
        <w:pStyle w:val="11"/>
        <w:keepNext/>
        <w:keepLines/>
        <w:spacing w:before="0" w:after="0" w:line="360" w:lineRule="auto"/>
        <w:contextualSpacing/>
        <w:rPr>
          <w:rFonts w:ascii="仿宋" w:hAnsi="仿宋" w:eastAsia="仿宋" w:cs="仿宋"/>
          <w:b/>
          <w:bCs/>
          <w:color w:val="auto"/>
          <w:szCs w:val="21"/>
          <w:highlight w:val="none"/>
        </w:rPr>
      </w:pPr>
      <w:r>
        <w:rPr>
          <w:rFonts w:hint="eastAsia" w:ascii="仿宋" w:hAnsi="仿宋" w:eastAsia="仿宋" w:cs="仿宋"/>
          <w:b/>
          <w:bCs/>
          <w:color w:val="auto"/>
          <w:szCs w:val="21"/>
          <w:highlight w:val="none"/>
        </w:rPr>
        <w:t>（1）以上格式仅供参考，投标人可根据采购文件要求及自身情况修改；</w:t>
      </w:r>
    </w:p>
    <w:p w14:paraId="5B58E9E0">
      <w:pPr>
        <w:pStyle w:val="11"/>
        <w:keepNext/>
        <w:keepLines/>
        <w:spacing w:before="0" w:after="0" w:line="360" w:lineRule="auto"/>
        <w:contextualSpacing/>
        <w:rPr>
          <w:rFonts w:ascii="仿宋" w:hAnsi="仿宋" w:eastAsia="仿宋" w:cs="仿宋"/>
          <w:b/>
          <w:bCs/>
          <w:color w:val="auto"/>
          <w:szCs w:val="21"/>
          <w:highlight w:val="none"/>
        </w:rPr>
      </w:pPr>
      <w:r>
        <w:rPr>
          <w:rFonts w:hint="eastAsia" w:ascii="仿宋" w:hAnsi="仿宋" w:eastAsia="仿宋" w:cs="仿宋"/>
          <w:b/>
          <w:bCs/>
          <w:color w:val="auto"/>
          <w:szCs w:val="21"/>
          <w:highlight w:val="none"/>
        </w:rPr>
        <w:t>（2）投标人根据《第四章 评标办法及评分标准》的具体要求附业绩证明材料。</w:t>
      </w:r>
    </w:p>
    <w:p w14:paraId="0F8218EC">
      <w:pPr>
        <w:pStyle w:val="11"/>
        <w:keepNext/>
        <w:keepLines/>
        <w:spacing w:before="0" w:after="0" w:line="360" w:lineRule="auto"/>
        <w:contextualSpacing/>
        <w:jc w:val="left"/>
        <w:rPr>
          <w:rFonts w:ascii="宋体" w:hAnsi="宋体" w:eastAsia="宋体" w:cs="宋体"/>
          <w:color w:val="auto"/>
          <w:szCs w:val="21"/>
          <w:highlight w:val="none"/>
        </w:rPr>
      </w:pPr>
    </w:p>
    <w:p w14:paraId="69F9DBBD">
      <w:pPr>
        <w:keepNext/>
        <w:keepLines/>
        <w:snapToGrid w:val="0"/>
        <w:spacing w:line="360" w:lineRule="auto"/>
        <w:ind w:firstLine="5355" w:firstLineChars="2550"/>
        <w:rPr>
          <w:rFonts w:ascii="宋体" w:hAnsi="宋体" w:cs="宋体"/>
          <w:color w:val="auto"/>
          <w:kern w:val="0"/>
          <w:szCs w:val="21"/>
          <w:highlight w:val="none"/>
        </w:rPr>
      </w:pPr>
      <w:r>
        <w:rPr>
          <w:rFonts w:hint="eastAsia" w:ascii="宋体" w:hAnsi="宋体" w:cs="宋体"/>
          <w:color w:val="auto"/>
          <w:szCs w:val="21"/>
          <w:highlight w:val="none"/>
        </w:rPr>
        <w:t xml:space="preserve">  </w:t>
      </w:r>
      <w:r>
        <w:rPr>
          <w:rFonts w:hint="eastAsia" w:ascii="宋体" w:hAnsi="宋体" w:cs="宋体"/>
          <w:color w:val="auto"/>
          <w:kern w:val="0"/>
          <w:szCs w:val="21"/>
          <w:highlight w:val="none"/>
          <w:lang w:val="zh-CN"/>
        </w:rPr>
        <w:t>投标人名称（电子签章）：</w:t>
      </w:r>
    </w:p>
    <w:p w14:paraId="53B98837">
      <w:pPr>
        <w:keepNext/>
        <w:keepLines/>
        <w:snapToGrid w:val="0"/>
        <w:spacing w:line="360" w:lineRule="auto"/>
        <w:ind w:firstLine="4515" w:firstLineChars="2150"/>
        <w:jc w:val="center"/>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日期</w:t>
      </w:r>
      <w:r>
        <w:rPr>
          <w:rFonts w:hint="eastAsia" w:ascii="宋体" w:hAnsi="宋体" w:cs="宋体"/>
          <w:color w:val="auto"/>
          <w:kern w:val="0"/>
          <w:szCs w:val="21"/>
          <w:highlight w:val="none"/>
        </w:rPr>
        <w:t xml:space="preserve">：  年  </w:t>
      </w:r>
      <w:r>
        <w:rPr>
          <w:rFonts w:hint="eastAsia" w:ascii="宋体" w:hAnsi="宋体" w:cs="宋体"/>
          <w:color w:val="auto"/>
          <w:kern w:val="0"/>
          <w:szCs w:val="21"/>
          <w:highlight w:val="none"/>
          <w:lang w:val="zh-CN"/>
        </w:rPr>
        <w:t>月</w:t>
      </w:r>
      <w:r>
        <w:rPr>
          <w:rFonts w:hint="eastAsia" w:ascii="宋体" w:hAnsi="宋体" w:cs="宋体"/>
          <w:color w:val="auto"/>
          <w:kern w:val="0"/>
          <w:szCs w:val="21"/>
          <w:highlight w:val="none"/>
        </w:rPr>
        <w:t xml:space="preserve">   </w:t>
      </w:r>
      <w:r>
        <w:rPr>
          <w:rFonts w:hint="eastAsia" w:ascii="宋体" w:hAnsi="宋体" w:cs="宋体"/>
          <w:color w:val="auto"/>
          <w:kern w:val="0"/>
          <w:szCs w:val="21"/>
          <w:highlight w:val="none"/>
          <w:lang w:val="zh-CN"/>
        </w:rPr>
        <w:t>日</w:t>
      </w:r>
    </w:p>
    <w:p w14:paraId="1CFE0A04">
      <w:pPr>
        <w:rPr>
          <w:color w:val="auto"/>
          <w:highlight w:val="none"/>
        </w:rPr>
      </w:pPr>
      <w:r>
        <w:rPr>
          <w:color w:val="auto"/>
          <w:highlight w:val="none"/>
        </w:rPr>
        <w:t xml:space="preserve"> </w:t>
      </w:r>
    </w:p>
    <w:p w14:paraId="7725A50B">
      <w:pPr>
        <w:keepNext/>
        <w:keepLines/>
        <w:spacing w:line="360" w:lineRule="auto"/>
        <w:rPr>
          <w:color w:val="auto"/>
          <w:highlight w:val="none"/>
        </w:rPr>
      </w:pPr>
    </w:p>
    <w:sectPr>
      <w:footerReference r:id="rId18" w:type="first"/>
      <w:footerReference r:id="rId16" w:type="default"/>
      <w:footerReference r:id="rId17" w:type="even"/>
      <w:pgSz w:w="11906" w:h="16838"/>
      <w:pgMar w:top="1440" w:right="1080" w:bottom="1440" w:left="1080" w:header="720" w:footer="720" w:gutter="0"/>
      <w:pgBorders>
        <w:top w:val="none" w:sz="0" w:space="0"/>
        <w:left w:val="none" w:sz="0" w:space="0"/>
        <w:bottom w:val="none" w:sz="0" w:space="0"/>
        <w:right w:val="none" w:sz="0" w:space="0"/>
      </w:pgBorders>
      <w:cols w:space="720" w:num="1"/>
      <w:docGrid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仿宋_GB2312">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MS PGothic">
    <w:panose1 w:val="020B0600070205080204"/>
    <w:charset w:val="80"/>
    <w:family w:val="swiss"/>
    <w:pitch w:val="default"/>
    <w:sig w:usb0="E00002FF" w:usb1="6AC7FDFB" w:usb2="08000012" w:usb3="00000000" w:csb0="4002009F" w:csb1="DFD70000"/>
  </w:font>
  <w:font w:name="MS Mincho">
    <w:altName w:val="Yu Gothic UI"/>
    <w:panose1 w:val="02020609040205080304"/>
    <w:charset w:val="80"/>
    <w:family w:val="roman"/>
    <w:pitch w:val="default"/>
    <w:sig w:usb0="00000000" w:usb1="00000000" w:usb2="00000012" w:usb3="00000000" w:csb0="4002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2E2FD8">
    <w:pPr>
      <w:pStyle w:val="18"/>
      <w:jc w:val="cen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FA31E3">
    <w:pPr>
      <w:pStyle w:val="18"/>
      <w:framePr w:wrap="around" w:vAnchor="text" w:hAnchor="margin" w:xAlign="center" w:y="1"/>
      <w:ind w:left="560" w:hanging="560"/>
      <w:rPr>
        <w:rStyle w:val="34"/>
      </w:rPr>
    </w:pPr>
    <w:r>
      <w:fldChar w:fldCharType="begin"/>
    </w:r>
    <w:r>
      <w:rPr>
        <w:rStyle w:val="34"/>
      </w:rPr>
      <w:instrText xml:space="preserve">PAGE  </w:instrText>
    </w:r>
    <w:r>
      <w:fldChar w:fldCharType="end"/>
    </w:r>
  </w:p>
  <w:p w14:paraId="0DB4707D">
    <w:pPr>
      <w:pStyle w:val="18"/>
      <w:ind w:left="560" w:hanging="56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CA4F4B">
    <w:pPr>
      <w:pStyle w:val="18"/>
      <w:framePr w:wrap="around" w:vAnchor="text" w:hAnchor="margin" w:xAlign="right" w:y="1"/>
      <w:ind w:left="560" w:hanging="560"/>
      <w:rPr>
        <w:rStyle w:val="34"/>
      </w:rPr>
    </w:pPr>
    <w:r>
      <w:fldChar w:fldCharType="begin"/>
    </w:r>
    <w:r>
      <w:rPr>
        <w:rStyle w:val="34"/>
      </w:rPr>
      <w:instrText xml:space="preserve">PAGE  </w:instrText>
    </w:r>
    <w:r>
      <w:fldChar w:fldCharType="separate"/>
    </w:r>
    <w:r>
      <w:rPr>
        <w:rStyle w:val="34"/>
      </w:rPr>
      <w:t>122</w:t>
    </w:r>
    <w:r>
      <w:fldChar w:fldCharType="end"/>
    </w:r>
  </w:p>
  <w:p w14:paraId="5BC44EEE">
    <w:pPr>
      <w:pStyle w:val="18"/>
      <w:ind w:left="560" w:right="360" w:hanging="560"/>
      <w:jc w:val="both"/>
    </w:pPr>
    <w:r>
      <w:rPr>
        <w:rFonts w:hint="eastAsia"/>
      </w:rPr>
      <w:t>121</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22941B">
    <w:pPr>
      <w:pStyle w:val="18"/>
      <w:jc w:val="center"/>
    </w:pPr>
    <w:r>
      <w:fldChar w:fldCharType="begin"/>
    </w:r>
    <w:r>
      <w:instrText xml:space="preserve">PAGE   \* MERGEFORMAT</w:instrText>
    </w:r>
    <w:r>
      <w:fldChar w:fldCharType="separate"/>
    </w:r>
    <w:r>
      <w:rPr>
        <w:lang w:val="zh-CN"/>
      </w:rPr>
      <w:t>96</w:t>
    </w:r>
    <w: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4B68CE">
    <w:pPr>
      <w:pStyle w:val="18"/>
      <w:jc w:val="center"/>
    </w:pPr>
    <w:r>
      <w:fldChar w:fldCharType="begin"/>
    </w:r>
    <w:r>
      <w:instrText xml:space="preserve">PAGE   \* MERGEFORMAT</w:instrText>
    </w:r>
    <w:r>
      <w:fldChar w:fldCharType="separate"/>
    </w:r>
    <w:r>
      <w:rPr>
        <w:lang w:val="zh-CN"/>
      </w:rPr>
      <w:t>98</w:t>
    </w:r>
    <w:r>
      <w:fldChar w:fldCharType="end"/>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0F68A8">
    <w:pPr>
      <w:pStyle w:val="18"/>
      <w:framePr w:wrap="around" w:vAnchor="text" w:hAnchor="margin" w:xAlign="center" w:y="1"/>
      <w:rPr>
        <w:rStyle w:val="34"/>
      </w:rPr>
    </w:pPr>
    <w:r>
      <w:fldChar w:fldCharType="begin"/>
    </w:r>
    <w:r>
      <w:rPr>
        <w:rStyle w:val="34"/>
      </w:rPr>
      <w:instrText xml:space="preserve">PAGE  </w:instrText>
    </w:r>
    <w:r>
      <w:fldChar w:fldCharType="end"/>
    </w:r>
  </w:p>
  <w:p w14:paraId="447444D6">
    <w:pPr>
      <w:pStyle w:val="18"/>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8B488E">
    <w:pPr>
      <w:pStyle w:val="18"/>
      <w:framePr w:wrap="around" w:vAnchor="text" w:hAnchor="margin" w:xAlign="right" w:y="1"/>
      <w:rPr>
        <w:rStyle w:val="34"/>
      </w:rPr>
    </w:pPr>
    <w:r>
      <w:fldChar w:fldCharType="begin"/>
    </w:r>
    <w:r>
      <w:rPr>
        <w:rStyle w:val="34"/>
      </w:rPr>
      <w:instrText xml:space="preserve">PAGE  </w:instrText>
    </w:r>
    <w:r>
      <w:fldChar w:fldCharType="separate"/>
    </w:r>
    <w:r>
      <w:rPr>
        <w:rStyle w:val="34"/>
      </w:rPr>
      <w:t>122</w:t>
    </w:r>
    <w:r>
      <w:fldChar w:fldCharType="end"/>
    </w:r>
  </w:p>
  <w:p w14:paraId="73685B90">
    <w:pPr>
      <w:pStyle w:val="18"/>
      <w:ind w:right="360"/>
      <w:jc w:val="both"/>
    </w:pPr>
    <w:r>
      <w:rPr>
        <w:rFonts w:hint="eastAsia"/>
      </w:rPr>
      <w:t>121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7A3431">
    <w:pPr>
      <w:pStyle w:val="18"/>
      <w:framePr w:wrap="around" w:vAnchor="text" w:hAnchor="margin" w:xAlign="center" w:y="1"/>
      <w:rPr>
        <w:rStyle w:val="34"/>
        <w:sz w:val="21"/>
      </w:rPr>
    </w:pPr>
    <w:r>
      <w:rPr>
        <w:sz w:val="21"/>
      </w:rPr>
      <w:fldChar w:fldCharType="begin"/>
    </w:r>
    <w:r>
      <w:rPr>
        <w:rStyle w:val="34"/>
        <w:sz w:val="21"/>
      </w:rPr>
      <w:instrText xml:space="preserve">PAGE  </w:instrText>
    </w:r>
    <w:r>
      <w:rPr>
        <w:sz w:val="21"/>
      </w:rPr>
      <w:fldChar w:fldCharType="separate"/>
    </w:r>
    <w:r>
      <w:rPr>
        <w:rStyle w:val="34"/>
        <w:sz w:val="21"/>
      </w:rPr>
      <w:t>0</w:t>
    </w:r>
    <w:r>
      <w:rPr>
        <w:sz w:val="21"/>
      </w:rPr>
      <w:fldChar w:fldCharType="end"/>
    </w:r>
  </w:p>
  <w:p w14:paraId="5608665B">
    <w:pPr>
      <w:pStyle w:val="18"/>
      <w:rPr>
        <w:sz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F60E04">
    <w:pPr>
      <w:pStyle w:val="18"/>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FBC769">
    <w:pPr>
      <w:pStyle w:val="18"/>
      <w:jc w:val="center"/>
    </w:pPr>
    <w:r>
      <w:fldChar w:fldCharType="begin"/>
    </w:r>
    <w:r>
      <w:instrText xml:space="preserve">PAGE   \* MERGEFORMAT</w:instrText>
    </w:r>
    <w:r>
      <w:fldChar w:fldCharType="separate"/>
    </w:r>
    <w:r>
      <w:rPr>
        <w:lang w:val="zh-CN"/>
      </w:rPr>
      <w:t>3</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D90463">
    <w:pPr>
      <w:pStyle w:val="18"/>
      <w:jc w:val="center"/>
    </w:pPr>
    <w:r>
      <w:fldChar w:fldCharType="begin"/>
    </w:r>
    <w:r>
      <w:instrText xml:space="preserve">PAGE   \* MERGEFORMAT</w:instrText>
    </w:r>
    <w:r>
      <w:fldChar w:fldCharType="separate"/>
    </w:r>
    <w:r>
      <w:rPr>
        <w:lang w:val="zh-CN"/>
      </w:rPr>
      <w:t>4</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4AA1BF">
    <w:pPr>
      <w:pStyle w:val="18"/>
      <w:jc w:val="center"/>
    </w:pPr>
    <w:r>
      <w:fldChar w:fldCharType="begin"/>
    </w:r>
    <w:r>
      <w:instrText xml:space="preserve">PAGE   \* MERGEFORMAT</w:instrText>
    </w:r>
    <w:r>
      <w:fldChar w:fldCharType="separate"/>
    </w:r>
    <w:r>
      <w:rPr>
        <w:lang w:val="zh-CN"/>
      </w:rPr>
      <w:t>33</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4B311F">
    <w:pPr>
      <w:pStyle w:val="18"/>
      <w:jc w:val="center"/>
    </w:pPr>
    <w:r>
      <w:fldChar w:fldCharType="begin"/>
    </w:r>
    <w:r>
      <w:instrText xml:space="preserve">PAGE   \* MERGEFORMAT</w:instrText>
    </w:r>
    <w:r>
      <w:fldChar w:fldCharType="separate"/>
    </w:r>
    <w:r>
      <w:rPr>
        <w:lang w:val="zh-CN"/>
      </w:rPr>
      <w:t>72</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C68F90">
    <w:pPr>
      <w:pStyle w:val="18"/>
      <w:jc w:val="center"/>
    </w:pPr>
    <w:r>
      <w:fldChar w:fldCharType="begin"/>
    </w:r>
    <w:r>
      <w:instrText xml:space="preserve">PAGE   \* MERGEFORMAT</w:instrText>
    </w:r>
    <w:r>
      <w:fldChar w:fldCharType="separate"/>
    </w:r>
    <w:r>
      <w:rPr>
        <w:lang w:val="zh-CN"/>
      </w:rPr>
      <w:t>75</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355FC5">
    <w:pPr>
      <w:pStyle w:val="18"/>
      <w:jc w:val="center"/>
    </w:pPr>
    <w:r>
      <w:fldChar w:fldCharType="begin"/>
    </w:r>
    <w:r>
      <w:instrText xml:space="preserve">PAGE   \* MERGEFORMAT</w:instrText>
    </w:r>
    <w:r>
      <w:fldChar w:fldCharType="separate"/>
    </w:r>
    <w:r>
      <w:rPr>
        <w:lang w:val="zh-CN"/>
      </w:rPr>
      <w:t>92</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71D146">
    <w:pPr>
      <w:pStyle w:val="19"/>
      <w:pBdr>
        <w:bottom w:val="none" w:color="auto" w:sz="0" w:space="0"/>
      </w:pBdr>
      <w:tabs>
        <w:tab w:val="center" w:pos="0"/>
        <w:tab w:val="left" w:pos="8306"/>
        <w:tab w:val="clear" w:pos="415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F176E8"/>
    <w:multiLevelType w:val="singleLevel"/>
    <w:tmpl w:val="A1F176E8"/>
    <w:lvl w:ilvl="0" w:tentative="0">
      <w:start w:val="16"/>
      <w:numFmt w:val="chineseCounting"/>
      <w:suff w:val="nothing"/>
      <w:lvlText w:val="第%1条　"/>
      <w:lvlJc w:val="left"/>
      <w:rPr>
        <w:rFonts w:hint="eastAsia"/>
      </w:rPr>
    </w:lvl>
  </w:abstractNum>
  <w:abstractNum w:abstractNumId="1">
    <w:nsid w:val="A42E5E69"/>
    <w:multiLevelType w:val="singleLevel"/>
    <w:tmpl w:val="A42E5E69"/>
    <w:lvl w:ilvl="0" w:tentative="0">
      <w:start w:val="1"/>
      <w:numFmt w:val="decimal"/>
      <w:suff w:val="nothing"/>
      <w:lvlText w:val="%1．"/>
      <w:lvlJc w:val="left"/>
      <w:pPr>
        <w:ind w:left="0" w:firstLine="400"/>
      </w:pPr>
      <w:rPr>
        <w:rFonts w:hint="default"/>
      </w:rPr>
    </w:lvl>
  </w:abstractNum>
  <w:abstractNum w:abstractNumId="2">
    <w:nsid w:val="AA11D75F"/>
    <w:multiLevelType w:val="singleLevel"/>
    <w:tmpl w:val="AA11D75F"/>
    <w:lvl w:ilvl="0" w:tentative="0">
      <w:start w:val="1"/>
      <w:numFmt w:val="decimal"/>
      <w:suff w:val="nothing"/>
      <w:lvlText w:val="%1．"/>
      <w:lvlJc w:val="left"/>
      <w:pPr>
        <w:ind w:left="0" w:firstLine="400"/>
      </w:pPr>
      <w:rPr>
        <w:rFonts w:hint="default"/>
      </w:rPr>
    </w:lvl>
  </w:abstractNum>
  <w:abstractNum w:abstractNumId="3">
    <w:nsid w:val="B585CC22"/>
    <w:multiLevelType w:val="singleLevel"/>
    <w:tmpl w:val="B585CC22"/>
    <w:lvl w:ilvl="0" w:tentative="0">
      <w:start w:val="1"/>
      <w:numFmt w:val="decimal"/>
      <w:lvlText w:val="%1."/>
      <w:lvlJc w:val="left"/>
      <w:pPr>
        <w:ind w:left="425" w:hanging="425"/>
      </w:pPr>
      <w:rPr>
        <w:rFonts w:hint="default"/>
      </w:rPr>
    </w:lvl>
  </w:abstractNum>
  <w:abstractNum w:abstractNumId="4">
    <w:nsid w:val="C386B301"/>
    <w:multiLevelType w:val="singleLevel"/>
    <w:tmpl w:val="C386B301"/>
    <w:lvl w:ilvl="0" w:tentative="0">
      <w:start w:val="1"/>
      <w:numFmt w:val="decimal"/>
      <w:suff w:val="nothing"/>
      <w:lvlText w:val="%1．"/>
      <w:lvlJc w:val="left"/>
      <w:pPr>
        <w:ind w:left="0" w:firstLine="400"/>
      </w:pPr>
      <w:rPr>
        <w:rFonts w:hint="default"/>
      </w:rPr>
    </w:lvl>
  </w:abstractNum>
  <w:abstractNum w:abstractNumId="5">
    <w:nsid w:val="C9BDA2A6"/>
    <w:multiLevelType w:val="singleLevel"/>
    <w:tmpl w:val="C9BDA2A6"/>
    <w:lvl w:ilvl="0" w:tentative="0">
      <w:start w:val="1"/>
      <w:numFmt w:val="decimal"/>
      <w:suff w:val="nothing"/>
      <w:lvlText w:val="%1．"/>
      <w:lvlJc w:val="left"/>
      <w:pPr>
        <w:ind w:left="0" w:firstLine="400"/>
      </w:pPr>
      <w:rPr>
        <w:rFonts w:hint="default"/>
      </w:rPr>
    </w:lvl>
  </w:abstractNum>
  <w:abstractNum w:abstractNumId="6">
    <w:nsid w:val="D0AAF35A"/>
    <w:multiLevelType w:val="singleLevel"/>
    <w:tmpl w:val="D0AAF35A"/>
    <w:lvl w:ilvl="0" w:tentative="0">
      <w:start w:val="1"/>
      <w:numFmt w:val="decimal"/>
      <w:lvlText w:val="%1."/>
      <w:lvlJc w:val="left"/>
      <w:pPr>
        <w:ind w:left="425" w:hanging="425"/>
      </w:pPr>
      <w:rPr>
        <w:rFonts w:hint="default"/>
      </w:rPr>
    </w:lvl>
  </w:abstractNum>
  <w:abstractNum w:abstractNumId="7">
    <w:nsid w:val="D85E5271"/>
    <w:multiLevelType w:val="singleLevel"/>
    <w:tmpl w:val="D85E5271"/>
    <w:lvl w:ilvl="0" w:tentative="0">
      <w:start w:val="1"/>
      <w:numFmt w:val="decimal"/>
      <w:suff w:val="nothing"/>
      <w:lvlText w:val="%1．"/>
      <w:lvlJc w:val="left"/>
      <w:pPr>
        <w:ind w:left="0" w:firstLine="400"/>
      </w:pPr>
      <w:rPr>
        <w:rFonts w:hint="default"/>
      </w:rPr>
    </w:lvl>
  </w:abstractNum>
  <w:abstractNum w:abstractNumId="8">
    <w:nsid w:val="DFBE6132"/>
    <w:multiLevelType w:val="singleLevel"/>
    <w:tmpl w:val="DFBE6132"/>
    <w:lvl w:ilvl="0" w:tentative="0">
      <w:start w:val="1"/>
      <w:numFmt w:val="decimal"/>
      <w:suff w:val="nothing"/>
      <w:lvlText w:val="%1．"/>
      <w:lvlJc w:val="left"/>
      <w:pPr>
        <w:ind w:left="0" w:firstLine="400"/>
      </w:pPr>
      <w:rPr>
        <w:rFonts w:hint="default"/>
      </w:rPr>
    </w:lvl>
  </w:abstractNum>
  <w:abstractNum w:abstractNumId="9">
    <w:nsid w:val="E69BFE6F"/>
    <w:multiLevelType w:val="singleLevel"/>
    <w:tmpl w:val="E69BFE6F"/>
    <w:lvl w:ilvl="0" w:tentative="0">
      <w:start w:val="1"/>
      <w:numFmt w:val="decimal"/>
      <w:suff w:val="nothing"/>
      <w:lvlText w:val="%1．"/>
      <w:lvlJc w:val="left"/>
      <w:pPr>
        <w:ind w:left="0" w:firstLine="400"/>
      </w:pPr>
      <w:rPr>
        <w:rFonts w:hint="default"/>
      </w:rPr>
    </w:lvl>
  </w:abstractNum>
  <w:abstractNum w:abstractNumId="10">
    <w:nsid w:val="ED64C85C"/>
    <w:multiLevelType w:val="singleLevel"/>
    <w:tmpl w:val="ED64C85C"/>
    <w:lvl w:ilvl="0" w:tentative="0">
      <w:start w:val="1"/>
      <w:numFmt w:val="decimal"/>
      <w:suff w:val="nothing"/>
      <w:lvlText w:val="%1．"/>
      <w:lvlJc w:val="left"/>
      <w:pPr>
        <w:ind w:left="0" w:firstLine="400"/>
      </w:pPr>
      <w:rPr>
        <w:rFonts w:hint="default"/>
      </w:rPr>
    </w:lvl>
  </w:abstractNum>
  <w:abstractNum w:abstractNumId="11">
    <w:nsid w:val="0000000A"/>
    <w:multiLevelType w:val="multilevel"/>
    <w:tmpl w:val="0000000A"/>
    <w:lvl w:ilvl="0" w:tentative="0">
      <w:start w:val="1"/>
      <w:numFmt w:val="decimal"/>
      <w:lvlText w:val="%1、"/>
      <w:lvlJc w:val="left"/>
      <w:pPr>
        <w:tabs>
          <w:tab w:val="left" w:pos="972"/>
        </w:tabs>
        <w:ind w:left="1320" w:hanging="564"/>
      </w:pPr>
      <w:rPr>
        <w:rFonts w:hint="eastAsia"/>
      </w:rPr>
    </w:lvl>
    <w:lvl w:ilvl="1" w:tentative="0">
      <w:start w:val="1"/>
      <w:numFmt w:val="lowerLetter"/>
      <w:lvlText w:val="%2."/>
      <w:lvlJc w:val="left"/>
      <w:pPr>
        <w:tabs>
          <w:tab w:val="left" w:pos="1980"/>
        </w:tabs>
        <w:ind w:left="1980" w:hanging="360"/>
      </w:pPr>
    </w:lvl>
    <w:lvl w:ilvl="2" w:tentative="0">
      <w:start w:val="1"/>
      <w:numFmt w:val="lowerRoman"/>
      <w:lvlText w:val="%3."/>
      <w:lvlJc w:val="right"/>
      <w:pPr>
        <w:tabs>
          <w:tab w:val="left" w:pos="2700"/>
        </w:tabs>
        <w:ind w:left="2700" w:hanging="180"/>
      </w:pPr>
    </w:lvl>
    <w:lvl w:ilvl="3" w:tentative="0">
      <w:start w:val="1"/>
      <w:numFmt w:val="decimal"/>
      <w:lvlText w:val="%4."/>
      <w:lvlJc w:val="left"/>
      <w:pPr>
        <w:tabs>
          <w:tab w:val="left" w:pos="3420"/>
        </w:tabs>
        <w:ind w:left="3420" w:hanging="360"/>
      </w:pPr>
    </w:lvl>
    <w:lvl w:ilvl="4" w:tentative="0">
      <w:start w:val="1"/>
      <w:numFmt w:val="lowerLetter"/>
      <w:lvlText w:val="%5."/>
      <w:lvlJc w:val="left"/>
      <w:pPr>
        <w:tabs>
          <w:tab w:val="left" w:pos="4140"/>
        </w:tabs>
        <w:ind w:left="4140" w:hanging="360"/>
      </w:pPr>
    </w:lvl>
    <w:lvl w:ilvl="5" w:tentative="0">
      <w:start w:val="1"/>
      <w:numFmt w:val="lowerRoman"/>
      <w:lvlText w:val="%6."/>
      <w:lvlJc w:val="right"/>
      <w:pPr>
        <w:tabs>
          <w:tab w:val="left" w:pos="4860"/>
        </w:tabs>
        <w:ind w:left="4860" w:hanging="180"/>
      </w:pPr>
    </w:lvl>
    <w:lvl w:ilvl="6" w:tentative="0">
      <w:start w:val="1"/>
      <w:numFmt w:val="decimal"/>
      <w:lvlText w:val="%7."/>
      <w:lvlJc w:val="left"/>
      <w:pPr>
        <w:tabs>
          <w:tab w:val="left" w:pos="5580"/>
        </w:tabs>
        <w:ind w:left="5580" w:hanging="360"/>
      </w:pPr>
    </w:lvl>
    <w:lvl w:ilvl="7" w:tentative="0">
      <w:start w:val="1"/>
      <w:numFmt w:val="lowerLetter"/>
      <w:lvlText w:val="%8."/>
      <w:lvlJc w:val="left"/>
      <w:pPr>
        <w:tabs>
          <w:tab w:val="left" w:pos="6300"/>
        </w:tabs>
        <w:ind w:left="6300" w:hanging="360"/>
      </w:pPr>
    </w:lvl>
    <w:lvl w:ilvl="8" w:tentative="0">
      <w:start w:val="1"/>
      <w:numFmt w:val="lowerRoman"/>
      <w:lvlText w:val="%9."/>
      <w:lvlJc w:val="right"/>
      <w:pPr>
        <w:tabs>
          <w:tab w:val="left" w:pos="7020"/>
        </w:tabs>
        <w:ind w:left="7020" w:hanging="180"/>
      </w:pPr>
    </w:lvl>
  </w:abstractNum>
  <w:abstractNum w:abstractNumId="12">
    <w:nsid w:val="0BB96FDF"/>
    <w:multiLevelType w:val="singleLevel"/>
    <w:tmpl w:val="0BB96FDF"/>
    <w:lvl w:ilvl="0" w:tentative="0">
      <w:start w:val="1"/>
      <w:numFmt w:val="decimal"/>
      <w:suff w:val="nothing"/>
      <w:lvlText w:val="%1．"/>
      <w:lvlJc w:val="left"/>
      <w:pPr>
        <w:ind w:left="0" w:firstLine="400"/>
      </w:pPr>
      <w:rPr>
        <w:rFonts w:hint="default"/>
      </w:rPr>
    </w:lvl>
  </w:abstractNum>
  <w:abstractNum w:abstractNumId="13">
    <w:nsid w:val="17139379"/>
    <w:multiLevelType w:val="singleLevel"/>
    <w:tmpl w:val="17139379"/>
    <w:lvl w:ilvl="0" w:tentative="0">
      <w:start w:val="1"/>
      <w:numFmt w:val="decimal"/>
      <w:suff w:val="nothing"/>
      <w:lvlText w:val="%1．"/>
      <w:lvlJc w:val="left"/>
      <w:pPr>
        <w:ind w:left="0" w:firstLine="400"/>
      </w:pPr>
      <w:rPr>
        <w:rFonts w:hint="default"/>
      </w:rPr>
    </w:lvl>
  </w:abstractNum>
  <w:abstractNum w:abstractNumId="14">
    <w:nsid w:val="26D71C57"/>
    <w:multiLevelType w:val="singleLevel"/>
    <w:tmpl w:val="26D71C57"/>
    <w:lvl w:ilvl="0" w:tentative="0">
      <w:start w:val="1"/>
      <w:numFmt w:val="decimal"/>
      <w:suff w:val="nothing"/>
      <w:lvlText w:val="%1．"/>
      <w:lvlJc w:val="left"/>
      <w:pPr>
        <w:ind w:left="0" w:firstLine="400"/>
      </w:pPr>
      <w:rPr>
        <w:rFonts w:hint="default"/>
      </w:rPr>
    </w:lvl>
  </w:abstractNum>
  <w:abstractNum w:abstractNumId="15">
    <w:nsid w:val="37366A98"/>
    <w:multiLevelType w:val="singleLevel"/>
    <w:tmpl w:val="37366A98"/>
    <w:lvl w:ilvl="0" w:tentative="0">
      <w:start w:val="1"/>
      <w:numFmt w:val="decimal"/>
      <w:suff w:val="nothing"/>
      <w:lvlText w:val="%1、"/>
      <w:lvlJc w:val="left"/>
    </w:lvl>
  </w:abstractNum>
  <w:abstractNum w:abstractNumId="16">
    <w:nsid w:val="383A9F7D"/>
    <w:multiLevelType w:val="singleLevel"/>
    <w:tmpl w:val="383A9F7D"/>
    <w:lvl w:ilvl="0" w:tentative="0">
      <w:start w:val="1"/>
      <w:numFmt w:val="decimal"/>
      <w:suff w:val="nothing"/>
      <w:lvlText w:val="%1、"/>
      <w:lvlJc w:val="left"/>
    </w:lvl>
  </w:abstractNum>
  <w:abstractNum w:abstractNumId="17">
    <w:nsid w:val="3A15ACD7"/>
    <w:multiLevelType w:val="singleLevel"/>
    <w:tmpl w:val="3A15ACD7"/>
    <w:lvl w:ilvl="0" w:tentative="0">
      <w:start w:val="1"/>
      <w:numFmt w:val="decimal"/>
      <w:suff w:val="nothing"/>
      <w:lvlText w:val="%1．"/>
      <w:lvlJc w:val="left"/>
      <w:pPr>
        <w:ind w:left="0" w:firstLine="400"/>
      </w:pPr>
      <w:rPr>
        <w:rFonts w:hint="default"/>
      </w:rPr>
    </w:lvl>
  </w:abstractNum>
  <w:abstractNum w:abstractNumId="18">
    <w:nsid w:val="3DB99589"/>
    <w:multiLevelType w:val="singleLevel"/>
    <w:tmpl w:val="3DB99589"/>
    <w:lvl w:ilvl="0" w:tentative="0">
      <w:start w:val="1"/>
      <w:numFmt w:val="decimal"/>
      <w:lvlText w:val="(%1)"/>
      <w:lvlJc w:val="left"/>
      <w:pPr>
        <w:ind w:left="425" w:hanging="425"/>
      </w:pPr>
      <w:rPr>
        <w:rFonts w:hint="default"/>
      </w:rPr>
    </w:lvl>
  </w:abstractNum>
  <w:abstractNum w:abstractNumId="19">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59"/>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20">
    <w:nsid w:val="3F97DAF8"/>
    <w:multiLevelType w:val="singleLevel"/>
    <w:tmpl w:val="3F97DAF8"/>
    <w:lvl w:ilvl="0" w:tentative="0">
      <w:start w:val="1"/>
      <w:numFmt w:val="decimal"/>
      <w:suff w:val="nothing"/>
      <w:lvlText w:val="%1．"/>
      <w:lvlJc w:val="left"/>
      <w:pPr>
        <w:ind w:left="0" w:firstLine="400"/>
      </w:pPr>
      <w:rPr>
        <w:rFonts w:hint="default"/>
      </w:rPr>
    </w:lvl>
  </w:abstractNum>
  <w:abstractNum w:abstractNumId="21">
    <w:nsid w:val="441B798B"/>
    <w:multiLevelType w:val="multilevel"/>
    <w:tmpl w:val="441B798B"/>
    <w:lvl w:ilvl="0" w:tentative="0">
      <w:start w:val="1"/>
      <w:numFmt w:val="decimal"/>
      <w:lvlText w:val="%1."/>
      <w:lvlJc w:val="center"/>
      <w:pPr>
        <w:ind w:left="1000" w:hanging="440"/>
      </w:pPr>
      <w:rPr>
        <w:rFonts w:hint="eastAsia"/>
      </w:rPr>
    </w:lvl>
    <w:lvl w:ilvl="1" w:tentative="0">
      <w:start w:val="1"/>
      <w:numFmt w:val="decimal"/>
      <w:pStyle w:val="61"/>
      <w:lvlText w:val="%2."/>
      <w:lvlJc w:val="left"/>
      <w:pPr>
        <w:ind w:left="1000" w:hanging="440"/>
      </w:pPr>
      <w:rPr>
        <w:rFonts w:hint="default"/>
      </w:rPr>
    </w:lvl>
    <w:lvl w:ilvl="2" w:tentative="0">
      <w:start w:val="1"/>
      <w:numFmt w:val="lowerRoman"/>
      <w:lvlText w:val="%3."/>
      <w:lvlJc w:val="right"/>
      <w:pPr>
        <w:ind w:left="1880" w:hanging="440"/>
      </w:pPr>
    </w:lvl>
    <w:lvl w:ilvl="3" w:tentative="0">
      <w:start w:val="1"/>
      <w:numFmt w:val="decimal"/>
      <w:lvlText w:val="%4."/>
      <w:lvlJc w:val="left"/>
      <w:pPr>
        <w:ind w:left="2320" w:hanging="440"/>
      </w:pPr>
    </w:lvl>
    <w:lvl w:ilvl="4" w:tentative="0">
      <w:start w:val="1"/>
      <w:numFmt w:val="lowerLetter"/>
      <w:lvlText w:val="%5)"/>
      <w:lvlJc w:val="left"/>
      <w:pPr>
        <w:ind w:left="2760" w:hanging="440"/>
      </w:pPr>
    </w:lvl>
    <w:lvl w:ilvl="5" w:tentative="0">
      <w:start w:val="1"/>
      <w:numFmt w:val="lowerRoman"/>
      <w:lvlText w:val="%6."/>
      <w:lvlJc w:val="right"/>
      <w:pPr>
        <w:ind w:left="3200" w:hanging="440"/>
      </w:pPr>
    </w:lvl>
    <w:lvl w:ilvl="6" w:tentative="0">
      <w:start w:val="1"/>
      <w:numFmt w:val="decimal"/>
      <w:lvlText w:val="%7."/>
      <w:lvlJc w:val="left"/>
      <w:pPr>
        <w:ind w:left="3640" w:hanging="440"/>
      </w:pPr>
    </w:lvl>
    <w:lvl w:ilvl="7" w:tentative="0">
      <w:start w:val="1"/>
      <w:numFmt w:val="lowerLetter"/>
      <w:lvlText w:val="%8)"/>
      <w:lvlJc w:val="left"/>
      <w:pPr>
        <w:ind w:left="4080" w:hanging="440"/>
      </w:pPr>
    </w:lvl>
    <w:lvl w:ilvl="8" w:tentative="0">
      <w:start w:val="1"/>
      <w:numFmt w:val="lowerRoman"/>
      <w:lvlText w:val="%9."/>
      <w:lvlJc w:val="right"/>
      <w:pPr>
        <w:ind w:left="4520" w:hanging="440"/>
      </w:pPr>
    </w:lvl>
  </w:abstractNum>
  <w:abstractNum w:abstractNumId="22">
    <w:nsid w:val="4485E430"/>
    <w:multiLevelType w:val="singleLevel"/>
    <w:tmpl w:val="4485E430"/>
    <w:lvl w:ilvl="0" w:tentative="0">
      <w:start w:val="3"/>
      <w:numFmt w:val="chineseCounting"/>
      <w:suff w:val="nothing"/>
      <w:lvlText w:val="%1、"/>
      <w:lvlJc w:val="left"/>
      <w:rPr>
        <w:rFonts w:hint="eastAsia"/>
      </w:rPr>
    </w:lvl>
  </w:abstractNum>
  <w:abstractNum w:abstractNumId="23">
    <w:nsid w:val="44F7A8AF"/>
    <w:multiLevelType w:val="singleLevel"/>
    <w:tmpl w:val="44F7A8AF"/>
    <w:lvl w:ilvl="0" w:tentative="0">
      <w:start w:val="1"/>
      <w:numFmt w:val="decimal"/>
      <w:suff w:val="nothing"/>
      <w:lvlText w:val="%1．"/>
      <w:lvlJc w:val="left"/>
      <w:pPr>
        <w:ind w:left="0" w:firstLine="400"/>
      </w:pPr>
      <w:rPr>
        <w:rFonts w:hint="default"/>
      </w:rPr>
    </w:lvl>
  </w:abstractNum>
  <w:abstractNum w:abstractNumId="24">
    <w:nsid w:val="52C68C80"/>
    <w:multiLevelType w:val="singleLevel"/>
    <w:tmpl w:val="52C68C80"/>
    <w:lvl w:ilvl="0" w:tentative="0">
      <w:start w:val="1"/>
      <w:numFmt w:val="decimal"/>
      <w:suff w:val="nothing"/>
      <w:lvlText w:val="%1．"/>
      <w:lvlJc w:val="left"/>
      <w:pPr>
        <w:ind w:left="0" w:firstLine="400"/>
      </w:pPr>
      <w:rPr>
        <w:rFonts w:hint="default"/>
      </w:rPr>
    </w:lvl>
  </w:abstractNum>
  <w:abstractNum w:abstractNumId="25">
    <w:nsid w:val="537E4C64"/>
    <w:multiLevelType w:val="multilevel"/>
    <w:tmpl w:val="537E4C64"/>
    <w:lvl w:ilvl="0" w:tentative="0">
      <w:start w:val="1"/>
      <w:numFmt w:val="japaneseCounting"/>
      <w:pStyle w:val="65"/>
      <w:lvlText w:val="%1、"/>
      <w:lvlJc w:val="left"/>
      <w:pPr>
        <w:ind w:left="900" w:hanging="480"/>
      </w:pPr>
      <w:rPr>
        <w:rFonts w:hint="default"/>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26">
    <w:nsid w:val="5F9BDBA7"/>
    <w:multiLevelType w:val="singleLevel"/>
    <w:tmpl w:val="5F9BDBA7"/>
    <w:lvl w:ilvl="0" w:tentative="0">
      <w:start w:val="1"/>
      <w:numFmt w:val="decimal"/>
      <w:suff w:val="nothing"/>
      <w:lvlText w:val="%1．"/>
      <w:lvlJc w:val="left"/>
      <w:pPr>
        <w:ind w:left="0" w:firstLine="400"/>
      </w:pPr>
      <w:rPr>
        <w:rFonts w:hint="default"/>
      </w:rPr>
    </w:lvl>
  </w:abstractNum>
  <w:abstractNum w:abstractNumId="27">
    <w:nsid w:val="6EBEC63A"/>
    <w:multiLevelType w:val="singleLevel"/>
    <w:tmpl w:val="6EBEC63A"/>
    <w:lvl w:ilvl="0" w:tentative="0">
      <w:start w:val="1"/>
      <w:numFmt w:val="decimal"/>
      <w:suff w:val="nothing"/>
      <w:lvlText w:val="%1、"/>
      <w:lvlJc w:val="left"/>
    </w:lvl>
  </w:abstractNum>
  <w:abstractNum w:abstractNumId="28">
    <w:nsid w:val="7B9B75B7"/>
    <w:multiLevelType w:val="multilevel"/>
    <w:tmpl w:val="7B9B75B7"/>
    <w:lvl w:ilvl="0" w:tentative="0">
      <w:start w:val="1"/>
      <w:numFmt w:val="decimal"/>
      <w:lvlText w:val="%1."/>
      <w:lvlJc w:val="left"/>
      <w:pPr>
        <w:ind w:left="425" w:hanging="425"/>
      </w:pPr>
      <w:rPr>
        <w:rFonts w:hint="default"/>
      </w:rPr>
    </w:lvl>
    <w:lvl w:ilvl="1" w:tentative="0">
      <w:start w:val="1"/>
      <w:numFmt w:val="decimal"/>
      <w:lvlText w:val="2.%2."/>
      <w:lvlJc w:val="left"/>
      <w:pPr>
        <w:ind w:left="567" w:hanging="567"/>
      </w:pPr>
      <w:rPr>
        <w:rFonts w:hint="default"/>
      </w:rPr>
    </w:lvl>
    <w:lvl w:ilvl="2" w:tentative="0">
      <w:start w:val="1"/>
      <w:numFmt w:val="decimal"/>
      <w:pStyle w:val="6"/>
      <w:lvlText w:val="2.%2.%3."/>
      <w:lvlJc w:val="left"/>
      <w:pPr>
        <w:ind w:left="709" w:hanging="709"/>
      </w:pPr>
      <w:rPr>
        <w:rFonts w:hint="default"/>
      </w:rPr>
    </w:lvl>
    <w:lvl w:ilvl="3" w:tentative="0">
      <w:start w:val="1"/>
      <w:numFmt w:val="decimal"/>
      <w:lvlText w:val="2.%2.%3.%4."/>
      <w:lvlJc w:val="left"/>
      <w:pPr>
        <w:ind w:left="850" w:hanging="850"/>
      </w:pPr>
      <w:rPr>
        <w:rFonts w:hint="default"/>
      </w:rPr>
    </w:lvl>
    <w:lvl w:ilvl="4" w:tentative="0">
      <w:start w:val="1"/>
      <w:numFmt w:val="decimal"/>
      <w:lvlText w:val="2.%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28"/>
  </w:num>
  <w:num w:numId="2">
    <w:abstractNumId w:val="19"/>
  </w:num>
  <w:num w:numId="3">
    <w:abstractNumId w:val="21"/>
  </w:num>
  <w:num w:numId="4">
    <w:abstractNumId w:val="25"/>
  </w:num>
  <w:num w:numId="5">
    <w:abstractNumId w:val="6"/>
  </w:num>
  <w:num w:numId="6">
    <w:abstractNumId w:val="16"/>
  </w:num>
  <w:num w:numId="7">
    <w:abstractNumId w:val="27"/>
  </w:num>
  <w:num w:numId="8">
    <w:abstractNumId w:val="15"/>
  </w:num>
  <w:num w:numId="9">
    <w:abstractNumId w:val="14"/>
  </w:num>
  <w:num w:numId="10">
    <w:abstractNumId w:val="12"/>
  </w:num>
  <w:num w:numId="11">
    <w:abstractNumId w:val="13"/>
  </w:num>
  <w:num w:numId="12">
    <w:abstractNumId w:val="20"/>
  </w:num>
  <w:num w:numId="13">
    <w:abstractNumId w:val="26"/>
  </w:num>
  <w:num w:numId="14">
    <w:abstractNumId w:val="18"/>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10"/>
  </w:num>
  <w:num w:numId="18">
    <w:abstractNumId w:val="9"/>
  </w:num>
  <w:num w:numId="19">
    <w:abstractNumId w:val="7"/>
  </w:num>
  <w:num w:numId="20">
    <w:abstractNumId w:val="8"/>
  </w:num>
  <w:num w:numId="21">
    <w:abstractNumId w:val="2"/>
  </w:num>
  <w:num w:numId="22">
    <w:abstractNumId w:val="23"/>
  </w:num>
  <w:num w:numId="23">
    <w:abstractNumId w:val="1"/>
  </w:num>
  <w:num w:numId="24">
    <w:abstractNumId w:val="17"/>
  </w:num>
  <w:num w:numId="25">
    <w:abstractNumId w:val="4"/>
  </w:num>
  <w:num w:numId="26">
    <w:abstractNumId w:val="0"/>
  </w:num>
  <w:num w:numId="27">
    <w:abstractNumId w:val="24"/>
  </w:num>
  <w:num w:numId="28">
    <w:abstractNumId w:val="22"/>
  </w:num>
  <w:num w:numId="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hideSpellingErrors/>
  <w:trackRevisions w:val="1"/>
  <w:documentProtection w:edit="readOnly" w:formatting="1" w:enforcement="1" w:cryptProviderType="rsaFull" w:cryptAlgorithmClass="hash" w:cryptAlgorithmType="typeAny" w:cryptAlgorithmSid="4" w:cryptSpinCount="0" w:hash="/utIYnCDcoij0fTnj75TITZ3g2E=" w:salt="mAiObm/eFBo5hobKQ3NUhQ=="/>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I0ODFhZTc4NTZhYjAyZWU2OWFjYjllMDkwZThhNWUifQ=="/>
    <w:docVar w:name="KSO_WPS_MARK_KEY" w:val="9e697a69-7556-446e-bbd1-001349d15202"/>
  </w:docVars>
  <w:rsids>
    <w:rsidRoot w:val="7F2C647A"/>
    <w:rsid w:val="00006DF6"/>
    <w:rsid w:val="0001130F"/>
    <w:rsid w:val="00014FB9"/>
    <w:rsid w:val="00024EBB"/>
    <w:rsid w:val="00026735"/>
    <w:rsid w:val="00031894"/>
    <w:rsid w:val="00032289"/>
    <w:rsid w:val="00033B05"/>
    <w:rsid w:val="00037F88"/>
    <w:rsid w:val="00040918"/>
    <w:rsid w:val="00042E37"/>
    <w:rsid w:val="0004573C"/>
    <w:rsid w:val="00046398"/>
    <w:rsid w:val="00056F55"/>
    <w:rsid w:val="00061E68"/>
    <w:rsid w:val="00062CD9"/>
    <w:rsid w:val="000641E8"/>
    <w:rsid w:val="00064F9F"/>
    <w:rsid w:val="00066A02"/>
    <w:rsid w:val="0006730F"/>
    <w:rsid w:val="000678DE"/>
    <w:rsid w:val="00077114"/>
    <w:rsid w:val="00086A5B"/>
    <w:rsid w:val="00086EB4"/>
    <w:rsid w:val="00087AE0"/>
    <w:rsid w:val="00093FA2"/>
    <w:rsid w:val="000970A9"/>
    <w:rsid w:val="00097916"/>
    <w:rsid w:val="000A3D3E"/>
    <w:rsid w:val="000A6C83"/>
    <w:rsid w:val="000B0E99"/>
    <w:rsid w:val="000B6677"/>
    <w:rsid w:val="000D342B"/>
    <w:rsid w:val="000D4825"/>
    <w:rsid w:val="000D5041"/>
    <w:rsid w:val="000E6E26"/>
    <w:rsid w:val="000E793C"/>
    <w:rsid w:val="000F7BD4"/>
    <w:rsid w:val="00100DF3"/>
    <w:rsid w:val="001034AF"/>
    <w:rsid w:val="001069DC"/>
    <w:rsid w:val="0011415C"/>
    <w:rsid w:val="00116FB4"/>
    <w:rsid w:val="00123347"/>
    <w:rsid w:val="00123C9E"/>
    <w:rsid w:val="0012696B"/>
    <w:rsid w:val="00137455"/>
    <w:rsid w:val="00140498"/>
    <w:rsid w:val="00145A97"/>
    <w:rsid w:val="001474CA"/>
    <w:rsid w:val="001512CA"/>
    <w:rsid w:val="00163A4E"/>
    <w:rsid w:val="001669D4"/>
    <w:rsid w:val="00167342"/>
    <w:rsid w:val="001708D2"/>
    <w:rsid w:val="00171FE7"/>
    <w:rsid w:val="00172860"/>
    <w:rsid w:val="001731F0"/>
    <w:rsid w:val="00180494"/>
    <w:rsid w:val="00195998"/>
    <w:rsid w:val="001A296F"/>
    <w:rsid w:val="001B3C20"/>
    <w:rsid w:val="001B5549"/>
    <w:rsid w:val="001C7F2C"/>
    <w:rsid w:val="001D0EE6"/>
    <w:rsid w:val="001D0F3A"/>
    <w:rsid w:val="001F1130"/>
    <w:rsid w:val="001F43E6"/>
    <w:rsid w:val="002016AD"/>
    <w:rsid w:val="002026AB"/>
    <w:rsid w:val="002040CF"/>
    <w:rsid w:val="00205125"/>
    <w:rsid w:val="002052B9"/>
    <w:rsid w:val="0021452A"/>
    <w:rsid w:val="00216C03"/>
    <w:rsid w:val="00226C58"/>
    <w:rsid w:val="00227830"/>
    <w:rsid w:val="00227F0E"/>
    <w:rsid w:val="00230D07"/>
    <w:rsid w:val="00231826"/>
    <w:rsid w:val="00233711"/>
    <w:rsid w:val="00234431"/>
    <w:rsid w:val="00234BC5"/>
    <w:rsid w:val="00240293"/>
    <w:rsid w:val="002404EB"/>
    <w:rsid w:val="00244109"/>
    <w:rsid w:val="00244A86"/>
    <w:rsid w:val="00250686"/>
    <w:rsid w:val="00252197"/>
    <w:rsid w:val="00252CC0"/>
    <w:rsid w:val="00257A37"/>
    <w:rsid w:val="00261FBB"/>
    <w:rsid w:val="002666F9"/>
    <w:rsid w:val="00266C9A"/>
    <w:rsid w:val="00271240"/>
    <w:rsid w:val="00271F42"/>
    <w:rsid w:val="002743BB"/>
    <w:rsid w:val="00274771"/>
    <w:rsid w:val="00276AC9"/>
    <w:rsid w:val="00282E02"/>
    <w:rsid w:val="002834F6"/>
    <w:rsid w:val="00284DE4"/>
    <w:rsid w:val="00293520"/>
    <w:rsid w:val="002A2201"/>
    <w:rsid w:val="002A3A7C"/>
    <w:rsid w:val="002B03B2"/>
    <w:rsid w:val="002B17F1"/>
    <w:rsid w:val="002B29C3"/>
    <w:rsid w:val="002B3104"/>
    <w:rsid w:val="002C10F0"/>
    <w:rsid w:val="002C1F2D"/>
    <w:rsid w:val="002C2E9E"/>
    <w:rsid w:val="002C3031"/>
    <w:rsid w:val="002C4CDD"/>
    <w:rsid w:val="002D1A3F"/>
    <w:rsid w:val="002D1EB3"/>
    <w:rsid w:val="002D692E"/>
    <w:rsid w:val="002E6E12"/>
    <w:rsid w:val="00305EED"/>
    <w:rsid w:val="00310FC2"/>
    <w:rsid w:val="00315EE8"/>
    <w:rsid w:val="00320A24"/>
    <w:rsid w:val="00321B67"/>
    <w:rsid w:val="00322372"/>
    <w:rsid w:val="00324301"/>
    <w:rsid w:val="00326E34"/>
    <w:rsid w:val="00326E91"/>
    <w:rsid w:val="003300D2"/>
    <w:rsid w:val="00330E82"/>
    <w:rsid w:val="0033501C"/>
    <w:rsid w:val="00347793"/>
    <w:rsid w:val="0035724C"/>
    <w:rsid w:val="00362FE8"/>
    <w:rsid w:val="00366D6A"/>
    <w:rsid w:val="00370FBD"/>
    <w:rsid w:val="00374B89"/>
    <w:rsid w:val="00393E62"/>
    <w:rsid w:val="0039564F"/>
    <w:rsid w:val="00395C26"/>
    <w:rsid w:val="003B7323"/>
    <w:rsid w:val="003C1452"/>
    <w:rsid w:val="003C291C"/>
    <w:rsid w:val="003C2EA2"/>
    <w:rsid w:val="003C53D8"/>
    <w:rsid w:val="003D0717"/>
    <w:rsid w:val="003D4052"/>
    <w:rsid w:val="003D5C77"/>
    <w:rsid w:val="003E5E76"/>
    <w:rsid w:val="003E6417"/>
    <w:rsid w:val="003E7800"/>
    <w:rsid w:val="003F4B50"/>
    <w:rsid w:val="00400092"/>
    <w:rsid w:val="00402C41"/>
    <w:rsid w:val="00412C82"/>
    <w:rsid w:val="004134DC"/>
    <w:rsid w:val="00414AE4"/>
    <w:rsid w:val="004173E6"/>
    <w:rsid w:val="00424810"/>
    <w:rsid w:val="00425A2A"/>
    <w:rsid w:val="00425E78"/>
    <w:rsid w:val="00427749"/>
    <w:rsid w:val="00430785"/>
    <w:rsid w:val="004308C4"/>
    <w:rsid w:val="00432A5D"/>
    <w:rsid w:val="00441623"/>
    <w:rsid w:val="00450232"/>
    <w:rsid w:val="0045036C"/>
    <w:rsid w:val="004524B0"/>
    <w:rsid w:val="00453CD8"/>
    <w:rsid w:val="00460211"/>
    <w:rsid w:val="0046372C"/>
    <w:rsid w:val="0047211D"/>
    <w:rsid w:val="00473174"/>
    <w:rsid w:val="00473693"/>
    <w:rsid w:val="00474189"/>
    <w:rsid w:val="00474DA7"/>
    <w:rsid w:val="00482E7C"/>
    <w:rsid w:val="00487900"/>
    <w:rsid w:val="00491FFD"/>
    <w:rsid w:val="00494DE4"/>
    <w:rsid w:val="004952FA"/>
    <w:rsid w:val="00496BCC"/>
    <w:rsid w:val="00497616"/>
    <w:rsid w:val="004A2767"/>
    <w:rsid w:val="004A2EAD"/>
    <w:rsid w:val="004A345E"/>
    <w:rsid w:val="004A7785"/>
    <w:rsid w:val="004B68DF"/>
    <w:rsid w:val="004B793F"/>
    <w:rsid w:val="004C4285"/>
    <w:rsid w:val="004C7022"/>
    <w:rsid w:val="004D0AE1"/>
    <w:rsid w:val="004D1797"/>
    <w:rsid w:val="004D3225"/>
    <w:rsid w:val="004D42BA"/>
    <w:rsid w:val="004D5198"/>
    <w:rsid w:val="004E1637"/>
    <w:rsid w:val="004E4073"/>
    <w:rsid w:val="004F3765"/>
    <w:rsid w:val="00500138"/>
    <w:rsid w:val="005001FF"/>
    <w:rsid w:val="00514E76"/>
    <w:rsid w:val="00517586"/>
    <w:rsid w:val="00526A2A"/>
    <w:rsid w:val="00527D27"/>
    <w:rsid w:val="00531335"/>
    <w:rsid w:val="0053233F"/>
    <w:rsid w:val="005410FB"/>
    <w:rsid w:val="00541139"/>
    <w:rsid w:val="00545E72"/>
    <w:rsid w:val="00547029"/>
    <w:rsid w:val="00552A86"/>
    <w:rsid w:val="00555777"/>
    <w:rsid w:val="00557AF8"/>
    <w:rsid w:val="00561462"/>
    <w:rsid w:val="00570171"/>
    <w:rsid w:val="00570403"/>
    <w:rsid w:val="00582DAA"/>
    <w:rsid w:val="00584587"/>
    <w:rsid w:val="00591DD4"/>
    <w:rsid w:val="00592837"/>
    <w:rsid w:val="00595922"/>
    <w:rsid w:val="005A2CFD"/>
    <w:rsid w:val="005A44E7"/>
    <w:rsid w:val="005A53F9"/>
    <w:rsid w:val="005A6A4D"/>
    <w:rsid w:val="005B07AA"/>
    <w:rsid w:val="005B1481"/>
    <w:rsid w:val="005B407E"/>
    <w:rsid w:val="005B6139"/>
    <w:rsid w:val="005B68F6"/>
    <w:rsid w:val="005B705A"/>
    <w:rsid w:val="005C7D10"/>
    <w:rsid w:val="005E24EF"/>
    <w:rsid w:val="005E7E0C"/>
    <w:rsid w:val="005F11CD"/>
    <w:rsid w:val="005F146B"/>
    <w:rsid w:val="00600FAA"/>
    <w:rsid w:val="00602436"/>
    <w:rsid w:val="00610379"/>
    <w:rsid w:val="00615865"/>
    <w:rsid w:val="006239BD"/>
    <w:rsid w:val="00630C8F"/>
    <w:rsid w:val="00630E76"/>
    <w:rsid w:val="006371EF"/>
    <w:rsid w:val="006378B8"/>
    <w:rsid w:val="0065020C"/>
    <w:rsid w:val="00651EF4"/>
    <w:rsid w:val="00654158"/>
    <w:rsid w:val="0065653B"/>
    <w:rsid w:val="00677F67"/>
    <w:rsid w:val="006816BB"/>
    <w:rsid w:val="006836EF"/>
    <w:rsid w:val="00683810"/>
    <w:rsid w:val="00686665"/>
    <w:rsid w:val="00693CE1"/>
    <w:rsid w:val="006A404E"/>
    <w:rsid w:val="006B1591"/>
    <w:rsid w:val="006B2FA8"/>
    <w:rsid w:val="006B3F0A"/>
    <w:rsid w:val="006B4542"/>
    <w:rsid w:val="006B5661"/>
    <w:rsid w:val="006C0AC2"/>
    <w:rsid w:val="006C19E6"/>
    <w:rsid w:val="006D1DFD"/>
    <w:rsid w:val="006D438C"/>
    <w:rsid w:val="006D7A87"/>
    <w:rsid w:val="006D7C4D"/>
    <w:rsid w:val="006E3392"/>
    <w:rsid w:val="006E6506"/>
    <w:rsid w:val="007058B7"/>
    <w:rsid w:val="00711C1E"/>
    <w:rsid w:val="00712F7C"/>
    <w:rsid w:val="00716DD9"/>
    <w:rsid w:val="007216A9"/>
    <w:rsid w:val="00724401"/>
    <w:rsid w:val="00731BFD"/>
    <w:rsid w:val="00731F14"/>
    <w:rsid w:val="0073300E"/>
    <w:rsid w:val="007332F3"/>
    <w:rsid w:val="007376D1"/>
    <w:rsid w:val="00743D4D"/>
    <w:rsid w:val="007518F3"/>
    <w:rsid w:val="00755CF3"/>
    <w:rsid w:val="007645E1"/>
    <w:rsid w:val="007650B2"/>
    <w:rsid w:val="00793CC0"/>
    <w:rsid w:val="0079765E"/>
    <w:rsid w:val="007A022B"/>
    <w:rsid w:val="007A034E"/>
    <w:rsid w:val="007A2C8F"/>
    <w:rsid w:val="007C120B"/>
    <w:rsid w:val="007C20C5"/>
    <w:rsid w:val="007D138F"/>
    <w:rsid w:val="007D1D3B"/>
    <w:rsid w:val="007D4FE3"/>
    <w:rsid w:val="007F5116"/>
    <w:rsid w:val="007F5D88"/>
    <w:rsid w:val="00803E35"/>
    <w:rsid w:val="008127AF"/>
    <w:rsid w:val="008220DB"/>
    <w:rsid w:val="0082221C"/>
    <w:rsid w:val="008247F4"/>
    <w:rsid w:val="008270BA"/>
    <w:rsid w:val="00827E1E"/>
    <w:rsid w:val="0083529D"/>
    <w:rsid w:val="008359C9"/>
    <w:rsid w:val="0084365E"/>
    <w:rsid w:val="00844356"/>
    <w:rsid w:val="00855EAE"/>
    <w:rsid w:val="00861A38"/>
    <w:rsid w:val="00864286"/>
    <w:rsid w:val="00865E35"/>
    <w:rsid w:val="0086604A"/>
    <w:rsid w:val="00875EF4"/>
    <w:rsid w:val="0087730B"/>
    <w:rsid w:val="0087749A"/>
    <w:rsid w:val="00882422"/>
    <w:rsid w:val="00882A2A"/>
    <w:rsid w:val="00884380"/>
    <w:rsid w:val="00885F8D"/>
    <w:rsid w:val="00886518"/>
    <w:rsid w:val="0088702F"/>
    <w:rsid w:val="008915E7"/>
    <w:rsid w:val="00891A65"/>
    <w:rsid w:val="00894726"/>
    <w:rsid w:val="00894BDB"/>
    <w:rsid w:val="008A2EF8"/>
    <w:rsid w:val="008B2E08"/>
    <w:rsid w:val="008B5E7E"/>
    <w:rsid w:val="008C203B"/>
    <w:rsid w:val="008D0A87"/>
    <w:rsid w:val="008D0E5D"/>
    <w:rsid w:val="008E0C60"/>
    <w:rsid w:val="008E33C6"/>
    <w:rsid w:val="008E72D8"/>
    <w:rsid w:val="008F32C3"/>
    <w:rsid w:val="0090170F"/>
    <w:rsid w:val="00910529"/>
    <w:rsid w:val="00916144"/>
    <w:rsid w:val="00922F83"/>
    <w:rsid w:val="00923058"/>
    <w:rsid w:val="00943F03"/>
    <w:rsid w:val="00947B11"/>
    <w:rsid w:val="00947F6D"/>
    <w:rsid w:val="00952465"/>
    <w:rsid w:val="00953527"/>
    <w:rsid w:val="0095357E"/>
    <w:rsid w:val="00960DF1"/>
    <w:rsid w:val="00962D63"/>
    <w:rsid w:val="00976DD1"/>
    <w:rsid w:val="00987A8D"/>
    <w:rsid w:val="00990D0D"/>
    <w:rsid w:val="009920D7"/>
    <w:rsid w:val="009944D0"/>
    <w:rsid w:val="00994AC4"/>
    <w:rsid w:val="00997EE9"/>
    <w:rsid w:val="009A0EE7"/>
    <w:rsid w:val="009A63F6"/>
    <w:rsid w:val="009B1D3B"/>
    <w:rsid w:val="009C280F"/>
    <w:rsid w:val="009C2F51"/>
    <w:rsid w:val="009C6B65"/>
    <w:rsid w:val="009D3E60"/>
    <w:rsid w:val="009D5124"/>
    <w:rsid w:val="009D7B2A"/>
    <w:rsid w:val="009E2503"/>
    <w:rsid w:val="009E529A"/>
    <w:rsid w:val="009F674A"/>
    <w:rsid w:val="00A02BBB"/>
    <w:rsid w:val="00A05348"/>
    <w:rsid w:val="00A07DF8"/>
    <w:rsid w:val="00A12741"/>
    <w:rsid w:val="00A13A8E"/>
    <w:rsid w:val="00A14F92"/>
    <w:rsid w:val="00A30FB1"/>
    <w:rsid w:val="00A31C9E"/>
    <w:rsid w:val="00A32B9E"/>
    <w:rsid w:val="00A410F5"/>
    <w:rsid w:val="00A4302D"/>
    <w:rsid w:val="00A4789F"/>
    <w:rsid w:val="00A50D98"/>
    <w:rsid w:val="00A53EEE"/>
    <w:rsid w:val="00A54E0F"/>
    <w:rsid w:val="00A64E5D"/>
    <w:rsid w:val="00A65D72"/>
    <w:rsid w:val="00A679C4"/>
    <w:rsid w:val="00A73BCC"/>
    <w:rsid w:val="00A76AD7"/>
    <w:rsid w:val="00A76C22"/>
    <w:rsid w:val="00A805CA"/>
    <w:rsid w:val="00AA0C79"/>
    <w:rsid w:val="00AA6E5C"/>
    <w:rsid w:val="00AC082D"/>
    <w:rsid w:val="00AC4A91"/>
    <w:rsid w:val="00AC5FF0"/>
    <w:rsid w:val="00AC650A"/>
    <w:rsid w:val="00AD1A01"/>
    <w:rsid w:val="00AD353F"/>
    <w:rsid w:val="00AD7325"/>
    <w:rsid w:val="00AE13FA"/>
    <w:rsid w:val="00AF2FDA"/>
    <w:rsid w:val="00B00744"/>
    <w:rsid w:val="00B0580D"/>
    <w:rsid w:val="00B13DE8"/>
    <w:rsid w:val="00B14E24"/>
    <w:rsid w:val="00B161BC"/>
    <w:rsid w:val="00B20EE3"/>
    <w:rsid w:val="00B24EC9"/>
    <w:rsid w:val="00B31F33"/>
    <w:rsid w:val="00B3570E"/>
    <w:rsid w:val="00B400E7"/>
    <w:rsid w:val="00B403F0"/>
    <w:rsid w:val="00B42575"/>
    <w:rsid w:val="00B42731"/>
    <w:rsid w:val="00B467FB"/>
    <w:rsid w:val="00B57791"/>
    <w:rsid w:val="00B66081"/>
    <w:rsid w:val="00B71080"/>
    <w:rsid w:val="00B771A5"/>
    <w:rsid w:val="00B81254"/>
    <w:rsid w:val="00B82AFF"/>
    <w:rsid w:val="00B8748E"/>
    <w:rsid w:val="00B91384"/>
    <w:rsid w:val="00B92F7B"/>
    <w:rsid w:val="00B945D7"/>
    <w:rsid w:val="00B95E90"/>
    <w:rsid w:val="00BA0B6E"/>
    <w:rsid w:val="00BA24EC"/>
    <w:rsid w:val="00BB191A"/>
    <w:rsid w:val="00BB24A7"/>
    <w:rsid w:val="00BB6C7D"/>
    <w:rsid w:val="00BB7305"/>
    <w:rsid w:val="00BC67DB"/>
    <w:rsid w:val="00BC7CFE"/>
    <w:rsid w:val="00BD0AD3"/>
    <w:rsid w:val="00BD369E"/>
    <w:rsid w:val="00BE18C8"/>
    <w:rsid w:val="00BE3F1D"/>
    <w:rsid w:val="00BE5F87"/>
    <w:rsid w:val="00BF2D73"/>
    <w:rsid w:val="00BF57C2"/>
    <w:rsid w:val="00BF701E"/>
    <w:rsid w:val="00BF79A7"/>
    <w:rsid w:val="00C00A06"/>
    <w:rsid w:val="00C0112F"/>
    <w:rsid w:val="00C0217A"/>
    <w:rsid w:val="00C06166"/>
    <w:rsid w:val="00C20B41"/>
    <w:rsid w:val="00C255FF"/>
    <w:rsid w:val="00C26E10"/>
    <w:rsid w:val="00C3049C"/>
    <w:rsid w:val="00C371F9"/>
    <w:rsid w:val="00C4248B"/>
    <w:rsid w:val="00C44A0D"/>
    <w:rsid w:val="00C44FF4"/>
    <w:rsid w:val="00C45723"/>
    <w:rsid w:val="00C60D30"/>
    <w:rsid w:val="00C655A2"/>
    <w:rsid w:val="00C723AF"/>
    <w:rsid w:val="00C74F1D"/>
    <w:rsid w:val="00C80215"/>
    <w:rsid w:val="00C86A04"/>
    <w:rsid w:val="00C86A3D"/>
    <w:rsid w:val="00C8718B"/>
    <w:rsid w:val="00C92BF9"/>
    <w:rsid w:val="00CC2F4F"/>
    <w:rsid w:val="00CC5123"/>
    <w:rsid w:val="00CD26B6"/>
    <w:rsid w:val="00CD3ED1"/>
    <w:rsid w:val="00CD46D8"/>
    <w:rsid w:val="00CD5F7A"/>
    <w:rsid w:val="00CE2FB5"/>
    <w:rsid w:val="00CE6541"/>
    <w:rsid w:val="00CF7971"/>
    <w:rsid w:val="00D0369E"/>
    <w:rsid w:val="00D04ACF"/>
    <w:rsid w:val="00D11205"/>
    <w:rsid w:val="00D12A0C"/>
    <w:rsid w:val="00D13357"/>
    <w:rsid w:val="00D137D1"/>
    <w:rsid w:val="00D13AB6"/>
    <w:rsid w:val="00D17627"/>
    <w:rsid w:val="00D257F8"/>
    <w:rsid w:val="00D27700"/>
    <w:rsid w:val="00D30B39"/>
    <w:rsid w:val="00D40727"/>
    <w:rsid w:val="00D46D02"/>
    <w:rsid w:val="00D57C7F"/>
    <w:rsid w:val="00D70A84"/>
    <w:rsid w:val="00D72028"/>
    <w:rsid w:val="00D731FB"/>
    <w:rsid w:val="00D73F42"/>
    <w:rsid w:val="00D747CC"/>
    <w:rsid w:val="00D74992"/>
    <w:rsid w:val="00D75912"/>
    <w:rsid w:val="00D75962"/>
    <w:rsid w:val="00D75B44"/>
    <w:rsid w:val="00D76C13"/>
    <w:rsid w:val="00D80E50"/>
    <w:rsid w:val="00D839B0"/>
    <w:rsid w:val="00D913DB"/>
    <w:rsid w:val="00D95429"/>
    <w:rsid w:val="00D95C31"/>
    <w:rsid w:val="00D96080"/>
    <w:rsid w:val="00DA228B"/>
    <w:rsid w:val="00DA5F6D"/>
    <w:rsid w:val="00DB107F"/>
    <w:rsid w:val="00DB3B88"/>
    <w:rsid w:val="00DB42FB"/>
    <w:rsid w:val="00DC46E3"/>
    <w:rsid w:val="00DE196E"/>
    <w:rsid w:val="00DE4A44"/>
    <w:rsid w:val="00DF1322"/>
    <w:rsid w:val="00DF4974"/>
    <w:rsid w:val="00E019EA"/>
    <w:rsid w:val="00E02DB5"/>
    <w:rsid w:val="00E17DA9"/>
    <w:rsid w:val="00E219ED"/>
    <w:rsid w:val="00E27396"/>
    <w:rsid w:val="00E32FF2"/>
    <w:rsid w:val="00E44E55"/>
    <w:rsid w:val="00E5706B"/>
    <w:rsid w:val="00E60825"/>
    <w:rsid w:val="00E618C2"/>
    <w:rsid w:val="00E64DA9"/>
    <w:rsid w:val="00E70E4E"/>
    <w:rsid w:val="00E7781D"/>
    <w:rsid w:val="00E801CC"/>
    <w:rsid w:val="00E81274"/>
    <w:rsid w:val="00E817AB"/>
    <w:rsid w:val="00E823A1"/>
    <w:rsid w:val="00EA2906"/>
    <w:rsid w:val="00EA6ED0"/>
    <w:rsid w:val="00EA71B9"/>
    <w:rsid w:val="00EB16A8"/>
    <w:rsid w:val="00EB29C1"/>
    <w:rsid w:val="00EB3278"/>
    <w:rsid w:val="00EB795A"/>
    <w:rsid w:val="00EC098B"/>
    <w:rsid w:val="00EC552F"/>
    <w:rsid w:val="00EC58ED"/>
    <w:rsid w:val="00ED29FF"/>
    <w:rsid w:val="00ED455B"/>
    <w:rsid w:val="00EE0393"/>
    <w:rsid w:val="00EE149A"/>
    <w:rsid w:val="00EE2265"/>
    <w:rsid w:val="00EF15E8"/>
    <w:rsid w:val="00F06D77"/>
    <w:rsid w:val="00F14B12"/>
    <w:rsid w:val="00F14B53"/>
    <w:rsid w:val="00F159F7"/>
    <w:rsid w:val="00F277EC"/>
    <w:rsid w:val="00F34497"/>
    <w:rsid w:val="00F52D4C"/>
    <w:rsid w:val="00F54B29"/>
    <w:rsid w:val="00F56DED"/>
    <w:rsid w:val="00F622A6"/>
    <w:rsid w:val="00F648EC"/>
    <w:rsid w:val="00F64AA1"/>
    <w:rsid w:val="00F65117"/>
    <w:rsid w:val="00F67FE5"/>
    <w:rsid w:val="00F74B50"/>
    <w:rsid w:val="00F952A1"/>
    <w:rsid w:val="00F970E6"/>
    <w:rsid w:val="00FA0E7A"/>
    <w:rsid w:val="00FA3DE5"/>
    <w:rsid w:val="00FA4336"/>
    <w:rsid w:val="00FA6DFA"/>
    <w:rsid w:val="00FB488D"/>
    <w:rsid w:val="00FC40DD"/>
    <w:rsid w:val="00FC5617"/>
    <w:rsid w:val="00FC7412"/>
    <w:rsid w:val="00FE51A8"/>
    <w:rsid w:val="00FF50E7"/>
    <w:rsid w:val="01CF7782"/>
    <w:rsid w:val="01D14CFC"/>
    <w:rsid w:val="0204425B"/>
    <w:rsid w:val="021A27AB"/>
    <w:rsid w:val="026412FF"/>
    <w:rsid w:val="02994018"/>
    <w:rsid w:val="02BD202F"/>
    <w:rsid w:val="02FF7BF3"/>
    <w:rsid w:val="035148F2"/>
    <w:rsid w:val="03613879"/>
    <w:rsid w:val="03653EFA"/>
    <w:rsid w:val="03D33559"/>
    <w:rsid w:val="03F35D05"/>
    <w:rsid w:val="03F72935"/>
    <w:rsid w:val="03FF03E5"/>
    <w:rsid w:val="0412580A"/>
    <w:rsid w:val="04567CE7"/>
    <w:rsid w:val="047403D1"/>
    <w:rsid w:val="048028BE"/>
    <w:rsid w:val="04F52B7C"/>
    <w:rsid w:val="05317378"/>
    <w:rsid w:val="05356771"/>
    <w:rsid w:val="056B1570"/>
    <w:rsid w:val="058E0FB9"/>
    <w:rsid w:val="05B0239E"/>
    <w:rsid w:val="05C93C34"/>
    <w:rsid w:val="06633669"/>
    <w:rsid w:val="069D5805"/>
    <w:rsid w:val="06EB03F3"/>
    <w:rsid w:val="07612E5A"/>
    <w:rsid w:val="077A5645"/>
    <w:rsid w:val="07854B6B"/>
    <w:rsid w:val="079D206E"/>
    <w:rsid w:val="07ED1292"/>
    <w:rsid w:val="080B2C02"/>
    <w:rsid w:val="084F652C"/>
    <w:rsid w:val="08782448"/>
    <w:rsid w:val="08B70C82"/>
    <w:rsid w:val="08CC67C9"/>
    <w:rsid w:val="08F351C5"/>
    <w:rsid w:val="08FF631A"/>
    <w:rsid w:val="094B38F4"/>
    <w:rsid w:val="095011A8"/>
    <w:rsid w:val="09CD2B43"/>
    <w:rsid w:val="09EB2DB2"/>
    <w:rsid w:val="09FC3B6F"/>
    <w:rsid w:val="0A0B7946"/>
    <w:rsid w:val="0A436CDD"/>
    <w:rsid w:val="0A516F86"/>
    <w:rsid w:val="0A740EC6"/>
    <w:rsid w:val="0A8E1F88"/>
    <w:rsid w:val="0A960E3D"/>
    <w:rsid w:val="0A961435"/>
    <w:rsid w:val="0AA417AC"/>
    <w:rsid w:val="0AB522C9"/>
    <w:rsid w:val="0ABB4D47"/>
    <w:rsid w:val="0AD53972"/>
    <w:rsid w:val="0AF049F1"/>
    <w:rsid w:val="0B230693"/>
    <w:rsid w:val="0B3A411E"/>
    <w:rsid w:val="0B515E2A"/>
    <w:rsid w:val="0B704808"/>
    <w:rsid w:val="0B8B35E5"/>
    <w:rsid w:val="0BA56654"/>
    <w:rsid w:val="0BA64486"/>
    <w:rsid w:val="0BC639A4"/>
    <w:rsid w:val="0BEF18A1"/>
    <w:rsid w:val="0BF919B8"/>
    <w:rsid w:val="0C21535C"/>
    <w:rsid w:val="0C2E5F0B"/>
    <w:rsid w:val="0C3A566F"/>
    <w:rsid w:val="0C4274CE"/>
    <w:rsid w:val="0C471CFE"/>
    <w:rsid w:val="0C760F26"/>
    <w:rsid w:val="0C78372E"/>
    <w:rsid w:val="0CA2528B"/>
    <w:rsid w:val="0CAC0B8B"/>
    <w:rsid w:val="0CD65E40"/>
    <w:rsid w:val="0CEA4102"/>
    <w:rsid w:val="0CEF7FDC"/>
    <w:rsid w:val="0D350DE1"/>
    <w:rsid w:val="0D375AC0"/>
    <w:rsid w:val="0D466B4A"/>
    <w:rsid w:val="0D507297"/>
    <w:rsid w:val="0D872728"/>
    <w:rsid w:val="0DB02F0A"/>
    <w:rsid w:val="0DB735A4"/>
    <w:rsid w:val="0DE72D7B"/>
    <w:rsid w:val="0DED0D2A"/>
    <w:rsid w:val="0DFC6C2C"/>
    <w:rsid w:val="0E0013EF"/>
    <w:rsid w:val="0E0830CF"/>
    <w:rsid w:val="0E2D7D0A"/>
    <w:rsid w:val="0E2F75DE"/>
    <w:rsid w:val="0E57019A"/>
    <w:rsid w:val="0E572FD9"/>
    <w:rsid w:val="0E762D7D"/>
    <w:rsid w:val="0E8105EC"/>
    <w:rsid w:val="0E8B67DF"/>
    <w:rsid w:val="0ECD22FB"/>
    <w:rsid w:val="0ED37E02"/>
    <w:rsid w:val="0EEF37E0"/>
    <w:rsid w:val="0F4E70C5"/>
    <w:rsid w:val="0FB814F3"/>
    <w:rsid w:val="0FED0DC8"/>
    <w:rsid w:val="100E62E8"/>
    <w:rsid w:val="10157389"/>
    <w:rsid w:val="10234F21"/>
    <w:rsid w:val="10262C63"/>
    <w:rsid w:val="103A64AB"/>
    <w:rsid w:val="103E1D5B"/>
    <w:rsid w:val="10443B37"/>
    <w:rsid w:val="10475219"/>
    <w:rsid w:val="10477469"/>
    <w:rsid w:val="10695580"/>
    <w:rsid w:val="10761BCF"/>
    <w:rsid w:val="107B4AFA"/>
    <w:rsid w:val="107D7BE5"/>
    <w:rsid w:val="10AE4FAE"/>
    <w:rsid w:val="10B0198A"/>
    <w:rsid w:val="10C009C2"/>
    <w:rsid w:val="10D821AF"/>
    <w:rsid w:val="10E81C64"/>
    <w:rsid w:val="110D56E7"/>
    <w:rsid w:val="11147DC8"/>
    <w:rsid w:val="114977A3"/>
    <w:rsid w:val="11950A49"/>
    <w:rsid w:val="11A41EA7"/>
    <w:rsid w:val="11A74051"/>
    <w:rsid w:val="11CC3396"/>
    <w:rsid w:val="11F86147"/>
    <w:rsid w:val="12423E31"/>
    <w:rsid w:val="12450BD1"/>
    <w:rsid w:val="12597B99"/>
    <w:rsid w:val="12792E20"/>
    <w:rsid w:val="12930003"/>
    <w:rsid w:val="12CA3D50"/>
    <w:rsid w:val="12D446B3"/>
    <w:rsid w:val="12F42BA4"/>
    <w:rsid w:val="13066480"/>
    <w:rsid w:val="13482EF0"/>
    <w:rsid w:val="136A67D5"/>
    <w:rsid w:val="138B04F1"/>
    <w:rsid w:val="13B23782"/>
    <w:rsid w:val="13DE5013"/>
    <w:rsid w:val="13F44C83"/>
    <w:rsid w:val="14292982"/>
    <w:rsid w:val="144126D9"/>
    <w:rsid w:val="146508F6"/>
    <w:rsid w:val="14AF5972"/>
    <w:rsid w:val="14B27AD0"/>
    <w:rsid w:val="14C35937"/>
    <w:rsid w:val="15080C45"/>
    <w:rsid w:val="150F3E36"/>
    <w:rsid w:val="151C63E2"/>
    <w:rsid w:val="1525649D"/>
    <w:rsid w:val="152B4878"/>
    <w:rsid w:val="15345E67"/>
    <w:rsid w:val="15610299"/>
    <w:rsid w:val="15BE56E0"/>
    <w:rsid w:val="15C471A6"/>
    <w:rsid w:val="15C772BA"/>
    <w:rsid w:val="15D91A12"/>
    <w:rsid w:val="15FB0DE6"/>
    <w:rsid w:val="166149F5"/>
    <w:rsid w:val="167340D1"/>
    <w:rsid w:val="167A0032"/>
    <w:rsid w:val="168559D5"/>
    <w:rsid w:val="168B30E0"/>
    <w:rsid w:val="169052DA"/>
    <w:rsid w:val="16A64A0B"/>
    <w:rsid w:val="16B069EB"/>
    <w:rsid w:val="16D00D56"/>
    <w:rsid w:val="16D43419"/>
    <w:rsid w:val="16E252A9"/>
    <w:rsid w:val="16E64EFA"/>
    <w:rsid w:val="16E81F01"/>
    <w:rsid w:val="1702391D"/>
    <w:rsid w:val="170C6706"/>
    <w:rsid w:val="17236D17"/>
    <w:rsid w:val="17237EFC"/>
    <w:rsid w:val="173E180C"/>
    <w:rsid w:val="175C08A1"/>
    <w:rsid w:val="17797B1C"/>
    <w:rsid w:val="178200CF"/>
    <w:rsid w:val="17853660"/>
    <w:rsid w:val="1788408B"/>
    <w:rsid w:val="17B26BDD"/>
    <w:rsid w:val="17BE10B6"/>
    <w:rsid w:val="17C25ADF"/>
    <w:rsid w:val="17E51656"/>
    <w:rsid w:val="17E5362B"/>
    <w:rsid w:val="17F218A3"/>
    <w:rsid w:val="17F92A0B"/>
    <w:rsid w:val="17FB5FE3"/>
    <w:rsid w:val="18047D2E"/>
    <w:rsid w:val="180970F2"/>
    <w:rsid w:val="18115FA7"/>
    <w:rsid w:val="185F31B6"/>
    <w:rsid w:val="186106BA"/>
    <w:rsid w:val="1861461F"/>
    <w:rsid w:val="18711454"/>
    <w:rsid w:val="187A1D9E"/>
    <w:rsid w:val="18843BFA"/>
    <w:rsid w:val="18AD2CF8"/>
    <w:rsid w:val="18C43019"/>
    <w:rsid w:val="18D06D77"/>
    <w:rsid w:val="19263DC1"/>
    <w:rsid w:val="194F2046"/>
    <w:rsid w:val="197E5EE7"/>
    <w:rsid w:val="198335B0"/>
    <w:rsid w:val="19A01440"/>
    <w:rsid w:val="19A90B8D"/>
    <w:rsid w:val="19C0078F"/>
    <w:rsid w:val="19FB5503"/>
    <w:rsid w:val="1A0B5428"/>
    <w:rsid w:val="1A18186E"/>
    <w:rsid w:val="1A213EA2"/>
    <w:rsid w:val="1A281B6D"/>
    <w:rsid w:val="1A2975D8"/>
    <w:rsid w:val="1A371E01"/>
    <w:rsid w:val="1A402EF2"/>
    <w:rsid w:val="1A53005F"/>
    <w:rsid w:val="1A7E58B5"/>
    <w:rsid w:val="1AA84A4A"/>
    <w:rsid w:val="1AB1581F"/>
    <w:rsid w:val="1AC80CA6"/>
    <w:rsid w:val="1AE45BF4"/>
    <w:rsid w:val="1AEC6857"/>
    <w:rsid w:val="1AFC4CEC"/>
    <w:rsid w:val="1B0114F1"/>
    <w:rsid w:val="1B200B29"/>
    <w:rsid w:val="1B283D33"/>
    <w:rsid w:val="1B302BE8"/>
    <w:rsid w:val="1B726C65"/>
    <w:rsid w:val="1B795AD1"/>
    <w:rsid w:val="1B7E7DF7"/>
    <w:rsid w:val="1B897CC3"/>
    <w:rsid w:val="1B8A22F8"/>
    <w:rsid w:val="1BB83309"/>
    <w:rsid w:val="1BC65415"/>
    <w:rsid w:val="1BD723D6"/>
    <w:rsid w:val="1C037E82"/>
    <w:rsid w:val="1C0E069B"/>
    <w:rsid w:val="1C1147C7"/>
    <w:rsid w:val="1C36422E"/>
    <w:rsid w:val="1C551FAE"/>
    <w:rsid w:val="1C595D46"/>
    <w:rsid w:val="1C5D7A0C"/>
    <w:rsid w:val="1C9A4F89"/>
    <w:rsid w:val="1CA01225"/>
    <w:rsid w:val="1CA7072B"/>
    <w:rsid w:val="1CF0237E"/>
    <w:rsid w:val="1D0967BA"/>
    <w:rsid w:val="1D28776C"/>
    <w:rsid w:val="1D3F136B"/>
    <w:rsid w:val="1D686669"/>
    <w:rsid w:val="1D950DCC"/>
    <w:rsid w:val="1D980197"/>
    <w:rsid w:val="1DA247C1"/>
    <w:rsid w:val="1DC92238"/>
    <w:rsid w:val="1DF02CC4"/>
    <w:rsid w:val="1DF56AA7"/>
    <w:rsid w:val="1E4F2A7A"/>
    <w:rsid w:val="1E5E5B8F"/>
    <w:rsid w:val="1EAE192F"/>
    <w:rsid w:val="1EB11A7F"/>
    <w:rsid w:val="1EBD733B"/>
    <w:rsid w:val="1EF05976"/>
    <w:rsid w:val="1F100B38"/>
    <w:rsid w:val="1F37200A"/>
    <w:rsid w:val="1FFD4988"/>
    <w:rsid w:val="20191E9C"/>
    <w:rsid w:val="203171E6"/>
    <w:rsid w:val="203767C6"/>
    <w:rsid w:val="203F1AF6"/>
    <w:rsid w:val="204A7234"/>
    <w:rsid w:val="205116C5"/>
    <w:rsid w:val="2075682A"/>
    <w:rsid w:val="20A774A8"/>
    <w:rsid w:val="215C0ECA"/>
    <w:rsid w:val="2178787E"/>
    <w:rsid w:val="21AB2689"/>
    <w:rsid w:val="21DB04D6"/>
    <w:rsid w:val="21DC13D3"/>
    <w:rsid w:val="21FF4545"/>
    <w:rsid w:val="22415F57"/>
    <w:rsid w:val="22A068A5"/>
    <w:rsid w:val="22AF0896"/>
    <w:rsid w:val="22C01267"/>
    <w:rsid w:val="22CC1448"/>
    <w:rsid w:val="22E2678D"/>
    <w:rsid w:val="22EE78E7"/>
    <w:rsid w:val="22F50136"/>
    <w:rsid w:val="230C3F3A"/>
    <w:rsid w:val="231B3CF8"/>
    <w:rsid w:val="231D13D1"/>
    <w:rsid w:val="234B319D"/>
    <w:rsid w:val="236245E6"/>
    <w:rsid w:val="23722133"/>
    <w:rsid w:val="23B3608B"/>
    <w:rsid w:val="23DF164F"/>
    <w:rsid w:val="2400222B"/>
    <w:rsid w:val="240F5551"/>
    <w:rsid w:val="241F37F9"/>
    <w:rsid w:val="24696282"/>
    <w:rsid w:val="24A75C38"/>
    <w:rsid w:val="24C83E91"/>
    <w:rsid w:val="24DB67F4"/>
    <w:rsid w:val="24FE21EF"/>
    <w:rsid w:val="25007EB1"/>
    <w:rsid w:val="25227A45"/>
    <w:rsid w:val="25531BD7"/>
    <w:rsid w:val="255E0351"/>
    <w:rsid w:val="258A1BB2"/>
    <w:rsid w:val="258C0D15"/>
    <w:rsid w:val="259E356B"/>
    <w:rsid w:val="25AF5296"/>
    <w:rsid w:val="25B14925"/>
    <w:rsid w:val="25C70488"/>
    <w:rsid w:val="25EF026A"/>
    <w:rsid w:val="25FA4D9E"/>
    <w:rsid w:val="2609650F"/>
    <w:rsid w:val="26164D96"/>
    <w:rsid w:val="261A0ECC"/>
    <w:rsid w:val="26386722"/>
    <w:rsid w:val="265374C3"/>
    <w:rsid w:val="265D0AAC"/>
    <w:rsid w:val="269332BA"/>
    <w:rsid w:val="26D0702D"/>
    <w:rsid w:val="26D43850"/>
    <w:rsid w:val="26EB3047"/>
    <w:rsid w:val="27231637"/>
    <w:rsid w:val="27441630"/>
    <w:rsid w:val="277F20DB"/>
    <w:rsid w:val="27A0355B"/>
    <w:rsid w:val="27B506FD"/>
    <w:rsid w:val="27CE3EDD"/>
    <w:rsid w:val="27E77AE7"/>
    <w:rsid w:val="27EF5E2F"/>
    <w:rsid w:val="283954C0"/>
    <w:rsid w:val="284064B7"/>
    <w:rsid w:val="28445F24"/>
    <w:rsid w:val="284F72D6"/>
    <w:rsid w:val="28AA6062"/>
    <w:rsid w:val="28E64483"/>
    <w:rsid w:val="28ED24EF"/>
    <w:rsid w:val="29354D3E"/>
    <w:rsid w:val="29CC2DAF"/>
    <w:rsid w:val="29DB12AA"/>
    <w:rsid w:val="29FC54E8"/>
    <w:rsid w:val="29FF2103"/>
    <w:rsid w:val="29FF65A7"/>
    <w:rsid w:val="2A063AAF"/>
    <w:rsid w:val="2A0A454C"/>
    <w:rsid w:val="2A14726C"/>
    <w:rsid w:val="2A4E7B6D"/>
    <w:rsid w:val="2A68414C"/>
    <w:rsid w:val="2A784B2D"/>
    <w:rsid w:val="2A8F3614"/>
    <w:rsid w:val="2AB729DE"/>
    <w:rsid w:val="2AC375D4"/>
    <w:rsid w:val="2B167A1C"/>
    <w:rsid w:val="2B2B1F62"/>
    <w:rsid w:val="2B2F07C6"/>
    <w:rsid w:val="2B4A1AA4"/>
    <w:rsid w:val="2BBA79F0"/>
    <w:rsid w:val="2BC20F5B"/>
    <w:rsid w:val="2BD15A8F"/>
    <w:rsid w:val="2BDB26FC"/>
    <w:rsid w:val="2BF0305D"/>
    <w:rsid w:val="2BF801B7"/>
    <w:rsid w:val="2BFC0FF0"/>
    <w:rsid w:val="2C0003B4"/>
    <w:rsid w:val="2C1D2D14"/>
    <w:rsid w:val="2C522201"/>
    <w:rsid w:val="2C5F1DBD"/>
    <w:rsid w:val="2C5F4A1E"/>
    <w:rsid w:val="2CA23219"/>
    <w:rsid w:val="2CB66B69"/>
    <w:rsid w:val="2CBB3B91"/>
    <w:rsid w:val="2D0B5263"/>
    <w:rsid w:val="2D305785"/>
    <w:rsid w:val="2D362D2F"/>
    <w:rsid w:val="2DC13DBD"/>
    <w:rsid w:val="2DC378EB"/>
    <w:rsid w:val="2DED5686"/>
    <w:rsid w:val="2DF97EA4"/>
    <w:rsid w:val="2DFD4B42"/>
    <w:rsid w:val="2DFF2C77"/>
    <w:rsid w:val="2E0D28B3"/>
    <w:rsid w:val="2E5A0250"/>
    <w:rsid w:val="2E6B420B"/>
    <w:rsid w:val="2E734E6D"/>
    <w:rsid w:val="2E7A26A0"/>
    <w:rsid w:val="2EA66F14"/>
    <w:rsid w:val="2EA7581F"/>
    <w:rsid w:val="2EC04761"/>
    <w:rsid w:val="2EDA6C9B"/>
    <w:rsid w:val="2F083808"/>
    <w:rsid w:val="2F242423"/>
    <w:rsid w:val="2F3213C2"/>
    <w:rsid w:val="2F3440E9"/>
    <w:rsid w:val="2F616215"/>
    <w:rsid w:val="2F8D01B1"/>
    <w:rsid w:val="2F9C69E4"/>
    <w:rsid w:val="2F9D3E3E"/>
    <w:rsid w:val="2FB971F8"/>
    <w:rsid w:val="2FC35697"/>
    <w:rsid w:val="2FD91648"/>
    <w:rsid w:val="2FFD6912"/>
    <w:rsid w:val="30412DDE"/>
    <w:rsid w:val="304F3A99"/>
    <w:rsid w:val="30536561"/>
    <w:rsid w:val="30894639"/>
    <w:rsid w:val="308E0B6E"/>
    <w:rsid w:val="309A0DD7"/>
    <w:rsid w:val="30A170BF"/>
    <w:rsid w:val="30B73737"/>
    <w:rsid w:val="30C779C2"/>
    <w:rsid w:val="30C82F93"/>
    <w:rsid w:val="30DE03A2"/>
    <w:rsid w:val="31095983"/>
    <w:rsid w:val="311346E6"/>
    <w:rsid w:val="31266A70"/>
    <w:rsid w:val="316A060F"/>
    <w:rsid w:val="317B7DC6"/>
    <w:rsid w:val="318F6462"/>
    <w:rsid w:val="31D068E5"/>
    <w:rsid w:val="3202555D"/>
    <w:rsid w:val="3207424B"/>
    <w:rsid w:val="320C7AB3"/>
    <w:rsid w:val="32195D2C"/>
    <w:rsid w:val="322979B4"/>
    <w:rsid w:val="322A7F39"/>
    <w:rsid w:val="322B1295"/>
    <w:rsid w:val="32316612"/>
    <w:rsid w:val="324B1B69"/>
    <w:rsid w:val="324F498B"/>
    <w:rsid w:val="325F3E88"/>
    <w:rsid w:val="32633D3E"/>
    <w:rsid w:val="32692BAB"/>
    <w:rsid w:val="326F3384"/>
    <w:rsid w:val="329245F1"/>
    <w:rsid w:val="32B85CCE"/>
    <w:rsid w:val="32DC43DD"/>
    <w:rsid w:val="33086098"/>
    <w:rsid w:val="330E1609"/>
    <w:rsid w:val="33115AF4"/>
    <w:rsid w:val="332130EA"/>
    <w:rsid w:val="3356210E"/>
    <w:rsid w:val="33615BDC"/>
    <w:rsid w:val="336D632F"/>
    <w:rsid w:val="338B4774"/>
    <w:rsid w:val="33BE418F"/>
    <w:rsid w:val="33C57F19"/>
    <w:rsid w:val="33DE0FDB"/>
    <w:rsid w:val="33E74334"/>
    <w:rsid w:val="33F22CD8"/>
    <w:rsid w:val="341D4C26"/>
    <w:rsid w:val="3421569A"/>
    <w:rsid w:val="342B142F"/>
    <w:rsid w:val="345356CC"/>
    <w:rsid w:val="34621C0C"/>
    <w:rsid w:val="34D81ECE"/>
    <w:rsid w:val="34F110AA"/>
    <w:rsid w:val="34F24E73"/>
    <w:rsid w:val="3529097C"/>
    <w:rsid w:val="354473D4"/>
    <w:rsid w:val="35676D90"/>
    <w:rsid w:val="3567711E"/>
    <w:rsid w:val="35690D78"/>
    <w:rsid w:val="35756034"/>
    <w:rsid w:val="358826D4"/>
    <w:rsid w:val="35944047"/>
    <w:rsid w:val="35B77D36"/>
    <w:rsid w:val="35D46B3A"/>
    <w:rsid w:val="35D54660"/>
    <w:rsid w:val="35FB10AF"/>
    <w:rsid w:val="364D6401"/>
    <w:rsid w:val="366706DC"/>
    <w:rsid w:val="36A46365"/>
    <w:rsid w:val="36E73F99"/>
    <w:rsid w:val="370D2D2C"/>
    <w:rsid w:val="372633C5"/>
    <w:rsid w:val="372D0304"/>
    <w:rsid w:val="373D2A86"/>
    <w:rsid w:val="374E2101"/>
    <w:rsid w:val="376161AB"/>
    <w:rsid w:val="3773682C"/>
    <w:rsid w:val="37893954"/>
    <w:rsid w:val="37A66F14"/>
    <w:rsid w:val="37C80E48"/>
    <w:rsid w:val="37CA0D70"/>
    <w:rsid w:val="37E354FD"/>
    <w:rsid w:val="37E834B4"/>
    <w:rsid w:val="380860DC"/>
    <w:rsid w:val="384A4E91"/>
    <w:rsid w:val="385F5A74"/>
    <w:rsid w:val="38797CD4"/>
    <w:rsid w:val="387B14EE"/>
    <w:rsid w:val="387C7014"/>
    <w:rsid w:val="38C8225A"/>
    <w:rsid w:val="38DC1ED6"/>
    <w:rsid w:val="38E44E56"/>
    <w:rsid w:val="391907BB"/>
    <w:rsid w:val="391F73C7"/>
    <w:rsid w:val="39230717"/>
    <w:rsid w:val="393766CD"/>
    <w:rsid w:val="3983328B"/>
    <w:rsid w:val="399E6494"/>
    <w:rsid w:val="39B751A8"/>
    <w:rsid w:val="39C90037"/>
    <w:rsid w:val="39FC665F"/>
    <w:rsid w:val="3A157721"/>
    <w:rsid w:val="3A2A6410"/>
    <w:rsid w:val="3A442255"/>
    <w:rsid w:val="3A52627F"/>
    <w:rsid w:val="3A76046E"/>
    <w:rsid w:val="3A954C98"/>
    <w:rsid w:val="3ACD4827"/>
    <w:rsid w:val="3B190B4B"/>
    <w:rsid w:val="3B5C6DB6"/>
    <w:rsid w:val="3B855CED"/>
    <w:rsid w:val="3B8763FC"/>
    <w:rsid w:val="3B973442"/>
    <w:rsid w:val="3B9D58CE"/>
    <w:rsid w:val="3BAF2A9B"/>
    <w:rsid w:val="3BD61E36"/>
    <w:rsid w:val="3BD72EE0"/>
    <w:rsid w:val="3C4B2313"/>
    <w:rsid w:val="3C601127"/>
    <w:rsid w:val="3CAC611A"/>
    <w:rsid w:val="3D0F2205"/>
    <w:rsid w:val="3DB64BD6"/>
    <w:rsid w:val="3DBD0986"/>
    <w:rsid w:val="3DE90CA8"/>
    <w:rsid w:val="3E344619"/>
    <w:rsid w:val="3E8B2AE2"/>
    <w:rsid w:val="3E9003D9"/>
    <w:rsid w:val="3E911DA8"/>
    <w:rsid w:val="3EA52D7A"/>
    <w:rsid w:val="3EE04650"/>
    <w:rsid w:val="3EFB5137"/>
    <w:rsid w:val="3F185CE9"/>
    <w:rsid w:val="3F2B0B34"/>
    <w:rsid w:val="3F3466B8"/>
    <w:rsid w:val="3F382246"/>
    <w:rsid w:val="3F3B50EF"/>
    <w:rsid w:val="3F410BFA"/>
    <w:rsid w:val="3F4425A2"/>
    <w:rsid w:val="3F710276"/>
    <w:rsid w:val="3F99017B"/>
    <w:rsid w:val="3FE9123C"/>
    <w:rsid w:val="3FFB10C3"/>
    <w:rsid w:val="40262BC2"/>
    <w:rsid w:val="402A55D4"/>
    <w:rsid w:val="406B1E48"/>
    <w:rsid w:val="40816DF7"/>
    <w:rsid w:val="40862D90"/>
    <w:rsid w:val="40A01CBE"/>
    <w:rsid w:val="40A67A67"/>
    <w:rsid w:val="40AF305F"/>
    <w:rsid w:val="40B97058"/>
    <w:rsid w:val="4108086F"/>
    <w:rsid w:val="411C556A"/>
    <w:rsid w:val="41205343"/>
    <w:rsid w:val="41386201"/>
    <w:rsid w:val="4144748C"/>
    <w:rsid w:val="415723CD"/>
    <w:rsid w:val="415E6078"/>
    <w:rsid w:val="416C231C"/>
    <w:rsid w:val="41742F7F"/>
    <w:rsid w:val="41743E86"/>
    <w:rsid w:val="417E3DFD"/>
    <w:rsid w:val="41A77371"/>
    <w:rsid w:val="41F4634D"/>
    <w:rsid w:val="421E344D"/>
    <w:rsid w:val="421E3A1F"/>
    <w:rsid w:val="424357DD"/>
    <w:rsid w:val="42666D6B"/>
    <w:rsid w:val="426B24C9"/>
    <w:rsid w:val="427F312F"/>
    <w:rsid w:val="42E06AC3"/>
    <w:rsid w:val="42E15FC6"/>
    <w:rsid w:val="43612CC4"/>
    <w:rsid w:val="43634D2C"/>
    <w:rsid w:val="439722B1"/>
    <w:rsid w:val="43980B3C"/>
    <w:rsid w:val="43B97AED"/>
    <w:rsid w:val="43D402F7"/>
    <w:rsid w:val="43F263DD"/>
    <w:rsid w:val="43F32E26"/>
    <w:rsid w:val="43F9776B"/>
    <w:rsid w:val="44130CB0"/>
    <w:rsid w:val="44262D5A"/>
    <w:rsid w:val="445909BF"/>
    <w:rsid w:val="44957B55"/>
    <w:rsid w:val="44C81ABF"/>
    <w:rsid w:val="44F611D1"/>
    <w:rsid w:val="45382EBA"/>
    <w:rsid w:val="453D1A24"/>
    <w:rsid w:val="45433394"/>
    <w:rsid w:val="45886746"/>
    <w:rsid w:val="45B47DEE"/>
    <w:rsid w:val="45E87A97"/>
    <w:rsid w:val="45EE7EBD"/>
    <w:rsid w:val="45F864B3"/>
    <w:rsid w:val="460E437C"/>
    <w:rsid w:val="466B634C"/>
    <w:rsid w:val="4670640B"/>
    <w:rsid w:val="468D73F2"/>
    <w:rsid w:val="46EE165C"/>
    <w:rsid w:val="471F5249"/>
    <w:rsid w:val="47224FD1"/>
    <w:rsid w:val="47490A0A"/>
    <w:rsid w:val="47857C94"/>
    <w:rsid w:val="47CF3C45"/>
    <w:rsid w:val="48074B4D"/>
    <w:rsid w:val="4835711A"/>
    <w:rsid w:val="48360F8E"/>
    <w:rsid w:val="483B0352"/>
    <w:rsid w:val="48883AA9"/>
    <w:rsid w:val="489F2FD7"/>
    <w:rsid w:val="48D51FB0"/>
    <w:rsid w:val="48DC7235"/>
    <w:rsid w:val="48DC7D87"/>
    <w:rsid w:val="48F12B90"/>
    <w:rsid w:val="48F326D8"/>
    <w:rsid w:val="49382AE4"/>
    <w:rsid w:val="49706721"/>
    <w:rsid w:val="497C50C6"/>
    <w:rsid w:val="49E06CA1"/>
    <w:rsid w:val="4A767709"/>
    <w:rsid w:val="4A995218"/>
    <w:rsid w:val="4A9D5F7D"/>
    <w:rsid w:val="4AB50890"/>
    <w:rsid w:val="4B0A6E5A"/>
    <w:rsid w:val="4B124E71"/>
    <w:rsid w:val="4B5E7B32"/>
    <w:rsid w:val="4B6C0C65"/>
    <w:rsid w:val="4B75001F"/>
    <w:rsid w:val="4B774FCB"/>
    <w:rsid w:val="4B974158"/>
    <w:rsid w:val="4BB87F0C"/>
    <w:rsid w:val="4BBA0A40"/>
    <w:rsid w:val="4BDA6E48"/>
    <w:rsid w:val="4BE07B8E"/>
    <w:rsid w:val="4C013661"/>
    <w:rsid w:val="4C6A7458"/>
    <w:rsid w:val="4C803A85"/>
    <w:rsid w:val="4C8363C8"/>
    <w:rsid w:val="4C8E7DBE"/>
    <w:rsid w:val="4C9C5DFD"/>
    <w:rsid w:val="4CEE1AA7"/>
    <w:rsid w:val="4D176FE7"/>
    <w:rsid w:val="4D3B2BA3"/>
    <w:rsid w:val="4D5536F4"/>
    <w:rsid w:val="4D73575D"/>
    <w:rsid w:val="4D7F6F33"/>
    <w:rsid w:val="4D9D385D"/>
    <w:rsid w:val="4DB017E2"/>
    <w:rsid w:val="4DB85AC7"/>
    <w:rsid w:val="4DCD751B"/>
    <w:rsid w:val="4DF41248"/>
    <w:rsid w:val="4DFE42FC"/>
    <w:rsid w:val="4E0E19AD"/>
    <w:rsid w:val="4E1C29D4"/>
    <w:rsid w:val="4E2B0E69"/>
    <w:rsid w:val="4E2C48A2"/>
    <w:rsid w:val="4E320449"/>
    <w:rsid w:val="4E516B22"/>
    <w:rsid w:val="4E7D0DE0"/>
    <w:rsid w:val="4E92575F"/>
    <w:rsid w:val="4E944C60"/>
    <w:rsid w:val="4EB85E27"/>
    <w:rsid w:val="4EC866B8"/>
    <w:rsid w:val="4ECF419B"/>
    <w:rsid w:val="4EF92D15"/>
    <w:rsid w:val="4F2064F4"/>
    <w:rsid w:val="4F5F4528"/>
    <w:rsid w:val="4F79555A"/>
    <w:rsid w:val="4FC14DF5"/>
    <w:rsid w:val="4FE142D8"/>
    <w:rsid w:val="505275B8"/>
    <w:rsid w:val="50792EE1"/>
    <w:rsid w:val="50AD72AD"/>
    <w:rsid w:val="50B66FC4"/>
    <w:rsid w:val="50C51FED"/>
    <w:rsid w:val="50CE3319"/>
    <w:rsid w:val="50E33C7D"/>
    <w:rsid w:val="50E97B8F"/>
    <w:rsid w:val="510A1FB4"/>
    <w:rsid w:val="510C1CE3"/>
    <w:rsid w:val="5124706D"/>
    <w:rsid w:val="516E3547"/>
    <w:rsid w:val="518E3BE9"/>
    <w:rsid w:val="518F1EBF"/>
    <w:rsid w:val="51976F41"/>
    <w:rsid w:val="51A93F05"/>
    <w:rsid w:val="51B035C0"/>
    <w:rsid w:val="51C13FBE"/>
    <w:rsid w:val="51D8564D"/>
    <w:rsid w:val="51E61E16"/>
    <w:rsid w:val="5219254C"/>
    <w:rsid w:val="523C53F3"/>
    <w:rsid w:val="524A3FB4"/>
    <w:rsid w:val="525F7333"/>
    <w:rsid w:val="529C7AAD"/>
    <w:rsid w:val="52B151A6"/>
    <w:rsid w:val="52F77A90"/>
    <w:rsid w:val="530028C4"/>
    <w:rsid w:val="53221F32"/>
    <w:rsid w:val="53242390"/>
    <w:rsid w:val="53560F47"/>
    <w:rsid w:val="53682217"/>
    <w:rsid w:val="537D669A"/>
    <w:rsid w:val="53C402D2"/>
    <w:rsid w:val="53D64AD4"/>
    <w:rsid w:val="53FA5565"/>
    <w:rsid w:val="542D2F23"/>
    <w:rsid w:val="54603722"/>
    <w:rsid w:val="547A1857"/>
    <w:rsid w:val="54813F4F"/>
    <w:rsid w:val="54947768"/>
    <w:rsid w:val="549A28A4"/>
    <w:rsid w:val="54B368E3"/>
    <w:rsid w:val="54C6369A"/>
    <w:rsid w:val="55014CD5"/>
    <w:rsid w:val="5527238A"/>
    <w:rsid w:val="55410554"/>
    <w:rsid w:val="5548748F"/>
    <w:rsid w:val="55501DE0"/>
    <w:rsid w:val="558A46C7"/>
    <w:rsid w:val="55933A0C"/>
    <w:rsid w:val="55950BE2"/>
    <w:rsid w:val="55963F7B"/>
    <w:rsid w:val="55A77156"/>
    <w:rsid w:val="55CB6673"/>
    <w:rsid w:val="55F14534"/>
    <w:rsid w:val="55F20CD2"/>
    <w:rsid w:val="5622429D"/>
    <w:rsid w:val="5624575B"/>
    <w:rsid w:val="563352B9"/>
    <w:rsid w:val="563E29F7"/>
    <w:rsid w:val="565F7E49"/>
    <w:rsid w:val="56DE116E"/>
    <w:rsid w:val="57010372"/>
    <w:rsid w:val="57033771"/>
    <w:rsid w:val="570C560B"/>
    <w:rsid w:val="573D6A8E"/>
    <w:rsid w:val="57F90A7B"/>
    <w:rsid w:val="57FF3498"/>
    <w:rsid w:val="580469B3"/>
    <w:rsid w:val="58226DE5"/>
    <w:rsid w:val="584F5A14"/>
    <w:rsid w:val="585B059D"/>
    <w:rsid w:val="585D299D"/>
    <w:rsid w:val="588B0E82"/>
    <w:rsid w:val="58AD150A"/>
    <w:rsid w:val="58B51189"/>
    <w:rsid w:val="58BA465C"/>
    <w:rsid w:val="58DC7930"/>
    <w:rsid w:val="58DE485D"/>
    <w:rsid w:val="58E10E3F"/>
    <w:rsid w:val="594725F8"/>
    <w:rsid w:val="59590F80"/>
    <w:rsid w:val="596505B9"/>
    <w:rsid w:val="596C6272"/>
    <w:rsid w:val="59771406"/>
    <w:rsid w:val="597D4C6F"/>
    <w:rsid w:val="59A044B9"/>
    <w:rsid w:val="59A45210"/>
    <w:rsid w:val="59B97F47"/>
    <w:rsid w:val="59D50054"/>
    <w:rsid w:val="59E44CEE"/>
    <w:rsid w:val="59F2153E"/>
    <w:rsid w:val="59F53E6E"/>
    <w:rsid w:val="59FF0BA0"/>
    <w:rsid w:val="5A0A4028"/>
    <w:rsid w:val="5A113609"/>
    <w:rsid w:val="5A167699"/>
    <w:rsid w:val="5A187849"/>
    <w:rsid w:val="5A384CC8"/>
    <w:rsid w:val="5A7616BE"/>
    <w:rsid w:val="5A9E5CF2"/>
    <w:rsid w:val="5AC87572"/>
    <w:rsid w:val="5AD50D6E"/>
    <w:rsid w:val="5B0B630A"/>
    <w:rsid w:val="5B1A7462"/>
    <w:rsid w:val="5B1C04B7"/>
    <w:rsid w:val="5B3A093D"/>
    <w:rsid w:val="5B6661F6"/>
    <w:rsid w:val="5B7F01CE"/>
    <w:rsid w:val="5B967309"/>
    <w:rsid w:val="5B9B1DDE"/>
    <w:rsid w:val="5BFA627F"/>
    <w:rsid w:val="5C4D676A"/>
    <w:rsid w:val="5C502AD8"/>
    <w:rsid w:val="5C937477"/>
    <w:rsid w:val="5C9E7D94"/>
    <w:rsid w:val="5D0F7E2F"/>
    <w:rsid w:val="5D292A17"/>
    <w:rsid w:val="5D2A0612"/>
    <w:rsid w:val="5D3D6D62"/>
    <w:rsid w:val="5D534B16"/>
    <w:rsid w:val="5D5932FD"/>
    <w:rsid w:val="5D617F2B"/>
    <w:rsid w:val="5DA07ED6"/>
    <w:rsid w:val="5DA3052B"/>
    <w:rsid w:val="5DA31058"/>
    <w:rsid w:val="5E0E5C8C"/>
    <w:rsid w:val="5E2B2126"/>
    <w:rsid w:val="5E3C677A"/>
    <w:rsid w:val="5E6A7FC9"/>
    <w:rsid w:val="5E6E6CAA"/>
    <w:rsid w:val="5E8B0EB1"/>
    <w:rsid w:val="5EA05469"/>
    <w:rsid w:val="5EE674E2"/>
    <w:rsid w:val="5EE72B8A"/>
    <w:rsid w:val="5F335DCF"/>
    <w:rsid w:val="5F4A1345"/>
    <w:rsid w:val="5F681F1D"/>
    <w:rsid w:val="5F766BB3"/>
    <w:rsid w:val="5F8B1768"/>
    <w:rsid w:val="5F982465"/>
    <w:rsid w:val="5FCAD4AA"/>
    <w:rsid w:val="5FD1399C"/>
    <w:rsid w:val="603C0CB4"/>
    <w:rsid w:val="603E27C8"/>
    <w:rsid w:val="60860931"/>
    <w:rsid w:val="609B3714"/>
    <w:rsid w:val="60D64C64"/>
    <w:rsid w:val="612B1454"/>
    <w:rsid w:val="61357BDD"/>
    <w:rsid w:val="614104BF"/>
    <w:rsid w:val="616249BA"/>
    <w:rsid w:val="61A10B0B"/>
    <w:rsid w:val="61EA3CB0"/>
    <w:rsid w:val="62051CA5"/>
    <w:rsid w:val="62261C1B"/>
    <w:rsid w:val="62397BA1"/>
    <w:rsid w:val="6244792D"/>
    <w:rsid w:val="627B3F20"/>
    <w:rsid w:val="62856942"/>
    <w:rsid w:val="62894684"/>
    <w:rsid w:val="62B334AF"/>
    <w:rsid w:val="62E65FF1"/>
    <w:rsid w:val="62F15D85"/>
    <w:rsid w:val="62F17AE0"/>
    <w:rsid w:val="630F7095"/>
    <w:rsid w:val="631D4DCC"/>
    <w:rsid w:val="633D71BB"/>
    <w:rsid w:val="63C90AB0"/>
    <w:rsid w:val="63CB2A7A"/>
    <w:rsid w:val="63F35708"/>
    <w:rsid w:val="63FB6CC5"/>
    <w:rsid w:val="64070C38"/>
    <w:rsid w:val="64487C27"/>
    <w:rsid w:val="64AE12B1"/>
    <w:rsid w:val="64D911C7"/>
    <w:rsid w:val="6502427A"/>
    <w:rsid w:val="65066DF6"/>
    <w:rsid w:val="65085608"/>
    <w:rsid w:val="650D0E3F"/>
    <w:rsid w:val="655808B8"/>
    <w:rsid w:val="656C1B77"/>
    <w:rsid w:val="658E5B0E"/>
    <w:rsid w:val="65937CBB"/>
    <w:rsid w:val="65C31A1F"/>
    <w:rsid w:val="65CB17B3"/>
    <w:rsid w:val="65DC5BCA"/>
    <w:rsid w:val="66076DD1"/>
    <w:rsid w:val="663A3EE7"/>
    <w:rsid w:val="66524F76"/>
    <w:rsid w:val="66811B16"/>
    <w:rsid w:val="6688068C"/>
    <w:rsid w:val="66A001EE"/>
    <w:rsid w:val="66A05988"/>
    <w:rsid w:val="66B75231"/>
    <w:rsid w:val="670703BE"/>
    <w:rsid w:val="676F02D0"/>
    <w:rsid w:val="677B1DEF"/>
    <w:rsid w:val="67A45ABC"/>
    <w:rsid w:val="67BC79C4"/>
    <w:rsid w:val="67FA18AD"/>
    <w:rsid w:val="68126E75"/>
    <w:rsid w:val="681C1641"/>
    <w:rsid w:val="681D3F44"/>
    <w:rsid w:val="68333BD3"/>
    <w:rsid w:val="68394AEF"/>
    <w:rsid w:val="683D532D"/>
    <w:rsid w:val="686B6ED5"/>
    <w:rsid w:val="686C4D87"/>
    <w:rsid w:val="68C55CEA"/>
    <w:rsid w:val="68DF7E2F"/>
    <w:rsid w:val="68E072B0"/>
    <w:rsid w:val="68F77193"/>
    <w:rsid w:val="68F93BE6"/>
    <w:rsid w:val="690868D4"/>
    <w:rsid w:val="69233A4F"/>
    <w:rsid w:val="698C6808"/>
    <w:rsid w:val="698F3E4E"/>
    <w:rsid w:val="699102C2"/>
    <w:rsid w:val="699F7201"/>
    <w:rsid w:val="69CE13C2"/>
    <w:rsid w:val="69D361E5"/>
    <w:rsid w:val="69DF2DDC"/>
    <w:rsid w:val="6A2A4DD7"/>
    <w:rsid w:val="6ABA55F7"/>
    <w:rsid w:val="6ADD3E1C"/>
    <w:rsid w:val="6B1076B7"/>
    <w:rsid w:val="6B23295F"/>
    <w:rsid w:val="6B250CC2"/>
    <w:rsid w:val="6B714CE9"/>
    <w:rsid w:val="6B8A1377"/>
    <w:rsid w:val="6B957A9E"/>
    <w:rsid w:val="6BD64799"/>
    <w:rsid w:val="6BF1065A"/>
    <w:rsid w:val="6C1846F6"/>
    <w:rsid w:val="6C686E79"/>
    <w:rsid w:val="6C854EFB"/>
    <w:rsid w:val="6C8D4D71"/>
    <w:rsid w:val="6CB322FE"/>
    <w:rsid w:val="6CCC6B67"/>
    <w:rsid w:val="6D0C738E"/>
    <w:rsid w:val="6D2A25C0"/>
    <w:rsid w:val="6D733121"/>
    <w:rsid w:val="6D9263B7"/>
    <w:rsid w:val="6DA97CBC"/>
    <w:rsid w:val="6DE35B61"/>
    <w:rsid w:val="6DFF50AD"/>
    <w:rsid w:val="6E0E0C26"/>
    <w:rsid w:val="6E312E32"/>
    <w:rsid w:val="6E4E6782"/>
    <w:rsid w:val="6E731D44"/>
    <w:rsid w:val="6E810905"/>
    <w:rsid w:val="6E942DA5"/>
    <w:rsid w:val="6EAF22F4"/>
    <w:rsid w:val="6EB303F0"/>
    <w:rsid w:val="6ED620AB"/>
    <w:rsid w:val="6ED90045"/>
    <w:rsid w:val="6F143527"/>
    <w:rsid w:val="6F190B3E"/>
    <w:rsid w:val="6F196D90"/>
    <w:rsid w:val="6F214BE6"/>
    <w:rsid w:val="6F58793C"/>
    <w:rsid w:val="6F662D58"/>
    <w:rsid w:val="6FB37C0A"/>
    <w:rsid w:val="6FD60107"/>
    <w:rsid w:val="6FDC231B"/>
    <w:rsid w:val="6FFB4570"/>
    <w:rsid w:val="70086EBD"/>
    <w:rsid w:val="702F4391"/>
    <w:rsid w:val="70390D6C"/>
    <w:rsid w:val="70584939"/>
    <w:rsid w:val="706A7177"/>
    <w:rsid w:val="707371DB"/>
    <w:rsid w:val="70967F6C"/>
    <w:rsid w:val="70C25F80"/>
    <w:rsid w:val="70E64A50"/>
    <w:rsid w:val="70FD0E77"/>
    <w:rsid w:val="71237285"/>
    <w:rsid w:val="71263C49"/>
    <w:rsid w:val="71573B9F"/>
    <w:rsid w:val="71770316"/>
    <w:rsid w:val="71D4096C"/>
    <w:rsid w:val="72143B47"/>
    <w:rsid w:val="72367EA9"/>
    <w:rsid w:val="7249798C"/>
    <w:rsid w:val="724C3DB6"/>
    <w:rsid w:val="726739D4"/>
    <w:rsid w:val="726E11A1"/>
    <w:rsid w:val="72705B4E"/>
    <w:rsid w:val="72A64F75"/>
    <w:rsid w:val="72D03C09"/>
    <w:rsid w:val="730B3C6C"/>
    <w:rsid w:val="7328021D"/>
    <w:rsid w:val="73386304"/>
    <w:rsid w:val="733A5927"/>
    <w:rsid w:val="733F5077"/>
    <w:rsid w:val="73446C04"/>
    <w:rsid w:val="73494038"/>
    <w:rsid w:val="734C3139"/>
    <w:rsid w:val="73661E78"/>
    <w:rsid w:val="736A62F9"/>
    <w:rsid w:val="74017DF2"/>
    <w:rsid w:val="74100036"/>
    <w:rsid w:val="741D2440"/>
    <w:rsid w:val="742A761C"/>
    <w:rsid w:val="7452064E"/>
    <w:rsid w:val="748D15B8"/>
    <w:rsid w:val="749560B0"/>
    <w:rsid w:val="749F3E2D"/>
    <w:rsid w:val="74B45308"/>
    <w:rsid w:val="74CA3647"/>
    <w:rsid w:val="75061B64"/>
    <w:rsid w:val="751B39C1"/>
    <w:rsid w:val="75217819"/>
    <w:rsid w:val="75662603"/>
    <w:rsid w:val="75864A53"/>
    <w:rsid w:val="75A628C9"/>
    <w:rsid w:val="75F01B62"/>
    <w:rsid w:val="76115163"/>
    <w:rsid w:val="761855A7"/>
    <w:rsid w:val="7650526E"/>
    <w:rsid w:val="766C541A"/>
    <w:rsid w:val="76800C19"/>
    <w:rsid w:val="768E1F0B"/>
    <w:rsid w:val="769A0F02"/>
    <w:rsid w:val="76D21295"/>
    <w:rsid w:val="76DB0DCF"/>
    <w:rsid w:val="76FB1360"/>
    <w:rsid w:val="77477567"/>
    <w:rsid w:val="777368EB"/>
    <w:rsid w:val="777F79AC"/>
    <w:rsid w:val="77A123C9"/>
    <w:rsid w:val="77E048EF"/>
    <w:rsid w:val="77E64412"/>
    <w:rsid w:val="77E65C7D"/>
    <w:rsid w:val="78055644"/>
    <w:rsid w:val="78210A63"/>
    <w:rsid w:val="782B245A"/>
    <w:rsid w:val="78616FFC"/>
    <w:rsid w:val="788A1320"/>
    <w:rsid w:val="789818AD"/>
    <w:rsid w:val="789B2343"/>
    <w:rsid w:val="78AA2807"/>
    <w:rsid w:val="78B50481"/>
    <w:rsid w:val="78BE1462"/>
    <w:rsid w:val="78BE690D"/>
    <w:rsid w:val="78CC523C"/>
    <w:rsid w:val="78E0091E"/>
    <w:rsid w:val="78E240CB"/>
    <w:rsid w:val="78F54081"/>
    <w:rsid w:val="78FB4AF5"/>
    <w:rsid w:val="791B6240"/>
    <w:rsid w:val="79490CB3"/>
    <w:rsid w:val="795409C4"/>
    <w:rsid w:val="797020D2"/>
    <w:rsid w:val="79DD5CF0"/>
    <w:rsid w:val="79E22107"/>
    <w:rsid w:val="79E439D7"/>
    <w:rsid w:val="7A444A03"/>
    <w:rsid w:val="7A456C8B"/>
    <w:rsid w:val="7A460243"/>
    <w:rsid w:val="7A7F4C51"/>
    <w:rsid w:val="7A980427"/>
    <w:rsid w:val="7AA068BD"/>
    <w:rsid w:val="7AAB7433"/>
    <w:rsid w:val="7AAC18BC"/>
    <w:rsid w:val="7AD4000F"/>
    <w:rsid w:val="7B0E25A7"/>
    <w:rsid w:val="7B1B5C3E"/>
    <w:rsid w:val="7B240080"/>
    <w:rsid w:val="7B354F51"/>
    <w:rsid w:val="7BDC7686"/>
    <w:rsid w:val="7BF41C4C"/>
    <w:rsid w:val="7C000B1C"/>
    <w:rsid w:val="7C014E34"/>
    <w:rsid w:val="7C191B08"/>
    <w:rsid w:val="7C4F15A4"/>
    <w:rsid w:val="7C766979"/>
    <w:rsid w:val="7C880843"/>
    <w:rsid w:val="7C900D24"/>
    <w:rsid w:val="7CAF2AE1"/>
    <w:rsid w:val="7CE34539"/>
    <w:rsid w:val="7D00333D"/>
    <w:rsid w:val="7D050953"/>
    <w:rsid w:val="7D3256C3"/>
    <w:rsid w:val="7D663C72"/>
    <w:rsid w:val="7DD37591"/>
    <w:rsid w:val="7DEF25D4"/>
    <w:rsid w:val="7DFB82AF"/>
    <w:rsid w:val="7E06502C"/>
    <w:rsid w:val="7E440EAA"/>
    <w:rsid w:val="7E7942E0"/>
    <w:rsid w:val="7E885398"/>
    <w:rsid w:val="7EA321D2"/>
    <w:rsid w:val="7EBA65CE"/>
    <w:rsid w:val="7ECD36F3"/>
    <w:rsid w:val="7EF33C01"/>
    <w:rsid w:val="7EFB3DBC"/>
    <w:rsid w:val="7EFFFF01"/>
    <w:rsid w:val="7F0B00DA"/>
    <w:rsid w:val="7F2C647A"/>
    <w:rsid w:val="7F8952AA"/>
    <w:rsid w:val="7FCF7D21"/>
    <w:rsid w:val="7FD21AC2"/>
    <w:rsid w:val="7FEB2083"/>
    <w:rsid w:val="7FF62861"/>
    <w:rsid w:val="9FDFF29E"/>
    <w:rsid w:val="D6BAE2D0"/>
    <w:rsid w:val="FFFF00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semiHidden="0" w:name="heading 7"/>
    <w:lsdException w:qFormat="1" w:uiPriority="0" w:semiHidden="0" w:name="heading 8"/>
    <w:lsdException w:qFormat="1" w:uiPriority="0" w:name="heading 9"/>
    <w:lsdException w:qFormat="1" w:unhideWhenUsed="0" w:uiPriority="99"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qFormat="1" w:unhideWhenUsed="0" w:uiPriority="99"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7"/>
    <w:qFormat/>
    <w:uiPriority w:val="0"/>
    <w:pPr>
      <w:keepNext/>
      <w:keepLines/>
      <w:spacing w:before="100" w:after="90" w:line="578" w:lineRule="auto"/>
      <w:jc w:val="center"/>
      <w:outlineLvl w:val="0"/>
    </w:pPr>
    <w:rPr>
      <w:b/>
      <w:bCs/>
      <w:kern w:val="44"/>
      <w:sz w:val="44"/>
      <w:szCs w:val="44"/>
    </w:rPr>
  </w:style>
  <w:style w:type="paragraph" w:styleId="3">
    <w:name w:val="heading 2"/>
    <w:basedOn w:val="1"/>
    <w:next w:val="1"/>
    <w:qFormat/>
    <w:uiPriority w:val="0"/>
    <w:pPr>
      <w:keepNext/>
      <w:keepLines/>
      <w:spacing w:before="20" w:after="20" w:line="416" w:lineRule="auto"/>
      <w:outlineLvl w:val="1"/>
    </w:pPr>
    <w:rPr>
      <w:rFonts w:ascii="Arial" w:hAnsi="Arial" w:eastAsia="黑体"/>
      <w:b/>
      <w:bCs/>
      <w:kern w:val="0"/>
      <w:sz w:val="32"/>
      <w:szCs w:val="32"/>
    </w:rPr>
  </w:style>
  <w:style w:type="paragraph" w:styleId="4">
    <w:name w:val="heading 3"/>
    <w:basedOn w:val="1"/>
    <w:next w:val="1"/>
    <w:qFormat/>
    <w:uiPriority w:val="0"/>
    <w:pPr>
      <w:spacing w:line="360" w:lineRule="auto"/>
      <w:jc w:val="center"/>
      <w:outlineLvl w:val="2"/>
    </w:pPr>
    <w:rPr>
      <w:rFonts w:ascii="Calibri" w:hAnsi="Calibri"/>
      <w:b/>
      <w:sz w:val="32"/>
    </w:rPr>
  </w:style>
  <w:style w:type="paragraph" w:styleId="5">
    <w:name w:val="heading 4"/>
    <w:basedOn w:val="1"/>
    <w:next w:val="1"/>
    <w:qFormat/>
    <w:uiPriority w:val="0"/>
    <w:pPr>
      <w:keepLines/>
      <w:spacing w:line="360" w:lineRule="auto"/>
      <w:jc w:val="left"/>
      <w:outlineLvl w:val="3"/>
    </w:pPr>
    <w:rPr>
      <w:rFonts w:ascii="Cambria" w:hAnsi="Cambria"/>
      <w:b/>
      <w:bCs/>
      <w:szCs w:val="28"/>
    </w:rPr>
  </w:style>
  <w:style w:type="paragraph" w:styleId="6">
    <w:name w:val="heading 5"/>
    <w:basedOn w:val="1"/>
    <w:next w:val="1"/>
    <w:qFormat/>
    <w:uiPriority w:val="0"/>
    <w:pPr>
      <w:keepNext/>
      <w:keepLines/>
      <w:numPr>
        <w:ilvl w:val="2"/>
        <w:numId w:val="1"/>
      </w:numPr>
      <w:spacing w:before="120" w:after="120" w:line="376" w:lineRule="auto"/>
      <w:outlineLvl w:val="4"/>
    </w:pPr>
    <w:rPr>
      <w:b/>
      <w:bCs/>
      <w:szCs w:val="28"/>
    </w:rPr>
  </w:style>
  <w:style w:type="paragraph" w:styleId="7">
    <w:name w:val="heading 6"/>
    <w:basedOn w:val="1"/>
    <w:next w:val="1"/>
    <w:qFormat/>
    <w:uiPriority w:val="0"/>
    <w:pPr>
      <w:keepNext/>
      <w:keepLines/>
      <w:spacing w:before="120" w:after="64" w:line="317" w:lineRule="auto"/>
      <w:outlineLvl w:val="5"/>
    </w:pPr>
    <w:rPr>
      <w:rFonts w:ascii="Arial" w:hAnsi="Arial"/>
      <w:b/>
    </w:rPr>
  </w:style>
  <w:style w:type="paragraph" w:styleId="8">
    <w:name w:val="heading 7"/>
    <w:basedOn w:val="1"/>
    <w:next w:val="1"/>
    <w:unhideWhenUsed/>
    <w:qFormat/>
    <w:uiPriority w:val="0"/>
    <w:pPr>
      <w:keepNext/>
      <w:keepLines/>
      <w:spacing w:before="120" w:after="64" w:line="317" w:lineRule="auto"/>
      <w:outlineLvl w:val="6"/>
    </w:pPr>
    <w:rPr>
      <w:b/>
    </w:rPr>
  </w:style>
  <w:style w:type="paragraph" w:styleId="9">
    <w:name w:val="heading 8"/>
    <w:basedOn w:val="1"/>
    <w:next w:val="1"/>
    <w:unhideWhenUsed/>
    <w:qFormat/>
    <w:uiPriority w:val="0"/>
    <w:pPr>
      <w:keepNext/>
      <w:keepLines/>
      <w:spacing w:before="240" w:after="64" w:line="317" w:lineRule="auto"/>
      <w:outlineLvl w:val="7"/>
    </w:pPr>
    <w:rPr>
      <w:rFonts w:ascii="Arial" w:hAnsi="Arial" w:eastAsia="黑体"/>
      <w:sz w:val="24"/>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10">
    <w:name w:val="Normal Indent"/>
    <w:basedOn w:val="1"/>
    <w:qFormat/>
    <w:uiPriority w:val="0"/>
    <w:pPr>
      <w:ind w:firstLine="420"/>
    </w:pPr>
    <w:rPr>
      <w:szCs w:val="20"/>
    </w:rPr>
  </w:style>
  <w:style w:type="paragraph" w:styleId="11">
    <w:name w:val="caption"/>
    <w:basedOn w:val="1"/>
    <w:next w:val="1"/>
    <w:qFormat/>
    <w:uiPriority w:val="0"/>
    <w:pPr>
      <w:spacing w:before="152" w:after="160"/>
    </w:pPr>
    <w:rPr>
      <w:rFonts w:ascii="Arial" w:hAnsi="Arial" w:eastAsia="黑体" w:cs="Arial"/>
    </w:rPr>
  </w:style>
  <w:style w:type="paragraph" w:styleId="12">
    <w:name w:val="annotation text"/>
    <w:basedOn w:val="1"/>
    <w:link w:val="43"/>
    <w:qFormat/>
    <w:uiPriority w:val="99"/>
    <w:pPr>
      <w:jc w:val="left"/>
    </w:pPr>
  </w:style>
  <w:style w:type="paragraph" w:styleId="13">
    <w:name w:val="Body Text"/>
    <w:basedOn w:val="1"/>
    <w:next w:val="1"/>
    <w:link w:val="42"/>
    <w:qFormat/>
    <w:uiPriority w:val="0"/>
    <w:pPr>
      <w:spacing w:after="120"/>
    </w:pPr>
  </w:style>
  <w:style w:type="paragraph" w:styleId="14">
    <w:name w:val="Body Text Indent"/>
    <w:basedOn w:val="1"/>
    <w:qFormat/>
    <w:uiPriority w:val="0"/>
    <w:pPr>
      <w:spacing w:line="200" w:lineRule="exact"/>
      <w:ind w:firstLine="301"/>
    </w:pPr>
    <w:rPr>
      <w:rFonts w:ascii="宋体" w:hAnsi="Courier New"/>
      <w:spacing w:val="-4"/>
      <w:sz w:val="18"/>
      <w:szCs w:val="20"/>
    </w:rPr>
  </w:style>
  <w:style w:type="paragraph" w:styleId="15">
    <w:name w:val="toc 3"/>
    <w:basedOn w:val="1"/>
    <w:next w:val="1"/>
    <w:qFormat/>
    <w:uiPriority w:val="39"/>
    <w:pPr>
      <w:ind w:left="840" w:leftChars="400"/>
    </w:pPr>
  </w:style>
  <w:style w:type="paragraph" w:styleId="16">
    <w:name w:val="Plain Text"/>
    <w:basedOn w:val="1"/>
    <w:link w:val="44"/>
    <w:qFormat/>
    <w:uiPriority w:val="99"/>
    <w:rPr>
      <w:rFonts w:ascii="宋体" w:hAnsi="宋体"/>
      <w:szCs w:val="20"/>
    </w:rPr>
  </w:style>
  <w:style w:type="paragraph" w:styleId="17">
    <w:name w:val="Balloon Text"/>
    <w:basedOn w:val="1"/>
    <w:link w:val="45"/>
    <w:qFormat/>
    <w:uiPriority w:val="0"/>
    <w:rPr>
      <w:sz w:val="18"/>
      <w:szCs w:val="18"/>
    </w:rPr>
  </w:style>
  <w:style w:type="paragraph" w:styleId="18">
    <w:name w:val="footer"/>
    <w:basedOn w:val="1"/>
    <w:link w:val="46"/>
    <w:qFormat/>
    <w:uiPriority w:val="99"/>
    <w:pPr>
      <w:tabs>
        <w:tab w:val="center" w:pos="4153"/>
        <w:tab w:val="right" w:pos="8306"/>
      </w:tabs>
      <w:snapToGrid w:val="0"/>
      <w:jc w:val="left"/>
    </w:pPr>
    <w:rPr>
      <w:sz w:val="18"/>
      <w:szCs w:val="18"/>
    </w:rPr>
  </w:style>
  <w:style w:type="paragraph" w:styleId="19">
    <w:name w:val="header"/>
    <w:basedOn w:val="1"/>
    <w:link w:val="47"/>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39"/>
    <w:pPr>
      <w:spacing w:before="120" w:after="120"/>
      <w:jc w:val="left"/>
    </w:pPr>
    <w:rPr>
      <w:rFonts w:ascii="Calibri" w:hAnsi="Calibri"/>
      <w:b/>
      <w:bCs/>
      <w:caps/>
      <w:sz w:val="22"/>
      <w:szCs w:val="22"/>
      <w:u w:val="single"/>
    </w:rPr>
  </w:style>
  <w:style w:type="paragraph" w:styleId="21">
    <w:name w:val="List"/>
    <w:basedOn w:val="1"/>
    <w:qFormat/>
    <w:uiPriority w:val="0"/>
    <w:pPr>
      <w:ind w:left="200" w:hanging="200" w:hangingChars="200"/>
    </w:pPr>
    <w:rPr>
      <w:sz w:val="28"/>
    </w:rPr>
  </w:style>
  <w:style w:type="paragraph" w:styleId="22">
    <w:name w:val="toc 6"/>
    <w:basedOn w:val="1"/>
    <w:next w:val="1"/>
    <w:semiHidden/>
    <w:qFormat/>
    <w:uiPriority w:val="99"/>
    <w:pPr>
      <w:ind w:left="2100" w:leftChars="1000"/>
    </w:pPr>
  </w:style>
  <w:style w:type="paragraph" w:styleId="23">
    <w:name w:val="toc 2"/>
    <w:basedOn w:val="1"/>
    <w:next w:val="1"/>
    <w:qFormat/>
    <w:uiPriority w:val="39"/>
    <w:pPr>
      <w:ind w:left="420" w:leftChars="200"/>
    </w:pPr>
  </w:style>
  <w:style w:type="paragraph" w:styleId="24">
    <w:name w:val="Body Text 2"/>
    <w:basedOn w:val="1"/>
    <w:next w:val="13"/>
    <w:qFormat/>
    <w:uiPriority w:val="0"/>
    <w:pPr>
      <w:spacing w:line="480" w:lineRule="auto"/>
    </w:pPr>
    <w:rPr>
      <w:kern w:val="0"/>
      <w:sz w:val="20"/>
    </w:rPr>
  </w:style>
  <w:style w:type="paragraph" w:styleId="25">
    <w:name w:val="Normal (Web)"/>
    <w:basedOn w:val="1"/>
    <w:qFormat/>
    <w:uiPriority w:val="0"/>
    <w:pPr>
      <w:widowControl/>
      <w:spacing w:before="100" w:beforeAutospacing="1" w:after="100" w:afterAutospacing="1"/>
      <w:jc w:val="left"/>
    </w:pPr>
    <w:rPr>
      <w:rFonts w:ascii="宋体" w:hAnsi="宋体"/>
      <w:sz w:val="24"/>
    </w:rPr>
  </w:style>
  <w:style w:type="paragraph" w:styleId="26">
    <w:name w:val="index 1"/>
    <w:basedOn w:val="1"/>
    <w:next w:val="1"/>
    <w:qFormat/>
    <w:uiPriority w:val="99"/>
    <w:pPr>
      <w:spacing w:line="400" w:lineRule="exact"/>
      <w:ind w:firstLine="420" w:firstLineChars="200"/>
    </w:pPr>
    <w:rPr>
      <w:rFonts w:ascii="宋体" w:hAnsi="Courier New"/>
      <w:b/>
      <w:szCs w:val="20"/>
    </w:rPr>
  </w:style>
  <w:style w:type="paragraph" w:styleId="27">
    <w:name w:val="Title"/>
    <w:basedOn w:val="1"/>
    <w:next w:val="1"/>
    <w:qFormat/>
    <w:uiPriority w:val="10"/>
    <w:pPr>
      <w:spacing w:before="240" w:after="60"/>
      <w:jc w:val="center"/>
      <w:outlineLvl w:val="0"/>
    </w:pPr>
    <w:rPr>
      <w:rFonts w:ascii="Cambria" w:hAnsi="Cambria"/>
      <w:b/>
      <w:bCs/>
      <w:sz w:val="32"/>
      <w:szCs w:val="32"/>
    </w:rPr>
  </w:style>
  <w:style w:type="paragraph" w:styleId="28">
    <w:name w:val="annotation subject"/>
    <w:basedOn w:val="12"/>
    <w:next w:val="12"/>
    <w:link w:val="48"/>
    <w:qFormat/>
    <w:uiPriority w:val="0"/>
    <w:rPr>
      <w:b/>
      <w:bCs/>
    </w:rPr>
  </w:style>
  <w:style w:type="paragraph" w:styleId="29">
    <w:name w:val="Body Text First Indent"/>
    <w:basedOn w:val="13"/>
    <w:next w:val="22"/>
    <w:unhideWhenUsed/>
    <w:qFormat/>
    <w:uiPriority w:val="99"/>
    <w:pPr>
      <w:ind w:firstLine="420" w:firstLineChars="100"/>
    </w:pPr>
  </w:style>
  <w:style w:type="table" w:styleId="31">
    <w:name w:val="Table Grid"/>
    <w:basedOn w:val="3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3">
    <w:name w:val="Strong"/>
    <w:qFormat/>
    <w:uiPriority w:val="0"/>
    <w:rPr>
      <w:b/>
    </w:rPr>
  </w:style>
  <w:style w:type="character" w:styleId="34">
    <w:name w:val="page number"/>
    <w:qFormat/>
    <w:uiPriority w:val="0"/>
  </w:style>
  <w:style w:type="character" w:styleId="35">
    <w:name w:val="Hyperlink"/>
    <w:qFormat/>
    <w:uiPriority w:val="99"/>
    <w:rPr>
      <w:color w:val="0563C1"/>
      <w:u w:val="single"/>
    </w:rPr>
  </w:style>
  <w:style w:type="character" w:styleId="36">
    <w:name w:val="annotation reference"/>
    <w:qFormat/>
    <w:uiPriority w:val="0"/>
    <w:rPr>
      <w:sz w:val="21"/>
      <w:szCs w:val="21"/>
    </w:rPr>
  </w:style>
  <w:style w:type="character" w:customStyle="1" w:styleId="37">
    <w:name w:val="标题 1 Char"/>
    <w:link w:val="2"/>
    <w:qFormat/>
    <w:uiPriority w:val="0"/>
    <w:rPr>
      <w:rFonts w:ascii="Times New Roman" w:hAnsi="Times New Roman" w:eastAsia="宋体"/>
      <w:b/>
      <w:bCs/>
      <w:kern w:val="44"/>
      <w:sz w:val="44"/>
      <w:szCs w:val="44"/>
      <w:lang w:val="en-US" w:eastAsia="zh-CN" w:bidi="ar-SA"/>
    </w:rPr>
  </w:style>
  <w:style w:type="paragraph" w:customStyle="1" w:styleId="38">
    <w:name w:val="目录 81"/>
    <w:basedOn w:val="1"/>
    <w:next w:val="1"/>
    <w:qFormat/>
    <w:uiPriority w:val="0"/>
    <w:pPr>
      <w:ind w:left="1470"/>
    </w:pPr>
    <w:rPr>
      <w:sz w:val="18"/>
    </w:rPr>
  </w:style>
  <w:style w:type="paragraph" w:customStyle="1" w:styleId="39">
    <w:name w:val="_正文"/>
    <w:basedOn w:val="1"/>
    <w:qFormat/>
    <w:uiPriority w:val="0"/>
    <w:rPr>
      <w:kern w:val="0"/>
    </w:rPr>
  </w:style>
  <w:style w:type="paragraph" w:customStyle="1" w:styleId="40">
    <w:name w:val="正文2"/>
    <w:basedOn w:val="1"/>
    <w:qFormat/>
    <w:uiPriority w:val="0"/>
    <w:pPr>
      <w:adjustRightInd w:val="0"/>
      <w:spacing w:before="156" w:line="360" w:lineRule="auto"/>
      <w:ind w:firstLine="510" w:firstLineChars="200"/>
    </w:pPr>
    <w:rPr>
      <w:sz w:val="24"/>
      <w:szCs w:val="20"/>
    </w:rPr>
  </w:style>
  <w:style w:type="paragraph" w:customStyle="1" w:styleId="41">
    <w:name w:val="Table Text"/>
    <w:basedOn w:val="1"/>
    <w:semiHidden/>
    <w:qFormat/>
    <w:uiPriority w:val="0"/>
    <w:rPr>
      <w:rFonts w:ascii="宋体" w:hAnsi="宋体" w:cs="宋体"/>
      <w:sz w:val="20"/>
      <w:szCs w:val="20"/>
      <w:lang w:eastAsia="en-US"/>
    </w:rPr>
  </w:style>
  <w:style w:type="character" w:customStyle="1" w:styleId="42">
    <w:name w:val="正文文本 Char"/>
    <w:basedOn w:val="32"/>
    <w:link w:val="13"/>
    <w:qFormat/>
    <w:uiPriority w:val="0"/>
    <w:rPr>
      <w:kern w:val="2"/>
      <w:sz w:val="21"/>
      <w:szCs w:val="24"/>
    </w:rPr>
  </w:style>
  <w:style w:type="character" w:customStyle="1" w:styleId="43">
    <w:name w:val="批注文字 Char"/>
    <w:link w:val="12"/>
    <w:qFormat/>
    <w:uiPriority w:val="99"/>
    <w:rPr>
      <w:kern w:val="2"/>
      <w:sz w:val="21"/>
      <w:szCs w:val="24"/>
    </w:rPr>
  </w:style>
  <w:style w:type="character" w:customStyle="1" w:styleId="44">
    <w:name w:val="纯文本 Char"/>
    <w:link w:val="16"/>
    <w:qFormat/>
    <w:uiPriority w:val="0"/>
    <w:rPr>
      <w:rFonts w:ascii="宋体" w:hAnsi="宋体"/>
      <w:kern w:val="2"/>
      <w:sz w:val="21"/>
    </w:rPr>
  </w:style>
  <w:style w:type="character" w:customStyle="1" w:styleId="45">
    <w:name w:val="批注框文本 Char"/>
    <w:link w:val="17"/>
    <w:qFormat/>
    <w:uiPriority w:val="0"/>
    <w:rPr>
      <w:kern w:val="2"/>
      <w:sz w:val="18"/>
      <w:szCs w:val="18"/>
    </w:rPr>
  </w:style>
  <w:style w:type="character" w:customStyle="1" w:styleId="46">
    <w:name w:val="页脚 Char"/>
    <w:link w:val="18"/>
    <w:qFormat/>
    <w:uiPriority w:val="99"/>
    <w:rPr>
      <w:kern w:val="2"/>
      <w:sz w:val="18"/>
      <w:szCs w:val="18"/>
    </w:rPr>
  </w:style>
  <w:style w:type="character" w:customStyle="1" w:styleId="47">
    <w:name w:val="页眉 Char"/>
    <w:link w:val="19"/>
    <w:qFormat/>
    <w:uiPriority w:val="99"/>
    <w:rPr>
      <w:kern w:val="2"/>
      <w:sz w:val="18"/>
      <w:szCs w:val="18"/>
    </w:rPr>
  </w:style>
  <w:style w:type="character" w:customStyle="1" w:styleId="48">
    <w:name w:val="批注主题 Char"/>
    <w:link w:val="28"/>
    <w:qFormat/>
    <w:uiPriority w:val="0"/>
    <w:rPr>
      <w:b/>
      <w:bCs/>
      <w:kern w:val="2"/>
      <w:sz w:val="21"/>
      <w:szCs w:val="24"/>
    </w:rPr>
  </w:style>
  <w:style w:type="paragraph" w:customStyle="1" w:styleId="49">
    <w:name w:val="表格文字"/>
    <w:basedOn w:val="1"/>
    <w:qFormat/>
    <w:uiPriority w:val="0"/>
    <w:pPr>
      <w:spacing w:before="25" w:after="25"/>
      <w:jc w:val="left"/>
    </w:pPr>
    <w:rPr>
      <w:bCs/>
      <w:spacing w:val="10"/>
      <w:kern w:val="0"/>
      <w:sz w:val="24"/>
    </w:rPr>
  </w:style>
  <w:style w:type="paragraph" w:customStyle="1" w:styleId="50">
    <w:name w:val="正文（缩进）"/>
    <w:basedOn w:val="1"/>
    <w:qFormat/>
    <w:uiPriority w:val="0"/>
    <w:pPr>
      <w:spacing w:before="156" w:after="156"/>
      <w:ind w:firstLine="480"/>
    </w:pPr>
    <w:rPr>
      <w:rFonts w:ascii="Calibri" w:hAnsi="Calibri"/>
      <w:szCs w:val="21"/>
    </w:rPr>
  </w:style>
  <w:style w:type="character" w:customStyle="1" w:styleId="51">
    <w:name w:val="font21"/>
    <w:qFormat/>
    <w:uiPriority w:val="0"/>
    <w:rPr>
      <w:rFonts w:hint="eastAsia" w:ascii="Courier New" w:hAnsi="Courier New" w:eastAsia="Courier New" w:cs="Courier New"/>
      <w:color w:val="000000"/>
      <w:sz w:val="28"/>
      <w:szCs w:val="28"/>
      <w:u w:val="none"/>
    </w:rPr>
  </w:style>
  <w:style w:type="character" w:customStyle="1" w:styleId="52">
    <w:name w:val="font11"/>
    <w:qFormat/>
    <w:uiPriority w:val="0"/>
    <w:rPr>
      <w:rFonts w:hint="eastAsia" w:ascii="Courier New" w:hAnsi="Courier New" w:eastAsia="Courier New" w:cs="Courier New"/>
      <w:b/>
      <w:color w:val="000000"/>
      <w:sz w:val="28"/>
      <w:szCs w:val="28"/>
      <w:u w:val="none"/>
    </w:rPr>
  </w:style>
  <w:style w:type="paragraph" w:customStyle="1" w:styleId="53">
    <w:name w:val="首行缩进"/>
    <w:basedOn w:val="1"/>
    <w:qFormat/>
    <w:uiPriority w:val="0"/>
    <w:pPr>
      <w:ind w:firstLine="480" w:firstLineChars="200"/>
    </w:pPr>
  </w:style>
  <w:style w:type="paragraph" w:customStyle="1" w:styleId="54">
    <w:name w:val="文档正文"/>
    <w:basedOn w:val="1"/>
    <w:qFormat/>
    <w:uiPriority w:val="0"/>
    <w:pPr>
      <w:spacing w:line="360" w:lineRule="auto"/>
      <w:ind w:firstLine="200" w:firstLineChars="200"/>
    </w:pPr>
    <w:rPr>
      <w:rFonts w:ascii="Arial" w:hAnsi="Arial" w:cs="Arial"/>
      <w:bCs/>
      <w:lang w:val="zh-CN"/>
    </w:rPr>
  </w:style>
  <w:style w:type="paragraph" w:customStyle="1" w:styleId="55">
    <w:name w:val="样式 宋体 行距: 1.5 倍行距"/>
    <w:basedOn w:val="1"/>
    <w:next w:val="15"/>
    <w:qFormat/>
    <w:uiPriority w:val="0"/>
    <w:pPr>
      <w:jc w:val="center"/>
    </w:pPr>
    <w:rPr>
      <w:b/>
    </w:rPr>
  </w:style>
  <w:style w:type="character" w:customStyle="1" w:styleId="56">
    <w:name w:val="NormalCharacter"/>
    <w:qFormat/>
    <w:locked/>
    <w:uiPriority w:val="0"/>
    <w:rPr>
      <w:rFonts w:ascii="宋体" w:hAnsi="Courier New" w:eastAsia="宋体" w:cs="Times New Roman"/>
      <w:kern w:val="2"/>
      <w:sz w:val="21"/>
      <w:lang w:val="en-US" w:eastAsia="zh-CN" w:bidi="ar-SA"/>
    </w:rPr>
  </w:style>
  <w:style w:type="paragraph" w:customStyle="1" w:styleId="57">
    <w:name w:val="Heading2"/>
    <w:next w:val="1"/>
    <w:qFormat/>
    <w:uiPriority w:val="0"/>
    <w:pPr>
      <w:keepNext/>
      <w:keepLines/>
      <w:widowControl w:val="0"/>
      <w:spacing w:before="60" w:after="60" w:line="413" w:lineRule="auto"/>
      <w:jc w:val="both"/>
      <w:textAlignment w:val="baseline"/>
    </w:pPr>
    <w:rPr>
      <w:rFonts w:ascii="Arial" w:hAnsi="Arial" w:eastAsia="黑体" w:cs="Times New Roman"/>
      <w:b/>
      <w:bCs/>
      <w:kern w:val="2"/>
      <w:sz w:val="21"/>
      <w:szCs w:val="32"/>
      <w:lang w:val="en-US" w:eastAsia="zh-CN" w:bidi="ar-SA"/>
    </w:rPr>
  </w:style>
  <w:style w:type="paragraph" w:customStyle="1" w:styleId="58">
    <w:name w:val="默认段落字体 Char Char Char"/>
    <w:basedOn w:val="1"/>
    <w:semiHidden/>
    <w:qFormat/>
    <w:uiPriority w:val="0"/>
    <w:rPr>
      <w:rFonts w:ascii="Arial" w:hAnsi="Arial" w:cs="Arial"/>
      <w:sz w:val="22"/>
      <w:szCs w:val="22"/>
      <w:lang w:eastAsia="en-US"/>
    </w:rPr>
  </w:style>
  <w:style w:type="paragraph" w:customStyle="1" w:styleId="59">
    <w:name w:val="标题 5（有编号）（绿盟科技）"/>
    <w:basedOn w:val="1"/>
    <w:next w:val="60"/>
    <w:qFormat/>
    <w:uiPriority w:val="0"/>
    <w:pPr>
      <w:keepNext/>
      <w:keepLines/>
      <w:numPr>
        <w:ilvl w:val="4"/>
        <w:numId w:val="2"/>
      </w:numPr>
      <w:spacing w:before="280" w:after="156" w:line="377" w:lineRule="auto"/>
      <w:jc w:val="left"/>
      <w:outlineLvl w:val="4"/>
    </w:pPr>
    <w:rPr>
      <w:rFonts w:ascii="Arial" w:hAnsi="Arial" w:eastAsia="黑体" w:cs="黑体"/>
      <w:b/>
      <w:kern w:val="0"/>
      <w:sz w:val="24"/>
      <w:szCs w:val="28"/>
    </w:rPr>
  </w:style>
  <w:style w:type="paragraph" w:customStyle="1" w:styleId="60">
    <w:name w:val="正文（绿盟科技）"/>
    <w:qFormat/>
    <w:uiPriority w:val="0"/>
    <w:pPr>
      <w:spacing w:line="300" w:lineRule="auto"/>
    </w:pPr>
    <w:rPr>
      <w:rFonts w:ascii="Arial" w:hAnsi="Arial" w:eastAsia="宋体" w:cs="黑体"/>
      <w:sz w:val="21"/>
      <w:szCs w:val="21"/>
      <w:lang w:val="en-US" w:eastAsia="zh-CN" w:bidi="ar-SA"/>
    </w:rPr>
  </w:style>
  <w:style w:type="paragraph" w:styleId="61">
    <w:name w:val="List Paragraph"/>
    <w:basedOn w:val="1"/>
    <w:qFormat/>
    <w:uiPriority w:val="34"/>
    <w:pPr>
      <w:numPr>
        <w:ilvl w:val="1"/>
        <w:numId w:val="3"/>
      </w:numPr>
      <w:tabs>
        <w:tab w:val="left" w:pos="-840"/>
        <w:tab w:val="left" w:pos="100"/>
      </w:tabs>
    </w:pPr>
  </w:style>
  <w:style w:type="paragraph" w:customStyle="1" w:styleId="62">
    <w:name w:val="表格5号"/>
    <w:basedOn w:val="1"/>
    <w:qFormat/>
    <w:uiPriority w:val="0"/>
    <w:pPr>
      <w:keepNext/>
      <w:adjustRightInd w:val="0"/>
      <w:spacing w:before="40" w:after="40"/>
      <w:jc w:val="center"/>
      <w:textAlignment w:val="baseline"/>
    </w:pPr>
    <w:rPr>
      <w:rFonts w:hint="eastAsia"/>
      <w:kern w:val="0"/>
      <w:szCs w:val="21"/>
    </w:rPr>
  </w:style>
  <w:style w:type="paragraph" w:customStyle="1" w:styleId="63">
    <w:name w:val="正文-2字符首行缩进"/>
    <w:basedOn w:val="1"/>
    <w:qFormat/>
    <w:uiPriority w:val="0"/>
  </w:style>
  <w:style w:type="paragraph" w:customStyle="1" w:styleId="64">
    <w:name w:val="表格"/>
    <w:basedOn w:val="65"/>
    <w:qFormat/>
    <w:uiPriority w:val="0"/>
    <w:pPr>
      <w:keepNext/>
      <w:adjustRightInd w:val="0"/>
      <w:spacing w:before="40" w:after="40"/>
      <w:ind w:firstLine="0"/>
      <w:jc w:val="center"/>
      <w:textAlignment w:val="baseline"/>
    </w:pPr>
    <w:rPr>
      <w:kern w:val="0"/>
      <w:sz w:val="24"/>
      <w:szCs w:val="20"/>
    </w:rPr>
  </w:style>
  <w:style w:type="paragraph" w:customStyle="1" w:styleId="65">
    <w:name w:val="列表段落1"/>
    <w:basedOn w:val="1"/>
    <w:qFormat/>
    <w:uiPriority w:val="34"/>
    <w:pPr>
      <w:numPr>
        <w:ilvl w:val="0"/>
        <w:numId w:val="4"/>
      </w:numPr>
      <w:ind w:left="0" w:firstLine="200"/>
      <w:jc w:val="left"/>
    </w:pPr>
  </w:style>
  <w:style w:type="paragraph" w:customStyle="1" w:styleId="66">
    <w:name w:val="正_文"/>
    <w:basedOn w:val="1"/>
    <w:qFormat/>
    <w:uiPriority w:val="0"/>
    <w:pPr>
      <w:ind w:firstLine="200"/>
    </w:pPr>
    <w:rPr>
      <w:bCs/>
      <w:szCs w:val="28"/>
    </w:rPr>
  </w:style>
  <w:style w:type="paragraph" w:customStyle="1" w:styleId="67">
    <w:name w:val="_正文段落"/>
    <w:basedOn w:val="1"/>
    <w:qFormat/>
    <w:uiPriority w:val="0"/>
    <w:pPr>
      <w:ind w:firstLine="200"/>
      <w:jc w:val="left"/>
    </w:pPr>
  </w:style>
  <w:style w:type="paragraph" w:customStyle="1" w:styleId="68">
    <w:name w:val="正文段落"/>
    <w:basedOn w:val="1"/>
    <w:qFormat/>
    <w:uiPriority w:val="0"/>
    <w:pPr>
      <w:ind w:firstLine="200"/>
      <w:textAlignment w:val="baseline"/>
    </w:pPr>
    <w:rPr>
      <w:snapToGrid w:val="0"/>
      <w:kern w:val="28"/>
      <w:szCs w:val="28"/>
    </w:rPr>
  </w:style>
  <w:style w:type="paragraph" w:customStyle="1" w:styleId="69">
    <w:name w:val="可研报告正文"/>
    <w:basedOn w:val="1"/>
    <w:qFormat/>
    <w:uiPriority w:val="0"/>
    <w:pPr>
      <w:ind w:firstLine="200"/>
    </w:pPr>
  </w:style>
  <w:style w:type="paragraph" w:customStyle="1" w:styleId="70">
    <w:name w:val="表格正文"/>
    <w:basedOn w:val="1"/>
    <w:qFormat/>
    <w:uiPriority w:val="0"/>
    <w:pPr>
      <w:adjustRightInd w:val="0"/>
      <w:snapToGrid w:val="0"/>
      <w:jc w:val="center"/>
    </w:pPr>
    <w:rPr>
      <w:rFonts w:ascii="宋体" w:hAnsi="宋体"/>
      <w:snapToGrid w:val="0"/>
      <w:kern w:val="0"/>
      <w:szCs w:val="21"/>
    </w:rPr>
  </w:style>
  <w:style w:type="paragraph" w:customStyle="1" w:styleId="71">
    <w:name w:val="方案正文"/>
    <w:basedOn w:val="72"/>
    <w:qFormat/>
    <w:uiPriority w:val="0"/>
    <w:pPr>
      <w:tabs>
        <w:tab w:val="left" w:pos="420"/>
      </w:tabs>
      <w:spacing w:after="30"/>
      <w:ind w:firstLine="200"/>
    </w:pPr>
    <w:rPr>
      <w:rFonts w:ascii="方正仿宋_GB2312" w:hAnsi="方正仿宋_GB2312" w:cs="Arial"/>
      <w:szCs w:val="22"/>
    </w:rPr>
  </w:style>
  <w:style w:type="paragraph" w:customStyle="1" w:styleId="72">
    <w:name w:val="方案 正文"/>
    <w:basedOn w:val="1"/>
    <w:qFormat/>
    <w:uiPriority w:val="0"/>
    <w:pPr>
      <w:tabs>
        <w:tab w:val="left" w:pos="420"/>
      </w:tabs>
      <w:adjustRightInd w:val="0"/>
      <w:snapToGrid w:val="0"/>
      <w:spacing w:after="72" w:afterLines="30"/>
      <w:ind w:firstLine="480"/>
    </w:pPr>
    <w:rPr>
      <w:szCs w:val="21"/>
    </w:rPr>
  </w:style>
  <w:style w:type="paragraph" w:customStyle="1" w:styleId="73">
    <w:name w:val="段"/>
    <w:next w:val="1"/>
    <w:qFormat/>
    <w:uiPriority w:val="0"/>
    <w:pPr>
      <w:autoSpaceDE w:val="0"/>
      <w:autoSpaceDN w:val="0"/>
      <w:ind w:firstLine="200" w:firstLineChars="200"/>
      <w:jc w:val="both"/>
    </w:pPr>
    <w:rPr>
      <w:rFonts w:ascii="宋体" w:hAnsi="Times New Roman" w:eastAsia="宋体" w:cs="宋体"/>
      <w:sz w:val="21"/>
      <w:szCs w:val="21"/>
      <w:lang w:val="en-US" w:eastAsia="zh-CN" w:bidi="ar-SA"/>
    </w:rPr>
  </w:style>
  <w:style w:type="character" w:customStyle="1" w:styleId="74">
    <w:name w:val="纯文本 字符"/>
    <w:qFormat/>
    <w:uiPriority w:val="0"/>
    <w:rPr>
      <w:rFonts w:ascii="宋体" w:hAnsi="Courier New"/>
      <w:kern w:val="2"/>
      <w:sz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header" Target="header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2" Type="http://schemas.openxmlformats.org/officeDocument/2006/relationships/fontTable" Target="fontTable.xml"/><Relationship Id="rId21" Type="http://schemas.openxmlformats.org/officeDocument/2006/relationships/customXml" Target="../customXml/item1.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5.xml"/><Relationship Id="rId17" Type="http://schemas.openxmlformats.org/officeDocument/2006/relationships/footer" Target="footer14.xml"/><Relationship Id="rId16" Type="http://schemas.openxmlformats.org/officeDocument/2006/relationships/footer" Target="footer13.xml"/><Relationship Id="rId15" Type="http://schemas.openxmlformats.org/officeDocument/2006/relationships/footer" Target="footer12.xml"/><Relationship Id="rId14" Type="http://schemas.openxmlformats.org/officeDocument/2006/relationships/footer" Target="footer11.xml"/><Relationship Id="rId13" Type="http://schemas.openxmlformats.org/officeDocument/2006/relationships/footer" Target="footer10.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91117-823B-42E1-A133-DBDB3A0D532F}">
  <ds:schemaRefs/>
</ds:datastoreItem>
</file>

<file path=docProps/app.xml><?xml version="1.0" encoding="utf-8"?>
<Properties xmlns="http://schemas.openxmlformats.org/officeDocument/2006/extended-properties" xmlns:vt="http://schemas.openxmlformats.org/officeDocument/2006/docPropsVTypes">
  <Template>Normal</Template>
  <Company>Organization</Company>
  <Pages>113</Pages>
  <Words>28975</Words>
  <Characters>31241</Characters>
  <Lines>575</Lines>
  <Paragraphs>162</Paragraphs>
  <TotalTime>4</TotalTime>
  <ScaleCrop>false</ScaleCrop>
  <LinksUpToDate>false</LinksUpToDate>
  <CharactersWithSpaces>31347</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2024-10-19T03:44:00Z</dcterms:created>
  <dc:creator>s</dc:creator>
  <cp:lastModifiedBy>Administrator</cp:lastModifiedBy>
  <dcterms:modified xsi:type="dcterms:W3CDTF">2024-11-15T09:57:47Z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7AC89AC570B74C1885E7E35586AB3811_13</vt:lpwstr>
  </property>
</Properties>
</file>